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2116" w:rsidRPr="009E5842" w:rsidRDefault="00C12116" w:rsidP="00C12116">
      <w:pPr>
        <w:pStyle w:val="NoSpacing"/>
        <w:jc w:val="center"/>
        <w:rPr>
          <w:rFonts w:ascii="Palatino Linotype" w:hAnsi="Palatino Linotype"/>
          <w:i/>
          <w:sz w:val="32"/>
          <w:szCs w:val="32"/>
        </w:rPr>
      </w:pPr>
      <w:bookmarkStart w:id="0" w:name="_GoBack"/>
      <w:bookmarkEnd w:id="0"/>
      <w:r w:rsidRPr="009E5842">
        <w:rPr>
          <w:rFonts w:ascii="Palatino Linotype" w:hAnsi="Palatino Linotype"/>
          <w:i/>
          <w:sz w:val="32"/>
          <w:szCs w:val="32"/>
        </w:rPr>
        <w:t>Erasmus Universiteit Rotterdam</w:t>
      </w:r>
    </w:p>
    <w:p w:rsidR="00C12116" w:rsidRPr="00927640" w:rsidRDefault="00C12116" w:rsidP="00C12116">
      <w:pPr>
        <w:pStyle w:val="NoSpacing"/>
        <w:jc w:val="center"/>
        <w:rPr>
          <w:rFonts w:ascii="Palatino Linotype" w:hAnsi="Palatino Linotype"/>
          <w:i/>
          <w:sz w:val="32"/>
          <w:szCs w:val="32"/>
        </w:rPr>
      </w:pPr>
      <w:r w:rsidRPr="00927640">
        <w:rPr>
          <w:rFonts w:ascii="Palatino Linotype" w:hAnsi="Palatino Linotype"/>
          <w:i/>
          <w:sz w:val="32"/>
          <w:szCs w:val="32"/>
        </w:rPr>
        <w:t>Erasmus School of Economics</w:t>
      </w:r>
    </w:p>
    <w:p w:rsidR="00C12116" w:rsidRPr="00927640" w:rsidRDefault="00C12116" w:rsidP="00C12116">
      <w:pPr>
        <w:pStyle w:val="NoSpacing"/>
        <w:jc w:val="center"/>
        <w:rPr>
          <w:rFonts w:ascii="Palatino Linotype" w:hAnsi="Palatino Linotype"/>
          <w:i/>
          <w:sz w:val="32"/>
          <w:szCs w:val="32"/>
        </w:rPr>
      </w:pPr>
      <w:r w:rsidRPr="00927640">
        <w:rPr>
          <w:rFonts w:ascii="Palatino Linotype" w:hAnsi="Palatino Linotype"/>
          <w:i/>
          <w:sz w:val="32"/>
          <w:szCs w:val="32"/>
        </w:rPr>
        <w:t>Bachelorscriptie Financial Economics</w:t>
      </w:r>
    </w:p>
    <w:p w:rsidR="00B33C86" w:rsidRPr="00D1214B" w:rsidRDefault="00B33C86" w:rsidP="00D1214B">
      <w:pPr>
        <w:pStyle w:val="TOC1"/>
        <w:rPr>
          <w:rFonts w:ascii="Palatino Linotype" w:hAnsi="Palatino Linotype"/>
        </w:rPr>
      </w:pPr>
    </w:p>
    <w:p w:rsidR="00C12116" w:rsidRDefault="00C12116" w:rsidP="00C12116">
      <w:pPr>
        <w:pStyle w:val="TOCHeading"/>
        <w:jc w:val="center"/>
        <w:rPr>
          <w:rFonts w:ascii="Palatino Linotype" w:hAnsi="Palatino Linotype"/>
          <w:color w:val="auto"/>
          <w:sz w:val="40"/>
          <w:szCs w:val="40"/>
        </w:rPr>
      </w:pPr>
    </w:p>
    <w:p w:rsidR="00C12116" w:rsidRDefault="00C12116" w:rsidP="00C12116">
      <w:pPr>
        <w:pStyle w:val="TOCHeading"/>
        <w:jc w:val="center"/>
        <w:rPr>
          <w:rFonts w:ascii="Palatino Linotype" w:hAnsi="Palatino Linotype"/>
          <w:color w:val="auto"/>
          <w:sz w:val="40"/>
          <w:szCs w:val="40"/>
        </w:rPr>
      </w:pPr>
    </w:p>
    <w:p w:rsidR="00C12116" w:rsidRPr="00C12116" w:rsidRDefault="00927640" w:rsidP="00C12116">
      <w:pPr>
        <w:pStyle w:val="TOCHeading"/>
        <w:jc w:val="center"/>
        <w:rPr>
          <w:rFonts w:ascii="Palatino Linotype" w:hAnsi="Palatino Linotype"/>
          <w:color w:val="auto"/>
          <w:sz w:val="52"/>
          <w:szCs w:val="52"/>
        </w:rPr>
      </w:pPr>
      <w:r>
        <w:rPr>
          <w:rFonts w:ascii="Palatino Linotype" w:hAnsi="Palatino Linotype"/>
          <w:color w:val="auto"/>
          <w:sz w:val="52"/>
          <w:szCs w:val="52"/>
        </w:rPr>
        <w:t>Pensioensyste</w:t>
      </w:r>
      <w:r w:rsidR="00E673DE">
        <w:rPr>
          <w:rFonts w:ascii="Palatino Linotype" w:hAnsi="Palatino Linotype"/>
          <w:color w:val="auto"/>
          <w:sz w:val="52"/>
          <w:szCs w:val="52"/>
        </w:rPr>
        <w:t>men: een internationale vergelijking</w:t>
      </w:r>
      <w:r w:rsidR="009E30A3">
        <w:rPr>
          <w:rFonts w:ascii="Palatino Linotype" w:hAnsi="Palatino Linotype"/>
          <w:color w:val="auto"/>
          <w:sz w:val="52"/>
          <w:szCs w:val="52"/>
        </w:rPr>
        <w:t xml:space="preserve"> en scenarioanalyse</w:t>
      </w:r>
    </w:p>
    <w:p w:rsidR="00C12116" w:rsidRDefault="00C12116" w:rsidP="00C12116"/>
    <w:p w:rsidR="00C12116" w:rsidRDefault="00C12116" w:rsidP="00C12116">
      <w:pPr>
        <w:pStyle w:val="NoSpacing"/>
      </w:pPr>
    </w:p>
    <w:p w:rsidR="00C12116" w:rsidRDefault="00C12116" w:rsidP="00C12116">
      <w:pPr>
        <w:pStyle w:val="NoSpacing"/>
      </w:pPr>
    </w:p>
    <w:p w:rsidR="00C12116" w:rsidRDefault="00C12116" w:rsidP="00C12116">
      <w:pPr>
        <w:pStyle w:val="NoSpacing"/>
      </w:pPr>
    </w:p>
    <w:p w:rsidR="00C12116" w:rsidRDefault="00C12116" w:rsidP="00C12116">
      <w:pPr>
        <w:pStyle w:val="NoSpacing"/>
      </w:pPr>
    </w:p>
    <w:p w:rsidR="00C12116" w:rsidRDefault="00C12116" w:rsidP="00C12116">
      <w:pPr>
        <w:pStyle w:val="NoSpacing"/>
      </w:pPr>
    </w:p>
    <w:p w:rsidR="00C12116" w:rsidRDefault="00C12116" w:rsidP="00C12116">
      <w:pPr>
        <w:pStyle w:val="NoSpacing"/>
      </w:pPr>
    </w:p>
    <w:p w:rsidR="00C12116" w:rsidRDefault="00C12116" w:rsidP="00C12116">
      <w:pPr>
        <w:pStyle w:val="NoSpacing"/>
      </w:pPr>
    </w:p>
    <w:p w:rsidR="00C12116" w:rsidRDefault="00C12116" w:rsidP="00C12116">
      <w:pPr>
        <w:pStyle w:val="NoSpacing"/>
      </w:pPr>
    </w:p>
    <w:p w:rsidR="00C12116" w:rsidRDefault="00C12116" w:rsidP="00C12116">
      <w:pPr>
        <w:pStyle w:val="NoSpacing"/>
      </w:pPr>
    </w:p>
    <w:p w:rsidR="00C12116" w:rsidRDefault="00C12116" w:rsidP="00C12116">
      <w:pPr>
        <w:pStyle w:val="NoSpacing"/>
      </w:pPr>
    </w:p>
    <w:p w:rsidR="00C12116" w:rsidRPr="009E5842" w:rsidRDefault="00C12116" w:rsidP="00C12116">
      <w:pPr>
        <w:pStyle w:val="NoSpacing"/>
        <w:jc w:val="center"/>
        <w:rPr>
          <w:rFonts w:ascii="Palatino Linotype" w:hAnsi="Palatino Linotype"/>
          <w:i/>
          <w:sz w:val="32"/>
        </w:rPr>
      </w:pPr>
      <w:r w:rsidRPr="009E5842">
        <w:rPr>
          <w:rFonts w:ascii="Palatino Linotype" w:hAnsi="Palatino Linotype"/>
          <w:i/>
          <w:sz w:val="32"/>
        </w:rPr>
        <w:t>A.S. Dihal (Arun)</w:t>
      </w:r>
    </w:p>
    <w:p w:rsidR="00C12116" w:rsidRPr="009E5842" w:rsidRDefault="00C12116" w:rsidP="00C12116">
      <w:pPr>
        <w:pStyle w:val="NoSpacing"/>
        <w:jc w:val="center"/>
        <w:rPr>
          <w:rFonts w:ascii="Palatino Linotype" w:hAnsi="Palatino Linotype"/>
          <w:i/>
          <w:sz w:val="32"/>
        </w:rPr>
      </w:pPr>
      <w:r w:rsidRPr="009E5842">
        <w:rPr>
          <w:rFonts w:ascii="Palatino Linotype" w:hAnsi="Palatino Linotype"/>
          <w:i/>
          <w:sz w:val="32"/>
        </w:rPr>
        <w:t>Studentnummer 353557</w:t>
      </w:r>
    </w:p>
    <w:p w:rsidR="00C12116" w:rsidRPr="009E5842" w:rsidRDefault="00C12116" w:rsidP="00C12116">
      <w:pPr>
        <w:pStyle w:val="NoSpacing"/>
        <w:jc w:val="center"/>
        <w:rPr>
          <w:rFonts w:ascii="Palatino Linotype" w:hAnsi="Palatino Linotype"/>
          <w:i/>
          <w:sz w:val="32"/>
        </w:rPr>
      </w:pPr>
      <w:r w:rsidRPr="009E5842">
        <w:rPr>
          <w:rFonts w:ascii="Palatino Linotype" w:hAnsi="Palatino Linotype"/>
          <w:i/>
          <w:sz w:val="32"/>
        </w:rPr>
        <w:t>Begeleider: Prof. Dr. Ir. Dellaert</w:t>
      </w:r>
    </w:p>
    <w:p w:rsidR="00C12116" w:rsidRPr="009E5842" w:rsidRDefault="00C12116" w:rsidP="00C12116">
      <w:pPr>
        <w:pStyle w:val="NoSpacing"/>
        <w:jc w:val="center"/>
        <w:rPr>
          <w:rFonts w:ascii="Palatino Linotype" w:hAnsi="Palatino Linotype"/>
          <w:i/>
          <w:sz w:val="32"/>
        </w:rPr>
      </w:pPr>
      <w:r w:rsidRPr="009E5842">
        <w:rPr>
          <w:rFonts w:ascii="Palatino Linotype" w:hAnsi="Palatino Linotype"/>
          <w:i/>
          <w:sz w:val="32"/>
        </w:rPr>
        <w:t>Con</w:t>
      </w:r>
      <w:r w:rsidR="0087487C">
        <w:rPr>
          <w:rFonts w:ascii="Palatino Linotype" w:hAnsi="Palatino Linotype"/>
          <w:i/>
          <w:sz w:val="32"/>
        </w:rPr>
        <w:t>ceptdatum: 22 okto</w:t>
      </w:r>
      <w:r w:rsidRPr="009E5842">
        <w:rPr>
          <w:rFonts w:ascii="Palatino Linotype" w:hAnsi="Palatino Linotype"/>
          <w:i/>
          <w:sz w:val="32"/>
        </w:rPr>
        <w:t>ber 2014</w:t>
      </w:r>
    </w:p>
    <w:p w:rsidR="00C12116" w:rsidRDefault="00C12116" w:rsidP="00C12116">
      <w:pPr>
        <w:pStyle w:val="TOCHeading"/>
        <w:jc w:val="center"/>
        <w:rPr>
          <w:rFonts w:ascii="Palatino Linotype" w:hAnsi="Palatino Linotype"/>
          <w:color w:val="auto"/>
          <w:sz w:val="40"/>
          <w:szCs w:val="40"/>
        </w:rPr>
      </w:pPr>
    </w:p>
    <w:p w:rsidR="00C12116" w:rsidRDefault="00C12116" w:rsidP="00C12116">
      <w:pPr>
        <w:pStyle w:val="TOCHeading"/>
        <w:jc w:val="center"/>
        <w:rPr>
          <w:rFonts w:ascii="Palatino Linotype" w:hAnsi="Palatino Linotype"/>
          <w:color w:val="auto"/>
          <w:sz w:val="40"/>
          <w:szCs w:val="40"/>
        </w:rPr>
      </w:pPr>
    </w:p>
    <w:p w:rsidR="00C12116" w:rsidRPr="00C12116" w:rsidRDefault="00B33C86" w:rsidP="00C12116">
      <w:pPr>
        <w:pStyle w:val="NoSpacing"/>
        <w:jc w:val="center"/>
        <w:rPr>
          <w:rFonts w:ascii="Palatino Linotype" w:hAnsi="Palatino Linotype"/>
          <w:b/>
          <w:i/>
          <w:sz w:val="32"/>
          <w:szCs w:val="32"/>
        </w:rPr>
      </w:pPr>
      <w:r w:rsidRPr="00C12116">
        <w:rPr>
          <w:rFonts w:ascii="Palatino Linotype" w:hAnsi="Palatino Linotype"/>
          <w:b/>
          <w:i/>
          <w:sz w:val="32"/>
          <w:szCs w:val="32"/>
        </w:rPr>
        <w:br w:type="page"/>
      </w:r>
    </w:p>
    <w:sdt>
      <w:sdtPr>
        <w:rPr>
          <w:rFonts w:ascii="Palatino Linotype" w:eastAsiaTheme="minorEastAsia" w:hAnsi="Palatino Linotype" w:cstheme="minorBidi"/>
          <w:b w:val="0"/>
          <w:bCs w:val="0"/>
          <w:color w:val="auto"/>
          <w:sz w:val="22"/>
          <w:szCs w:val="22"/>
        </w:rPr>
        <w:id w:val="-1186588255"/>
        <w:docPartObj>
          <w:docPartGallery w:val="Table of Contents"/>
          <w:docPartUnique/>
        </w:docPartObj>
      </w:sdtPr>
      <w:sdtEndPr/>
      <w:sdtContent>
        <w:p w:rsidR="00C12116" w:rsidRPr="00C12116" w:rsidRDefault="00C12116" w:rsidP="00C12116">
          <w:pPr>
            <w:pStyle w:val="TOCHeading"/>
          </w:pPr>
        </w:p>
        <w:p w:rsidR="00C12116" w:rsidRDefault="00C12116" w:rsidP="00C12116">
          <w:pPr>
            <w:pStyle w:val="TOCHeading"/>
            <w:rPr>
              <w:rFonts w:ascii="Palatino Linotype" w:hAnsi="Palatino Linotype"/>
              <w:color w:val="auto"/>
              <w:sz w:val="22"/>
              <w:szCs w:val="22"/>
            </w:rPr>
          </w:pPr>
          <w:r w:rsidRPr="00D1214B">
            <w:rPr>
              <w:rFonts w:ascii="Palatino Linotype" w:hAnsi="Palatino Linotype"/>
              <w:color w:val="auto"/>
              <w:sz w:val="22"/>
              <w:szCs w:val="22"/>
            </w:rPr>
            <w:t>Inhoudsopgave</w:t>
          </w:r>
        </w:p>
        <w:p w:rsidR="00C12116" w:rsidRPr="00D1214B" w:rsidRDefault="00C12116" w:rsidP="00C12116"/>
        <w:p w:rsidR="00C12116" w:rsidRPr="00D1214B" w:rsidRDefault="00995415" w:rsidP="00C12116">
          <w:pPr>
            <w:pStyle w:val="TOC1"/>
            <w:rPr>
              <w:rFonts w:ascii="Palatino Linotype" w:hAnsi="Palatino Linotype"/>
            </w:rPr>
          </w:pPr>
          <w:r>
            <w:rPr>
              <w:rFonts w:ascii="Palatino Linotype" w:hAnsi="Palatino Linotype"/>
              <w:b/>
            </w:rPr>
            <w:t>Introductie</w:t>
          </w:r>
          <w:r w:rsidR="00C12116" w:rsidRPr="00D1214B">
            <w:rPr>
              <w:rFonts w:ascii="Palatino Linotype" w:hAnsi="Palatino Linotype"/>
            </w:rPr>
            <w:ptab w:relativeTo="margin" w:alignment="right" w:leader="dot"/>
          </w:r>
          <w:r w:rsidR="00C12116">
            <w:rPr>
              <w:rFonts w:ascii="Palatino Linotype" w:hAnsi="Palatino Linotype"/>
              <w:b/>
            </w:rPr>
            <w:t>3</w:t>
          </w:r>
        </w:p>
        <w:p w:rsidR="00C12116" w:rsidRPr="00D1214B" w:rsidRDefault="00C12116" w:rsidP="00C12116">
          <w:pPr>
            <w:pStyle w:val="TOC1"/>
            <w:rPr>
              <w:rFonts w:ascii="Palatino Linotype" w:hAnsi="Palatino Linotype"/>
            </w:rPr>
          </w:pPr>
          <w:r w:rsidRPr="00D1214B">
            <w:rPr>
              <w:rFonts w:ascii="Palatino Linotype" w:hAnsi="Palatino Linotype"/>
              <w:b/>
            </w:rPr>
            <w:t>Theoretisch Kader</w:t>
          </w:r>
          <w:r w:rsidRPr="00D1214B">
            <w:rPr>
              <w:rFonts w:ascii="Palatino Linotype" w:hAnsi="Palatino Linotype"/>
            </w:rPr>
            <w:ptab w:relativeTo="margin" w:alignment="right" w:leader="dot"/>
          </w:r>
          <w:r w:rsidR="00C14907">
            <w:rPr>
              <w:rFonts w:ascii="Palatino Linotype" w:hAnsi="Palatino Linotype"/>
              <w:b/>
            </w:rPr>
            <w:t>5</w:t>
          </w:r>
        </w:p>
        <w:p w:rsidR="00C12116" w:rsidRPr="00D1214B" w:rsidRDefault="00C12116" w:rsidP="00C12116">
          <w:pPr>
            <w:pStyle w:val="TOC2"/>
            <w:ind w:left="216"/>
            <w:rPr>
              <w:rFonts w:ascii="Palatino Linotype" w:hAnsi="Palatino Linotype"/>
            </w:rPr>
          </w:pPr>
          <w:r w:rsidRPr="00D1214B">
            <w:rPr>
              <w:rFonts w:ascii="Palatino Linotype" w:hAnsi="Palatino Linotype"/>
            </w:rPr>
            <w:t>Simulatie</w:t>
          </w:r>
          <w:r w:rsidRPr="00D1214B">
            <w:rPr>
              <w:rFonts w:ascii="Palatino Linotype" w:hAnsi="Palatino Linotype"/>
            </w:rPr>
            <w:ptab w:relativeTo="margin" w:alignment="right" w:leader="dot"/>
          </w:r>
          <w:r w:rsidR="00364E15">
            <w:rPr>
              <w:rFonts w:ascii="Palatino Linotype" w:hAnsi="Palatino Linotype"/>
            </w:rPr>
            <w:t>6</w:t>
          </w:r>
        </w:p>
        <w:p w:rsidR="00C12116" w:rsidRPr="00D1214B" w:rsidRDefault="00C12116" w:rsidP="00C12116">
          <w:pPr>
            <w:pStyle w:val="TOC1"/>
            <w:rPr>
              <w:rFonts w:ascii="Palatino Linotype" w:hAnsi="Palatino Linotype"/>
            </w:rPr>
          </w:pPr>
          <w:r w:rsidRPr="00D1214B">
            <w:rPr>
              <w:rFonts w:ascii="Palatino Linotype" w:hAnsi="Palatino Linotype"/>
              <w:b/>
            </w:rPr>
            <w:t>Data en Methodologie</w:t>
          </w:r>
          <w:r w:rsidRPr="00D1214B">
            <w:rPr>
              <w:rFonts w:ascii="Palatino Linotype" w:hAnsi="Palatino Linotype"/>
            </w:rPr>
            <w:ptab w:relativeTo="margin" w:alignment="right" w:leader="dot"/>
          </w:r>
          <w:r w:rsidR="00364E15">
            <w:rPr>
              <w:rFonts w:ascii="Palatino Linotype" w:hAnsi="Palatino Linotype"/>
              <w:b/>
            </w:rPr>
            <w:t>9</w:t>
          </w:r>
        </w:p>
        <w:p w:rsidR="00C12116" w:rsidRPr="00D1214B" w:rsidRDefault="00C12116" w:rsidP="00C12116">
          <w:pPr>
            <w:pStyle w:val="TOC1"/>
            <w:rPr>
              <w:rFonts w:ascii="Palatino Linotype" w:hAnsi="Palatino Linotype"/>
            </w:rPr>
          </w:pPr>
          <w:r w:rsidRPr="00D1214B">
            <w:rPr>
              <w:rFonts w:ascii="Palatino Linotype" w:hAnsi="Palatino Linotype"/>
              <w:b/>
            </w:rPr>
            <w:t>Resultaten</w:t>
          </w:r>
          <w:r w:rsidRPr="00D1214B">
            <w:rPr>
              <w:rFonts w:ascii="Palatino Linotype" w:hAnsi="Palatino Linotype"/>
            </w:rPr>
            <w:ptab w:relativeTo="margin" w:alignment="right" w:leader="dot"/>
          </w:r>
          <w:r w:rsidR="00632D69">
            <w:rPr>
              <w:rFonts w:ascii="Palatino Linotype" w:hAnsi="Palatino Linotype"/>
              <w:b/>
            </w:rPr>
            <w:t>1</w:t>
          </w:r>
          <w:r w:rsidR="00364E15">
            <w:rPr>
              <w:rFonts w:ascii="Palatino Linotype" w:hAnsi="Palatino Linotype"/>
              <w:b/>
            </w:rPr>
            <w:t>4</w:t>
          </w:r>
        </w:p>
        <w:p w:rsidR="00C12116" w:rsidRPr="00D1214B" w:rsidRDefault="00C12116" w:rsidP="00C12116">
          <w:pPr>
            <w:pStyle w:val="TOC2"/>
            <w:ind w:left="216"/>
            <w:rPr>
              <w:rFonts w:ascii="Palatino Linotype" w:hAnsi="Palatino Linotype"/>
            </w:rPr>
          </w:pPr>
          <w:r>
            <w:rPr>
              <w:rFonts w:ascii="Palatino Linotype" w:hAnsi="Palatino Linotype"/>
            </w:rPr>
            <w:t>Verhogen pensioenleeftijd</w:t>
          </w:r>
          <w:r w:rsidRPr="00D1214B">
            <w:rPr>
              <w:rFonts w:ascii="Palatino Linotype" w:hAnsi="Palatino Linotype"/>
            </w:rPr>
            <w:ptab w:relativeTo="margin" w:alignment="right" w:leader="dot"/>
          </w:r>
          <w:r w:rsidR="00632D69">
            <w:rPr>
              <w:rFonts w:ascii="Palatino Linotype" w:hAnsi="Palatino Linotype"/>
            </w:rPr>
            <w:t>1</w:t>
          </w:r>
          <w:r w:rsidR="00364E15">
            <w:rPr>
              <w:rFonts w:ascii="Palatino Linotype" w:hAnsi="Palatino Linotype"/>
            </w:rPr>
            <w:t>5</w:t>
          </w:r>
        </w:p>
        <w:p w:rsidR="00C12116" w:rsidRPr="00D1214B" w:rsidRDefault="00C12116" w:rsidP="00C12116">
          <w:pPr>
            <w:pStyle w:val="TOC2"/>
            <w:ind w:left="216"/>
            <w:rPr>
              <w:rFonts w:ascii="Palatino Linotype" w:hAnsi="Palatino Linotype"/>
            </w:rPr>
          </w:pPr>
          <w:r>
            <w:rPr>
              <w:rFonts w:ascii="Palatino Linotype" w:hAnsi="Palatino Linotype"/>
            </w:rPr>
            <w:t>Lagere verhouding premieplichtigen tot uitkeringsgerechtigden</w:t>
          </w:r>
          <w:r w:rsidRPr="00D1214B">
            <w:rPr>
              <w:rFonts w:ascii="Palatino Linotype" w:hAnsi="Palatino Linotype"/>
            </w:rPr>
            <w:ptab w:relativeTo="margin" w:alignment="right" w:leader="dot"/>
          </w:r>
          <w:r w:rsidR="00A517A8">
            <w:rPr>
              <w:rFonts w:ascii="Palatino Linotype" w:hAnsi="Palatino Linotype"/>
            </w:rPr>
            <w:t>1</w:t>
          </w:r>
          <w:r w:rsidR="00364E15">
            <w:rPr>
              <w:rFonts w:ascii="Palatino Linotype" w:hAnsi="Palatino Linotype"/>
            </w:rPr>
            <w:t>5</w:t>
          </w:r>
        </w:p>
        <w:p w:rsidR="00C12116" w:rsidRPr="00D1214B" w:rsidRDefault="00C12116" w:rsidP="00C12116">
          <w:pPr>
            <w:pStyle w:val="TOC2"/>
            <w:ind w:left="216"/>
            <w:rPr>
              <w:rFonts w:ascii="Palatino Linotype" w:hAnsi="Palatino Linotype"/>
            </w:rPr>
          </w:pPr>
          <w:r>
            <w:rPr>
              <w:rFonts w:ascii="Palatino Linotype" w:hAnsi="Palatino Linotype"/>
            </w:rPr>
            <w:t>Rendementsschommelingen</w:t>
          </w:r>
          <w:r w:rsidRPr="00D1214B">
            <w:rPr>
              <w:rFonts w:ascii="Palatino Linotype" w:hAnsi="Palatino Linotype"/>
            </w:rPr>
            <w:ptab w:relativeTo="margin" w:alignment="right" w:leader="dot"/>
          </w:r>
          <w:r w:rsidR="00A517A8">
            <w:rPr>
              <w:rFonts w:ascii="Palatino Linotype" w:hAnsi="Palatino Linotype"/>
            </w:rPr>
            <w:t>1</w:t>
          </w:r>
          <w:r w:rsidR="00364E15">
            <w:rPr>
              <w:rFonts w:ascii="Palatino Linotype" w:hAnsi="Palatino Linotype"/>
            </w:rPr>
            <w:t>6</w:t>
          </w:r>
        </w:p>
        <w:p w:rsidR="00C12116" w:rsidRPr="00D1214B" w:rsidRDefault="00C12116" w:rsidP="00C12116">
          <w:pPr>
            <w:pStyle w:val="TOC1"/>
            <w:rPr>
              <w:rFonts w:ascii="Palatino Linotype" w:hAnsi="Palatino Linotype"/>
            </w:rPr>
          </w:pPr>
          <w:r w:rsidRPr="00D1214B">
            <w:rPr>
              <w:rFonts w:ascii="Palatino Linotype" w:hAnsi="Palatino Linotype"/>
              <w:b/>
            </w:rPr>
            <w:t>Conclusie, Interpretatie en Discussie</w:t>
          </w:r>
          <w:r w:rsidRPr="00D1214B">
            <w:rPr>
              <w:rFonts w:ascii="Palatino Linotype" w:hAnsi="Palatino Linotype"/>
            </w:rPr>
            <w:ptab w:relativeTo="margin" w:alignment="right" w:leader="dot"/>
          </w:r>
          <w:r w:rsidR="00364E15">
            <w:rPr>
              <w:rFonts w:ascii="Palatino Linotype" w:hAnsi="Palatino Linotype"/>
              <w:b/>
            </w:rPr>
            <w:t>19</w:t>
          </w:r>
        </w:p>
        <w:p w:rsidR="00C12116" w:rsidRPr="00D1214B" w:rsidRDefault="00C12116" w:rsidP="00C12116">
          <w:pPr>
            <w:pStyle w:val="TOC1"/>
            <w:rPr>
              <w:rFonts w:ascii="Palatino Linotype" w:hAnsi="Palatino Linotype"/>
            </w:rPr>
          </w:pPr>
          <w:r w:rsidRPr="00D1214B">
            <w:rPr>
              <w:rFonts w:ascii="Palatino Linotype" w:hAnsi="Palatino Linotype"/>
              <w:b/>
            </w:rPr>
            <w:t>Bibliografie</w:t>
          </w:r>
          <w:r w:rsidRPr="00D1214B">
            <w:rPr>
              <w:rFonts w:ascii="Palatino Linotype" w:hAnsi="Palatino Linotype"/>
            </w:rPr>
            <w:ptab w:relativeTo="margin" w:alignment="right" w:leader="dot"/>
          </w:r>
          <w:r w:rsidR="00364E15">
            <w:rPr>
              <w:rFonts w:ascii="Palatino Linotype" w:hAnsi="Palatino Linotype"/>
              <w:b/>
            </w:rPr>
            <w:t>24</w:t>
          </w:r>
        </w:p>
        <w:p w:rsidR="00C12116" w:rsidRDefault="00C12116" w:rsidP="00C12116">
          <w:pPr>
            <w:pStyle w:val="TOC1"/>
            <w:rPr>
              <w:rFonts w:ascii="Palatino Linotype" w:eastAsiaTheme="minorHAnsi" w:hAnsi="Palatino Linotype"/>
            </w:rPr>
          </w:pPr>
          <w:r w:rsidRPr="00D1214B">
            <w:rPr>
              <w:rFonts w:ascii="Palatino Linotype" w:hAnsi="Palatino Linotype"/>
              <w:b/>
            </w:rPr>
            <w:t>Bijlagen</w:t>
          </w:r>
          <w:r w:rsidRPr="00D1214B">
            <w:rPr>
              <w:rFonts w:ascii="Palatino Linotype" w:hAnsi="Palatino Linotype"/>
            </w:rPr>
            <w:ptab w:relativeTo="margin" w:alignment="right" w:leader="dot"/>
          </w:r>
          <w:r w:rsidR="00364E15">
            <w:rPr>
              <w:rFonts w:ascii="Palatino Linotype" w:hAnsi="Palatino Linotype"/>
              <w:b/>
            </w:rPr>
            <w:t>26</w:t>
          </w:r>
        </w:p>
      </w:sdtContent>
    </w:sdt>
    <w:p w:rsidR="00B33C86" w:rsidRDefault="00B33C86">
      <w:pPr>
        <w:rPr>
          <w:rFonts w:ascii="Palatino Linotype" w:hAnsi="Palatino Linotype"/>
          <w:b/>
          <w:szCs w:val="32"/>
        </w:rPr>
      </w:pPr>
    </w:p>
    <w:p w:rsidR="00C12116" w:rsidRDefault="00C12116">
      <w:pPr>
        <w:rPr>
          <w:rFonts w:ascii="Palatino Linotype" w:hAnsi="Palatino Linotype"/>
          <w:b/>
          <w:szCs w:val="32"/>
        </w:rPr>
      </w:pPr>
    </w:p>
    <w:p w:rsidR="00C12116" w:rsidRDefault="00C12116">
      <w:pPr>
        <w:rPr>
          <w:rFonts w:ascii="Palatino Linotype" w:hAnsi="Palatino Linotype"/>
          <w:b/>
          <w:szCs w:val="32"/>
        </w:rPr>
      </w:pPr>
    </w:p>
    <w:p w:rsidR="00C12116" w:rsidRDefault="00C12116">
      <w:pPr>
        <w:rPr>
          <w:rFonts w:ascii="Palatino Linotype" w:hAnsi="Palatino Linotype"/>
          <w:b/>
          <w:szCs w:val="32"/>
        </w:rPr>
      </w:pPr>
    </w:p>
    <w:p w:rsidR="00C12116" w:rsidRDefault="00C12116">
      <w:pPr>
        <w:rPr>
          <w:rFonts w:ascii="Palatino Linotype" w:hAnsi="Palatino Linotype"/>
          <w:b/>
          <w:szCs w:val="32"/>
        </w:rPr>
      </w:pPr>
    </w:p>
    <w:p w:rsidR="00C12116" w:rsidRDefault="00C12116">
      <w:pPr>
        <w:rPr>
          <w:rFonts w:ascii="Palatino Linotype" w:hAnsi="Palatino Linotype"/>
          <w:b/>
          <w:szCs w:val="32"/>
        </w:rPr>
      </w:pPr>
    </w:p>
    <w:p w:rsidR="00C12116" w:rsidRDefault="00C12116">
      <w:pPr>
        <w:rPr>
          <w:rFonts w:ascii="Palatino Linotype" w:hAnsi="Palatino Linotype"/>
          <w:b/>
          <w:szCs w:val="32"/>
        </w:rPr>
      </w:pPr>
    </w:p>
    <w:p w:rsidR="00C12116" w:rsidRDefault="00C12116">
      <w:pPr>
        <w:rPr>
          <w:rFonts w:ascii="Palatino Linotype" w:hAnsi="Palatino Linotype"/>
          <w:b/>
          <w:szCs w:val="32"/>
        </w:rPr>
      </w:pPr>
    </w:p>
    <w:p w:rsidR="00C12116" w:rsidRDefault="00C12116">
      <w:pPr>
        <w:rPr>
          <w:rFonts w:ascii="Palatino Linotype" w:hAnsi="Palatino Linotype"/>
          <w:b/>
          <w:szCs w:val="32"/>
        </w:rPr>
      </w:pPr>
    </w:p>
    <w:p w:rsidR="00C12116" w:rsidRDefault="00C12116">
      <w:pPr>
        <w:rPr>
          <w:rFonts w:ascii="Palatino Linotype" w:hAnsi="Palatino Linotype"/>
          <w:b/>
          <w:szCs w:val="32"/>
        </w:rPr>
      </w:pPr>
    </w:p>
    <w:p w:rsidR="00C12116" w:rsidRDefault="00C12116">
      <w:pPr>
        <w:rPr>
          <w:rFonts w:ascii="Palatino Linotype" w:hAnsi="Palatino Linotype"/>
          <w:b/>
          <w:szCs w:val="32"/>
        </w:rPr>
      </w:pPr>
    </w:p>
    <w:p w:rsidR="00C12116" w:rsidRDefault="00C12116">
      <w:pPr>
        <w:rPr>
          <w:rFonts w:ascii="Palatino Linotype" w:hAnsi="Palatino Linotype"/>
          <w:b/>
          <w:szCs w:val="32"/>
        </w:rPr>
      </w:pPr>
    </w:p>
    <w:p w:rsidR="00C12116" w:rsidRDefault="00C12116">
      <w:pPr>
        <w:rPr>
          <w:rFonts w:ascii="Palatino Linotype" w:hAnsi="Palatino Linotype"/>
          <w:b/>
          <w:szCs w:val="32"/>
        </w:rPr>
      </w:pPr>
    </w:p>
    <w:p w:rsidR="00C12116" w:rsidRDefault="00C12116">
      <w:pPr>
        <w:rPr>
          <w:rFonts w:ascii="Palatino Linotype" w:hAnsi="Palatino Linotype"/>
          <w:b/>
          <w:szCs w:val="32"/>
        </w:rPr>
      </w:pPr>
    </w:p>
    <w:p w:rsidR="00737288" w:rsidRPr="00125A02" w:rsidRDefault="008177C4" w:rsidP="003B6142">
      <w:pPr>
        <w:pStyle w:val="NoSpacing"/>
        <w:rPr>
          <w:rFonts w:ascii="Palatino Linotype" w:hAnsi="Palatino Linotype"/>
          <w:b/>
          <w:szCs w:val="32"/>
        </w:rPr>
      </w:pPr>
      <w:r w:rsidRPr="00125A02">
        <w:rPr>
          <w:rFonts w:ascii="Palatino Linotype" w:hAnsi="Palatino Linotype"/>
          <w:b/>
          <w:szCs w:val="32"/>
        </w:rPr>
        <w:lastRenderedPageBreak/>
        <w:t>Introductie</w:t>
      </w:r>
    </w:p>
    <w:p w:rsidR="00125A02" w:rsidRPr="00DB03C3" w:rsidRDefault="00125A02" w:rsidP="003B6142">
      <w:pPr>
        <w:pStyle w:val="NoSpacing"/>
        <w:rPr>
          <w:rFonts w:ascii="Palatino Linotype" w:hAnsi="Palatino Linotype"/>
          <w:b/>
          <w:szCs w:val="32"/>
        </w:rPr>
      </w:pPr>
    </w:p>
    <w:p w:rsidR="00737288" w:rsidRDefault="00E24914" w:rsidP="00654D0E">
      <w:pPr>
        <w:pStyle w:val="NoSpacing"/>
        <w:spacing w:line="360" w:lineRule="auto"/>
        <w:rPr>
          <w:rFonts w:ascii="Palatino Linotype" w:hAnsi="Palatino Linotype"/>
          <w:szCs w:val="32"/>
        </w:rPr>
      </w:pPr>
      <w:r>
        <w:rPr>
          <w:rFonts w:ascii="Palatino Linotype" w:hAnsi="Palatino Linotype"/>
          <w:szCs w:val="32"/>
        </w:rPr>
        <w:t>In de</w:t>
      </w:r>
      <w:r w:rsidR="00DF78F7">
        <w:rPr>
          <w:rFonts w:ascii="Palatino Linotype" w:hAnsi="Palatino Linotype"/>
          <w:szCs w:val="32"/>
        </w:rPr>
        <w:t xml:space="preserve"> financiële</w:t>
      </w:r>
      <w:r>
        <w:rPr>
          <w:rFonts w:ascii="Palatino Linotype" w:hAnsi="Palatino Linotype"/>
          <w:szCs w:val="32"/>
        </w:rPr>
        <w:t xml:space="preserve"> crisis van 2008 is het duidelijk geworden dat</w:t>
      </w:r>
      <w:r w:rsidR="00F66497">
        <w:rPr>
          <w:rFonts w:ascii="Palatino Linotype" w:hAnsi="Palatino Linotype"/>
          <w:szCs w:val="32"/>
        </w:rPr>
        <w:t xml:space="preserve"> pensioenfondsen niet langer als ona</w:t>
      </w:r>
      <w:r w:rsidR="00B525AC">
        <w:rPr>
          <w:rFonts w:ascii="Palatino Linotype" w:hAnsi="Palatino Linotype"/>
          <w:szCs w:val="32"/>
        </w:rPr>
        <w:t>antastbare financiële mammoeten</w:t>
      </w:r>
      <w:r w:rsidR="002E3CA8">
        <w:rPr>
          <w:rFonts w:ascii="Palatino Linotype" w:hAnsi="Palatino Linotype"/>
          <w:szCs w:val="32"/>
        </w:rPr>
        <w:t xml:space="preserve"> gezien mocht</w:t>
      </w:r>
      <w:r w:rsidR="00F66497">
        <w:rPr>
          <w:rFonts w:ascii="Palatino Linotype" w:hAnsi="Palatino Linotype"/>
          <w:szCs w:val="32"/>
        </w:rPr>
        <w:t>en worden. Een aantal problemen dreigde de fondsen aan de basis aan te tasten. Zo leden</w:t>
      </w:r>
      <w:r w:rsidR="003333CB">
        <w:rPr>
          <w:rFonts w:ascii="Palatino Linotype" w:hAnsi="Palatino Linotype"/>
          <w:szCs w:val="32"/>
        </w:rPr>
        <w:t xml:space="preserve"> in alleen al het derde kwartaal van 2008 (na de val van </w:t>
      </w:r>
      <w:r w:rsidR="00F66497">
        <w:rPr>
          <w:rFonts w:ascii="Palatino Linotype" w:hAnsi="Palatino Linotype"/>
          <w:szCs w:val="32"/>
        </w:rPr>
        <w:t>zakenbank Lehman Brothers)</w:t>
      </w:r>
      <w:r w:rsidR="003333CB">
        <w:rPr>
          <w:rFonts w:ascii="Palatino Linotype" w:hAnsi="Palatino Linotype"/>
          <w:szCs w:val="32"/>
        </w:rPr>
        <w:t xml:space="preserve"> de Nederlandse pensioenfondsen verliezen op hun aandelenportefeuilles van meer dan 10% (NRC, 2008). Verscheidene pensioenfondsen gaven aan </w:t>
      </w:r>
      <w:r w:rsidR="006212C0">
        <w:rPr>
          <w:rFonts w:ascii="Palatino Linotype" w:hAnsi="Palatino Linotype"/>
          <w:szCs w:val="32"/>
        </w:rPr>
        <w:t xml:space="preserve">niet meer honderd procent van hun pensioenverplichtingen uit te kunnen betalen als gevolg hiervan. </w:t>
      </w:r>
      <w:r w:rsidR="00F66497">
        <w:rPr>
          <w:rFonts w:ascii="Palatino Linotype" w:hAnsi="Palatino Linotype"/>
          <w:szCs w:val="32"/>
        </w:rPr>
        <w:t>Ook de eens als veilig aangemerkte pensioenfondsen bleken niet volledig bestand tegen de rendementsgrillen die een dergelijke crisis met zich bracht.</w:t>
      </w:r>
    </w:p>
    <w:p w:rsidR="00405559" w:rsidRDefault="00405559" w:rsidP="00654D0E">
      <w:pPr>
        <w:pStyle w:val="NoSpacing"/>
        <w:spacing w:line="360" w:lineRule="auto"/>
        <w:rPr>
          <w:rFonts w:ascii="Palatino Linotype" w:hAnsi="Palatino Linotype"/>
          <w:szCs w:val="32"/>
        </w:rPr>
      </w:pPr>
    </w:p>
    <w:p w:rsidR="00405559" w:rsidRDefault="00F66497" w:rsidP="00654D0E">
      <w:pPr>
        <w:pStyle w:val="NoSpacing"/>
        <w:spacing w:line="360" w:lineRule="auto"/>
        <w:rPr>
          <w:rFonts w:ascii="Palatino Linotype" w:hAnsi="Palatino Linotype"/>
          <w:szCs w:val="32"/>
        </w:rPr>
      </w:pPr>
      <w:r>
        <w:rPr>
          <w:rFonts w:ascii="Palatino Linotype" w:hAnsi="Palatino Linotype"/>
          <w:szCs w:val="32"/>
        </w:rPr>
        <w:t xml:space="preserve">Een ander probleem dat de </w:t>
      </w:r>
      <w:r w:rsidR="00644DAE">
        <w:rPr>
          <w:rFonts w:ascii="Palatino Linotype" w:hAnsi="Palatino Linotype"/>
          <w:szCs w:val="32"/>
        </w:rPr>
        <w:t>fondsen begon</w:t>
      </w:r>
      <w:r w:rsidR="000C48A2">
        <w:rPr>
          <w:rFonts w:ascii="Palatino Linotype" w:hAnsi="Palatino Linotype"/>
          <w:szCs w:val="32"/>
        </w:rPr>
        <w:t xml:space="preserve"> te raken is de sterke vergrijzing </w:t>
      </w:r>
      <w:r w:rsidR="00972789">
        <w:rPr>
          <w:rFonts w:ascii="Palatino Linotype" w:hAnsi="Palatino Linotype"/>
          <w:szCs w:val="32"/>
        </w:rPr>
        <w:t xml:space="preserve"> van de samenleving </w:t>
      </w:r>
      <w:r w:rsidR="000C48A2">
        <w:rPr>
          <w:rFonts w:ascii="Palatino Linotype" w:hAnsi="Palatino Linotype"/>
          <w:szCs w:val="32"/>
        </w:rPr>
        <w:t xml:space="preserve">(Van Duin en Garssen, 2010). </w:t>
      </w:r>
      <w:r w:rsidR="00972789">
        <w:rPr>
          <w:rFonts w:ascii="Palatino Linotype" w:hAnsi="Palatino Linotype"/>
          <w:szCs w:val="32"/>
        </w:rPr>
        <w:t>Het gevolg hiervan is dat, met het huidige Nederlandse omslagstelsel waarin de werkzame beroepsbevolking pensioenpremies afdraagt waar uitkeringen aan huidige pensioengerechtigden mee betaald worden, de uitgaven groter dreigen te worden dan de inkomsten. Steeds mind</w:t>
      </w:r>
      <w:r w:rsidR="008D5650">
        <w:rPr>
          <w:rFonts w:ascii="Palatino Linotype" w:hAnsi="Palatino Linotype"/>
          <w:szCs w:val="32"/>
        </w:rPr>
        <w:t xml:space="preserve">er werkenden werken voor steeds meer pensioengerechtigden die bovendien een aanmerkelijk langere levensverwachting hebben dan halverwege de twintigste eeuw, toen de huidige </w:t>
      </w:r>
      <w:r w:rsidR="00430FCD">
        <w:rPr>
          <w:rFonts w:ascii="Palatino Linotype" w:hAnsi="Palatino Linotype"/>
          <w:szCs w:val="32"/>
        </w:rPr>
        <w:t>gepensioneerden geboren werden (World Bank, 2013).</w:t>
      </w:r>
    </w:p>
    <w:p w:rsidR="00A8423B" w:rsidRDefault="00A8423B" w:rsidP="00654D0E">
      <w:pPr>
        <w:pStyle w:val="NoSpacing"/>
        <w:spacing w:line="360" w:lineRule="auto"/>
        <w:rPr>
          <w:rFonts w:ascii="Palatino Linotype" w:hAnsi="Palatino Linotype"/>
          <w:szCs w:val="32"/>
        </w:rPr>
      </w:pPr>
    </w:p>
    <w:p w:rsidR="00CF1CA4" w:rsidRDefault="00A8423B" w:rsidP="00654D0E">
      <w:pPr>
        <w:pStyle w:val="NoSpacing"/>
        <w:spacing w:line="360" w:lineRule="auto"/>
        <w:rPr>
          <w:rFonts w:ascii="Palatino Linotype" w:hAnsi="Palatino Linotype"/>
          <w:szCs w:val="32"/>
        </w:rPr>
      </w:pPr>
      <w:r>
        <w:rPr>
          <w:rFonts w:ascii="Palatino Linotype" w:hAnsi="Palatino Linotype"/>
          <w:szCs w:val="32"/>
        </w:rPr>
        <w:t>Dit omslagstelsel is daardoor punt van discussie geworden</w:t>
      </w:r>
      <w:r w:rsidR="007D397E">
        <w:rPr>
          <w:rFonts w:ascii="Palatino Linotype" w:hAnsi="Palatino Linotype"/>
          <w:szCs w:val="32"/>
        </w:rPr>
        <w:t>, waarbij onder andere als oplossing het verhogen van de pensioengerechtigde leeftijd wordt aangedragen. Mensen werken l</w:t>
      </w:r>
      <w:r w:rsidR="00CF1CA4">
        <w:rPr>
          <w:rFonts w:ascii="Palatino Linotype" w:hAnsi="Palatino Linotype"/>
          <w:szCs w:val="32"/>
        </w:rPr>
        <w:t>anger en dragen dus meer premie</w:t>
      </w:r>
      <w:r w:rsidR="007D397E">
        <w:rPr>
          <w:rFonts w:ascii="Palatino Linotype" w:hAnsi="Palatino Linotype"/>
          <w:szCs w:val="32"/>
        </w:rPr>
        <w:t xml:space="preserve"> af. In Nederland is dit proces al in gang gezet en vanaf 2018 dient men tot zijn 66</w:t>
      </w:r>
      <w:r w:rsidR="007D397E" w:rsidRPr="007D397E">
        <w:rPr>
          <w:rFonts w:ascii="Palatino Linotype" w:hAnsi="Palatino Linotype"/>
          <w:szCs w:val="32"/>
          <w:vertAlign w:val="superscript"/>
        </w:rPr>
        <w:t>e</w:t>
      </w:r>
      <w:r w:rsidR="007D397E">
        <w:rPr>
          <w:rFonts w:ascii="Palatino Linotype" w:hAnsi="Palatino Linotype"/>
          <w:szCs w:val="32"/>
        </w:rPr>
        <w:t xml:space="preserve"> levensjaar door te werken en vanaf 2021 tot 67 (Rijksoverheid, 2014). </w:t>
      </w:r>
    </w:p>
    <w:p w:rsidR="00CF1CA4" w:rsidRDefault="00CF1CA4" w:rsidP="00654D0E">
      <w:pPr>
        <w:pStyle w:val="NoSpacing"/>
        <w:spacing w:line="360" w:lineRule="auto"/>
        <w:rPr>
          <w:rFonts w:ascii="Palatino Linotype" w:hAnsi="Palatino Linotype"/>
          <w:szCs w:val="32"/>
        </w:rPr>
      </w:pPr>
    </w:p>
    <w:p w:rsidR="00A8423B" w:rsidRDefault="00CF1CA4" w:rsidP="00654D0E">
      <w:pPr>
        <w:pStyle w:val="NoSpacing"/>
        <w:spacing w:line="360" w:lineRule="auto"/>
        <w:rPr>
          <w:rFonts w:ascii="Palatino Linotype" w:hAnsi="Palatino Linotype"/>
          <w:szCs w:val="32"/>
        </w:rPr>
      </w:pPr>
      <w:r>
        <w:rPr>
          <w:rFonts w:ascii="Palatino Linotype" w:hAnsi="Palatino Linotype"/>
          <w:szCs w:val="32"/>
        </w:rPr>
        <w:t xml:space="preserve">Waar ook naar gekeken kan worden is </w:t>
      </w:r>
      <w:r w:rsidR="00A8423B">
        <w:rPr>
          <w:rFonts w:ascii="Palatino Linotype" w:hAnsi="Palatino Linotype"/>
          <w:szCs w:val="32"/>
        </w:rPr>
        <w:t>een systeem waarbij mensen enkel voor zichzelf sparen, dus volledige omschakeling naar een kapitaaldekkingsstelsel</w:t>
      </w:r>
      <w:r w:rsidR="007D397E">
        <w:rPr>
          <w:rFonts w:ascii="Palatino Linotype" w:hAnsi="Palatino Linotype"/>
          <w:szCs w:val="32"/>
        </w:rPr>
        <w:t xml:space="preserve"> </w:t>
      </w:r>
      <w:r>
        <w:rPr>
          <w:rFonts w:ascii="Palatino Linotype" w:hAnsi="Palatino Linotype"/>
          <w:szCs w:val="32"/>
        </w:rPr>
        <w:t xml:space="preserve">waar het probleem van </w:t>
      </w:r>
      <w:r w:rsidR="00560D74">
        <w:rPr>
          <w:rFonts w:ascii="Palatino Linotype" w:hAnsi="Palatino Linotype"/>
          <w:szCs w:val="32"/>
        </w:rPr>
        <w:t>financiering door de ene partij voo</w:t>
      </w:r>
      <w:r w:rsidR="003679E5">
        <w:rPr>
          <w:rFonts w:ascii="Palatino Linotype" w:hAnsi="Palatino Linotype"/>
          <w:szCs w:val="32"/>
        </w:rPr>
        <w:t>r de andere partij niet bestaat, zoals in Chili (Holzmann, 1997).</w:t>
      </w:r>
      <w:r w:rsidR="00532260">
        <w:rPr>
          <w:rFonts w:ascii="Palatino Linotype" w:hAnsi="Palatino Linotype"/>
          <w:szCs w:val="32"/>
        </w:rPr>
        <w:t xml:space="preserve"> Dit alles vormt de aanleiding tot dit onderzoek. Deze scriptie zal onderzoeken hoe </w:t>
      </w:r>
      <w:r w:rsidR="00532260">
        <w:rPr>
          <w:rFonts w:ascii="Palatino Linotype" w:hAnsi="Palatino Linotype"/>
          <w:szCs w:val="32"/>
        </w:rPr>
        <w:lastRenderedPageBreak/>
        <w:t>deze systemen er nu voor staan en zal onderzocht worden hoe ze zich tot elkaar verhouden in veranderende economische en demografische omstandigheden.</w:t>
      </w:r>
    </w:p>
    <w:p w:rsidR="003B1E7E" w:rsidRDefault="003B1E7E" w:rsidP="00654D0E">
      <w:pPr>
        <w:pStyle w:val="NoSpacing"/>
        <w:spacing w:line="360" w:lineRule="auto"/>
        <w:rPr>
          <w:rFonts w:ascii="Palatino Linotype" w:hAnsi="Palatino Linotype"/>
          <w:szCs w:val="32"/>
        </w:rPr>
      </w:pPr>
    </w:p>
    <w:p w:rsidR="003B1E7E" w:rsidRDefault="003B1E7E" w:rsidP="00654D0E">
      <w:pPr>
        <w:pStyle w:val="NoSpacing"/>
        <w:spacing w:line="360" w:lineRule="auto"/>
        <w:rPr>
          <w:rFonts w:ascii="Palatino Linotype" w:hAnsi="Palatino Linotype"/>
          <w:szCs w:val="32"/>
        </w:rPr>
      </w:pPr>
      <w:r>
        <w:rPr>
          <w:rFonts w:ascii="Palatino Linotype" w:hAnsi="Palatino Linotype"/>
          <w:szCs w:val="32"/>
        </w:rPr>
        <w:t>In deze scriptie zullen deze verschillende systemen vergeleken worden aan de hand van een</w:t>
      </w:r>
      <w:r w:rsidR="00E077F5">
        <w:rPr>
          <w:rFonts w:ascii="Palatino Linotype" w:hAnsi="Palatino Linotype"/>
          <w:szCs w:val="32"/>
        </w:rPr>
        <w:t xml:space="preserve"> meetkundig model</w:t>
      </w:r>
      <w:r w:rsidR="00ED2D47">
        <w:rPr>
          <w:rFonts w:ascii="Palatino Linotype" w:hAnsi="Palatino Linotype"/>
          <w:szCs w:val="32"/>
        </w:rPr>
        <w:t>. Hierbij wordt</w:t>
      </w:r>
      <w:r w:rsidR="00E077F5">
        <w:rPr>
          <w:rFonts w:ascii="Palatino Linotype" w:hAnsi="Palatino Linotype"/>
          <w:szCs w:val="32"/>
        </w:rPr>
        <w:t xml:space="preserve"> voor </w:t>
      </w:r>
      <w:r w:rsidR="0092121A">
        <w:rPr>
          <w:rFonts w:ascii="Palatino Linotype" w:hAnsi="Palatino Linotype"/>
          <w:szCs w:val="32"/>
        </w:rPr>
        <w:t>pensioen</w:t>
      </w:r>
      <w:r w:rsidR="00E077F5">
        <w:rPr>
          <w:rFonts w:ascii="Palatino Linotype" w:hAnsi="Palatino Linotype"/>
          <w:szCs w:val="32"/>
        </w:rPr>
        <w:t xml:space="preserve">systemen </w:t>
      </w:r>
      <w:r w:rsidR="0092121A">
        <w:rPr>
          <w:rFonts w:ascii="Palatino Linotype" w:hAnsi="Palatino Linotype"/>
          <w:szCs w:val="32"/>
        </w:rPr>
        <w:t>van</w:t>
      </w:r>
      <w:r w:rsidR="00E077F5">
        <w:rPr>
          <w:rFonts w:ascii="Palatino Linotype" w:hAnsi="Palatino Linotype"/>
          <w:szCs w:val="32"/>
        </w:rPr>
        <w:t xml:space="preserve"> vier verschillende landen</w:t>
      </w:r>
      <w:r w:rsidR="009B202E">
        <w:rPr>
          <w:rFonts w:ascii="Palatino Linotype" w:hAnsi="Palatino Linotype"/>
          <w:szCs w:val="32"/>
        </w:rPr>
        <w:t xml:space="preserve"> -</w:t>
      </w:r>
      <w:r w:rsidR="00C96ABF">
        <w:rPr>
          <w:rFonts w:ascii="Palatino Linotype" w:hAnsi="Palatino Linotype"/>
          <w:szCs w:val="32"/>
        </w:rPr>
        <w:t>Frankrijk, Nederland, de Verenigde Staten van Amerika (VS) en Chili, in opklimmende mate van individuele pensioenopbouw</w:t>
      </w:r>
      <w:r w:rsidR="009B202E">
        <w:rPr>
          <w:rFonts w:ascii="Palatino Linotype" w:hAnsi="Palatino Linotype"/>
          <w:szCs w:val="32"/>
        </w:rPr>
        <w:t xml:space="preserve">- </w:t>
      </w:r>
      <w:r w:rsidR="003F1CF6">
        <w:rPr>
          <w:rFonts w:ascii="Palatino Linotype" w:hAnsi="Palatino Linotype"/>
          <w:szCs w:val="32"/>
        </w:rPr>
        <w:t>gesimuleerd</w:t>
      </w:r>
      <w:r w:rsidR="00ED2D47">
        <w:rPr>
          <w:rFonts w:ascii="Palatino Linotype" w:hAnsi="Palatino Linotype"/>
          <w:szCs w:val="32"/>
        </w:rPr>
        <w:t xml:space="preserve"> </w:t>
      </w:r>
      <w:r w:rsidR="00E077F5">
        <w:rPr>
          <w:rFonts w:ascii="Palatino Linotype" w:hAnsi="Palatino Linotype"/>
          <w:szCs w:val="32"/>
        </w:rPr>
        <w:t>of</w:t>
      </w:r>
      <w:r w:rsidR="0092121A">
        <w:rPr>
          <w:rFonts w:ascii="Palatino Linotype" w:hAnsi="Palatino Linotype"/>
          <w:szCs w:val="32"/>
        </w:rPr>
        <w:t xml:space="preserve"> de huidige inleg voldoende is om aan de</w:t>
      </w:r>
      <w:r w:rsidR="00AA5219">
        <w:rPr>
          <w:rFonts w:ascii="Palatino Linotype" w:hAnsi="Palatino Linotype"/>
          <w:szCs w:val="32"/>
        </w:rPr>
        <w:t xml:space="preserve"> huidige -in het geval van een omslagstelsel- dan wel toekomstige -kapitaaldekkingsstelsel-</w:t>
      </w:r>
      <w:r w:rsidR="0092121A">
        <w:rPr>
          <w:rFonts w:ascii="Palatino Linotype" w:hAnsi="Palatino Linotype"/>
          <w:szCs w:val="32"/>
        </w:rPr>
        <w:t xml:space="preserve"> pensioenverplichtingen te voldoen. </w:t>
      </w:r>
      <w:r w:rsidR="00E077F5">
        <w:rPr>
          <w:rFonts w:ascii="Palatino Linotype" w:hAnsi="Palatino Linotype"/>
          <w:szCs w:val="32"/>
        </w:rPr>
        <w:t xml:space="preserve"> </w:t>
      </w:r>
    </w:p>
    <w:p w:rsidR="003679E5" w:rsidRDefault="003679E5" w:rsidP="00654D0E">
      <w:pPr>
        <w:pStyle w:val="NoSpacing"/>
        <w:spacing w:line="360" w:lineRule="auto"/>
        <w:rPr>
          <w:rFonts w:ascii="Palatino Linotype" w:hAnsi="Palatino Linotype"/>
          <w:szCs w:val="32"/>
        </w:rPr>
      </w:pPr>
    </w:p>
    <w:p w:rsidR="003679E5" w:rsidRDefault="009B202E" w:rsidP="00654D0E">
      <w:pPr>
        <w:pStyle w:val="NoSpacing"/>
        <w:spacing w:line="360" w:lineRule="auto"/>
        <w:rPr>
          <w:rFonts w:ascii="Palatino Linotype" w:hAnsi="Palatino Linotype"/>
          <w:szCs w:val="32"/>
        </w:rPr>
      </w:pPr>
      <w:r>
        <w:rPr>
          <w:rFonts w:ascii="Palatino Linotype" w:hAnsi="Palatino Linotype"/>
          <w:szCs w:val="32"/>
        </w:rPr>
        <w:t>Hiervoor is de volgende on</w:t>
      </w:r>
      <w:r w:rsidR="00002109">
        <w:rPr>
          <w:rFonts w:ascii="Palatino Linotype" w:hAnsi="Palatino Linotype"/>
          <w:szCs w:val="32"/>
        </w:rPr>
        <w:t>derzoeksvraag geformuleerd: ‘welk systeem, landen waar werkenden relatief meer moeten afdragen aan staatsfonden ten opzichte van landen waarin zij voor zichzelf sparen, presteert beter onder</w:t>
      </w:r>
      <w:r>
        <w:rPr>
          <w:rFonts w:ascii="Palatino Linotype" w:hAnsi="Palatino Linotype"/>
          <w:szCs w:val="32"/>
        </w:rPr>
        <w:t xml:space="preserve"> veranderende economische en demografische omstandigheden </w:t>
      </w:r>
      <w:r w:rsidR="00002109">
        <w:rPr>
          <w:rFonts w:ascii="Palatino Linotype" w:hAnsi="Palatino Linotype"/>
          <w:szCs w:val="32"/>
        </w:rPr>
        <w:t>in termen van</w:t>
      </w:r>
      <w:r>
        <w:rPr>
          <w:rFonts w:ascii="Palatino Linotype" w:hAnsi="Palatino Linotype"/>
          <w:szCs w:val="32"/>
        </w:rPr>
        <w:t xml:space="preserve"> de mogelijkheid van pensioenfondsen te voorzien in de uitbe</w:t>
      </w:r>
      <w:r w:rsidR="00002109">
        <w:rPr>
          <w:rFonts w:ascii="Palatino Linotype" w:hAnsi="Palatino Linotype"/>
          <w:szCs w:val="32"/>
        </w:rPr>
        <w:t>taling aan de deelnemers</w:t>
      </w:r>
      <w:r>
        <w:rPr>
          <w:rFonts w:ascii="Palatino Linotype" w:hAnsi="Palatino Linotype"/>
          <w:szCs w:val="32"/>
        </w:rPr>
        <w:t>?’.</w:t>
      </w:r>
    </w:p>
    <w:p w:rsidR="005363AB" w:rsidRDefault="005363AB" w:rsidP="00654D0E">
      <w:pPr>
        <w:pStyle w:val="NoSpacing"/>
        <w:spacing w:line="360" w:lineRule="auto"/>
        <w:rPr>
          <w:rFonts w:ascii="Palatino Linotype" w:hAnsi="Palatino Linotype"/>
          <w:szCs w:val="32"/>
        </w:rPr>
      </w:pPr>
    </w:p>
    <w:p w:rsidR="005363AB" w:rsidRDefault="005363AB" w:rsidP="00654D0E">
      <w:pPr>
        <w:pStyle w:val="NoSpacing"/>
        <w:spacing w:line="360" w:lineRule="auto"/>
        <w:rPr>
          <w:rFonts w:ascii="Palatino Linotype" w:hAnsi="Palatino Linotype"/>
          <w:szCs w:val="32"/>
        </w:rPr>
      </w:pPr>
      <w:r>
        <w:rPr>
          <w:rFonts w:ascii="Palatino Linotype" w:hAnsi="Palatino Linotype"/>
          <w:szCs w:val="32"/>
        </w:rPr>
        <w:t xml:space="preserve">De deelvragen die daarbij geformuleerd kunnen worden zijn als volgt: </w:t>
      </w:r>
    </w:p>
    <w:p w:rsidR="005363AB" w:rsidRDefault="005363AB" w:rsidP="00654D0E">
      <w:pPr>
        <w:pStyle w:val="NoSpacing"/>
        <w:spacing w:line="360" w:lineRule="auto"/>
        <w:rPr>
          <w:rFonts w:ascii="Palatino Linotype" w:hAnsi="Palatino Linotype"/>
          <w:szCs w:val="32"/>
        </w:rPr>
      </w:pPr>
      <w:r>
        <w:rPr>
          <w:rFonts w:ascii="Palatino Linotype" w:hAnsi="Palatino Linotype"/>
          <w:szCs w:val="32"/>
        </w:rPr>
        <w:t>- ‘Wat is het effect van minder werkenden dan wel meer pensioengerechtigden op de verplichtingsmogelijkheden?’</w:t>
      </w:r>
    </w:p>
    <w:p w:rsidR="005363AB" w:rsidRDefault="005363AB" w:rsidP="00654D0E">
      <w:pPr>
        <w:pStyle w:val="NoSpacing"/>
        <w:spacing w:line="360" w:lineRule="auto"/>
        <w:rPr>
          <w:rFonts w:ascii="Palatino Linotype" w:hAnsi="Palatino Linotype"/>
          <w:szCs w:val="32"/>
        </w:rPr>
      </w:pPr>
      <w:r>
        <w:rPr>
          <w:rFonts w:ascii="Palatino Linotype" w:hAnsi="Palatino Linotype"/>
          <w:szCs w:val="32"/>
        </w:rPr>
        <w:t>- ‘Wat is het effect van langer doorwerken op de systemen?’</w:t>
      </w:r>
    </w:p>
    <w:p w:rsidR="005363AB" w:rsidRDefault="005363AB" w:rsidP="00654D0E">
      <w:pPr>
        <w:pStyle w:val="NoSpacing"/>
        <w:spacing w:line="360" w:lineRule="auto"/>
        <w:rPr>
          <w:rFonts w:ascii="Palatino Linotype" w:hAnsi="Palatino Linotype"/>
          <w:szCs w:val="32"/>
        </w:rPr>
      </w:pPr>
      <w:r>
        <w:rPr>
          <w:rFonts w:ascii="Palatino Linotype" w:hAnsi="Palatino Linotype"/>
          <w:szCs w:val="32"/>
        </w:rPr>
        <w:t xml:space="preserve">- </w:t>
      </w:r>
      <w:r w:rsidR="00EA7537">
        <w:rPr>
          <w:rFonts w:ascii="Palatino Linotype" w:hAnsi="Palatino Linotype"/>
          <w:szCs w:val="32"/>
        </w:rPr>
        <w:t>‘Wat is het effect van een gedurende vijf jaren sterk dalend beleggingsrendement op de verplichtingsmogelijkheden</w:t>
      </w:r>
      <w:r w:rsidR="00A9043A">
        <w:rPr>
          <w:rFonts w:ascii="Palatino Linotype" w:hAnsi="Palatino Linotype"/>
          <w:szCs w:val="32"/>
        </w:rPr>
        <w:t>, aan het begin en aan het eind van de werknemerscarrière</w:t>
      </w:r>
      <w:r w:rsidR="00EA7537">
        <w:rPr>
          <w:rFonts w:ascii="Palatino Linotype" w:hAnsi="Palatino Linotype"/>
          <w:szCs w:val="32"/>
        </w:rPr>
        <w:t>?’</w:t>
      </w:r>
    </w:p>
    <w:p w:rsidR="005363AB" w:rsidRDefault="005363AB" w:rsidP="00654D0E">
      <w:pPr>
        <w:pStyle w:val="NoSpacing"/>
        <w:spacing w:line="360" w:lineRule="auto"/>
        <w:rPr>
          <w:rFonts w:ascii="Palatino Linotype" w:hAnsi="Palatino Linotype"/>
          <w:szCs w:val="32"/>
        </w:rPr>
      </w:pPr>
    </w:p>
    <w:p w:rsidR="005363AB" w:rsidRDefault="005363AB" w:rsidP="00654D0E">
      <w:pPr>
        <w:pStyle w:val="NoSpacing"/>
        <w:spacing w:line="360" w:lineRule="auto"/>
        <w:rPr>
          <w:rFonts w:ascii="Palatino Linotype" w:hAnsi="Palatino Linotype"/>
          <w:szCs w:val="32"/>
        </w:rPr>
      </w:pPr>
      <w:r>
        <w:rPr>
          <w:rFonts w:ascii="Palatino Linotype" w:hAnsi="Palatino Linotype"/>
          <w:szCs w:val="32"/>
        </w:rPr>
        <w:t xml:space="preserve">Voor het beantwoorden van </w:t>
      </w:r>
      <w:r w:rsidR="00DF49F0">
        <w:rPr>
          <w:rFonts w:ascii="Palatino Linotype" w:hAnsi="Palatino Linotype"/>
          <w:szCs w:val="32"/>
        </w:rPr>
        <w:t xml:space="preserve">de hoofd- en deelvragen </w:t>
      </w:r>
      <w:r w:rsidR="003F1CF6" w:rsidRPr="003F1CF6">
        <w:rPr>
          <w:rFonts w:ascii="Palatino Linotype" w:hAnsi="Palatino Linotype"/>
          <w:szCs w:val="32"/>
        </w:rPr>
        <w:t>zullen eerst de gebruikte theorieën en concepten uitgelegd worden</w:t>
      </w:r>
      <w:r w:rsidR="003F1CF6">
        <w:rPr>
          <w:rFonts w:ascii="Palatino Linotype" w:hAnsi="Palatino Linotype"/>
          <w:szCs w:val="32"/>
        </w:rPr>
        <w:t>, waarna de resultaten van de simulatie</w:t>
      </w:r>
      <w:r w:rsidR="0059029E">
        <w:rPr>
          <w:rFonts w:ascii="Palatino Linotype" w:hAnsi="Palatino Linotype"/>
          <w:szCs w:val="32"/>
        </w:rPr>
        <w:t xml:space="preserve"> in verschillende scenario’s</w:t>
      </w:r>
      <w:r w:rsidR="003F1CF6">
        <w:rPr>
          <w:rFonts w:ascii="Palatino Linotype" w:hAnsi="Palatino Linotype"/>
          <w:szCs w:val="32"/>
        </w:rPr>
        <w:t xml:space="preserve"> getoond worden</w:t>
      </w:r>
      <w:r w:rsidR="003F1CF6" w:rsidRPr="003F1CF6">
        <w:rPr>
          <w:rFonts w:ascii="Palatino Linotype" w:hAnsi="Palatino Linotype"/>
          <w:szCs w:val="32"/>
        </w:rPr>
        <w:t>. Uiteindelijk zullen deze</w:t>
      </w:r>
      <w:r w:rsidR="0059029E">
        <w:rPr>
          <w:rFonts w:ascii="Palatino Linotype" w:hAnsi="Palatino Linotype"/>
          <w:szCs w:val="32"/>
        </w:rPr>
        <w:t xml:space="preserve"> resultaten verklaard en geanalyseerd</w:t>
      </w:r>
      <w:r w:rsidR="003F1CF6" w:rsidRPr="003F1CF6">
        <w:rPr>
          <w:rFonts w:ascii="Palatino Linotype" w:hAnsi="Palatino Linotype"/>
          <w:szCs w:val="32"/>
        </w:rPr>
        <w:t xml:space="preserve"> worden en zal met behulp van deze analyses de onderzoeksvraag beantwoord worden.</w:t>
      </w:r>
      <w:r w:rsidR="003F1CF6">
        <w:rPr>
          <w:rFonts w:ascii="Palatino Linotype" w:hAnsi="Palatino Linotype"/>
          <w:szCs w:val="32"/>
        </w:rPr>
        <w:t xml:space="preserve"> Aan het eind van de scriptie zullen aanbevelingen gedaan worden voor eventuele verbeteringen aan de modellen en scenario’s.</w:t>
      </w:r>
    </w:p>
    <w:p w:rsidR="00125A02" w:rsidRDefault="00125A02" w:rsidP="003B6142">
      <w:pPr>
        <w:pStyle w:val="NoSpacing"/>
        <w:rPr>
          <w:rFonts w:ascii="Palatino Linotype" w:hAnsi="Palatino Linotype"/>
          <w:szCs w:val="32"/>
        </w:rPr>
      </w:pPr>
    </w:p>
    <w:p w:rsidR="0059756C" w:rsidRDefault="0059756C">
      <w:pPr>
        <w:rPr>
          <w:rFonts w:ascii="Palatino Linotype" w:hAnsi="Palatino Linotype"/>
          <w:b/>
          <w:szCs w:val="32"/>
        </w:rPr>
      </w:pPr>
      <w:r>
        <w:rPr>
          <w:rFonts w:ascii="Palatino Linotype" w:hAnsi="Palatino Linotype"/>
          <w:b/>
          <w:szCs w:val="32"/>
        </w:rPr>
        <w:br w:type="page"/>
      </w:r>
    </w:p>
    <w:p w:rsidR="00125A02" w:rsidRPr="00125A02" w:rsidRDefault="00125A02" w:rsidP="003B6142">
      <w:pPr>
        <w:pStyle w:val="NoSpacing"/>
        <w:rPr>
          <w:rFonts w:ascii="Palatino Linotype" w:hAnsi="Palatino Linotype"/>
          <w:b/>
          <w:szCs w:val="32"/>
        </w:rPr>
      </w:pPr>
      <w:r>
        <w:rPr>
          <w:rFonts w:ascii="Palatino Linotype" w:hAnsi="Palatino Linotype"/>
          <w:b/>
          <w:szCs w:val="32"/>
        </w:rPr>
        <w:t>Theoretisch Kader</w:t>
      </w:r>
    </w:p>
    <w:p w:rsidR="00924B5E" w:rsidRDefault="00924B5E" w:rsidP="003B6142">
      <w:pPr>
        <w:pStyle w:val="NoSpacing"/>
        <w:rPr>
          <w:rFonts w:ascii="Palatino Linotype" w:hAnsi="Palatino Linotype"/>
          <w:szCs w:val="32"/>
        </w:rPr>
      </w:pPr>
    </w:p>
    <w:p w:rsidR="0059029E" w:rsidRDefault="0059029E" w:rsidP="00654D0E">
      <w:pPr>
        <w:pStyle w:val="NoSpacing"/>
        <w:spacing w:line="360" w:lineRule="auto"/>
        <w:rPr>
          <w:rFonts w:ascii="Palatino Linotype" w:hAnsi="Palatino Linotype"/>
          <w:szCs w:val="32"/>
        </w:rPr>
      </w:pPr>
      <w:r>
        <w:rPr>
          <w:rFonts w:ascii="Palatino Linotype" w:hAnsi="Palatino Linotype"/>
          <w:szCs w:val="32"/>
        </w:rPr>
        <w:t>In dit onderzoek zullen de verschillende pensioensystemen en hun resistentie voor (mogelijke) toekomstige veranderingen centraal staan. Als belangrijkste maatstaf wordt, ruwweg gezegd, de verhouding van totale pensioeninleg tot totale pensioenverplcihtingen gebruikt voor deze resistentie.</w:t>
      </w:r>
      <w:r w:rsidR="007673E7">
        <w:rPr>
          <w:rFonts w:ascii="Palatino Linotype" w:hAnsi="Palatino Linotype"/>
          <w:szCs w:val="32"/>
        </w:rPr>
        <w:t xml:space="preserve"> Voor deze maatstaf zal de term dekkingsgraad gebruikt worden, daar dit de lading van het begrip het volledigst dekt en Engelse vertalingen (Coverage Ratio) hiermee overeen kwamen (Financial Times, 2014).</w:t>
      </w:r>
      <w:r w:rsidR="00595206">
        <w:rPr>
          <w:rFonts w:ascii="Palatino Linotype" w:hAnsi="Palatino Linotype"/>
          <w:szCs w:val="32"/>
        </w:rPr>
        <w:t xml:space="preserve"> Normaliter geldt een dekkingsgraad als voldoende wanneer deze 1 (100% van de verplichtingen kan gedekt worden) bedraagt.</w:t>
      </w:r>
    </w:p>
    <w:p w:rsidR="00D32DE9" w:rsidRDefault="00D32DE9" w:rsidP="00654D0E">
      <w:pPr>
        <w:pStyle w:val="NoSpacing"/>
        <w:spacing w:line="360" w:lineRule="auto"/>
        <w:rPr>
          <w:rFonts w:ascii="Palatino Linotype" w:hAnsi="Palatino Linotype"/>
          <w:szCs w:val="32"/>
        </w:rPr>
      </w:pPr>
    </w:p>
    <w:p w:rsidR="00195420" w:rsidRDefault="00706C31" w:rsidP="00654D0E">
      <w:pPr>
        <w:pStyle w:val="NoSpacing"/>
        <w:spacing w:line="360" w:lineRule="auto"/>
        <w:rPr>
          <w:rFonts w:ascii="Palatino Linotype" w:hAnsi="Palatino Linotype"/>
          <w:szCs w:val="32"/>
        </w:rPr>
      </w:pPr>
      <w:r>
        <w:rPr>
          <w:rFonts w:ascii="Palatino Linotype" w:hAnsi="Palatino Linotype"/>
          <w:szCs w:val="32"/>
        </w:rPr>
        <w:t>De inleg en uitkering zullen bepaald worden door het totale bedrag dat in een land afgedragen dan wel uitgekeerd wordt te delen door</w:t>
      </w:r>
      <w:r w:rsidR="00C66775">
        <w:rPr>
          <w:rFonts w:ascii="Palatino Linotype" w:hAnsi="Palatino Linotype"/>
          <w:szCs w:val="32"/>
        </w:rPr>
        <w:t xml:space="preserve"> de grootte van</w:t>
      </w:r>
      <w:r>
        <w:rPr>
          <w:rFonts w:ascii="Palatino Linotype" w:hAnsi="Palatino Linotype"/>
          <w:szCs w:val="32"/>
        </w:rPr>
        <w:t xml:space="preserve"> de werkzame beroepsbevolking respectievelijk pensioengerechtigde bevolking.</w:t>
      </w:r>
      <w:r w:rsidR="007F5B50">
        <w:rPr>
          <w:rFonts w:ascii="Palatino Linotype" w:hAnsi="Palatino Linotype"/>
          <w:szCs w:val="32"/>
        </w:rPr>
        <w:t xml:space="preserve"> Voor Chili, waar alleen persoonlijke kapitaaldekking bestaat, zal het afdrachtpercentage vermenigvuldigd worden met het bruto jaarinkomen per capita (World Bank, 2014).</w:t>
      </w:r>
      <w:r w:rsidR="006B03C6">
        <w:rPr>
          <w:rFonts w:ascii="Palatino Linotype" w:hAnsi="Palatino Linotype"/>
          <w:szCs w:val="32"/>
        </w:rPr>
        <w:t xml:space="preserve"> Voor alle bedragen die in de berekeningen en resultaten gebruikt worden wordt gebruik gemaakt van de monetaire eenheid Amerikaanse dollars (USD).</w:t>
      </w:r>
    </w:p>
    <w:p w:rsidR="00706C31" w:rsidRDefault="00706C31" w:rsidP="00654D0E">
      <w:pPr>
        <w:pStyle w:val="NoSpacing"/>
        <w:spacing w:line="360" w:lineRule="auto"/>
        <w:rPr>
          <w:rFonts w:ascii="Palatino Linotype" w:hAnsi="Palatino Linotype"/>
          <w:szCs w:val="32"/>
        </w:rPr>
      </w:pPr>
    </w:p>
    <w:p w:rsidR="00195420" w:rsidRDefault="00195420" w:rsidP="00654D0E">
      <w:pPr>
        <w:pStyle w:val="NoSpacing"/>
        <w:spacing w:line="360" w:lineRule="auto"/>
        <w:rPr>
          <w:rFonts w:ascii="Palatino Linotype" w:hAnsi="Palatino Linotype"/>
          <w:szCs w:val="32"/>
        </w:rPr>
      </w:pPr>
      <w:r>
        <w:rPr>
          <w:rFonts w:ascii="Palatino Linotype" w:hAnsi="Palatino Linotype"/>
          <w:szCs w:val="32"/>
        </w:rPr>
        <w:t>De demografische omstandigheden die veranderd zullen worden zijn het aantal pensioenpremieplichtigen en het aantal pensioengerechtigden, waarbij de premieplichtigen het werkzame deel van de beroepsbevolking betreft. Pensioengerechtigden zijn zij die ouder zijn dan 65, aangezien dit in allevier de landen op het moment van schrijven de standaard pensioengerechtigde leeftijd is (International Organisation of Pension Supervisors, 2013).</w:t>
      </w:r>
    </w:p>
    <w:p w:rsidR="0059029E" w:rsidRDefault="0059029E" w:rsidP="00654D0E">
      <w:pPr>
        <w:pStyle w:val="NoSpacing"/>
        <w:spacing w:line="360" w:lineRule="auto"/>
        <w:rPr>
          <w:rFonts w:ascii="Palatino Linotype" w:hAnsi="Palatino Linotype"/>
          <w:szCs w:val="32"/>
        </w:rPr>
      </w:pPr>
    </w:p>
    <w:p w:rsidR="00924B5E" w:rsidRDefault="00613F88" w:rsidP="00654D0E">
      <w:pPr>
        <w:pStyle w:val="NoSpacing"/>
        <w:spacing w:line="360" w:lineRule="auto"/>
        <w:rPr>
          <w:rFonts w:ascii="Palatino Linotype" w:hAnsi="Palatino Linotype"/>
          <w:szCs w:val="32"/>
        </w:rPr>
      </w:pPr>
      <w:r>
        <w:rPr>
          <w:rFonts w:ascii="Palatino Linotype" w:hAnsi="Palatino Linotype"/>
          <w:szCs w:val="32"/>
        </w:rPr>
        <w:t xml:space="preserve">Wat de landen zelf betreft heeft Nederland voor pensioenopbouw </w:t>
      </w:r>
      <w:r w:rsidR="00924B5E">
        <w:rPr>
          <w:rFonts w:ascii="Palatino Linotype" w:hAnsi="Palatino Linotype"/>
          <w:szCs w:val="32"/>
        </w:rPr>
        <w:t>een drietrapsraket, namelijk een basisdeel dat bestaat uit premieafdrachten aan de overheid (pay as you go</w:t>
      </w:r>
      <w:r w:rsidR="00167BB4">
        <w:rPr>
          <w:rFonts w:ascii="Palatino Linotype" w:hAnsi="Palatino Linotype"/>
          <w:szCs w:val="32"/>
        </w:rPr>
        <w:t>, AOW</w:t>
      </w:r>
      <w:r w:rsidR="00924B5E">
        <w:rPr>
          <w:rFonts w:ascii="Palatino Linotype" w:hAnsi="Palatino Linotype"/>
          <w:szCs w:val="32"/>
        </w:rPr>
        <w:t>), een tweede deel waarin men voor zichzelf spaart (kapitaaldekking) en een vrijwillig derde deel waarin privé belegd kan worden</w:t>
      </w:r>
      <w:r>
        <w:rPr>
          <w:rFonts w:ascii="Palatino Linotype" w:hAnsi="Palatino Linotype"/>
          <w:szCs w:val="32"/>
        </w:rPr>
        <w:t xml:space="preserve"> In deze scriptie zal de derde pijler buiten beschouwing worden gelaten; zowel vanwege de zeer geringe beschikbaarheid van data als ook vanwege het zeer kleine aandeel in de totale Nederlandse pensioenopbouw</w:t>
      </w:r>
      <w:r w:rsidR="00924B5E">
        <w:rPr>
          <w:rFonts w:ascii="Palatino Linotype" w:hAnsi="Palatino Linotype"/>
          <w:szCs w:val="32"/>
        </w:rPr>
        <w:t xml:space="preserve">. Frankrijk </w:t>
      </w:r>
      <w:r w:rsidR="003146BF">
        <w:rPr>
          <w:rFonts w:ascii="Palatino Linotype" w:hAnsi="Palatino Linotype"/>
          <w:szCs w:val="32"/>
        </w:rPr>
        <w:t>heeft, in tegenstelling tot Nederland, enkel een pay-as-you-</w:t>
      </w:r>
      <w:r w:rsidR="003B1E7E">
        <w:rPr>
          <w:rFonts w:ascii="Palatino Linotype" w:hAnsi="Palatino Linotype"/>
          <w:szCs w:val="32"/>
        </w:rPr>
        <w:t>gosysteem waarbij werkenden inleggen voor pensioengerechtigden</w:t>
      </w:r>
      <w:r w:rsidR="009658C9">
        <w:rPr>
          <w:rFonts w:ascii="Palatino Linotype" w:hAnsi="Palatino Linotype"/>
          <w:szCs w:val="32"/>
        </w:rPr>
        <w:t>.</w:t>
      </w:r>
    </w:p>
    <w:p w:rsidR="00A8423B" w:rsidRDefault="00A8423B" w:rsidP="00654D0E">
      <w:pPr>
        <w:pStyle w:val="NoSpacing"/>
        <w:spacing w:line="360" w:lineRule="auto"/>
        <w:rPr>
          <w:rFonts w:ascii="Palatino Linotype" w:hAnsi="Palatino Linotype"/>
          <w:szCs w:val="32"/>
        </w:rPr>
      </w:pPr>
    </w:p>
    <w:p w:rsidR="00A8423B" w:rsidRDefault="00C860BA" w:rsidP="00654D0E">
      <w:pPr>
        <w:pStyle w:val="NoSpacing"/>
        <w:spacing w:line="360" w:lineRule="auto"/>
        <w:rPr>
          <w:rFonts w:ascii="Palatino Linotype" w:hAnsi="Palatino Linotype"/>
          <w:szCs w:val="32"/>
        </w:rPr>
      </w:pPr>
      <w:r>
        <w:rPr>
          <w:rFonts w:ascii="Palatino Linotype" w:hAnsi="Palatino Linotype"/>
          <w:szCs w:val="32"/>
        </w:rPr>
        <w:t xml:space="preserve">In de Verenigde Staten is een </w:t>
      </w:r>
      <w:r w:rsidR="00167BB4">
        <w:rPr>
          <w:rFonts w:ascii="Palatino Linotype" w:hAnsi="Palatino Linotype"/>
          <w:szCs w:val="32"/>
        </w:rPr>
        <w:t>gemengd systeem van kracht waarin in de eerste pijler een deel aan de overheid wordt afgedragen en in de tweede pijler via het bedrijf waar men voor werkt vaste percentages aan een eigen pot worden afgedragen</w:t>
      </w:r>
      <w:r w:rsidR="003B1E7E">
        <w:rPr>
          <w:rFonts w:ascii="Palatino Linotype" w:hAnsi="Palatino Linotype"/>
          <w:szCs w:val="32"/>
        </w:rPr>
        <w:t xml:space="preserve"> Het verschil met Nederland is echter dat voor de tweede pijler premieafdracht op vrijwillige basis geschiedt</w:t>
      </w:r>
      <w:r w:rsidR="00167BB4">
        <w:rPr>
          <w:rFonts w:ascii="Palatino Linotype" w:hAnsi="Palatino Linotype"/>
          <w:szCs w:val="32"/>
        </w:rPr>
        <w:t>. I</w:t>
      </w:r>
      <w:r>
        <w:rPr>
          <w:rFonts w:ascii="Palatino Linotype" w:hAnsi="Palatino Linotype"/>
          <w:szCs w:val="32"/>
        </w:rPr>
        <w:t xml:space="preserve">n Chili </w:t>
      </w:r>
      <w:r w:rsidR="00167BB4">
        <w:rPr>
          <w:rFonts w:ascii="Palatino Linotype" w:hAnsi="Palatino Linotype"/>
          <w:szCs w:val="32"/>
        </w:rPr>
        <w:t>is</w:t>
      </w:r>
      <w:r>
        <w:rPr>
          <w:rFonts w:ascii="Palatino Linotype" w:hAnsi="Palatino Linotype"/>
          <w:szCs w:val="32"/>
        </w:rPr>
        <w:t xml:space="preserve"> ee</w:t>
      </w:r>
      <w:r w:rsidR="009B4688">
        <w:rPr>
          <w:rFonts w:ascii="Palatino Linotype" w:hAnsi="Palatino Linotype"/>
          <w:szCs w:val="32"/>
        </w:rPr>
        <w:t xml:space="preserve">n volledig </w:t>
      </w:r>
      <w:r w:rsidR="00167BB4">
        <w:rPr>
          <w:rFonts w:ascii="Palatino Linotype" w:hAnsi="Palatino Linotype"/>
          <w:szCs w:val="32"/>
        </w:rPr>
        <w:t>kapitaaldekkings</w:t>
      </w:r>
      <w:r w:rsidR="009B4688">
        <w:rPr>
          <w:rFonts w:ascii="Palatino Linotype" w:hAnsi="Palatino Linotype"/>
          <w:szCs w:val="32"/>
        </w:rPr>
        <w:t>systeem</w:t>
      </w:r>
      <w:r w:rsidR="00167BB4">
        <w:rPr>
          <w:rFonts w:ascii="Palatino Linotype" w:hAnsi="Palatino Linotype"/>
          <w:szCs w:val="32"/>
        </w:rPr>
        <w:t xml:space="preserve"> van kracht</w:t>
      </w:r>
      <w:r w:rsidR="009B4688">
        <w:rPr>
          <w:rFonts w:ascii="Palatino Linotype" w:hAnsi="Palatino Linotype"/>
          <w:szCs w:val="32"/>
        </w:rPr>
        <w:t xml:space="preserve"> waar iedere werkende</w:t>
      </w:r>
      <w:r>
        <w:rPr>
          <w:rFonts w:ascii="Palatino Linotype" w:hAnsi="Palatino Linotype"/>
          <w:szCs w:val="32"/>
        </w:rPr>
        <w:t xml:space="preserve"> tien procent van zijn jaarinkomen afdraagt aa</w:t>
      </w:r>
      <w:r w:rsidR="00964EB7">
        <w:rPr>
          <w:rFonts w:ascii="Palatino Linotype" w:hAnsi="Palatino Linotype"/>
          <w:szCs w:val="32"/>
        </w:rPr>
        <w:t xml:space="preserve">n fondsen. </w:t>
      </w:r>
      <w:r w:rsidR="00560D74">
        <w:rPr>
          <w:rFonts w:ascii="Palatino Linotype" w:hAnsi="Palatino Linotype"/>
          <w:szCs w:val="32"/>
        </w:rPr>
        <w:t>Hier kan echter wel het probleem bestaan dat dit percentage achteraf bezien niet voldoende blijkt</w:t>
      </w:r>
      <w:r w:rsidR="00D51995">
        <w:rPr>
          <w:rFonts w:ascii="Palatino Linotype" w:hAnsi="Palatino Linotype"/>
          <w:szCs w:val="32"/>
        </w:rPr>
        <w:t xml:space="preserve"> en uiteindelijk alsnog uit staatsmiddelen aangevuld moet worden (OECD, 2013). </w:t>
      </w:r>
    </w:p>
    <w:p w:rsidR="00654D0E" w:rsidRDefault="00654D0E" w:rsidP="00654D0E">
      <w:pPr>
        <w:pStyle w:val="NoSpacing"/>
        <w:spacing w:line="360" w:lineRule="auto"/>
        <w:rPr>
          <w:rFonts w:ascii="Palatino Linotype" w:hAnsi="Palatino Linotype"/>
          <w:szCs w:val="32"/>
        </w:rPr>
      </w:pPr>
    </w:p>
    <w:p w:rsidR="00894538" w:rsidRDefault="00894538" w:rsidP="00654D0E">
      <w:pPr>
        <w:pStyle w:val="NoSpacing"/>
        <w:spacing w:line="360" w:lineRule="auto"/>
        <w:rPr>
          <w:rFonts w:ascii="Palatino Linotype" w:hAnsi="Palatino Linotype"/>
          <w:szCs w:val="32"/>
        </w:rPr>
      </w:pPr>
      <w:r>
        <w:rPr>
          <w:rFonts w:ascii="Palatino Linotype" w:hAnsi="Palatino Linotype"/>
          <w:szCs w:val="32"/>
        </w:rPr>
        <w:t>Samenvattend kan bovenstaande informatie als volgt worden weergegeven:</w:t>
      </w:r>
    </w:p>
    <w:p w:rsidR="00894538" w:rsidRDefault="00894538" w:rsidP="003B6142">
      <w:pPr>
        <w:pStyle w:val="NoSpacing"/>
        <w:rPr>
          <w:rFonts w:ascii="Palatino Linotype" w:hAnsi="Palatino Linotype"/>
          <w:szCs w:val="32"/>
        </w:rPr>
      </w:pPr>
    </w:p>
    <w:tbl>
      <w:tblPr>
        <w:tblStyle w:val="LightShading"/>
        <w:tblW w:w="0" w:type="auto"/>
        <w:tblLook w:val="04A0" w:firstRow="1" w:lastRow="0" w:firstColumn="1" w:lastColumn="0" w:noHBand="0" w:noVBand="1"/>
      </w:tblPr>
      <w:tblGrid>
        <w:gridCol w:w="2376"/>
        <w:gridCol w:w="2977"/>
        <w:gridCol w:w="1701"/>
        <w:gridCol w:w="2158"/>
      </w:tblGrid>
      <w:tr w:rsidR="004924E8" w:rsidTr="00BD1D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gridSpan w:val="4"/>
          </w:tcPr>
          <w:p w:rsidR="004924E8" w:rsidRDefault="004924E8" w:rsidP="00F64DCF">
            <w:pPr>
              <w:pStyle w:val="NoSpacing"/>
              <w:rPr>
                <w:rFonts w:ascii="Palatino Linotype" w:hAnsi="Palatino Linotype"/>
                <w:szCs w:val="32"/>
              </w:rPr>
            </w:pPr>
            <w:r>
              <w:rPr>
                <w:rFonts w:ascii="Palatino Linotype" w:hAnsi="Palatino Linotype"/>
                <w:szCs w:val="32"/>
              </w:rPr>
              <w:t>S</w:t>
            </w:r>
            <w:r w:rsidR="00D47603">
              <w:rPr>
                <w:rFonts w:ascii="Palatino Linotype" w:hAnsi="Palatino Linotype"/>
                <w:szCs w:val="32"/>
              </w:rPr>
              <w:t>ystemen per land</w:t>
            </w:r>
          </w:p>
        </w:tc>
      </w:tr>
      <w:tr w:rsidR="00A8477B" w:rsidTr="004924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rsidR="00A8477B" w:rsidRDefault="00A8477B" w:rsidP="00F64DCF">
            <w:pPr>
              <w:pStyle w:val="NoSpacing"/>
              <w:rPr>
                <w:rFonts w:ascii="Palatino Linotype" w:hAnsi="Palatino Linotype"/>
                <w:szCs w:val="32"/>
              </w:rPr>
            </w:pPr>
            <w:r>
              <w:rPr>
                <w:rFonts w:ascii="Palatino Linotype" w:hAnsi="Palatino Linotype"/>
                <w:szCs w:val="32"/>
              </w:rPr>
              <w:t>Land</w:t>
            </w:r>
          </w:p>
        </w:tc>
        <w:tc>
          <w:tcPr>
            <w:tcW w:w="2977" w:type="dxa"/>
          </w:tcPr>
          <w:p w:rsidR="00A8477B" w:rsidRDefault="00A8477B" w:rsidP="00F64DCF">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szCs w:val="32"/>
              </w:rPr>
            </w:pPr>
            <w:r>
              <w:rPr>
                <w:rFonts w:ascii="Palatino Linotype" w:hAnsi="Palatino Linotype"/>
                <w:szCs w:val="32"/>
              </w:rPr>
              <w:t>Systeem</w:t>
            </w:r>
          </w:p>
        </w:tc>
        <w:tc>
          <w:tcPr>
            <w:tcW w:w="1701" w:type="dxa"/>
          </w:tcPr>
          <w:p w:rsidR="00A8477B" w:rsidRDefault="00A8477B" w:rsidP="00F64DCF">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szCs w:val="32"/>
              </w:rPr>
            </w:pPr>
            <w:r>
              <w:rPr>
                <w:rFonts w:ascii="Palatino Linotype" w:hAnsi="Palatino Linotype"/>
                <w:szCs w:val="32"/>
              </w:rPr>
              <w:t>Aantal Pijlers</w:t>
            </w:r>
          </w:p>
        </w:tc>
        <w:tc>
          <w:tcPr>
            <w:tcW w:w="2158" w:type="dxa"/>
          </w:tcPr>
          <w:p w:rsidR="00A8477B" w:rsidRDefault="00F64DCF" w:rsidP="00F64DCF">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szCs w:val="32"/>
              </w:rPr>
            </w:pPr>
            <w:r>
              <w:rPr>
                <w:rFonts w:ascii="Palatino Linotype" w:hAnsi="Palatino Linotype"/>
                <w:szCs w:val="32"/>
              </w:rPr>
              <w:t>Aard</w:t>
            </w:r>
            <w:r w:rsidR="00A11214">
              <w:rPr>
                <w:rFonts w:ascii="Palatino Linotype" w:hAnsi="Palatino Linotype"/>
                <w:szCs w:val="32"/>
              </w:rPr>
              <w:t xml:space="preserve"> Deelneming</w:t>
            </w:r>
          </w:p>
        </w:tc>
      </w:tr>
      <w:tr w:rsidR="00A8477B" w:rsidTr="004924E8">
        <w:tc>
          <w:tcPr>
            <w:cnfStyle w:val="001000000000" w:firstRow="0" w:lastRow="0" w:firstColumn="1" w:lastColumn="0" w:oddVBand="0" w:evenVBand="0" w:oddHBand="0" w:evenHBand="0" w:firstRowFirstColumn="0" w:firstRowLastColumn="0" w:lastRowFirstColumn="0" w:lastRowLastColumn="0"/>
            <w:tcW w:w="2376" w:type="dxa"/>
          </w:tcPr>
          <w:p w:rsidR="00A8477B" w:rsidRDefault="00F64DCF" w:rsidP="00F64DCF">
            <w:pPr>
              <w:pStyle w:val="NoSpacing"/>
              <w:rPr>
                <w:rFonts w:ascii="Palatino Linotype" w:hAnsi="Palatino Linotype"/>
                <w:szCs w:val="32"/>
              </w:rPr>
            </w:pPr>
            <w:r>
              <w:rPr>
                <w:rFonts w:ascii="Palatino Linotype" w:hAnsi="Palatino Linotype"/>
                <w:szCs w:val="32"/>
              </w:rPr>
              <w:t>Chili</w:t>
            </w:r>
          </w:p>
        </w:tc>
        <w:tc>
          <w:tcPr>
            <w:tcW w:w="2977" w:type="dxa"/>
          </w:tcPr>
          <w:p w:rsidR="00A8477B" w:rsidRPr="00F64DCF" w:rsidRDefault="00F64DCF" w:rsidP="00F64DCF">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szCs w:val="32"/>
              </w:rPr>
            </w:pPr>
            <w:r>
              <w:rPr>
                <w:rFonts w:ascii="Palatino Linotype" w:hAnsi="Palatino Linotype"/>
                <w:szCs w:val="32"/>
              </w:rPr>
              <w:t>Kapitaaldekking</w:t>
            </w:r>
          </w:p>
        </w:tc>
        <w:tc>
          <w:tcPr>
            <w:tcW w:w="1701" w:type="dxa"/>
          </w:tcPr>
          <w:p w:rsidR="00A8477B" w:rsidRDefault="00F64DCF" w:rsidP="00F64DCF">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szCs w:val="32"/>
              </w:rPr>
            </w:pPr>
            <w:r>
              <w:rPr>
                <w:rFonts w:ascii="Palatino Linotype" w:hAnsi="Palatino Linotype"/>
                <w:szCs w:val="32"/>
              </w:rPr>
              <w:t>1</w:t>
            </w:r>
          </w:p>
        </w:tc>
        <w:tc>
          <w:tcPr>
            <w:tcW w:w="2158" w:type="dxa"/>
          </w:tcPr>
          <w:p w:rsidR="00A8477B" w:rsidRDefault="00E31671" w:rsidP="00F64DCF">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szCs w:val="32"/>
              </w:rPr>
            </w:pPr>
            <w:r>
              <w:rPr>
                <w:rFonts w:ascii="Palatino Linotype" w:hAnsi="Palatino Linotype"/>
                <w:szCs w:val="32"/>
              </w:rPr>
              <w:t>Verplicht</w:t>
            </w:r>
          </w:p>
        </w:tc>
      </w:tr>
      <w:tr w:rsidR="00A8477B" w:rsidTr="004924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rsidR="00A8477B" w:rsidRDefault="00F64DCF" w:rsidP="00F64DCF">
            <w:pPr>
              <w:pStyle w:val="NoSpacing"/>
              <w:rPr>
                <w:rFonts w:ascii="Palatino Linotype" w:hAnsi="Palatino Linotype"/>
                <w:szCs w:val="32"/>
              </w:rPr>
            </w:pPr>
            <w:r>
              <w:rPr>
                <w:rFonts w:ascii="Palatino Linotype" w:hAnsi="Palatino Linotype"/>
                <w:szCs w:val="32"/>
              </w:rPr>
              <w:t>Frankrijk</w:t>
            </w:r>
          </w:p>
        </w:tc>
        <w:tc>
          <w:tcPr>
            <w:tcW w:w="2977" w:type="dxa"/>
          </w:tcPr>
          <w:p w:rsidR="00A8477B" w:rsidRDefault="00F64DCF" w:rsidP="00F64DCF">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szCs w:val="32"/>
              </w:rPr>
            </w:pPr>
            <w:r>
              <w:rPr>
                <w:rFonts w:ascii="Palatino Linotype" w:hAnsi="Palatino Linotype"/>
                <w:szCs w:val="32"/>
              </w:rPr>
              <w:t>Omslag</w:t>
            </w:r>
          </w:p>
        </w:tc>
        <w:tc>
          <w:tcPr>
            <w:tcW w:w="1701" w:type="dxa"/>
          </w:tcPr>
          <w:p w:rsidR="00A8477B" w:rsidRDefault="00F64DCF" w:rsidP="00F64DCF">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szCs w:val="32"/>
              </w:rPr>
            </w:pPr>
            <w:r>
              <w:rPr>
                <w:rFonts w:ascii="Palatino Linotype" w:hAnsi="Palatino Linotype"/>
                <w:szCs w:val="32"/>
              </w:rPr>
              <w:t>1</w:t>
            </w:r>
          </w:p>
        </w:tc>
        <w:tc>
          <w:tcPr>
            <w:tcW w:w="2158" w:type="dxa"/>
          </w:tcPr>
          <w:p w:rsidR="00A8477B" w:rsidRDefault="00F64DCF" w:rsidP="00F64DCF">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szCs w:val="32"/>
              </w:rPr>
            </w:pPr>
            <w:r>
              <w:rPr>
                <w:rFonts w:ascii="Palatino Linotype" w:hAnsi="Palatino Linotype"/>
                <w:szCs w:val="32"/>
              </w:rPr>
              <w:t>Verplicht</w:t>
            </w:r>
          </w:p>
        </w:tc>
      </w:tr>
      <w:tr w:rsidR="00A8477B" w:rsidTr="004924E8">
        <w:tc>
          <w:tcPr>
            <w:cnfStyle w:val="001000000000" w:firstRow="0" w:lastRow="0" w:firstColumn="1" w:lastColumn="0" w:oddVBand="0" w:evenVBand="0" w:oddHBand="0" w:evenHBand="0" w:firstRowFirstColumn="0" w:firstRowLastColumn="0" w:lastRowFirstColumn="0" w:lastRowLastColumn="0"/>
            <w:tcW w:w="2376" w:type="dxa"/>
          </w:tcPr>
          <w:p w:rsidR="00A8477B" w:rsidRDefault="00F64DCF" w:rsidP="00F64DCF">
            <w:pPr>
              <w:pStyle w:val="NoSpacing"/>
              <w:rPr>
                <w:rFonts w:ascii="Palatino Linotype" w:hAnsi="Palatino Linotype"/>
                <w:szCs w:val="32"/>
              </w:rPr>
            </w:pPr>
            <w:r>
              <w:rPr>
                <w:rFonts w:ascii="Palatino Linotype" w:hAnsi="Palatino Linotype"/>
                <w:szCs w:val="32"/>
              </w:rPr>
              <w:t>Nederland</w:t>
            </w:r>
          </w:p>
        </w:tc>
        <w:tc>
          <w:tcPr>
            <w:tcW w:w="2977" w:type="dxa"/>
          </w:tcPr>
          <w:p w:rsidR="00A8477B" w:rsidRDefault="00F64DCF" w:rsidP="00F64DCF">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szCs w:val="32"/>
              </w:rPr>
            </w:pPr>
            <w:r>
              <w:rPr>
                <w:rFonts w:ascii="Palatino Linotype" w:hAnsi="Palatino Linotype"/>
                <w:szCs w:val="32"/>
              </w:rPr>
              <w:t>Omslag + kapitaaldekking</w:t>
            </w:r>
          </w:p>
        </w:tc>
        <w:tc>
          <w:tcPr>
            <w:tcW w:w="1701" w:type="dxa"/>
          </w:tcPr>
          <w:p w:rsidR="00A8477B" w:rsidRDefault="00F64DCF" w:rsidP="00F64DCF">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szCs w:val="32"/>
              </w:rPr>
            </w:pPr>
            <w:r>
              <w:rPr>
                <w:rFonts w:ascii="Palatino Linotype" w:hAnsi="Palatino Linotype"/>
                <w:szCs w:val="32"/>
              </w:rPr>
              <w:t>2</w:t>
            </w:r>
          </w:p>
        </w:tc>
        <w:tc>
          <w:tcPr>
            <w:tcW w:w="2158" w:type="dxa"/>
          </w:tcPr>
          <w:p w:rsidR="00A8477B" w:rsidRDefault="00F64DCF" w:rsidP="00F64DCF">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szCs w:val="32"/>
              </w:rPr>
            </w:pPr>
            <w:r>
              <w:rPr>
                <w:rFonts w:ascii="Palatino Linotype" w:hAnsi="Palatino Linotype"/>
                <w:szCs w:val="32"/>
              </w:rPr>
              <w:t>Verplicht</w:t>
            </w:r>
          </w:p>
        </w:tc>
      </w:tr>
      <w:tr w:rsidR="00A8477B" w:rsidTr="004924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rsidR="00A8477B" w:rsidRDefault="00F64DCF" w:rsidP="00F64DCF">
            <w:pPr>
              <w:pStyle w:val="NoSpacing"/>
              <w:rPr>
                <w:rFonts w:ascii="Palatino Linotype" w:hAnsi="Palatino Linotype"/>
                <w:szCs w:val="32"/>
              </w:rPr>
            </w:pPr>
            <w:r>
              <w:rPr>
                <w:rFonts w:ascii="Palatino Linotype" w:hAnsi="Palatino Linotype"/>
                <w:szCs w:val="32"/>
              </w:rPr>
              <w:t>Verenigde Staten</w:t>
            </w:r>
          </w:p>
        </w:tc>
        <w:tc>
          <w:tcPr>
            <w:tcW w:w="2977" w:type="dxa"/>
          </w:tcPr>
          <w:p w:rsidR="00A8477B" w:rsidRDefault="00F64DCF" w:rsidP="00F64DCF">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szCs w:val="32"/>
              </w:rPr>
            </w:pPr>
            <w:r>
              <w:rPr>
                <w:rFonts w:ascii="Palatino Linotype" w:hAnsi="Palatino Linotype"/>
                <w:szCs w:val="32"/>
              </w:rPr>
              <w:t>Omslag + kapitaaldekking</w:t>
            </w:r>
          </w:p>
        </w:tc>
        <w:tc>
          <w:tcPr>
            <w:tcW w:w="1701" w:type="dxa"/>
          </w:tcPr>
          <w:p w:rsidR="00A8477B" w:rsidRDefault="00F64DCF" w:rsidP="00F64DCF">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szCs w:val="32"/>
              </w:rPr>
            </w:pPr>
            <w:r>
              <w:rPr>
                <w:rFonts w:ascii="Palatino Linotype" w:hAnsi="Palatino Linotype"/>
                <w:szCs w:val="32"/>
              </w:rPr>
              <w:t>2</w:t>
            </w:r>
          </w:p>
        </w:tc>
        <w:tc>
          <w:tcPr>
            <w:tcW w:w="2158" w:type="dxa"/>
          </w:tcPr>
          <w:p w:rsidR="00A8477B" w:rsidRDefault="00F64DCF" w:rsidP="00F64DCF">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szCs w:val="32"/>
              </w:rPr>
            </w:pPr>
            <w:r>
              <w:rPr>
                <w:rFonts w:ascii="Palatino Linotype" w:hAnsi="Palatino Linotype"/>
                <w:szCs w:val="32"/>
              </w:rPr>
              <w:t>Vrijwillig</w:t>
            </w:r>
          </w:p>
        </w:tc>
      </w:tr>
    </w:tbl>
    <w:p w:rsidR="00894538" w:rsidRDefault="00894538" w:rsidP="00C5678E">
      <w:pPr>
        <w:pStyle w:val="NoSpacing"/>
        <w:spacing w:line="360" w:lineRule="auto"/>
        <w:rPr>
          <w:rFonts w:ascii="Palatino Linotype" w:hAnsi="Palatino Linotype"/>
          <w:szCs w:val="32"/>
        </w:rPr>
      </w:pPr>
    </w:p>
    <w:p w:rsidR="00321822" w:rsidRPr="008A52C9" w:rsidRDefault="00321822" w:rsidP="003B6142">
      <w:pPr>
        <w:pStyle w:val="NoSpacing"/>
        <w:rPr>
          <w:rFonts w:ascii="Palatino Linotype" w:hAnsi="Palatino Linotype"/>
          <w:i/>
          <w:szCs w:val="32"/>
        </w:rPr>
      </w:pPr>
      <w:r w:rsidRPr="008A52C9">
        <w:rPr>
          <w:rFonts w:ascii="Palatino Linotype" w:hAnsi="Palatino Linotype"/>
          <w:i/>
          <w:szCs w:val="32"/>
        </w:rPr>
        <w:t>Simulatie</w:t>
      </w:r>
    </w:p>
    <w:p w:rsidR="00321822" w:rsidRDefault="00321822" w:rsidP="003B6142">
      <w:pPr>
        <w:pStyle w:val="NoSpacing"/>
        <w:rPr>
          <w:rFonts w:ascii="Palatino Linotype" w:hAnsi="Palatino Linotype"/>
          <w:szCs w:val="32"/>
        </w:rPr>
      </w:pPr>
    </w:p>
    <w:p w:rsidR="00872E7E" w:rsidRDefault="006234B9" w:rsidP="00654D0E">
      <w:pPr>
        <w:pStyle w:val="NoSpacing"/>
        <w:spacing w:line="360" w:lineRule="auto"/>
        <w:rPr>
          <w:rFonts w:ascii="Palatino Linotype" w:hAnsi="Palatino Linotype"/>
          <w:szCs w:val="32"/>
        </w:rPr>
      </w:pPr>
      <w:r>
        <w:rPr>
          <w:rFonts w:ascii="Palatino Linotype" w:hAnsi="Palatino Linotype"/>
          <w:szCs w:val="32"/>
        </w:rPr>
        <w:t>Om te onderzoeken of het kapitaaldekkingsstelsel inderdaad beter bestand is tegen rendementsschokken en vergrijzing wordt in deze scriptie een simulatie gedraaid</w:t>
      </w:r>
      <w:r w:rsidR="0040772E">
        <w:rPr>
          <w:rFonts w:ascii="Palatino Linotype" w:hAnsi="Palatino Linotype"/>
          <w:szCs w:val="32"/>
        </w:rPr>
        <w:t>;</w:t>
      </w:r>
      <w:r>
        <w:rPr>
          <w:rFonts w:ascii="Palatino Linotype" w:hAnsi="Palatino Linotype"/>
          <w:szCs w:val="32"/>
        </w:rPr>
        <w:t xml:space="preserve"> </w:t>
      </w:r>
      <w:r w:rsidR="0040772E">
        <w:rPr>
          <w:rFonts w:ascii="Palatino Linotype" w:hAnsi="Palatino Linotype"/>
          <w:szCs w:val="32"/>
        </w:rPr>
        <w:t>hierin wordt gekeken</w:t>
      </w:r>
      <w:r>
        <w:rPr>
          <w:rFonts w:ascii="Palatino Linotype" w:hAnsi="Palatino Linotype"/>
          <w:szCs w:val="32"/>
        </w:rPr>
        <w:t xml:space="preserve"> wat de verschillen tussen de systemen zijn in termen van de verhouding premie-inleg -gecorrigeerd voor inflatie en rendement</w:t>
      </w:r>
      <w:r w:rsidR="00C66775">
        <w:rPr>
          <w:rFonts w:ascii="Palatino Linotype" w:hAnsi="Palatino Linotype"/>
          <w:szCs w:val="32"/>
        </w:rPr>
        <w:t>-</w:t>
      </w:r>
      <w:r>
        <w:rPr>
          <w:rFonts w:ascii="Palatino Linotype" w:hAnsi="Palatino Linotype"/>
          <w:szCs w:val="32"/>
        </w:rPr>
        <w:t xml:space="preserve"> tot premie-uitbetalng. Ook worden het aantal premiebetalers en uitkeringsgerechtigden en de pensioengerechtigde leeftijd als variabelen opgenomen. </w:t>
      </w:r>
      <w:r w:rsidR="000C1AB9">
        <w:rPr>
          <w:rFonts w:ascii="Palatino Linotype" w:hAnsi="Palatino Linotype"/>
          <w:szCs w:val="32"/>
        </w:rPr>
        <w:t xml:space="preserve">In het model voor het kapitaaldekkingsstelsel </w:t>
      </w:r>
      <w:r w:rsidR="00A3443A">
        <w:rPr>
          <w:rFonts w:ascii="Palatino Linotype" w:hAnsi="Palatino Linotype"/>
          <w:szCs w:val="32"/>
        </w:rPr>
        <w:t>wordt het inlegpercentage als variabele genomen.</w:t>
      </w:r>
    </w:p>
    <w:p w:rsidR="00A3443A" w:rsidRDefault="00A3443A" w:rsidP="00654D0E">
      <w:pPr>
        <w:pStyle w:val="NoSpacing"/>
        <w:spacing w:line="360" w:lineRule="auto"/>
        <w:rPr>
          <w:rFonts w:ascii="Palatino Linotype" w:hAnsi="Palatino Linotype"/>
          <w:szCs w:val="32"/>
        </w:rPr>
      </w:pPr>
    </w:p>
    <w:p w:rsidR="00A3443A" w:rsidRDefault="006C4D9D" w:rsidP="00654D0E">
      <w:pPr>
        <w:pStyle w:val="NoSpacing"/>
        <w:spacing w:line="360" w:lineRule="auto"/>
        <w:rPr>
          <w:rFonts w:ascii="Palatino Linotype" w:hAnsi="Palatino Linotype"/>
          <w:szCs w:val="32"/>
        </w:rPr>
      </w:pPr>
      <w:r>
        <w:rPr>
          <w:rFonts w:ascii="Palatino Linotype" w:hAnsi="Palatino Linotype"/>
          <w:szCs w:val="32"/>
        </w:rPr>
        <w:t>De keuze voor de</w:t>
      </w:r>
      <w:r w:rsidR="00321822">
        <w:rPr>
          <w:rFonts w:ascii="Palatino Linotype" w:hAnsi="Palatino Linotype"/>
          <w:szCs w:val="32"/>
        </w:rPr>
        <w:t xml:space="preserve"> landen komt voort uit </w:t>
      </w:r>
      <w:r w:rsidR="000F23C8">
        <w:rPr>
          <w:rFonts w:ascii="Palatino Linotype" w:hAnsi="Palatino Linotype"/>
          <w:szCs w:val="32"/>
        </w:rPr>
        <w:t>het feit dat twee van de landen een volledig omslag- of kapitaaldekkingsstelsel hebben, namelijk Chili (volledig kapitaaldekkend</w:t>
      </w:r>
      <w:r w:rsidR="00BB1549">
        <w:rPr>
          <w:rFonts w:ascii="Palatino Linotype" w:hAnsi="Palatino Linotype"/>
          <w:szCs w:val="32"/>
        </w:rPr>
        <w:t>) en Frankrijk (volledig omslagstelsel) en de andere twee een combinatie van de twee zijn</w:t>
      </w:r>
      <w:r w:rsidR="00404D3A">
        <w:rPr>
          <w:rFonts w:ascii="Palatino Linotype" w:hAnsi="Palatino Linotype"/>
          <w:szCs w:val="32"/>
        </w:rPr>
        <w:t>, met dien verstande dat in de VS een lagere dekkingsgraad verwacht wordt, daar de tweede pijler op vrijwillige basis opgebouwd wordt</w:t>
      </w:r>
      <w:r w:rsidR="00BB1549">
        <w:rPr>
          <w:rFonts w:ascii="Palatino Linotype" w:hAnsi="Palatino Linotype"/>
          <w:szCs w:val="32"/>
        </w:rPr>
        <w:t xml:space="preserve">. </w:t>
      </w:r>
      <w:r w:rsidR="006540DC">
        <w:rPr>
          <w:rFonts w:ascii="Palatino Linotype" w:hAnsi="Palatino Linotype"/>
          <w:szCs w:val="32"/>
        </w:rPr>
        <w:t>Ook zijn deze landen politiek stabiel -geen recente (burger)oorlogen, een stabiel of groeiend bruto binnenlands product (bbp), een stabiele bevolkingsgroei en daarmee gepaard gaand een goede toegang tot anticonceptiemiddelen (CIA World Factbook, 2014).</w:t>
      </w:r>
      <w:r w:rsidR="00D62C23">
        <w:rPr>
          <w:rFonts w:ascii="Palatino Linotype" w:hAnsi="Palatino Linotype"/>
          <w:szCs w:val="32"/>
        </w:rPr>
        <w:t xml:space="preserve"> Verder is het risico op faillissement van deze landen en een eventuele liquidatie van de pensioenpot</w:t>
      </w:r>
      <w:r w:rsidR="005420A4">
        <w:rPr>
          <w:rFonts w:ascii="Palatino Linotype" w:hAnsi="Palatino Linotype"/>
          <w:szCs w:val="32"/>
        </w:rPr>
        <w:t xml:space="preserve"> nagenoeg</w:t>
      </w:r>
      <w:r w:rsidR="00D62C23">
        <w:rPr>
          <w:rFonts w:ascii="Palatino Linotype" w:hAnsi="Palatino Linotype"/>
          <w:szCs w:val="32"/>
        </w:rPr>
        <w:t xml:space="preserve"> nihil en zijn er ruim voldoende gegevens en statistieken beschikbaar voor het uitvoeren van dit onderzoek.</w:t>
      </w:r>
    </w:p>
    <w:p w:rsidR="009B4688" w:rsidRDefault="009B4688" w:rsidP="00654D0E">
      <w:pPr>
        <w:pStyle w:val="NoSpacing"/>
        <w:spacing w:line="360" w:lineRule="auto"/>
        <w:rPr>
          <w:rFonts w:ascii="Palatino Linotype" w:hAnsi="Palatino Linotype"/>
          <w:szCs w:val="32"/>
        </w:rPr>
      </w:pPr>
    </w:p>
    <w:p w:rsidR="009B4688" w:rsidRDefault="009B4688" w:rsidP="00654D0E">
      <w:pPr>
        <w:pStyle w:val="NoSpacing"/>
        <w:spacing w:line="360" w:lineRule="auto"/>
        <w:rPr>
          <w:rFonts w:ascii="Palatino Linotype" w:hAnsi="Palatino Linotype"/>
          <w:szCs w:val="32"/>
        </w:rPr>
      </w:pPr>
      <w:r>
        <w:rPr>
          <w:rFonts w:ascii="Palatino Linotype" w:hAnsi="Palatino Linotype"/>
          <w:szCs w:val="32"/>
        </w:rPr>
        <w:t xml:space="preserve">Frankrijk heeft </w:t>
      </w:r>
      <w:r w:rsidR="00437D0F">
        <w:rPr>
          <w:rFonts w:ascii="Palatino Linotype" w:hAnsi="Palatino Linotype"/>
          <w:szCs w:val="32"/>
        </w:rPr>
        <w:t xml:space="preserve">echter </w:t>
      </w:r>
      <w:r>
        <w:rPr>
          <w:rFonts w:ascii="Palatino Linotype" w:hAnsi="Palatino Linotype"/>
          <w:szCs w:val="32"/>
        </w:rPr>
        <w:t>als knellende factor</w:t>
      </w:r>
      <w:r w:rsidR="00EE6AB4">
        <w:rPr>
          <w:rFonts w:ascii="Palatino Linotype" w:hAnsi="Palatino Linotype"/>
          <w:szCs w:val="32"/>
        </w:rPr>
        <w:t xml:space="preserve"> in het stelsel</w:t>
      </w:r>
      <w:r>
        <w:rPr>
          <w:rFonts w:ascii="Palatino Linotype" w:hAnsi="Palatino Linotype"/>
          <w:szCs w:val="32"/>
        </w:rPr>
        <w:t xml:space="preserve"> niet zozeer het aantal werkenden dat relatief krimpt ten opzichte van </w:t>
      </w:r>
      <w:r w:rsidR="00011913">
        <w:rPr>
          <w:rFonts w:ascii="Palatino Linotype" w:hAnsi="Palatino Linotype"/>
          <w:szCs w:val="32"/>
        </w:rPr>
        <w:t>het aantal pensioengerechtigden, als wel dat mensen daar relatief vroeg met pensioen gaan, namelijk op 60-jarige leeftijd in plaats van 65 zoals in Nederland, vandaar dat de ingangsleeftijd van het pensioen ook als varia</w:t>
      </w:r>
      <w:r w:rsidR="00EE6AB4">
        <w:rPr>
          <w:rFonts w:ascii="Palatino Linotype" w:hAnsi="Palatino Linotype"/>
          <w:szCs w:val="32"/>
        </w:rPr>
        <w:t>bele is genomen in de simulatie; de startleeftijd waarop men begin</w:t>
      </w:r>
      <w:r w:rsidR="00644F65">
        <w:rPr>
          <w:rFonts w:ascii="Palatino Linotype" w:hAnsi="Palatino Linotype"/>
          <w:szCs w:val="32"/>
        </w:rPr>
        <w:t>t met werken wordt gesteld op 18</w:t>
      </w:r>
      <w:r w:rsidR="00B749B3">
        <w:rPr>
          <w:rFonts w:ascii="Palatino Linotype" w:hAnsi="Palatino Linotype"/>
          <w:szCs w:val="32"/>
        </w:rPr>
        <w:t>.</w:t>
      </w:r>
      <w:r w:rsidR="00EE6AB4">
        <w:rPr>
          <w:rFonts w:ascii="Palatino Linotype" w:hAnsi="Palatino Linotype"/>
          <w:szCs w:val="32"/>
        </w:rPr>
        <w:t xml:space="preserve"> </w:t>
      </w:r>
    </w:p>
    <w:p w:rsidR="00BB1549" w:rsidRDefault="00BB1549" w:rsidP="00654D0E">
      <w:pPr>
        <w:pStyle w:val="NoSpacing"/>
        <w:spacing w:line="360" w:lineRule="auto"/>
        <w:rPr>
          <w:rFonts w:ascii="Palatino Linotype" w:hAnsi="Palatino Linotype"/>
          <w:szCs w:val="32"/>
        </w:rPr>
      </w:pPr>
    </w:p>
    <w:p w:rsidR="00011913" w:rsidRDefault="009B4688" w:rsidP="00654D0E">
      <w:pPr>
        <w:pStyle w:val="NoSpacing"/>
        <w:spacing w:line="360" w:lineRule="auto"/>
        <w:rPr>
          <w:rFonts w:ascii="Palatino Linotype" w:hAnsi="Palatino Linotype"/>
          <w:szCs w:val="32"/>
        </w:rPr>
      </w:pPr>
      <w:r>
        <w:rPr>
          <w:rFonts w:ascii="Palatino Linotype" w:hAnsi="Palatino Linotype"/>
          <w:szCs w:val="32"/>
        </w:rPr>
        <w:t xml:space="preserve">In de simulatie zal data van 2002 tot en met 2012 gebruikt worden om de gemiddelde pensioenafdracht en -uitkering te bepalen, evenals de instroom van werkenden en gepensioneerden. </w:t>
      </w:r>
      <w:r w:rsidR="00011913">
        <w:rPr>
          <w:rFonts w:ascii="Palatino Linotype" w:hAnsi="Palatino Linotype"/>
          <w:szCs w:val="32"/>
        </w:rPr>
        <w:t xml:space="preserve">Overigens wordt de groep premieafdragers gedefinieerd als het percentage werkenden van de beroepsbevolking, afgeleid uit gegevens van de Wereldbank. </w:t>
      </w:r>
      <w:r w:rsidR="001413D8">
        <w:rPr>
          <w:rFonts w:ascii="Palatino Linotype" w:hAnsi="Palatino Linotype"/>
          <w:szCs w:val="32"/>
        </w:rPr>
        <w:t xml:space="preserve">In Nederland worden dus ook de zogenoemde zelfstandigen zonder personeel (zzp’ers) hierin meegenomen. Een apart pensioenfonds voor deze groep is echter op het moment van schrijven nog in oprichting; vanaf 1 januari 2015 zal dit in werking treden (zzp-nederland, juni 2014). </w:t>
      </w:r>
      <w:r w:rsidR="00437D0F">
        <w:rPr>
          <w:rFonts w:ascii="Palatino Linotype" w:hAnsi="Palatino Linotype"/>
          <w:szCs w:val="32"/>
        </w:rPr>
        <w:t>Voor de afdrachten en uitkeringen worden gegevens van de Organisatie voor Economische Samenwerking en Ontwikkeling (OESO) gebruikt, namelijk als percentage van</w:t>
      </w:r>
      <w:r w:rsidR="006540DC">
        <w:rPr>
          <w:rFonts w:ascii="Palatino Linotype" w:hAnsi="Palatino Linotype"/>
          <w:szCs w:val="32"/>
        </w:rPr>
        <w:t xml:space="preserve"> het bruto binnenlands product</w:t>
      </w:r>
      <w:r w:rsidR="00437D0F">
        <w:rPr>
          <w:rFonts w:ascii="Palatino Linotype" w:hAnsi="Palatino Linotype"/>
          <w:szCs w:val="32"/>
        </w:rPr>
        <w:t>.</w:t>
      </w:r>
    </w:p>
    <w:p w:rsidR="00C5678E" w:rsidRDefault="00C5678E" w:rsidP="00654D0E">
      <w:pPr>
        <w:pStyle w:val="NoSpacing"/>
        <w:spacing w:line="360" w:lineRule="auto"/>
        <w:rPr>
          <w:rFonts w:ascii="Palatino Linotype" w:hAnsi="Palatino Linotype"/>
          <w:szCs w:val="32"/>
        </w:rPr>
      </w:pPr>
    </w:p>
    <w:p w:rsidR="009C7FB7" w:rsidRDefault="009C7FB7" w:rsidP="00654D0E">
      <w:pPr>
        <w:pStyle w:val="NoSpacing"/>
        <w:spacing w:line="360" w:lineRule="auto"/>
        <w:rPr>
          <w:rFonts w:ascii="Palatino Linotype" w:hAnsi="Palatino Linotype"/>
          <w:szCs w:val="32"/>
        </w:rPr>
      </w:pPr>
      <w:r>
        <w:rPr>
          <w:rFonts w:ascii="Palatino Linotype" w:hAnsi="Palatino Linotype"/>
          <w:szCs w:val="32"/>
        </w:rPr>
        <w:t>Verder zullen de jaarlijkse afdrachten constant verondersteld worden en gecorrigeerd worden voor een vast rendements- en inflatiepercentage. Dit om het model overzichtelijk en hanteerbaar te houden.</w:t>
      </w:r>
      <w:r w:rsidR="00070C3D">
        <w:rPr>
          <w:rFonts w:ascii="Palatino Linotype" w:hAnsi="Palatino Linotype"/>
          <w:szCs w:val="32"/>
        </w:rPr>
        <w:t xml:space="preserve"> Deze afdrachten zullen gelijkmatig verdeeld worden over de jaren dat men pensioen geniet -levensverwachting minus pensioengerechtigde leeftijd.</w:t>
      </w:r>
      <w:r w:rsidR="00C27E33">
        <w:rPr>
          <w:rFonts w:ascii="Palatino Linotype" w:hAnsi="Palatino Linotype"/>
          <w:szCs w:val="32"/>
        </w:rPr>
        <w:t xml:space="preserve"> De grootte van de pensioengerechtigde groep kan ook uit de databank van de Wereldbank worden gehaald, namelijk het percentage van de totale bevolking dat 65 jaar of ouder is. In alle landen uit dit onderzoek is dat de pensioengerechtigde leeftijd, behalve in de Verenigde Staten waar in 2009 de leeftijd naar 66  is gegaan. De leeftijd zelf is een variabele in het onderzoek, maar om het onderzoek hanteerbaar te houden -het aantal mensen dat 66 jaar en ouder is is zeer lastig af te leiden uit de beschikbare data- wordt ook in de Verenigde Staten de groep van 65 jaar en ouder genomen.</w:t>
      </w:r>
      <w:r w:rsidR="00F91333">
        <w:rPr>
          <w:rFonts w:ascii="Palatino Linotype" w:hAnsi="Palatino Linotype"/>
          <w:szCs w:val="32"/>
        </w:rPr>
        <w:t xml:space="preserve"> In de simulatie zal deze leeftijd verhoogd worden naar 70 jaar, om de effecten van langer doorwerken en minder lang pensioneren weer te geven.</w:t>
      </w:r>
    </w:p>
    <w:p w:rsidR="00C5678E" w:rsidRDefault="00C5678E" w:rsidP="00654D0E">
      <w:pPr>
        <w:pStyle w:val="NoSpacing"/>
        <w:spacing w:line="360" w:lineRule="auto"/>
        <w:rPr>
          <w:rFonts w:ascii="Palatino Linotype" w:hAnsi="Palatino Linotype"/>
          <w:szCs w:val="32"/>
        </w:rPr>
      </w:pPr>
    </w:p>
    <w:p w:rsidR="00070C3D" w:rsidRDefault="00424A9D" w:rsidP="00654D0E">
      <w:pPr>
        <w:pStyle w:val="NoSpacing"/>
        <w:spacing w:line="360" w:lineRule="auto"/>
        <w:rPr>
          <w:rFonts w:ascii="Palatino Linotype" w:hAnsi="Palatino Linotype"/>
          <w:szCs w:val="32"/>
        </w:rPr>
      </w:pPr>
      <w:r>
        <w:rPr>
          <w:rFonts w:ascii="Palatino Linotype" w:hAnsi="Palatino Linotype"/>
          <w:szCs w:val="32"/>
        </w:rPr>
        <w:t>Met de</w:t>
      </w:r>
      <w:r w:rsidR="00A41F9A">
        <w:rPr>
          <w:rFonts w:ascii="Palatino Linotype" w:hAnsi="Palatino Linotype"/>
          <w:szCs w:val="32"/>
        </w:rPr>
        <w:t xml:space="preserve"> gegevens zal</w:t>
      </w:r>
      <w:r>
        <w:rPr>
          <w:rFonts w:ascii="Palatino Linotype" w:hAnsi="Palatino Linotype"/>
          <w:szCs w:val="32"/>
        </w:rPr>
        <w:t xml:space="preserve"> ook</w:t>
      </w:r>
      <w:r w:rsidR="00A41F9A">
        <w:rPr>
          <w:rFonts w:ascii="Palatino Linotype" w:hAnsi="Palatino Linotype"/>
          <w:szCs w:val="32"/>
        </w:rPr>
        <w:t xml:space="preserve"> onderzocht worden wat de effecten zijn van minder jongeren dan wel meer pensioengerechtigden op de mogelijkheid aan de uitkeringsverplichtingen te voldoen en of er verschillen zijn tussen de kapitaaldekkingsstelsels en de omslagstelsels.</w:t>
      </w:r>
      <w:r w:rsidR="00070C3D">
        <w:rPr>
          <w:rFonts w:ascii="Palatino Linotype" w:hAnsi="Palatino Linotype"/>
          <w:szCs w:val="32"/>
        </w:rPr>
        <w:t xml:space="preserve"> </w:t>
      </w:r>
      <w:r w:rsidR="0035153D">
        <w:rPr>
          <w:rFonts w:ascii="Palatino Linotype" w:hAnsi="Palatino Linotype"/>
          <w:szCs w:val="32"/>
        </w:rPr>
        <w:t>I</w:t>
      </w:r>
      <w:r w:rsidR="00344343">
        <w:rPr>
          <w:rFonts w:ascii="Palatino Linotype" w:hAnsi="Palatino Linotype"/>
          <w:szCs w:val="32"/>
        </w:rPr>
        <w:t>n</w:t>
      </w:r>
      <w:r w:rsidR="00070C3D">
        <w:rPr>
          <w:rFonts w:ascii="Palatino Linotype" w:hAnsi="Palatino Linotype"/>
          <w:szCs w:val="32"/>
        </w:rPr>
        <w:t xml:space="preserve"> het geval van de kapitaaldekkingsstelsels moet duidelijk worden of het afgedragen percentage al dan niet voldoende is gebleken</w:t>
      </w:r>
      <w:r w:rsidR="00344343">
        <w:rPr>
          <w:rFonts w:ascii="Palatino Linotype" w:hAnsi="Palatino Linotype"/>
          <w:szCs w:val="32"/>
        </w:rPr>
        <w:t xml:space="preserve"> om na pensionering een uitkering te genieten die voldoet in het levensonderhoud, dus in vergelijking met het bbp per capi</w:t>
      </w:r>
      <w:r w:rsidR="00F66018">
        <w:rPr>
          <w:rFonts w:ascii="Palatino Linotype" w:hAnsi="Palatino Linotype"/>
          <w:szCs w:val="32"/>
        </w:rPr>
        <w:t>ta van dat</w:t>
      </w:r>
      <w:r w:rsidR="00344343">
        <w:rPr>
          <w:rFonts w:ascii="Palatino Linotype" w:hAnsi="Palatino Linotype"/>
          <w:szCs w:val="32"/>
        </w:rPr>
        <w:t xml:space="preserve"> land</w:t>
      </w:r>
      <w:r w:rsidR="00070C3D">
        <w:rPr>
          <w:rFonts w:ascii="Palatino Linotype" w:hAnsi="Palatino Linotype"/>
          <w:szCs w:val="32"/>
        </w:rPr>
        <w:t>.</w:t>
      </w:r>
      <w:r w:rsidR="00771A24">
        <w:rPr>
          <w:rFonts w:ascii="Palatino Linotype" w:hAnsi="Palatino Linotype"/>
          <w:szCs w:val="32"/>
        </w:rPr>
        <w:t xml:space="preserve"> </w:t>
      </w:r>
    </w:p>
    <w:p w:rsidR="00BC1C3C" w:rsidRDefault="00BC1C3C" w:rsidP="00654D0E">
      <w:pPr>
        <w:pStyle w:val="NoSpacing"/>
        <w:spacing w:line="360" w:lineRule="auto"/>
        <w:rPr>
          <w:rFonts w:ascii="Palatino Linotype" w:hAnsi="Palatino Linotype"/>
          <w:szCs w:val="32"/>
        </w:rPr>
      </w:pPr>
    </w:p>
    <w:p w:rsidR="00DA0EA5" w:rsidRDefault="00BC1C3C" w:rsidP="00654D0E">
      <w:pPr>
        <w:pStyle w:val="NoSpacing"/>
        <w:spacing w:line="360" w:lineRule="auto"/>
        <w:rPr>
          <w:rFonts w:ascii="Palatino Linotype" w:hAnsi="Palatino Linotype"/>
          <w:szCs w:val="32"/>
        </w:rPr>
      </w:pPr>
      <w:r>
        <w:rPr>
          <w:rFonts w:ascii="Palatino Linotype" w:hAnsi="Palatino Linotype"/>
          <w:szCs w:val="32"/>
        </w:rPr>
        <w:t xml:space="preserve">De verwachting is dat het kapitaaldekkingsstelsel beter bestand is tegen het </w:t>
      </w:r>
      <w:r w:rsidR="00CD313A">
        <w:rPr>
          <w:rFonts w:ascii="Palatino Linotype" w:hAnsi="Palatino Linotype"/>
          <w:szCs w:val="32"/>
        </w:rPr>
        <w:t>v</w:t>
      </w:r>
      <w:r>
        <w:rPr>
          <w:rFonts w:ascii="Palatino Linotype" w:hAnsi="Palatino Linotype"/>
          <w:szCs w:val="32"/>
        </w:rPr>
        <w:t>ergrijzingseffect waarin er minder werkenden zijn en meer</w:t>
      </w:r>
      <w:r w:rsidR="00DA0EA5">
        <w:rPr>
          <w:rFonts w:ascii="Palatino Linotype" w:hAnsi="Palatino Linotype"/>
          <w:szCs w:val="32"/>
        </w:rPr>
        <w:t xml:space="preserve"> gepensioneerden, doordat in principe niemand van elkaar afhankelijk is bij de opbouw van het pensioen. Voor wat betreft de rendementsschommelingen zal eenzelfde gevoeligheid -in de zin van procentuele verandering in dekkingsgraad- verwacht worden, wellicht zelfs sterker, daar dit een van de enige variabelen is die mee spelen in het kapitaaldekkingssysteem.</w:t>
      </w:r>
    </w:p>
    <w:p w:rsidR="00DA0EA5" w:rsidRDefault="00DA0EA5" w:rsidP="00654D0E">
      <w:pPr>
        <w:pStyle w:val="NoSpacing"/>
        <w:spacing w:line="360" w:lineRule="auto"/>
        <w:rPr>
          <w:rFonts w:ascii="Palatino Linotype" w:hAnsi="Palatino Linotype"/>
          <w:szCs w:val="32"/>
        </w:rPr>
      </w:pPr>
    </w:p>
    <w:p w:rsidR="00DA0EA5" w:rsidRDefault="00DA0EA5" w:rsidP="00654D0E">
      <w:pPr>
        <w:pStyle w:val="NoSpacing"/>
        <w:spacing w:line="360" w:lineRule="auto"/>
        <w:rPr>
          <w:rFonts w:ascii="Palatino Linotype" w:hAnsi="Palatino Linotype"/>
          <w:szCs w:val="32"/>
        </w:rPr>
      </w:pPr>
      <w:r>
        <w:rPr>
          <w:rFonts w:ascii="Palatino Linotype" w:hAnsi="Palatino Linotype"/>
          <w:szCs w:val="32"/>
        </w:rPr>
        <w:t>Ten slotte zal een gelijke gevoeligheid</w:t>
      </w:r>
      <w:r w:rsidR="00A21947">
        <w:rPr>
          <w:rFonts w:ascii="Palatino Linotype" w:hAnsi="Palatino Linotype"/>
          <w:szCs w:val="32"/>
        </w:rPr>
        <w:t xml:space="preserve"> verwacht worden voor het doorwerken tot het zeventigste levensjaar, omdat hier in gelijke verhouding de premiebaten toenemen respectievelijk de hoogte van de -totale- uitkering afneemt.</w:t>
      </w:r>
    </w:p>
    <w:p w:rsidR="00DA0EA5" w:rsidRDefault="00DA0EA5" w:rsidP="003B6142">
      <w:pPr>
        <w:pStyle w:val="NoSpacing"/>
        <w:rPr>
          <w:rFonts w:ascii="Palatino Linotype" w:hAnsi="Palatino Linotype"/>
          <w:szCs w:val="32"/>
        </w:rPr>
      </w:pPr>
    </w:p>
    <w:p w:rsidR="0059756C" w:rsidRDefault="0059756C" w:rsidP="00654D0E">
      <w:pPr>
        <w:spacing w:line="360" w:lineRule="auto"/>
        <w:rPr>
          <w:rFonts w:ascii="Palatino Linotype" w:hAnsi="Palatino Linotype"/>
          <w:szCs w:val="32"/>
        </w:rPr>
      </w:pPr>
      <w:r>
        <w:rPr>
          <w:rFonts w:ascii="Palatino Linotype" w:hAnsi="Palatino Linotype"/>
          <w:szCs w:val="32"/>
        </w:rPr>
        <w:br w:type="page"/>
      </w:r>
    </w:p>
    <w:p w:rsidR="00BC1C3C" w:rsidRDefault="005444F4" w:rsidP="003B6142">
      <w:pPr>
        <w:pStyle w:val="NoSpacing"/>
        <w:rPr>
          <w:rFonts w:ascii="Palatino Linotype" w:hAnsi="Palatino Linotype"/>
          <w:szCs w:val="32"/>
        </w:rPr>
      </w:pPr>
      <w:r>
        <w:rPr>
          <w:rFonts w:ascii="Palatino Linotype" w:hAnsi="Palatino Linotype"/>
          <w:b/>
          <w:szCs w:val="32"/>
        </w:rPr>
        <w:t>Data en Methodologie</w:t>
      </w:r>
    </w:p>
    <w:p w:rsidR="005444F4" w:rsidRDefault="005444F4" w:rsidP="003B6142">
      <w:pPr>
        <w:pStyle w:val="NoSpacing"/>
        <w:rPr>
          <w:rFonts w:ascii="Palatino Linotype" w:hAnsi="Palatino Linotype"/>
          <w:szCs w:val="32"/>
        </w:rPr>
      </w:pPr>
    </w:p>
    <w:p w:rsidR="004E02C4" w:rsidRPr="004E02C4" w:rsidRDefault="004E02C4" w:rsidP="003B6142">
      <w:pPr>
        <w:pStyle w:val="NoSpacing"/>
        <w:rPr>
          <w:rFonts w:ascii="Palatino Linotype" w:hAnsi="Palatino Linotype"/>
          <w:i/>
          <w:szCs w:val="32"/>
        </w:rPr>
      </w:pPr>
      <w:r>
        <w:rPr>
          <w:rFonts w:ascii="Palatino Linotype" w:hAnsi="Palatino Linotype"/>
          <w:i/>
          <w:szCs w:val="32"/>
        </w:rPr>
        <w:t>Data</w:t>
      </w:r>
    </w:p>
    <w:p w:rsidR="004E02C4" w:rsidRDefault="004E02C4" w:rsidP="003B6142">
      <w:pPr>
        <w:pStyle w:val="NoSpacing"/>
        <w:rPr>
          <w:rFonts w:ascii="Palatino Linotype" w:hAnsi="Palatino Linotype"/>
          <w:szCs w:val="32"/>
        </w:rPr>
      </w:pPr>
    </w:p>
    <w:p w:rsidR="007B2E23" w:rsidRDefault="00791F24" w:rsidP="00654D0E">
      <w:pPr>
        <w:pStyle w:val="NoSpacing"/>
        <w:spacing w:line="360" w:lineRule="auto"/>
        <w:rPr>
          <w:rFonts w:ascii="Palatino Linotype" w:hAnsi="Palatino Linotype"/>
          <w:szCs w:val="32"/>
        </w:rPr>
      </w:pPr>
      <w:r>
        <w:rPr>
          <w:rFonts w:ascii="Palatino Linotype" w:hAnsi="Palatino Linotype"/>
          <w:szCs w:val="32"/>
        </w:rPr>
        <w:t xml:space="preserve">De data uit deze scriptie zijn afkomstig van meerdere bronnen. Als belangrijkste bron voor de landenanalyse is de Organisatie voor Economische Samenwerking en Ontwikkeling </w:t>
      </w:r>
      <w:r w:rsidR="00FB14C4">
        <w:rPr>
          <w:rFonts w:ascii="Palatino Linotype" w:hAnsi="Palatino Linotype"/>
          <w:szCs w:val="32"/>
        </w:rPr>
        <w:t xml:space="preserve">(OESO) </w:t>
      </w:r>
      <w:r>
        <w:rPr>
          <w:rFonts w:ascii="Palatino Linotype" w:hAnsi="Palatino Linotype"/>
          <w:szCs w:val="32"/>
        </w:rPr>
        <w:t>gebruikt en meer specifiek de International Organisation for Pension Supervisors, die landenrapporten heeft opgesteld voor het OESO.</w:t>
      </w:r>
      <w:r w:rsidR="007D3A60">
        <w:rPr>
          <w:rFonts w:ascii="Palatino Linotype" w:hAnsi="Palatino Linotype"/>
          <w:szCs w:val="32"/>
        </w:rPr>
        <w:t xml:space="preserve"> In deze rapporten staat hoe veel de landen uitgeven aan pensioenen en hoe veel er in die landen aan pensioenpremies wordt afgedragen</w:t>
      </w:r>
      <w:r w:rsidR="00972DAD">
        <w:rPr>
          <w:rFonts w:ascii="Palatino Linotype" w:hAnsi="Palatino Linotype"/>
          <w:szCs w:val="32"/>
        </w:rPr>
        <w:t xml:space="preserve"> door de beroepsbevolking</w:t>
      </w:r>
      <w:r w:rsidR="007D3A60">
        <w:rPr>
          <w:rFonts w:ascii="Palatino Linotype" w:hAnsi="Palatino Linotype"/>
          <w:szCs w:val="32"/>
        </w:rPr>
        <w:t>.</w:t>
      </w:r>
      <w:r>
        <w:rPr>
          <w:rFonts w:ascii="Palatino Linotype" w:hAnsi="Palatino Linotype"/>
          <w:szCs w:val="32"/>
        </w:rPr>
        <w:t xml:space="preserve"> </w:t>
      </w:r>
    </w:p>
    <w:p w:rsidR="007B2E23" w:rsidRDefault="007B2E23" w:rsidP="00654D0E">
      <w:pPr>
        <w:pStyle w:val="NoSpacing"/>
        <w:spacing w:line="360" w:lineRule="auto"/>
        <w:rPr>
          <w:rFonts w:ascii="Palatino Linotype" w:hAnsi="Palatino Linotype"/>
          <w:szCs w:val="32"/>
        </w:rPr>
      </w:pPr>
    </w:p>
    <w:p w:rsidR="005444F4" w:rsidRDefault="007D3A60" w:rsidP="00654D0E">
      <w:pPr>
        <w:pStyle w:val="NoSpacing"/>
        <w:spacing w:line="360" w:lineRule="auto"/>
        <w:rPr>
          <w:rFonts w:ascii="Palatino Linotype" w:hAnsi="Palatino Linotype"/>
          <w:szCs w:val="32"/>
        </w:rPr>
      </w:pPr>
      <w:r>
        <w:rPr>
          <w:rFonts w:ascii="Palatino Linotype" w:hAnsi="Palatino Linotype"/>
          <w:szCs w:val="32"/>
        </w:rPr>
        <w:t>Verder is gebruik gemaakt van de Wereldbank voor economische cijfers zoals bbp, werkgelegenheid</w:t>
      </w:r>
      <w:r w:rsidR="00441449">
        <w:rPr>
          <w:rFonts w:ascii="Palatino Linotype" w:hAnsi="Palatino Linotype"/>
          <w:szCs w:val="32"/>
        </w:rPr>
        <w:t>, bevolkingsgrootte</w:t>
      </w:r>
      <w:r>
        <w:rPr>
          <w:rFonts w:ascii="Palatino Linotype" w:hAnsi="Palatino Linotype"/>
          <w:szCs w:val="32"/>
        </w:rPr>
        <w:t xml:space="preserve"> en </w:t>
      </w:r>
      <w:r w:rsidR="00972DAD">
        <w:rPr>
          <w:rFonts w:ascii="Palatino Linotype" w:hAnsi="Palatino Linotype"/>
          <w:szCs w:val="32"/>
        </w:rPr>
        <w:t>levensverwachting.</w:t>
      </w:r>
      <w:r w:rsidR="007B2E23">
        <w:rPr>
          <w:rFonts w:ascii="Palatino Linotype" w:hAnsi="Palatino Linotype"/>
          <w:szCs w:val="32"/>
        </w:rPr>
        <w:t xml:space="preserve"> De data zijn afkomstig uit de periode 2002 tot en met 2012; een periode die lang genoeg is om trends in premieafdrachten en -uitkeringen, ontwikkeling van de levensverwachting en </w:t>
      </w:r>
      <w:r w:rsidR="005C47CD">
        <w:rPr>
          <w:rFonts w:ascii="Palatino Linotype" w:hAnsi="Palatino Linotype"/>
          <w:szCs w:val="32"/>
        </w:rPr>
        <w:t>gemiddeldes van bbp per hoofd van de bevolking te kunnen waarnemen. Zeker ook omdat</w:t>
      </w:r>
      <w:r w:rsidR="00B47567">
        <w:rPr>
          <w:rFonts w:ascii="Palatino Linotype" w:hAnsi="Palatino Linotype"/>
          <w:szCs w:val="32"/>
        </w:rPr>
        <w:t xml:space="preserve"> in</w:t>
      </w:r>
      <w:r w:rsidR="005C47CD">
        <w:rPr>
          <w:rFonts w:ascii="Palatino Linotype" w:hAnsi="Palatino Linotype"/>
          <w:szCs w:val="32"/>
        </w:rPr>
        <w:t xml:space="preserve"> deze periode momenten van zowel hoog- als laagconjunctuur </w:t>
      </w:r>
      <w:r w:rsidR="00B47567">
        <w:rPr>
          <w:rFonts w:ascii="Palatino Linotype" w:hAnsi="Palatino Linotype"/>
          <w:szCs w:val="32"/>
        </w:rPr>
        <w:t>hebben</w:t>
      </w:r>
      <w:r w:rsidR="005C47CD">
        <w:rPr>
          <w:rFonts w:ascii="Palatino Linotype" w:hAnsi="Palatino Linotype"/>
          <w:szCs w:val="32"/>
        </w:rPr>
        <w:t xml:space="preserve"> </w:t>
      </w:r>
      <w:r w:rsidR="00B47567">
        <w:rPr>
          <w:rFonts w:ascii="Palatino Linotype" w:hAnsi="Palatino Linotype"/>
          <w:szCs w:val="32"/>
        </w:rPr>
        <w:t>plaatsgevonden</w:t>
      </w:r>
      <w:r w:rsidR="005C47CD">
        <w:rPr>
          <w:rFonts w:ascii="Palatino Linotype" w:hAnsi="Palatino Linotype"/>
          <w:szCs w:val="32"/>
        </w:rPr>
        <w:t>.</w:t>
      </w:r>
      <w:r w:rsidR="00441449">
        <w:rPr>
          <w:rFonts w:ascii="Palatino Linotype" w:hAnsi="Palatino Linotype"/>
          <w:szCs w:val="32"/>
        </w:rPr>
        <w:t xml:space="preserve"> De werkzame beroepsbevolking is gekozen als groep premieplichtigen en die is berekend door het werkgelegenheidspercentage uit een land te vermenigvuldigen met de totale beroepsbevolking van dat land. Het aantal pensioengerechtigden is gesteld op het aantal mensen ouder dan 65.</w:t>
      </w:r>
    </w:p>
    <w:p w:rsidR="00B47567" w:rsidRDefault="00B47567" w:rsidP="00654D0E">
      <w:pPr>
        <w:pStyle w:val="NoSpacing"/>
        <w:spacing w:line="360" w:lineRule="auto"/>
        <w:rPr>
          <w:rFonts w:ascii="Palatino Linotype" w:hAnsi="Palatino Linotype"/>
          <w:szCs w:val="32"/>
        </w:rPr>
      </w:pPr>
    </w:p>
    <w:p w:rsidR="00B47567" w:rsidRDefault="00630469" w:rsidP="00654D0E">
      <w:pPr>
        <w:pStyle w:val="NoSpacing"/>
        <w:spacing w:line="360" w:lineRule="auto"/>
        <w:rPr>
          <w:rFonts w:ascii="Palatino Linotype" w:hAnsi="Palatino Linotype"/>
          <w:szCs w:val="32"/>
        </w:rPr>
      </w:pPr>
      <w:r>
        <w:rPr>
          <w:rFonts w:ascii="Palatino Linotype" w:hAnsi="Palatino Linotype"/>
          <w:szCs w:val="32"/>
        </w:rPr>
        <w:t>Ten slotte is gebruik gemaakt van de nationale statistische bureaus van de vier landen, te weten het Centraal Bureau voor de Statistiek te Nederland, het U.S. Bureau of Labor Statistics voor de Verenigde Staten, het Institut National de la Statistique et des Etudes Economiques voor Frankrijk en Instituto Nacional de Estadísticas voor Chili</w:t>
      </w:r>
      <w:r w:rsidR="00565242">
        <w:rPr>
          <w:rFonts w:ascii="Palatino Linotype" w:hAnsi="Palatino Linotype"/>
          <w:szCs w:val="32"/>
        </w:rPr>
        <w:t xml:space="preserve"> (CBS, US BLS, Insee, INE, 2014)</w:t>
      </w:r>
      <w:r>
        <w:rPr>
          <w:rFonts w:ascii="Palatino Linotype" w:hAnsi="Palatino Linotype"/>
          <w:szCs w:val="32"/>
        </w:rPr>
        <w:t>.</w:t>
      </w:r>
    </w:p>
    <w:p w:rsidR="00FC20AE" w:rsidRDefault="00FC20AE" w:rsidP="00654D0E">
      <w:pPr>
        <w:pStyle w:val="NoSpacing"/>
        <w:spacing w:line="360" w:lineRule="auto"/>
        <w:rPr>
          <w:rFonts w:ascii="Palatino Linotype" w:hAnsi="Palatino Linotype"/>
          <w:szCs w:val="32"/>
        </w:rPr>
      </w:pPr>
    </w:p>
    <w:p w:rsidR="00FC20AE" w:rsidRDefault="007B3717" w:rsidP="00654D0E">
      <w:pPr>
        <w:pStyle w:val="NoSpacing"/>
        <w:spacing w:line="360" w:lineRule="auto"/>
        <w:rPr>
          <w:rFonts w:ascii="Palatino Linotype" w:hAnsi="Palatino Linotype"/>
          <w:szCs w:val="32"/>
        </w:rPr>
      </w:pPr>
      <w:r>
        <w:rPr>
          <w:rFonts w:ascii="Palatino Linotype" w:hAnsi="Palatino Linotype"/>
          <w:szCs w:val="32"/>
        </w:rPr>
        <w:t>Daarbij moet wel gesteld worden dat i</w:t>
      </w:r>
      <w:r w:rsidR="00FC20AE">
        <w:rPr>
          <w:rFonts w:ascii="Palatino Linotype" w:hAnsi="Palatino Linotype"/>
          <w:szCs w:val="32"/>
        </w:rPr>
        <w:t>n de formules is gekozen om</w:t>
      </w:r>
      <w:r>
        <w:rPr>
          <w:rFonts w:ascii="Palatino Linotype" w:hAnsi="Palatino Linotype"/>
          <w:szCs w:val="32"/>
        </w:rPr>
        <w:t xml:space="preserve"> de gemiddelde waarden uit de datarijen te gebruiken. Hiermee</w:t>
      </w:r>
      <w:r w:rsidR="00DC7C69">
        <w:rPr>
          <w:rFonts w:ascii="Palatino Linotype" w:hAnsi="Palatino Linotype"/>
          <w:szCs w:val="32"/>
        </w:rPr>
        <w:t xml:space="preserve"> wordt bedoeld dat, voor bijvoorbeeld de pensioenafdracht per persoon per jaar</w:t>
      </w:r>
      <w:r w:rsidR="00027A34">
        <w:rPr>
          <w:rFonts w:ascii="Palatino Linotype" w:hAnsi="Palatino Linotype"/>
          <w:szCs w:val="32"/>
        </w:rPr>
        <w:t>,</w:t>
      </w:r>
      <w:r w:rsidR="00DC7C69">
        <w:rPr>
          <w:rFonts w:ascii="Palatino Linotype" w:hAnsi="Palatino Linotype"/>
          <w:szCs w:val="32"/>
        </w:rPr>
        <w:t xml:space="preserve"> het gemiddelde is genomen van de datarij van 2002 tot en met 2012</w:t>
      </w:r>
      <w:r w:rsidR="00390A2C">
        <w:rPr>
          <w:rFonts w:ascii="Palatino Linotype" w:hAnsi="Palatino Linotype"/>
          <w:szCs w:val="32"/>
        </w:rPr>
        <w:t xml:space="preserve"> voor een bepaald land</w:t>
      </w:r>
      <w:r w:rsidR="00562E93">
        <w:rPr>
          <w:rFonts w:ascii="Palatino Linotype" w:hAnsi="Palatino Linotype"/>
          <w:szCs w:val="32"/>
        </w:rPr>
        <w:t xml:space="preserve"> (zie data in de bijlage)</w:t>
      </w:r>
      <w:r w:rsidR="00DC7C69">
        <w:rPr>
          <w:rFonts w:ascii="Palatino Linotype" w:hAnsi="Palatino Linotype"/>
          <w:szCs w:val="32"/>
        </w:rPr>
        <w:t>. Dit gemiddelde wordt in de simulatieformules gebruikt als inputwaarde voor de factor pensioenafdracht.</w:t>
      </w:r>
      <w:r w:rsidR="00B53D3C">
        <w:rPr>
          <w:rFonts w:ascii="Palatino Linotype" w:hAnsi="Palatino Linotype"/>
          <w:szCs w:val="32"/>
        </w:rPr>
        <w:t xml:space="preserve"> Z</w:t>
      </w:r>
      <w:r w:rsidR="00FC20AE">
        <w:rPr>
          <w:rFonts w:ascii="Palatino Linotype" w:hAnsi="Palatino Linotype"/>
          <w:szCs w:val="32"/>
        </w:rPr>
        <w:t xml:space="preserve">o </w:t>
      </w:r>
      <w:r w:rsidR="00B53D3C">
        <w:rPr>
          <w:rFonts w:ascii="Palatino Linotype" w:hAnsi="Palatino Linotype"/>
          <w:szCs w:val="32"/>
        </w:rPr>
        <w:t xml:space="preserve">kan </w:t>
      </w:r>
      <w:r w:rsidR="00FC20AE">
        <w:rPr>
          <w:rFonts w:ascii="Palatino Linotype" w:hAnsi="Palatino Linotype"/>
          <w:szCs w:val="32"/>
        </w:rPr>
        <w:t>een be</w:t>
      </w:r>
      <w:r w:rsidR="00B53D3C">
        <w:rPr>
          <w:rFonts w:ascii="Palatino Linotype" w:hAnsi="Palatino Linotype"/>
          <w:szCs w:val="32"/>
        </w:rPr>
        <w:t xml:space="preserve">nadering verkregen worden </w:t>
      </w:r>
      <w:r w:rsidR="00FC20AE">
        <w:rPr>
          <w:rFonts w:ascii="Palatino Linotype" w:hAnsi="Palatino Linotype"/>
          <w:szCs w:val="32"/>
        </w:rPr>
        <w:t>van de juiste data voor de gebruikte periode.</w:t>
      </w:r>
    </w:p>
    <w:p w:rsidR="004E02C4" w:rsidRDefault="004E02C4" w:rsidP="00654D0E">
      <w:pPr>
        <w:pStyle w:val="NoSpacing"/>
        <w:spacing w:line="360" w:lineRule="auto"/>
        <w:rPr>
          <w:rFonts w:ascii="Palatino Linotype" w:hAnsi="Palatino Linotype"/>
          <w:szCs w:val="32"/>
        </w:rPr>
      </w:pPr>
    </w:p>
    <w:p w:rsidR="004E02C4" w:rsidRDefault="004E02C4" w:rsidP="00654D0E">
      <w:pPr>
        <w:pStyle w:val="NoSpacing"/>
        <w:spacing w:line="360" w:lineRule="auto"/>
        <w:rPr>
          <w:rFonts w:ascii="Palatino Linotype" w:hAnsi="Palatino Linotype"/>
          <w:szCs w:val="32"/>
        </w:rPr>
      </w:pPr>
      <w:r>
        <w:rPr>
          <w:rFonts w:ascii="Palatino Linotype" w:hAnsi="Palatino Linotype"/>
          <w:i/>
          <w:szCs w:val="32"/>
        </w:rPr>
        <w:t>Methodologie</w:t>
      </w:r>
    </w:p>
    <w:p w:rsidR="004E02C4" w:rsidRDefault="004E02C4" w:rsidP="00654D0E">
      <w:pPr>
        <w:pStyle w:val="NoSpacing"/>
        <w:spacing w:line="360" w:lineRule="auto"/>
        <w:rPr>
          <w:rFonts w:ascii="Palatino Linotype" w:hAnsi="Palatino Linotype"/>
          <w:szCs w:val="32"/>
        </w:rPr>
      </w:pPr>
    </w:p>
    <w:p w:rsidR="00DD6506" w:rsidRDefault="008C1222" w:rsidP="00654D0E">
      <w:pPr>
        <w:pStyle w:val="NoSpacing"/>
        <w:spacing w:line="360" w:lineRule="auto"/>
        <w:rPr>
          <w:rFonts w:ascii="Palatino Linotype" w:hAnsi="Palatino Linotype"/>
        </w:rPr>
      </w:pPr>
      <w:r>
        <w:rPr>
          <w:rFonts w:ascii="Palatino Linotype" w:hAnsi="Palatino Linotype"/>
        </w:rPr>
        <w:t xml:space="preserve">Als eerste zal het model met enkel pay-as-you-go besproken worden; dit is het Franse systeem. </w:t>
      </w:r>
      <w:r w:rsidR="00DD6506" w:rsidRPr="00796723">
        <w:rPr>
          <w:rFonts w:ascii="Palatino Linotype" w:hAnsi="Palatino Linotype"/>
        </w:rPr>
        <w:t xml:space="preserve">Er is vanuit gegaan dat gedurende een periode van </w:t>
      </w:r>
      <w:r w:rsidR="00DD6506" w:rsidRPr="00796723">
        <w:rPr>
          <w:rFonts w:ascii="Palatino Linotype" w:hAnsi="Palatino Linotype"/>
          <w:i/>
        </w:rPr>
        <w:t>n</w:t>
      </w:r>
      <w:r w:rsidR="00DD6506" w:rsidRPr="00796723">
        <w:rPr>
          <w:rFonts w:ascii="Palatino Linotype" w:hAnsi="Palatino Linotype"/>
        </w:rPr>
        <w:t xml:space="preserve"> jaren (pensioengerechtigde</w:t>
      </w:r>
      <w:r w:rsidR="00AD1CF0">
        <w:rPr>
          <w:rFonts w:ascii="Palatino Linotype" w:hAnsi="Palatino Linotype"/>
        </w:rPr>
        <w:t xml:space="preserve"> leeftijd minus</w:t>
      </w:r>
      <w:r w:rsidR="00644F65">
        <w:rPr>
          <w:rFonts w:ascii="Palatino Linotype" w:hAnsi="Palatino Linotype"/>
        </w:rPr>
        <w:t xml:space="preserve"> startleeftijd van 18</w:t>
      </w:r>
      <w:r w:rsidR="00DD6506" w:rsidRPr="00796723">
        <w:rPr>
          <w:rFonts w:ascii="Palatino Linotype" w:hAnsi="Palatino Linotype"/>
        </w:rPr>
        <w:t>) steeds aan het begin van elke periode een bepaald</w:t>
      </w:r>
      <w:r w:rsidR="00AD1CF0">
        <w:rPr>
          <w:rFonts w:ascii="Palatino Linotype" w:hAnsi="Palatino Linotype"/>
        </w:rPr>
        <w:t xml:space="preserve"> -vast-</w:t>
      </w:r>
      <w:r w:rsidR="00DD6506" w:rsidRPr="00796723">
        <w:rPr>
          <w:rFonts w:ascii="Palatino Linotype" w:hAnsi="Palatino Linotype"/>
        </w:rPr>
        <w:t xml:space="preserve"> bedrag</w:t>
      </w:r>
      <w:r>
        <w:rPr>
          <w:rFonts w:ascii="Palatino Linotype" w:hAnsi="Palatino Linotype"/>
        </w:rPr>
        <w:t xml:space="preserve"> (B)</w:t>
      </w:r>
      <w:r w:rsidR="00DD6506" w:rsidRPr="00796723">
        <w:rPr>
          <w:rFonts w:ascii="Palatino Linotype" w:hAnsi="Palatino Linotype"/>
        </w:rPr>
        <w:t xml:space="preserve"> afgedragen wordt aan een </w:t>
      </w:r>
      <w:r w:rsidR="00DD6506">
        <w:rPr>
          <w:rFonts w:ascii="Palatino Linotype" w:hAnsi="Palatino Linotype"/>
        </w:rPr>
        <w:t xml:space="preserve"> (staats)pensioenfonds. Deze afdracht wordt</w:t>
      </w:r>
      <w:r w:rsidR="005460F1">
        <w:rPr>
          <w:rFonts w:ascii="Palatino Linotype" w:hAnsi="Palatino Linotype"/>
        </w:rPr>
        <w:t xml:space="preserve"> constant verondersteld en is gelijk aan het als bedrag uitgedrukte percentage van het bbp in een bepaald land dat binnenkomt als premieafdracht; per werknemer per jaar</w:t>
      </w:r>
      <w:r w:rsidR="001A3BDF">
        <w:rPr>
          <w:rFonts w:ascii="Palatino Linotype" w:hAnsi="Palatino Linotype"/>
        </w:rPr>
        <w:t xml:space="preserve"> (zie bijlage: tabel Afdracht%GDP)</w:t>
      </w:r>
      <w:r w:rsidR="00DD6506">
        <w:rPr>
          <w:rFonts w:ascii="Palatino Linotype" w:hAnsi="Palatino Linotype"/>
        </w:rPr>
        <w:t xml:space="preserve">. </w:t>
      </w:r>
      <w:r w:rsidR="00AD1CF0">
        <w:rPr>
          <w:rFonts w:ascii="Palatino Linotype" w:hAnsi="Palatino Linotype"/>
        </w:rPr>
        <w:t>Dit</w:t>
      </w:r>
      <w:r>
        <w:rPr>
          <w:rFonts w:ascii="Palatino Linotype" w:hAnsi="Palatino Linotype"/>
        </w:rPr>
        <w:t xml:space="preserve"> systeem van vaste afdracht</w:t>
      </w:r>
      <w:r w:rsidR="00AD1CF0">
        <w:rPr>
          <w:rFonts w:ascii="Palatino Linotype" w:hAnsi="Palatino Linotype"/>
        </w:rPr>
        <w:t xml:space="preserve"> noemt men ook wel Defined Contribution</w:t>
      </w:r>
      <w:r w:rsidR="00067262">
        <w:rPr>
          <w:rFonts w:ascii="Palatino Linotype" w:hAnsi="Palatino Linotype"/>
        </w:rPr>
        <w:t xml:space="preserve"> (IOPS, 2013)</w:t>
      </w:r>
      <w:r w:rsidR="00AD1CF0">
        <w:rPr>
          <w:rFonts w:ascii="Palatino Linotype" w:hAnsi="Palatino Linotype"/>
        </w:rPr>
        <w:t>.</w:t>
      </w:r>
    </w:p>
    <w:p w:rsidR="00DD6506" w:rsidRDefault="00DD6506" w:rsidP="00654D0E">
      <w:pPr>
        <w:pStyle w:val="NoSpacing"/>
        <w:spacing w:line="360" w:lineRule="auto"/>
        <w:rPr>
          <w:rFonts w:ascii="Palatino Linotype" w:hAnsi="Palatino Linotype"/>
        </w:rPr>
      </w:pPr>
    </w:p>
    <w:p w:rsidR="00DD6506" w:rsidRDefault="005750E3" w:rsidP="00654D0E">
      <w:pPr>
        <w:pStyle w:val="NoSpacing"/>
        <w:spacing w:line="360" w:lineRule="auto"/>
        <w:rPr>
          <w:rFonts w:ascii="Palatino Linotype" w:hAnsi="Palatino Linotype"/>
        </w:rPr>
      </w:pPr>
      <w:r>
        <w:rPr>
          <w:rFonts w:ascii="Palatino Linotype" w:hAnsi="Palatino Linotype"/>
        </w:rPr>
        <w:t xml:space="preserve">Het model zelf </w:t>
      </w:r>
      <w:r w:rsidR="00DD6506">
        <w:rPr>
          <w:rFonts w:ascii="Palatino Linotype" w:hAnsi="Palatino Linotype"/>
        </w:rPr>
        <w:t>zit als volgt in el</w:t>
      </w:r>
      <w:r w:rsidR="000B28AB">
        <w:rPr>
          <w:rFonts w:ascii="Palatino Linotype" w:hAnsi="Palatino Linotype"/>
        </w:rPr>
        <w:t>kaar: het bedrag B</w:t>
      </w:r>
      <w:r w:rsidR="00DD6506">
        <w:rPr>
          <w:rFonts w:ascii="Palatino Linotype" w:hAnsi="Palatino Linotype"/>
        </w:rPr>
        <w:t xml:space="preserve"> wordt vermenigvuldigd met de hoogte van het rendement in dat jaar en gedeeld door de inflatie van dat jaar</w:t>
      </w:r>
      <w:r w:rsidR="000A40C7">
        <w:rPr>
          <w:rFonts w:ascii="Palatino Linotype" w:hAnsi="Palatino Linotype"/>
        </w:rPr>
        <w:t>.</w:t>
      </w:r>
      <w:r w:rsidR="00DD6506">
        <w:rPr>
          <w:rFonts w:ascii="Palatino Linotype" w:hAnsi="Palatino Linotype"/>
        </w:rPr>
        <w:t xml:space="preserve"> De inleg die echter in jaar 1 wordt gedaan, wordt in elk opvolgend jaar meegenomen en gecorrigeerd voor inflatie</w:t>
      </w:r>
      <w:r w:rsidR="00B24D59">
        <w:rPr>
          <w:rFonts w:ascii="Palatino Linotype" w:hAnsi="Palatino Linotype"/>
        </w:rPr>
        <w:t xml:space="preserve"> (π)</w:t>
      </w:r>
      <w:r w:rsidR="00DD6506">
        <w:rPr>
          <w:rFonts w:ascii="Palatino Linotype" w:hAnsi="Palatino Linotype"/>
        </w:rPr>
        <w:t xml:space="preserve"> en rendement</w:t>
      </w:r>
      <w:r w:rsidR="00B24D59">
        <w:rPr>
          <w:rFonts w:ascii="Palatino Linotype" w:hAnsi="Palatino Linotype"/>
        </w:rPr>
        <w:t xml:space="preserve"> (R)</w:t>
      </w:r>
      <w:r w:rsidR="00DD6506">
        <w:rPr>
          <w:rFonts w:ascii="Palatino Linotype" w:hAnsi="Palatino Linotype"/>
        </w:rPr>
        <w:t xml:space="preserve">. De inleggen van de volgende jaren worden daarbij opgeteld, zodat een uitwaaierend effect optreedt. </w:t>
      </w:r>
      <w:r w:rsidR="000A40C7">
        <w:rPr>
          <w:rFonts w:ascii="Palatino Linotype" w:hAnsi="Palatino Linotype"/>
        </w:rPr>
        <w:t>Aan het eind van de ‘waaier’ vormt zich dus een getal wat de totale eindwaarde van de pensioenpot weergeeft, gecorrigeerd voor rendement en inflatie.</w:t>
      </w:r>
      <w:r w:rsidR="00E04902">
        <w:rPr>
          <w:rFonts w:ascii="Palatino Linotype" w:hAnsi="Palatino Linotype"/>
        </w:rPr>
        <w:t xml:space="preserve"> </w:t>
      </w:r>
      <w:r w:rsidR="00644F65">
        <w:rPr>
          <w:rFonts w:ascii="Palatino Linotype" w:hAnsi="Palatino Linotype"/>
        </w:rPr>
        <w:t xml:space="preserve">Er </w:t>
      </w:r>
      <w:r w:rsidR="00DD6506">
        <w:rPr>
          <w:rFonts w:ascii="Palatino Linotype" w:hAnsi="Palatino Linotype"/>
        </w:rPr>
        <w:t>is</w:t>
      </w:r>
      <w:r w:rsidR="00644F65">
        <w:rPr>
          <w:rFonts w:ascii="Palatino Linotype" w:hAnsi="Palatino Linotype"/>
        </w:rPr>
        <w:t xml:space="preserve"> standaard</w:t>
      </w:r>
      <w:r w:rsidR="00DD6506">
        <w:rPr>
          <w:rFonts w:ascii="Palatino Linotype" w:hAnsi="Palatino Linotype"/>
        </w:rPr>
        <w:t xml:space="preserve"> met 47 perioden gewerkt, oftewel een pensioeno</w:t>
      </w:r>
      <w:r w:rsidR="00644F65">
        <w:rPr>
          <w:rFonts w:ascii="Palatino Linotype" w:hAnsi="Palatino Linotype"/>
        </w:rPr>
        <w:t>pbouwduur van 47 jaar (65 - 18)</w:t>
      </w:r>
      <w:r w:rsidR="00DD6506">
        <w:rPr>
          <w:rFonts w:ascii="Palatino Linotype" w:hAnsi="Palatino Linotype"/>
        </w:rPr>
        <w:t>.</w:t>
      </w:r>
      <w:r w:rsidR="007F461E">
        <w:rPr>
          <w:rFonts w:ascii="Palatino Linotype" w:hAnsi="Palatino Linotype"/>
        </w:rPr>
        <w:t xml:space="preserve"> Het standaardren</w:t>
      </w:r>
      <w:r w:rsidR="003001EA">
        <w:rPr>
          <w:rFonts w:ascii="Palatino Linotype" w:hAnsi="Palatino Linotype"/>
        </w:rPr>
        <w:t>d</w:t>
      </w:r>
      <w:r w:rsidR="007F461E">
        <w:rPr>
          <w:rFonts w:ascii="Palatino Linotype" w:hAnsi="Palatino Linotype"/>
        </w:rPr>
        <w:t>ement bedraagt in de modellen tien procent en de standaardinflatie bedraagt vijf procent.</w:t>
      </w:r>
    </w:p>
    <w:p w:rsidR="00226D84" w:rsidRDefault="00226D84" w:rsidP="00654D0E">
      <w:pPr>
        <w:pStyle w:val="NoSpacing"/>
        <w:spacing w:line="360" w:lineRule="auto"/>
        <w:rPr>
          <w:rFonts w:ascii="Palatino Linotype" w:hAnsi="Palatino Linotype"/>
        </w:rPr>
      </w:pPr>
    </w:p>
    <w:p w:rsidR="00ED4B2F" w:rsidRDefault="00DD6506" w:rsidP="00654D0E">
      <w:pPr>
        <w:pStyle w:val="NoSpacing"/>
        <w:spacing w:line="360" w:lineRule="auto"/>
        <w:rPr>
          <w:rFonts w:ascii="Palatino Linotype" w:hAnsi="Palatino Linotype"/>
        </w:rPr>
      </w:pPr>
      <w:r>
        <w:rPr>
          <w:rFonts w:ascii="Palatino Linotype" w:hAnsi="Palatino Linotype"/>
        </w:rPr>
        <w:t>De s</w:t>
      </w:r>
      <w:r w:rsidR="00E04902">
        <w:rPr>
          <w:rFonts w:ascii="Palatino Linotype" w:hAnsi="Palatino Linotype"/>
        </w:rPr>
        <w:t>imulatie</w:t>
      </w:r>
      <w:r w:rsidR="008076BB">
        <w:rPr>
          <w:rFonts w:ascii="Palatino Linotype" w:hAnsi="Palatino Linotype"/>
        </w:rPr>
        <w:t xml:space="preserve"> ziet er</w:t>
      </w:r>
      <w:r w:rsidR="00E04902">
        <w:rPr>
          <w:rFonts w:ascii="Palatino Linotype" w:hAnsi="Palatino Linotype"/>
        </w:rPr>
        <w:t xml:space="preserve"> in formulevorm als volgt uit:</w:t>
      </w:r>
    </w:p>
    <w:p w:rsidR="00ED4B2F" w:rsidRDefault="001B1259" w:rsidP="00654D0E">
      <w:pPr>
        <w:pStyle w:val="NoSpacing"/>
        <w:spacing w:line="360" w:lineRule="auto"/>
        <w:rPr>
          <w:rFonts w:ascii="Palatino Linotype" w:hAnsi="Palatino Linotype"/>
        </w:rPr>
      </w:pPr>
      <w:r>
        <w:rPr>
          <w:noProof/>
          <w:lang w:eastAsia="nl-NL"/>
        </w:rPr>
        <mc:AlternateContent>
          <mc:Choice Requires="wps">
            <w:drawing>
              <wp:anchor distT="0" distB="0" distL="114300" distR="114300" simplePos="0" relativeHeight="251659264" behindDoc="0" locked="0" layoutInCell="1" allowOverlap="1" wp14:anchorId="2688BBC1" wp14:editId="6697A79D">
                <wp:simplePos x="0" y="0"/>
                <wp:positionH relativeFrom="column">
                  <wp:posOffset>864870</wp:posOffset>
                </wp:positionH>
                <wp:positionV relativeFrom="paragraph">
                  <wp:posOffset>92075</wp:posOffset>
                </wp:positionV>
                <wp:extent cx="3971925" cy="762000"/>
                <wp:effectExtent l="0" t="0" r="0" b="0"/>
                <wp:wrapNone/>
                <wp:docPr id="4" name="TextBox 3"/>
                <wp:cNvGraphicFramePr/>
                <a:graphic xmlns:a="http://schemas.openxmlformats.org/drawingml/2006/main">
                  <a:graphicData uri="http://schemas.microsoft.com/office/word/2010/wordprocessingShape">
                    <wps:wsp>
                      <wps:cNvSpPr txBox="1"/>
                      <wps:spPr>
                        <a:xfrm>
                          <a:off x="0" y="0"/>
                          <a:ext cx="3971925" cy="762000"/>
                        </a:xfrm>
                        <a:prstGeom prst="rect">
                          <a:avLst/>
                        </a:prstGeom>
                        <a:noFill/>
                      </wps:spPr>
                      <wps:style>
                        <a:lnRef idx="0">
                          <a:scrgbClr r="0" g="0" b="0"/>
                        </a:lnRef>
                        <a:fillRef idx="0">
                          <a:scrgbClr r="0" g="0" b="0"/>
                        </a:fillRef>
                        <a:effectRef idx="0">
                          <a:scrgbClr r="0" g="0" b="0"/>
                        </a:effectRef>
                        <a:fontRef idx="minor">
                          <a:schemeClr val="tx1"/>
                        </a:fontRef>
                      </wps:style>
                      <wps:txbx>
                        <w:txbxContent>
                          <w:p w:rsidR="00875347" w:rsidRDefault="00190691" w:rsidP="008076BB">
                            <w:pPr>
                              <w:pStyle w:val="NormalWeb"/>
                              <w:spacing w:before="0" w:beforeAutospacing="0" w:after="0" w:afterAutospacing="0"/>
                            </w:pPr>
                            <m:oMathPara>
                              <m:oMathParaPr>
                                <m:jc m:val="centerGroup"/>
                              </m:oMathParaPr>
                              <m:oMath>
                                <m:f>
                                  <m:fPr>
                                    <m:ctrlPr>
                                      <w:rPr>
                                        <w:rFonts w:ascii="Cambria Math" w:hAnsi="Cambria Math" w:cstheme="minorBidi"/>
                                        <w:i/>
                                        <w:iCs/>
                                        <w:color w:val="000000" w:themeColor="text1"/>
                                        <w:sz w:val="22"/>
                                        <w:szCs w:val="22"/>
                                      </w:rPr>
                                    </m:ctrlPr>
                                  </m:fPr>
                                  <m:num>
                                    <m:r>
                                      <w:rPr>
                                        <w:rFonts w:ascii="Cambria Math" w:hAnsi="Cambria Math" w:cstheme="minorBidi"/>
                                        <w:color w:val="000000" w:themeColor="text1"/>
                                        <w:sz w:val="22"/>
                                        <w:szCs w:val="22"/>
                                      </w:rPr>
                                      <m:t> </m:t>
                                    </m:r>
                                    <m:d>
                                      <m:dPr>
                                        <m:ctrlPr>
                                          <w:rPr>
                                            <w:rFonts w:ascii="Cambria Math" w:hAnsi="Cambria Math" w:cstheme="minorBidi"/>
                                            <w:i/>
                                            <w:iCs/>
                                            <w:color w:val="000000" w:themeColor="text1"/>
                                            <w:sz w:val="22"/>
                                            <w:szCs w:val="22"/>
                                          </w:rPr>
                                        </m:ctrlPr>
                                      </m:dPr>
                                      <m:e>
                                        <m:f>
                                          <m:fPr>
                                            <m:ctrlPr>
                                              <w:rPr>
                                                <w:rFonts w:ascii="Cambria Math" w:hAnsi="Cambria Math" w:cstheme="minorBidi"/>
                                                <w:i/>
                                                <w:iCs/>
                                                <w:color w:val="000000" w:themeColor="text1"/>
                                                <w:sz w:val="22"/>
                                                <w:szCs w:val="22"/>
                                              </w:rPr>
                                            </m:ctrlPr>
                                          </m:fPr>
                                          <m:num>
                                            <m:r>
                                              <w:rPr>
                                                <w:rFonts w:ascii="Cambria Math" w:hAnsi="Cambria Math" w:cstheme="minorBidi"/>
                                                <w:color w:val="000000" w:themeColor="text1"/>
                                                <w:sz w:val="22"/>
                                                <w:szCs w:val="22"/>
                                              </w:rPr>
                                              <m:t>B*</m:t>
                                            </m:r>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R</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num>
                                          <m:den>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π</m:t>
                                                    </m:r>
                                                  </m:e>
                                                  <m:sub>
                                                    <m:r>
                                                      <w:rPr>
                                                        <w:rFonts w:ascii="Cambria Math" w:hAnsi="Cambria Math" w:cstheme="minorBidi"/>
                                                        <w:color w:val="000000" w:themeColor="text1"/>
                                                        <w:sz w:val="22"/>
                                                        <w:szCs w:val="22"/>
                                                      </w:rPr>
                                                      <m:t>i</m:t>
                                                    </m:r>
                                                  </m:sub>
                                                </m:sSub>
                                              </m:e>
                                            </m:nary>
                                            <m:r>
                                              <w:rPr>
                                                <w:rFonts w:ascii="Cambria Math" w:hAnsi="Cambria Math" w:cstheme="minorBidi"/>
                                                <w:color w:val="000000" w:themeColor="text1"/>
                                                <w:sz w:val="22"/>
                                                <w:szCs w:val="22"/>
                                              </w:rPr>
                                              <m:t>)</m:t>
                                            </m:r>
                                          </m:den>
                                        </m:f>
                                        <m:r>
                                          <m:rPr>
                                            <m:sty m:val="p"/>
                                          </m:rPr>
                                          <w:rPr>
                                            <w:rFonts w:ascii="Cambria Math" w:hAnsi="Cambria Math" w:cstheme="minorBidi"/>
                                            <w:color w:val="000000" w:themeColor="text1"/>
                                            <w:sz w:val="22"/>
                                            <w:szCs w:val="22"/>
                                          </w:rPr>
                                          <m:t>+ </m:t>
                                        </m:r>
                                        <m:f>
                                          <m:fPr>
                                            <m:ctrlPr>
                                              <w:rPr>
                                                <w:rFonts w:ascii="Cambria Math" w:hAnsi="Cambria Math" w:cstheme="minorBidi"/>
                                                <w:i/>
                                                <w:iCs/>
                                                <w:color w:val="000000" w:themeColor="text1"/>
                                                <w:sz w:val="22"/>
                                                <w:szCs w:val="22"/>
                                              </w:rPr>
                                            </m:ctrlPr>
                                          </m:fPr>
                                          <m:num>
                                            <m:r>
                                              <w:rPr>
                                                <w:rFonts w:ascii="Cambria Math" w:hAnsi="Cambria Math" w:cstheme="minorBidi"/>
                                                <w:color w:val="000000" w:themeColor="text1"/>
                                                <w:sz w:val="22"/>
                                                <w:szCs w:val="22"/>
                                              </w:rPr>
                                              <m:t>B*</m:t>
                                            </m:r>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m:t>
                                                </m:r>
                                                <m:r>
                                                  <m:rPr>
                                                    <m:sty m:val="bi"/>
                                                  </m:rPr>
                                                  <w:rPr>
                                                    <w:rFonts w:ascii="Cambria Math" w:hAnsi="Cambria Math" w:cstheme="minorBidi"/>
                                                    <w:color w:val="000000" w:themeColor="text1"/>
                                                    <w:sz w:val="22"/>
                                                    <w:szCs w:val="22"/>
                                                  </w:rPr>
                                                  <m:t>-1</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R</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num>
                                          <m:den>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r>
                                                  <m:rPr>
                                                    <m:sty m:val="bi"/>
                                                  </m:rPr>
                                                  <w:rPr>
                                                    <w:rFonts w:ascii="Cambria Math" w:hAnsi="Cambria Math" w:cstheme="minorBidi"/>
                                                    <w:color w:val="000000" w:themeColor="text1"/>
                                                    <w:sz w:val="22"/>
                                                    <w:szCs w:val="22"/>
                                                  </w:rPr>
                                                  <m:t>-1</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π</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den>
                                        </m:f>
                                        <m:r>
                                          <w:rPr>
                                            <w:rFonts w:ascii="Cambria Math" w:hAnsi="Cambria Math" w:cstheme="minorBidi"/>
                                            <w:color w:val="000000" w:themeColor="text1"/>
                                            <w:sz w:val="22"/>
                                            <w:szCs w:val="22"/>
                                          </w:rPr>
                                          <m:t> …etcetera</m:t>
                                        </m:r>
                                      </m:e>
                                    </m:d>
                                    <m:r>
                                      <m:rPr>
                                        <m:sty m:val="p"/>
                                      </m:rPr>
                                      <w:rPr>
                                        <w:rFonts w:ascii="Cambria Math" w:hAnsi="Cambria Math" w:cstheme="minorBidi"/>
                                        <w:color w:val="000000" w:themeColor="text1"/>
                                        <w:sz w:val="22"/>
                                        <w:szCs w:val="22"/>
                                      </w:rPr>
                                      <m:t>* n</m:t>
                                    </m:r>
                                    <m:r>
                                      <m:rPr>
                                        <m:sty m:val="p"/>
                                      </m:rPr>
                                      <w:rPr>
                                        <w:rFonts w:asciiTheme="minorHAnsi" w:hAnsi="Calibri" w:cstheme="minorBidi"/>
                                        <w:color w:val="000000" w:themeColor="text1"/>
                                        <w:sz w:val="22"/>
                                        <w:szCs w:val="22"/>
                                      </w:rPr>
                                      <m:t> </m:t>
                                    </m:r>
                                  </m:num>
                                  <m:den>
                                    <m:r>
                                      <w:rPr>
                                        <w:rFonts w:ascii="Cambria Math" w:hAnsi="Cambria Math" w:cstheme="minorBidi"/>
                                        <w:color w:val="000000" w:themeColor="text1"/>
                                        <w:sz w:val="22"/>
                                        <w:szCs w:val="22"/>
                                      </w:rPr>
                                      <m:t>U*</m:t>
                                    </m:r>
                                    <m:d>
                                      <m:dPr>
                                        <m:ctrlPr>
                                          <w:rPr>
                                            <w:rFonts w:ascii="Cambria Math" w:hAnsi="Cambria Math" w:cstheme="minorBidi"/>
                                            <w:i/>
                                            <w:iCs/>
                                            <w:color w:val="000000" w:themeColor="text1"/>
                                            <w:sz w:val="22"/>
                                            <w:szCs w:val="22"/>
                                          </w:rPr>
                                        </m:ctrlPr>
                                      </m:dPr>
                                      <m:e>
                                        <m:r>
                                          <w:rPr>
                                            <w:rFonts w:ascii="Cambria Math" w:hAnsi="Cambria Math" w:cstheme="minorBidi"/>
                                            <w:color w:val="000000" w:themeColor="text1"/>
                                            <w:sz w:val="22"/>
                                            <w:szCs w:val="22"/>
                                          </w:rPr>
                                          <m:t>L -P</m:t>
                                        </m:r>
                                      </m:e>
                                    </m:d>
                                    <m:r>
                                      <w:rPr>
                                        <w:rFonts w:ascii="Cambria Math" w:hAnsi="Cambria Math" w:cstheme="minorBidi"/>
                                        <w:color w:val="000000" w:themeColor="text1"/>
                                        <w:sz w:val="22"/>
                                        <w:szCs w:val="22"/>
                                      </w:rPr>
                                      <m:t>*m</m:t>
                                    </m:r>
                                  </m:den>
                                </m:f>
                              </m:oMath>
                            </m:oMathPara>
                          </w:p>
                        </w:txbxContent>
                      </wps:txbx>
                      <wps:bodyPr vertOverflow="clip" horzOverflow="clip" wrap="square" rtlCol="0" anchor="t">
                        <a:noAutofit/>
                      </wps:bodyPr>
                    </wps:wsp>
                  </a:graphicData>
                </a:graphic>
                <wp14:sizeRelH relativeFrom="margin">
                  <wp14:pctWidth>0</wp14:pctWidth>
                </wp14:sizeRelH>
              </wp:anchor>
            </w:drawing>
          </mc:Choice>
          <mc:Fallback>
            <w:pict>
              <v:shapetype w14:anchorId="2688BBC1" id="_x0000_t202" coordsize="21600,21600" o:spt="202" path="m,l,21600r21600,l21600,xe">
                <v:stroke joinstyle="miter"/>
                <v:path gradientshapeok="t" o:connecttype="rect"/>
              </v:shapetype>
              <v:shape id="TextBox 3" o:spid="_x0000_s1026" type="#_x0000_t202" style="position:absolute;margin-left:68.1pt;margin-top:7.25pt;width:312.75pt;height:60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" filled="f" stroked="f">
                <v:textbox>
                  <w:txbxContent>
                    <w:p w:rsidR="00875347" w:rsidRDefault="00190691" w:rsidP="008076BB">
                      <w:pPr>
                        <w:pStyle w:val="NormalWeb"/>
                        <w:spacing w:before="0" w:beforeAutospacing="0" w:after="0" w:afterAutospacing="0"/>
                      </w:pPr>
                      <m:oMathPara>
                        <m:oMathParaPr>
                          <m:jc m:val="centerGroup"/>
                        </m:oMathParaPr>
                        <m:oMath>
                          <m:f>
                            <m:fPr>
                              <m:ctrlPr>
                                <w:rPr>
                                  <w:rFonts w:ascii="Cambria Math" w:hAnsi="Cambria Math" w:cstheme="minorBidi"/>
                                  <w:i/>
                                  <w:iCs/>
                                  <w:color w:val="000000" w:themeColor="text1"/>
                                  <w:sz w:val="22"/>
                                  <w:szCs w:val="22"/>
                                </w:rPr>
                              </m:ctrlPr>
                            </m:fPr>
                            <m:num>
                              <m:r>
                                <w:rPr>
                                  <w:rFonts w:ascii="Cambria Math" w:hAnsi="Cambria Math" w:cstheme="minorBidi"/>
                                  <w:color w:val="000000" w:themeColor="text1"/>
                                  <w:sz w:val="22"/>
                                  <w:szCs w:val="22"/>
                                </w:rPr>
                                <m:t> </m:t>
                              </m:r>
                              <m:d>
                                <m:dPr>
                                  <m:ctrlPr>
                                    <w:rPr>
                                      <w:rFonts w:ascii="Cambria Math" w:hAnsi="Cambria Math" w:cstheme="minorBidi"/>
                                      <w:i/>
                                      <w:iCs/>
                                      <w:color w:val="000000" w:themeColor="text1"/>
                                      <w:sz w:val="22"/>
                                      <w:szCs w:val="22"/>
                                    </w:rPr>
                                  </m:ctrlPr>
                                </m:dPr>
                                <m:e>
                                  <m:f>
                                    <m:fPr>
                                      <m:ctrlPr>
                                        <w:rPr>
                                          <w:rFonts w:ascii="Cambria Math" w:hAnsi="Cambria Math" w:cstheme="minorBidi"/>
                                          <w:i/>
                                          <w:iCs/>
                                          <w:color w:val="000000" w:themeColor="text1"/>
                                          <w:sz w:val="22"/>
                                          <w:szCs w:val="22"/>
                                        </w:rPr>
                                      </m:ctrlPr>
                                    </m:fPr>
                                    <m:num>
                                      <m:r>
                                        <w:rPr>
                                          <w:rFonts w:ascii="Cambria Math" w:hAnsi="Cambria Math" w:cstheme="minorBidi"/>
                                          <w:color w:val="000000" w:themeColor="text1"/>
                                          <w:sz w:val="22"/>
                                          <w:szCs w:val="22"/>
                                        </w:rPr>
                                        <m:t>B*</m:t>
                                      </m:r>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R</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num>
                                    <m:den>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π</m:t>
                                              </m:r>
                                            </m:e>
                                            <m:sub>
                                              <m:r>
                                                <w:rPr>
                                                  <w:rFonts w:ascii="Cambria Math" w:hAnsi="Cambria Math" w:cstheme="minorBidi"/>
                                                  <w:color w:val="000000" w:themeColor="text1"/>
                                                  <w:sz w:val="22"/>
                                                  <w:szCs w:val="22"/>
                                                </w:rPr>
                                                <m:t>i</m:t>
                                              </m:r>
                                            </m:sub>
                                          </m:sSub>
                                        </m:e>
                                      </m:nary>
                                      <m:r>
                                        <w:rPr>
                                          <w:rFonts w:ascii="Cambria Math" w:hAnsi="Cambria Math" w:cstheme="minorBidi"/>
                                          <w:color w:val="000000" w:themeColor="text1"/>
                                          <w:sz w:val="22"/>
                                          <w:szCs w:val="22"/>
                                        </w:rPr>
                                        <m:t>)</m:t>
                                      </m:r>
                                    </m:den>
                                  </m:f>
                                  <m:r>
                                    <m:rPr>
                                      <m:sty m:val="p"/>
                                    </m:rPr>
                                    <w:rPr>
                                      <w:rFonts w:ascii="Cambria Math" w:hAnsi="Cambria Math" w:cstheme="minorBidi"/>
                                      <w:color w:val="000000" w:themeColor="text1"/>
                                      <w:sz w:val="22"/>
                                      <w:szCs w:val="22"/>
                                    </w:rPr>
                                    <m:t>+ </m:t>
                                  </m:r>
                                  <m:f>
                                    <m:fPr>
                                      <m:ctrlPr>
                                        <w:rPr>
                                          <w:rFonts w:ascii="Cambria Math" w:hAnsi="Cambria Math" w:cstheme="minorBidi"/>
                                          <w:i/>
                                          <w:iCs/>
                                          <w:color w:val="000000" w:themeColor="text1"/>
                                          <w:sz w:val="22"/>
                                          <w:szCs w:val="22"/>
                                        </w:rPr>
                                      </m:ctrlPr>
                                    </m:fPr>
                                    <m:num>
                                      <m:r>
                                        <w:rPr>
                                          <w:rFonts w:ascii="Cambria Math" w:hAnsi="Cambria Math" w:cstheme="minorBidi"/>
                                          <w:color w:val="000000" w:themeColor="text1"/>
                                          <w:sz w:val="22"/>
                                          <w:szCs w:val="22"/>
                                        </w:rPr>
                                        <m:t>B*</m:t>
                                      </m:r>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m:t>
                                          </m:r>
                                          <m:r>
                                            <m:rPr>
                                              <m:sty m:val="bi"/>
                                            </m:rPr>
                                            <w:rPr>
                                              <w:rFonts w:ascii="Cambria Math" w:hAnsi="Cambria Math" w:cstheme="minorBidi"/>
                                              <w:color w:val="000000" w:themeColor="text1"/>
                                              <w:sz w:val="22"/>
                                              <w:szCs w:val="22"/>
                                            </w:rPr>
                                            <m:t>-1</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R</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num>
                                    <m:den>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r>
                                            <m:rPr>
                                              <m:sty m:val="bi"/>
                                            </m:rPr>
                                            <w:rPr>
                                              <w:rFonts w:ascii="Cambria Math" w:hAnsi="Cambria Math" w:cstheme="minorBidi"/>
                                              <w:color w:val="000000" w:themeColor="text1"/>
                                              <w:sz w:val="22"/>
                                              <w:szCs w:val="22"/>
                                            </w:rPr>
                                            <m:t>-1</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π</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den>
                                  </m:f>
                                  <m:r>
                                    <w:rPr>
                                      <w:rFonts w:ascii="Cambria Math" w:hAnsi="Cambria Math" w:cstheme="minorBidi"/>
                                      <w:color w:val="000000" w:themeColor="text1"/>
                                      <w:sz w:val="22"/>
                                      <w:szCs w:val="22"/>
                                    </w:rPr>
                                    <m:t> …etcetera</m:t>
                                  </m:r>
                                </m:e>
                              </m:d>
                              <m:r>
                                <m:rPr>
                                  <m:sty m:val="p"/>
                                </m:rPr>
                                <w:rPr>
                                  <w:rFonts w:ascii="Cambria Math" w:hAnsi="Cambria Math" w:cstheme="minorBidi"/>
                                  <w:color w:val="000000" w:themeColor="text1"/>
                                  <w:sz w:val="22"/>
                                  <w:szCs w:val="22"/>
                                </w:rPr>
                                <m:t>* n</m:t>
                              </m:r>
                              <m:r>
                                <m:rPr>
                                  <m:sty m:val="p"/>
                                </m:rPr>
                                <w:rPr>
                                  <w:rFonts w:asciiTheme="minorHAnsi" w:hAnsi="Calibri" w:cstheme="minorBidi"/>
                                  <w:color w:val="000000" w:themeColor="text1"/>
                                  <w:sz w:val="22"/>
                                  <w:szCs w:val="22"/>
                                </w:rPr>
                                <m:t> </m:t>
                              </m:r>
                            </m:num>
                            <m:den>
                              <m:r>
                                <w:rPr>
                                  <w:rFonts w:ascii="Cambria Math" w:hAnsi="Cambria Math" w:cstheme="minorBidi"/>
                                  <w:color w:val="000000" w:themeColor="text1"/>
                                  <w:sz w:val="22"/>
                                  <w:szCs w:val="22"/>
                                </w:rPr>
                                <m:t>U*</m:t>
                              </m:r>
                              <m:d>
                                <m:dPr>
                                  <m:ctrlPr>
                                    <w:rPr>
                                      <w:rFonts w:ascii="Cambria Math" w:hAnsi="Cambria Math" w:cstheme="minorBidi"/>
                                      <w:i/>
                                      <w:iCs/>
                                      <w:color w:val="000000" w:themeColor="text1"/>
                                      <w:sz w:val="22"/>
                                      <w:szCs w:val="22"/>
                                    </w:rPr>
                                  </m:ctrlPr>
                                </m:dPr>
                                <m:e>
                                  <m:r>
                                    <w:rPr>
                                      <w:rFonts w:ascii="Cambria Math" w:hAnsi="Cambria Math" w:cstheme="minorBidi"/>
                                      <w:color w:val="000000" w:themeColor="text1"/>
                                      <w:sz w:val="22"/>
                                      <w:szCs w:val="22"/>
                                    </w:rPr>
                                    <m:t>L -P</m:t>
                                  </m:r>
                                </m:e>
                              </m:d>
                              <m:r>
                                <w:rPr>
                                  <w:rFonts w:ascii="Cambria Math" w:hAnsi="Cambria Math" w:cstheme="minorBidi"/>
                                  <w:color w:val="000000" w:themeColor="text1"/>
                                  <w:sz w:val="22"/>
                                  <w:szCs w:val="22"/>
                                </w:rPr>
                                <m:t>*m</m:t>
                              </m:r>
                            </m:den>
                          </m:f>
                        </m:oMath>
                      </m:oMathPara>
                    </w:p>
                  </w:txbxContent>
                </v:textbox>
              </v:shape>
            </w:pict>
          </mc:Fallback>
        </mc:AlternateContent>
      </w:r>
    </w:p>
    <w:p w:rsidR="00ED4B2F" w:rsidRDefault="00ED4B2F" w:rsidP="00654D0E">
      <w:pPr>
        <w:pStyle w:val="NoSpacing"/>
        <w:spacing w:line="360" w:lineRule="auto"/>
        <w:rPr>
          <w:rFonts w:ascii="Palatino Linotype" w:hAnsi="Palatino Linotype"/>
        </w:rPr>
      </w:pPr>
    </w:p>
    <w:p w:rsidR="001B1259" w:rsidRDefault="001B1259" w:rsidP="00654D0E">
      <w:pPr>
        <w:pStyle w:val="NoSpacing"/>
        <w:spacing w:line="360" w:lineRule="auto"/>
        <w:rPr>
          <w:rFonts w:ascii="Palatino Linotype" w:hAnsi="Palatino Linotype"/>
        </w:rPr>
      </w:pPr>
    </w:p>
    <w:p w:rsidR="001B1259" w:rsidRDefault="001B1259" w:rsidP="00654D0E">
      <w:pPr>
        <w:pStyle w:val="NoSpacing"/>
        <w:spacing w:line="360" w:lineRule="auto"/>
        <w:rPr>
          <w:rFonts w:ascii="Palatino Linotype" w:hAnsi="Palatino Linotype"/>
        </w:rPr>
      </w:pPr>
    </w:p>
    <w:p w:rsidR="00226D84" w:rsidRDefault="00226D84" w:rsidP="00654D0E">
      <w:pPr>
        <w:pStyle w:val="NoSpacing"/>
        <w:spacing w:line="360" w:lineRule="auto"/>
        <w:rPr>
          <w:rFonts w:ascii="Palatino Linotype" w:hAnsi="Palatino Linotype"/>
        </w:rPr>
      </w:pPr>
    </w:p>
    <w:p w:rsidR="00DD6506" w:rsidRPr="00BE41B7" w:rsidRDefault="001B1259" w:rsidP="00654D0E">
      <w:pPr>
        <w:pStyle w:val="NoSpacing"/>
        <w:spacing w:line="360" w:lineRule="auto"/>
        <w:rPr>
          <w:rFonts w:ascii="Palatino Linotype" w:hAnsi="Palatino Linotype"/>
        </w:rPr>
      </w:pPr>
      <w:r>
        <w:rPr>
          <w:rFonts w:ascii="Palatino Linotype" w:hAnsi="Palatino Linotype"/>
        </w:rPr>
        <w:t xml:space="preserve">Waarbij </w:t>
      </w:r>
      <w:r w:rsidRPr="00717E4B">
        <w:rPr>
          <w:rFonts w:ascii="Palatino Linotype" w:hAnsi="Palatino Linotype"/>
          <w:i/>
        </w:rPr>
        <w:t>B</w:t>
      </w:r>
      <w:r>
        <w:rPr>
          <w:rFonts w:ascii="Palatino Linotype" w:hAnsi="Palatino Linotype"/>
        </w:rPr>
        <w:t xml:space="preserve"> het inlegbedrag,</w:t>
      </w:r>
      <w:r w:rsidR="000348D7">
        <w:rPr>
          <w:rFonts w:ascii="Palatino Linotype" w:hAnsi="Palatino Linotype"/>
        </w:rPr>
        <w:t xml:space="preserve"> </w:t>
      </w:r>
      <w:r w:rsidR="000348D7" w:rsidRPr="00717E4B">
        <w:rPr>
          <w:rFonts w:ascii="Palatino Linotype" w:hAnsi="Palatino Linotype"/>
          <w:i/>
        </w:rPr>
        <w:t>Π</w:t>
      </w:r>
      <w:r w:rsidR="000348D7">
        <w:rPr>
          <w:rFonts w:ascii="Palatino Linotype" w:hAnsi="Palatino Linotype"/>
        </w:rPr>
        <w:t xml:space="preserve"> de productreeks,</w:t>
      </w:r>
      <w:r>
        <w:rPr>
          <w:rFonts w:ascii="Palatino Linotype" w:hAnsi="Palatino Linotype"/>
        </w:rPr>
        <w:t xml:space="preserve"> </w:t>
      </w:r>
      <w:r>
        <w:rPr>
          <w:rFonts w:ascii="Palatino Linotype" w:hAnsi="Palatino Linotype"/>
          <w:i/>
        </w:rPr>
        <w:t>j</w:t>
      </w:r>
      <w:r>
        <w:rPr>
          <w:rFonts w:ascii="Palatino Linotype" w:hAnsi="Palatino Linotype"/>
        </w:rPr>
        <w:t xml:space="preserve"> het aantal inlegjaren,</w:t>
      </w:r>
      <w:r w:rsidR="000348D7">
        <w:rPr>
          <w:rFonts w:ascii="Palatino Linotype" w:hAnsi="Palatino Linotype"/>
        </w:rPr>
        <w:t xml:space="preserve"> </w:t>
      </w:r>
      <w:r w:rsidR="000348D7">
        <w:rPr>
          <w:rFonts w:ascii="Palatino Linotype" w:hAnsi="Palatino Linotype"/>
          <w:i/>
        </w:rPr>
        <w:t>n</w:t>
      </w:r>
      <w:r w:rsidR="000348D7">
        <w:rPr>
          <w:rFonts w:ascii="Palatino Linotype" w:hAnsi="Palatino Linotype"/>
        </w:rPr>
        <w:t xml:space="preserve"> het aantal premieplichtigen,</w:t>
      </w:r>
      <w:r>
        <w:rPr>
          <w:rFonts w:ascii="Palatino Linotype" w:hAnsi="Palatino Linotype"/>
        </w:rPr>
        <w:t xml:space="preserve"> </w:t>
      </w:r>
      <w:r w:rsidRPr="00452D67">
        <w:rPr>
          <w:rFonts w:ascii="Palatino Linotype" w:hAnsi="Palatino Linotype"/>
          <w:i/>
        </w:rPr>
        <w:t>U</w:t>
      </w:r>
      <w:r>
        <w:rPr>
          <w:rFonts w:ascii="Palatino Linotype" w:hAnsi="Palatino Linotype"/>
        </w:rPr>
        <w:t xml:space="preserve"> het uitkeringsbedrag, </w:t>
      </w:r>
      <w:r w:rsidRPr="00452D67">
        <w:rPr>
          <w:rFonts w:ascii="Palatino Linotype" w:hAnsi="Palatino Linotype"/>
          <w:i/>
        </w:rPr>
        <w:t>L</w:t>
      </w:r>
      <w:r>
        <w:rPr>
          <w:rFonts w:ascii="Palatino Linotype" w:hAnsi="Palatino Linotype"/>
        </w:rPr>
        <w:t xml:space="preserve"> de levensverwachting, </w:t>
      </w:r>
      <w:r w:rsidRPr="00452D67">
        <w:rPr>
          <w:rFonts w:ascii="Palatino Linotype" w:hAnsi="Palatino Linotype"/>
          <w:i/>
        </w:rPr>
        <w:t>P</w:t>
      </w:r>
      <w:r>
        <w:rPr>
          <w:rFonts w:ascii="Palatino Linotype" w:hAnsi="Palatino Linotype"/>
        </w:rPr>
        <w:t xml:space="preserve"> de pensioenleeftijd en </w:t>
      </w:r>
      <w:r>
        <w:rPr>
          <w:rFonts w:ascii="Palatino Linotype" w:hAnsi="Palatino Linotype"/>
          <w:i/>
        </w:rPr>
        <w:t>m</w:t>
      </w:r>
      <w:r>
        <w:rPr>
          <w:rFonts w:ascii="Palatino Linotype" w:hAnsi="Palatino Linotype"/>
        </w:rPr>
        <w:t xml:space="preserve"> het aantal uitkeringsgerechtigden weergeven.</w:t>
      </w:r>
      <w:r w:rsidR="008914DC">
        <w:rPr>
          <w:rFonts w:ascii="Palatino Linotype" w:hAnsi="Palatino Linotype"/>
        </w:rPr>
        <w:t xml:space="preserve"> </w:t>
      </w:r>
      <w:r w:rsidR="00DD6506">
        <w:rPr>
          <w:rFonts w:ascii="Palatino Linotype" w:hAnsi="Palatino Linotype"/>
        </w:rPr>
        <w:t xml:space="preserve">Wat in de teller staat geeft de totale inleg </w:t>
      </w:r>
      <w:r w:rsidR="008914DC">
        <w:rPr>
          <w:rFonts w:ascii="Palatino Linotype" w:hAnsi="Palatino Linotype"/>
        </w:rPr>
        <w:t>weer</w:t>
      </w:r>
      <w:r w:rsidR="00DD6506">
        <w:rPr>
          <w:rFonts w:ascii="Palatino Linotype" w:hAnsi="Palatino Linotype"/>
        </w:rPr>
        <w:t xml:space="preserve"> van het land; wat in de noemer staat </w:t>
      </w:r>
      <w:r w:rsidR="008914DC">
        <w:rPr>
          <w:rFonts w:ascii="Palatino Linotype" w:hAnsi="Palatino Linotype"/>
        </w:rPr>
        <w:t>geeft de totale uitkering weer.</w:t>
      </w:r>
      <w:r w:rsidR="00DD6506">
        <w:rPr>
          <w:rFonts w:ascii="Palatino Linotype" w:hAnsi="Palatino Linotype"/>
        </w:rPr>
        <w:t xml:space="preserve"> </w:t>
      </w:r>
      <w:r w:rsidR="00BE41B7">
        <w:rPr>
          <w:rFonts w:ascii="Palatino Linotype" w:hAnsi="Palatino Linotype"/>
        </w:rPr>
        <w:t>Hoewel de levensverwachting (</w:t>
      </w:r>
      <w:r w:rsidR="00BE41B7">
        <w:rPr>
          <w:rFonts w:ascii="Palatino Linotype" w:hAnsi="Palatino Linotype"/>
          <w:i/>
        </w:rPr>
        <w:t>L</w:t>
      </w:r>
      <w:r w:rsidR="00BE41B7">
        <w:rPr>
          <w:rFonts w:ascii="Palatino Linotype" w:hAnsi="Palatino Linotype"/>
        </w:rPr>
        <w:t>) in alle formules als variabele is opgenomen, zal deze in deze scriptie niet veranderd worden.</w:t>
      </w:r>
    </w:p>
    <w:p w:rsidR="00DD6506" w:rsidRDefault="00DD6506" w:rsidP="00654D0E">
      <w:pPr>
        <w:pStyle w:val="NoSpacing"/>
        <w:spacing w:line="360" w:lineRule="auto"/>
        <w:rPr>
          <w:rFonts w:ascii="Palatino Linotype" w:hAnsi="Palatino Linotype"/>
        </w:rPr>
      </w:pPr>
    </w:p>
    <w:p w:rsidR="00DD6506" w:rsidRDefault="00F84E40" w:rsidP="00654D0E">
      <w:pPr>
        <w:pStyle w:val="NoSpacing"/>
        <w:spacing w:line="360" w:lineRule="auto"/>
        <w:rPr>
          <w:rFonts w:ascii="Palatino Linotype" w:hAnsi="Palatino Linotype"/>
        </w:rPr>
      </w:pPr>
      <w:r>
        <w:rPr>
          <w:rFonts w:ascii="Palatino Linotype" w:hAnsi="Palatino Linotype"/>
        </w:rPr>
        <w:t>In Nederland en de Verenigde Staten bestaat een systeem bestaande uit twee pijlers, waarbij de tweede pijler persoonlijke kapitaaldekking beslaat. Een vast percentage van het bruto jaarinkomen wordt hi</w:t>
      </w:r>
      <w:r w:rsidR="00827479">
        <w:rPr>
          <w:rFonts w:ascii="Palatino Linotype" w:hAnsi="Palatino Linotype"/>
        </w:rPr>
        <w:t>erbij in een spaarfonds gestopt en aan het eind van de opbouwperiode aan de premieplichtige zelf uitgekeerd.</w:t>
      </w:r>
      <w:r w:rsidR="00B421AE">
        <w:rPr>
          <w:rFonts w:ascii="Palatino Linotype" w:hAnsi="Palatino Linotype"/>
        </w:rPr>
        <w:t xml:space="preserve"> In Nederland is dit percentage 2 en in de Verenigde Staten 6 procent.</w:t>
      </w:r>
      <w:r w:rsidR="008C3B03">
        <w:rPr>
          <w:rFonts w:ascii="Palatino Linotype" w:hAnsi="Palatino Linotype"/>
        </w:rPr>
        <w:t xml:space="preserve"> Voor wat betreft de eerste pijler komt de opbouw in Nederland voort uit de Algemene Oud</w:t>
      </w:r>
      <w:r w:rsidR="006B03C6">
        <w:rPr>
          <w:rFonts w:ascii="Palatino Linotype" w:hAnsi="Palatino Linotype"/>
        </w:rPr>
        <w:t>erdomswet, waarbij gemiddeld USD</w:t>
      </w:r>
      <w:r w:rsidR="008C3B03">
        <w:rPr>
          <w:rFonts w:ascii="Palatino Linotype" w:hAnsi="Palatino Linotype"/>
        </w:rPr>
        <w:t xml:space="preserve"> 1.303 wordt afgedragen en in de Verenigde Staten een percentage van 6.2 van het bruto jaarinkomen.</w:t>
      </w:r>
    </w:p>
    <w:p w:rsidR="00717E4B" w:rsidRDefault="00717E4B" w:rsidP="00654D0E">
      <w:pPr>
        <w:pStyle w:val="NoSpacing"/>
        <w:spacing w:line="360" w:lineRule="auto"/>
        <w:rPr>
          <w:rFonts w:ascii="Palatino Linotype" w:hAnsi="Palatino Linotype"/>
        </w:rPr>
      </w:pPr>
      <w:r>
        <w:rPr>
          <w:noProof/>
          <w:lang w:eastAsia="nl-NL"/>
        </w:rPr>
        <mc:AlternateContent>
          <mc:Choice Requires="wps">
            <w:drawing>
              <wp:anchor distT="0" distB="0" distL="114300" distR="114300" simplePos="0" relativeHeight="251661312" behindDoc="0" locked="0" layoutInCell="1" allowOverlap="1" wp14:anchorId="63061D55" wp14:editId="7CA023E9">
                <wp:simplePos x="0" y="0"/>
                <wp:positionH relativeFrom="column">
                  <wp:posOffset>104140</wp:posOffset>
                </wp:positionH>
                <wp:positionV relativeFrom="paragraph">
                  <wp:posOffset>147320</wp:posOffset>
                </wp:positionV>
                <wp:extent cx="5610225" cy="762000"/>
                <wp:effectExtent l="0" t="0" r="0" b="0"/>
                <wp:wrapNone/>
                <wp:docPr id="6" name="TextBox 5"/>
                <wp:cNvGraphicFramePr/>
                <a:graphic xmlns:a="http://schemas.openxmlformats.org/drawingml/2006/main">
                  <a:graphicData uri="http://schemas.microsoft.com/office/word/2010/wordprocessingShape">
                    <wps:wsp>
                      <wps:cNvSpPr txBox="1"/>
                      <wps:spPr>
                        <a:xfrm>
                          <a:off x="0" y="0"/>
                          <a:ext cx="5610225" cy="762000"/>
                        </a:xfrm>
                        <a:prstGeom prst="rect">
                          <a:avLst/>
                        </a:prstGeom>
                        <a:noFill/>
                      </wps:spPr>
                      <wps:style>
                        <a:lnRef idx="0">
                          <a:scrgbClr r="0" g="0" b="0"/>
                        </a:lnRef>
                        <a:fillRef idx="0">
                          <a:scrgbClr r="0" g="0" b="0"/>
                        </a:fillRef>
                        <a:effectRef idx="0">
                          <a:scrgbClr r="0" g="0" b="0"/>
                        </a:effectRef>
                        <a:fontRef idx="minor">
                          <a:schemeClr val="tx1"/>
                        </a:fontRef>
                      </wps:style>
                      <wps:txbx>
                        <w:txbxContent>
                          <w:p w:rsidR="00875347" w:rsidRDefault="00190691" w:rsidP="00717E4B">
                            <w:pPr>
                              <w:pStyle w:val="NormalWeb"/>
                              <w:spacing w:before="0" w:beforeAutospacing="0" w:after="0" w:afterAutospacing="0"/>
                            </w:pPr>
                            <m:oMathPara>
                              <m:oMathParaPr>
                                <m:jc m:val="centerGroup"/>
                              </m:oMathParaPr>
                              <m:oMath>
                                <m:f>
                                  <m:fPr>
                                    <m:ctrlPr>
                                      <w:rPr>
                                        <w:rFonts w:ascii="Cambria Math" w:hAnsi="Cambria Math" w:cstheme="minorBidi"/>
                                        <w:i/>
                                        <w:iCs/>
                                        <w:color w:val="000000" w:themeColor="text1"/>
                                        <w:sz w:val="22"/>
                                        <w:szCs w:val="22"/>
                                      </w:rPr>
                                    </m:ctrlPr>
                                  </m:fPr>
                                  <m:num>
                                    <m:d>
                                      <m:dPr>
                                        <m:ctrlPr>
                                          <w:rPr>
                                            <w:rFonts w:ascii="Cambria Math" w:hAnsi="Cambria Math" w:cstheme="minorBidi"/>
                                            <w:i/>
                                            <w:iCs/>
                                            <w:color w:val="000000" w:themeColor="text1"/>
                                            <w:sz w:val="22"/>
                                            <w:szCs w:val="22"/>
                                          </w:rPr>
                                        </m:ctrlPr>
                                      </m:dPr>
                                      <m:e>
                                        <m:f>
                                          <m:fPr>
                                            <m:ctrlPr>
                                              <w:rPr>
                                                <w:rFonts w:ascii="Cambria Math" w:hAnsi="Cambria Math" w:cstheme="minorBidi"/>
                                                <w:i/>
                                                <w:iCs/>
                                                <w:color w:val="000000" w:themeColor="text1"/>
                                                <w:sz w:val="22"/>
                                                <w:szCs w:val="22"/>
                                              </w:rPr>
                                            </m:ctrlPr>
                                          </m:fPr>
                                          <m:num>
                                            <m:r>
                                              <w:rPr>
                                                <w:rFonts w:ascii="Cambria Math" w:hAnsi="Cambria Math" w:cstheme="minorBidi"/>
                                                <w:color w:val="000000" w:themeColor="text1"/>
                                                <w:sz w:val="22"/>
                                                <w:szCs w:val="22"/>
                                              </w:rPr>
                                              <m:t>B*</m:t>
                                            </m:r>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R</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num>
                                          <m:den>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π</m:t>
                                                    </m:r>
                                                  </m:e>
                                                  <m:sub>
                                                    <m:r>
                                                      <w:rPr>
                                                        <w:rFonts w:ascii="Cambria Math" w:hAnsi="Cambria Math" w:cstheme="minorBidi"/>
                                                        <w:color w:val="000000" w:themeColor="text1"/>
                                                        <w:sz w:val="22"/>
                                                        <w:szCs w:val="22"/>
                                                      </w:rPr>
                                                      <m:t>i</m:t>
                                                    </m:r>
                                                  </m:sub>
                                                </m:sSub>
                                              </m:e>
                                            </m:nary>
                                            <m:r>
                                              <w:rPr>
                                                <w:rFonts w:ascii="Cambria Math" w:hAnsi="Cambria Math" w:cstheme="minorBidi"/>
                                                <w:color w:val="000000" w:themeColor="text1"/>
                                                <w:sz w:val="22"/>
                                                <w:szCs w:val="22"/>
                                              </w:rPr>
                                              <m:t>)</m:t>
                                            </m:r>
                                          </m:den>
                                        </m:f>
                                        <m:r>
                                          <m:rPr>
                                            <m:sty m:val="p"/>
                                          </m:rPr>
                                          <w:rPr>
                                            <w:rFonts w:ascii="Cambria Math" w:hAnsi="Cambria Math" w:cstheme="minorBidi"/>
                                            <w:color w:val="000000" w:themeColor="text1"/>
                                            <w:sz w:val="22"/>
                                            <w:szCs w:val="22"/>
                                          </w:rPr>
                                          <m:t>+ </m:t>
                                        </m:r>
                                        <m:f>
                                          <m:fPr>
                                            <m:ctrlPr>
                                              <w:rPr>
                                                <w:rFonts w:ascii="Cambria Math" w:hAnsi="Cambria Math" w:cstheme="minorBidi"/>
                                                <w:i/>
                                                <w:iCs/>
                                                <w:color w:val="000000" w:themeColor="text1"/>
                                                <w:sz w:val="22"/>
                                                <w:szCs w:val="22"/>
                                              </w:rPr>
                                            </m:ctrlPr>
                                          </m:fPr>
                                          <m:num>
                                            <m:r>
                                              <w:rPr>
                                                <w:rFonts w:ascii="Cambria Math" w:hAnsi="Cambria Math" w:cstheme="minorBidi"/>
                                                <w:color w:val="000000" w:themeColor="text1"/>
                                                <w:sz w:val="22"/>
                                                <w:szCs w:val="22"/>
                                              </w:rPr>
                                              <m:t>B*</m:t>
                                            </m:r>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m:t>
                                                </m:r>
                                                <m:r>
                                                  <m:rPr>
                                                    <m:sty m:val="bi"/>
                                                  </m:rPr>
                                                  <w:rPr>
                                                    <w:rFonts w:ascii="Cambria Math" w:hAnsi="Cambria Math" w:cstheme="minorBidi"/>
                                                    <w:color w:val="000000" w:themeColor="text1"/>
                                                    <w:sz w:val="22"/>
                                                    <w:szCs w:val="22"/>
                                                  </w:rPr>
                                                  <m:t> -1</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R</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num>
                                          <m:den>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r>
                                                  <m:rPr>
                                                    <m:sty m:val="bi"/>
                                                  </m:rPr>
                                                  <w:rPr>
                                                    <w:rFonts w:ascii="Cambria Math" w:hAnsi="Cambria Math" w:cstheme="minorBidi"/>
                                                    <w:color w:val="000000" w:themeColor="text1"/>
                                                    <w:sz w:val="22"/>
                                                    <w:szCs w:val="22"/>
                                                  </w:rPr>
                                                  <m:t>-1</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π</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den>
                                        </m:f>
                                        <m:r>
                                          <w:rPr>
                                            <w:rFonts w:asciiTheme="minorHAnsi" w:hAnsi="Calibri" w:cstheme="minorBidi"/>
                                            <w:color w:val="000000" w:themeColor="text1"/>
                                            <w:sz w:val="22"/>
                                            <w:szCs w:val="22"/>
                                          </w:rPr>
                                          <m:t> </m:t>
                                        </m:r>
                                        <m:r>
                                          <w:rPr>
                                            <w:rFonts w:ascii="Cambria Math" w:hAnsi="Cambria Math" w:cstheme="minorBidi"/>
                                            <w:color w:val="000000" w:themeColor="text1"/>
                                            <w:sz w:val="22"/>
                                            <w:szCs w:val="22"/>
                                          </w:rPr>
                                          <m:t>…etcetera+</m:t>
                                        </m:r>
                                        <m:f>
                                          <m:fPr>
                                            <m:ctrlPr>
                                              <w:rPr>
                                                <w:rFonts w:ascii="Cambria Math" w:hAnsi="Cambria Math" w:cstheme="minorBidi"/>
                                                <w:i/>
                                                <w:iCs/>
                                                <w:color w:val="000000" w:themeColor="text1"/>
                                                <w:sz w:val="22"/>
                                                <w:szCs w:val="22"/>
                                              </w:rPr>
                                            </m:ctrlPr>
                                          </m:fPr>
                                          <m:num>
                                            <m:r>
                                              <w:rPr>
                                                <w:rFonts w:ascii="Cambria Math" w:hAnsi="Cambria Math" w:cstheme="minorBidi"/>
                                                <w:color w:val="000000" w:themeColor="text1"/>
                                                <w:sz w:val="22"/>
                                                <w:szCs w:val="22"/>
                                              </w:rPr>
                                              <m:t>(A*Y)*</m:t>
                                            </m:r>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R</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num>
                                          <m:den>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r>
                                                  <m:rPr>
                                                    <m:sty m:val="bi"/>
                                                  </m:rPr>
                                                  <w:rPr>
                                                    <w:rFonts w:ascii="Cambria Math" w:hAnsi="Cambria Math" w:cstheme="minorBidi"/>
                                                    <w:color w:val="000000" w:themeColor="text1"/>
                                                    <w:sz w:val="22"/>
                                                    <w:szCs w:val="22"/>
                                                  </w:rPr>
                                                  <m:t>-1</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π</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den>
                                        </m:f>
                                      </m:e>
                                    </m:d>
                                    <m:r>
                                      <w:rPr>
                                        <w:rFonts w:ascii="Cambria Math" w:hAnsi="Cambria Math" w:cstheme="minorBidi"/>
                                        <w:color w:val="000000" w:themeColor="text1"/>
                                        <w:sz w:val="22"/>
                                        <w:szCs w:val="22"/>
                                      </w:rPr>
                                      <m:t>*n </m:t>
                                    </m:r>
                                  </m:num>
                                  <m:den>
                                    <m:r>
                                      <w:rPr>
                                        <w:rFonts w:ascii="Cambria Math" w:hAnsi="Cambria Math" w:cstheme="minorBidi"/>
                                        <w:color w:val="000000" w:themeColor="text1"/>
                                        <w:sz w:val="22"/>
                                        <w:szCs w:val="22"/>
                                      </w:rPr>
                                      <m:t>U*(L -P)*m</m:t>
                                    </m:r>
                                  </m:den>
                                </m:f>
                              </m:oMath>
                            </m:oMathPara>
                          </w:p>
                        </w:txbxContent>
                      </wps:txbx>
                      <wps:bodyPr vertOverflow="clip" horzOverflow="clip" wrap="square" rtlCol="0" anchor="t">
                        <a:noAutofit/>
                      </wps:bodyPr>
                    </wps:wsp>
                  </a:graphicData>
                </a:graphic>
              </wp:anchor>
            </w:drawing>
          </mc:Choice>
          <mc:Fallback>
            <w:pict>
              <v:shape w14:anchorId="63061D55" id="TextBox 5" o:spid="_x0000_s1027" type="#_x0000_t202" style="position:absolute;margin-left:8.2pt;margin-top:11.6pt;width:441.75pt;height:60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" filled="f" stroked="f">
                <v:textbox>
                  <w:txbxContent>
                    <w:p w:rsidR="00875347" w:rsidRDefault="00190691" w:rsidP="00717E4B">
                      <w:pPr>
                        <w:pStyle w:val="NormalWeb"/>
                        <w:spacing w:before="0" w:beforeAutospacing="0" w:after="0" w:afterAutospacing="0"/>
                      </w:pPr>
                      <m:oMathPara>
                        <m:oMathParaPr>
                          <m:jc m:val="centerGroup"/>
                        </m:oMathParaPr>
                        <m:oMath>
                          <m:f>
                            <m:fPr>
                              <m:ctrlPr>
                                <w:rPr>
                                  <w:rFonts w:ascii="Cambria Math" w:hAnsi="Cambria Math" w:cstheme="minorBidi"/>
                                  <w:i/>
                                  <w:iCs/>
                                  <w:color w:val="000000" w:themeColor="text1"/>
                                  <w:sz w:val="22"/>
                                  <w:szCs w:val="22"/>
                                </w:rPr>
                              </m:ctrlPr>
                            </m:fPr>
                            <m:num>
                              <m:d>
                                <m:dPr>
                                  <m:ctrlPr>
                                    <w:rPr>
                                      <w:rFonts w:ascii="Cambria Math" w:hAnsi="Cambria Math" w:cstheme="minorBidi"/>
                                      <w:i/>
                                      <w:iCs/>
                                      <w:color w:val="000000" w:themeColor="text1"/>
                                      <w:sz w:val="22"/>
                                      <w:szCs w:val="22"/>
                                    </w:rPr>
                                  </m:ctrlPr>
                                </m:dPr>
                                <m:e>
                                  <m:f>
                                    <m:fPr>
                                      <m:ctrlPr>
                                        <w:rPr>
                                          <w:rFonts w:ascii="Cambria Math" w:hAnsi="Cambria Math" w:cstheme="minorBidi"/>
                                          <w:i/>
                                          <w:iCs/>
                                          <w:color w:val="000000" w:themeColor="text1"/>
                                          <w:sz w:val="22"/>
                                          <w:szCs w:val="22"/>
                                        </w:rPr>
                                      </m:ctrlPr>
                                    </m:fPr>
                                    <m:num>
                                      <m:r>
                                        <w:rPr>
                                          <w:rFonts w:ascii="Cambria Math" w:hAnsi="Cambria Math" w:cstheme="minorBidi"/>
                                          <w:color w:val="000000" w:themeColor="text1"/>
                                          <w:sz w:val="22"/>
                                          <w:szCs w:val="22"/>
                                        </w:rPr>
                                        <m:t>B*</m:t>
                                      </m:r>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R</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num>
                                    <m:den>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π</m:t>
                                              </m:r>
                                            </m:e>
                                            <m:sub>
                                              <m:r>
                                                <w:rPr>
                                                  <w:rFonts w:ascii="Cambria Math" w:hAnsi="Cambria Math" w:cstheme="minorBidi"/>
                                                  <w:color w:val="000000" w:themeColor="text1"/>
                                                  <w:sz w:val="22"/>
                                                  <w:szCs w:val="22"/>
                                                </w:rPr>
                                                <m:t>i</m:t>
                                              </m:r>
                                            </m:sub>
                                          </m:sSub>
                                        </m:e>
                                      </m:nary>
                                      <m:r>
                                        <w:rPr>
                                          <w:rFonts w:ascii="Cambria Math" w:hAnsi="Cambria Math" w:cstheme="minorBidi"/>
                                          <w:color w:val="000000" w:themeColor="text1"/>
                                          <w:sz w:val="22"/>
                                          <w:szCs w:val="22"/>
                                        </w:rPr>
                                        <m:t>)</m:t>
                                      </m:r>
                                    </m:den>
                                  </m:f>
                                  <m:r>
                                    <m:rPr>
                                      <m:sty m:val="p"/>
                                    </m:rPr>
                                    <w:rPr>
                                      <w:rFonts w:ascii="Cambria Math" w:hAnsi="Cambria Math" w:cstheme="minorBidi"/>
                                      <w:color w:val="000000" w:themeColor="text1"/>
                                      <w:sz w:val="22"/>
                                      <w:szCs w:val="22"/>
                                    </w:rPr>
                                    <m:t>+ </m:t>
                                  </m:r>
                                  <m:f>
                                    <m:fPr>
                                      <m:ctrlPr>
                                        <w:rPr>
                                          <w:rFonts w:ascii="Cambria Math" w:hAnsi="Cambria Math" w:cstheme="minorBidi"/>
                                          <w:i/>
                                          <w:iCs/>
                                          <w:color w:val="000000" w:themeColor="text1"/>
                                          <w:sz w:val="22"/>
                                          <w:szCs w:val="22"/>
                                        </w:rPr>
                                      </m:ctrlPr>
                                    </m:fPr>
                                    <m:num>
                                      <m:r>
                                        <w:rPr>
                                          <w:rFonts w:ascii="Cambria Math" w:hAnsi="Cambria Math" w:cstheme="minorBidi"/>
                                          <w:color w:val="000000" w:themeColor="text1"/>
                                          <w:sz w:val="22"/>
                                          <w:szCs w:val="22"/>
                                        </w:rPr>
                                        <m:t>B*</m:t>
                                      </m:r>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m:t>
                                          </m:r>
                                          <m:r>
                                            <m:rPr>
                                              <m:sty m:val="bi"/>
                                            </m:rPr>
                                            <w:rPr>
                                              <w:rFonts w:ascii="Cambria Math" w:hAnsi="Cambria Math" w:cstheme="minorBidi"/>
                                              <w:color w:val="000000" w:themeColor="text1"/>
                                              <w:sz w:val="22"/>
                                              <w:szCs w:val="22"/>
                                            </w:rPr>
                                            <m:t> -1</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R</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num>
                                    <m:den>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r>
                                            <m:rPr>
                                              <m:sty m:val="bi"/>
                                            </m:rPr>
                                            <w:rPr>
                                              <w:rFonts w:ascii="Cambria Math" w:hAnsi="Cambria Math" w:cstheme="minorBidi"/>
                                              <w:color w:val="000000" w:themeColor="text1"/>
                                              <w:sz w:val="22"/>
                                              <w:szCs w:val="22"/>
                                            </w:rPr>
                                            <m:t>-1</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π</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den>
                                  </m:f>
                                  <m:r>
                                    <w:rPr>
                                      <w:rFonts w:asciiTheme="minorHAnsi" w:hAnsi="Calibri" w:cstheme="minorBidi"/>
                                      <w:color w:val="000000" w:themeColor="text1"/>
                                      <w:sz w:val="22"/>
                                      <w:szCs w:val="22"/>
                                    </w:rPr>
                                    <m:t> </m:t>
                                  </m:r>
                                  <m:r>
                                    <w:rPr>
                                      <w:rFonts w:ascii="Cambria Math" w:hAnsi="Cambria Math" w:cstheme="minorBidi"/>
                                      <w:color w:val="000000" w:themeColor="text1"/>
                                      <w:sz w:val="22"/>
                                      <w:szCs w:val="22"/>
                                    </w:rPr>
                                    <m:t>…etcetera+</m:t>
                                  </m:r>
                                  <m:f>
                                    <m:fPr>
                                      <m:ctrlPr>
                                        <w:rPr>
                                          <w:rFonts w:ascii="Cambria Math" w:hAnsi="Cambria Math" w:cstheme="minorBidi"/>
                                          <w:i/>
                                          <w:iCs/>
                                          <w:color w:val="000000" w:themeColor="text1"/>
                                          <w:sz w:val="22"/>
                                          <w:szCs w:val="22"/>
                                        </w:rPr>
                                      </m:ctrlPr>
                                    </m:fPr>
                                    <m:num>
                                      <m:r>
                                        <w:rPr>
                                          <w:rFonts w:ascii="Cambria Math" w:hAnsi="Cambria Math" w:cstheme="minorBidi"/>
                                          <w:color w:val="000000" w:themeColor="text1"/>
                                          <w:sz w:val="22"/>
                                          <w:szCs w:val="22"/>
                                        </w:rPr>
                                        <m:t>(A*Y)*</m:t>
                                      </m:r>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R</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num>
                                    <m:den>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r>
                                            <m:rPr>
                                              <m:sty m:val="bi"/>
                                            </m:rPr>
                                            <w:rPr>
                                              <w:rFonts w:ascii="Cambria Math" w:hAnsi="Cambria Math" w:cstheme="minorBidi"/>
                                              <w:color w:val="000000" w:themeColor="text1"/>
                                              <w:sz w:val="22"/>
                                              <w:szCs w:val="22"/>
                                            </w:rPr>
                                            <m:t>-1</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π</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den>
                                  </m:f>
                                </m:e>
                              </m:d>
                              <m:r>
                                <w:rPr>
                                  <w:rFonts w:ascii="Cambria Math" w:hAnsi="Cambria Math" w:cstheme="minorBidi"/>
                                  <w:color w:val="000000" w:themeColor="text1"/>
                                  <w:sz w:val="22"/>
                                  <w:szCs w:val="22"/>
                                </w:rPr>
                                <m:t>*n </m:t>
                              </m:r>
                            </m:num>
                            <m:den>
                              <m:r>
                                <w:rPr>
                                  <w:rFonts w:ascii="Cambria Math" w:hAnsi="Cambria Math" w:cstheme="minorBidi"/>
                                  <w:color w:val="000000" w:themeColor="text1"/>
                                  <w:sz w:val="22"/>
                                  <w:szCs w:val="22"/>
                                </w:rPr>
                                <m:t>U*(L -P)*m</m:t>
                              </m:r>
                            </m:den>
                          </m:f>
                        </m:oMath>
                      </m:oMathPara>
                    </w:p>
                  </w:txbxContent>
                </v:textbox>
              </v:shape>
            </w:pict>
          </mc:Fallback>
        </mc:AlternateContent>
      </w:r>
    </w:p>
    <w:p w:rsidR="00717E4B" w:rsidRDefault="00717E4B" w:rsidP="00654D0E">
      <w:pPr>
        <w:pStyle w:val="NoSpacing"/>
        <w:spacing w:line="360" w:lineRule="auto"/>
        <w:rPr>
          <w:rFonts w:ascii="Palatino Linotype" w:hAnsi="Palatino Linotype"/>
        </w:rPr>
      </w:pPr>
    </w:p>
    <w:p w:rsidR="00DD6506" w:rsidRDefault="00DD6506" w:rsidP="00654D0E">
      <w:pPr>
        <w:pStyle w:val="NoSpacing"/>
        <w:spacing w:line="360" w:lineRule="auto"/>
        <w:rPr>
          <w:rFonts w:ascii="Palatino Linotype" w:hAnsi="Palatino Linotype"/>
        </w:rPr>
      </w:pPr>
    </w:p>
    <w:p w:rsidR="00717E4B" w:rsidRDefault="00717E4B" w:rsidP="00654D0E">
      <w:pPr>
        <w:pStyle w:val="NoSpacing"/>
        <w:spacing w:line="360" w:lineRule="auto"/>
        <w:rPr>
          <w:rFonts w:ascii="Palatino Linotype" w:hAnsi="Palatino Linotype"/>
          <w:b/>
        </w:rPr>
      </w:pPr>
    </w:p>
    <w:p w:rsidR="00717E4B" w:rsidRPr="00355BA3" w:rsidRDefault="00717E4B" w:rsidP="00654D0E">
      <w:pPr>
        <w:pStyle w:val="NoSpacing"/>
        <w:spacing w:line="360" w:lineRule="auto"/>
        <w:rPr>
          <w:rFonts w:ascii="Palatino Linotype" w:hAnsi="Palatino Linotype"/>
        </w:rPr>
      </w:pPr>
      <w:r>
        <w:rPr>
          <w:rFonts w:ascii="Palatino Linotype" w:hAnsi="Palatino Linotype"/>
        </w:rPr>
        <w:t xml:space="preserve">Waarbij </w:t>
      </w:r>
      <w:r w:rsidRPr="00717E4B">
        <w:rPr>
          <w:rFonts w:ascii="Palatino Linotype" w:hAnsi="Palatino Linotype"/>
          <w:i/>
        </w:rPr>
        <w:t>A</w:t>
      </w:r>
      <w:r>
        <w:rPr>
          <w:rFonts w:ascii="Palatino Linotype" w:hAnsi="Palatino Linotype"/>
        </w:rPr>
        <w:t xml:space="preserve"> het afdrachtpercentage en </w:t>
      </w:r>
      <w:r w:rsidRPr="00717E4B">
        <w:rPr>
          <w:rFonts w:ascii="Palatino Linotype" w:hAnsi="Palatino Linotype"/>
          <w:i/>
        </w:rPr>
        <w:t>Y</w:t>
      </w:r>
      <w:r>
        <w:rPr>
          <w:rFonts w:ascii="Palatino Linotype" w:hAnsi="Palatino Linotype"/>
        </w:rPr>
        <w:t xml:space="preserve"> </w:t>
      </w:r>
      <w:r w:rsidR="00355BA3">
        <w:rPr>
          <w:rFonts w:ascii="Palatino Linotype" w:hAnsi="Palatino Linotype"/>
        </w:rPr>
        <w:t xml:space="preserve">het bruto jaarinkomen weergeven, waarbij </w:t>
      </w:r>
      <w:r w:rsidR="00355BA3">
        <w:rPr>
          <w:rFonts w:ascii="Palatino Linotype" w:hAnsi="Palatino Linotype"/>
          <w:i/>
        </w:rPr>
        <w:t>A</w:t>
      </w:r>
      <w:r w:rsidR="00355BA3">
        <w:rPr>
          <w:rFonts w:ascii="Palatino Linotype" w:hAnsi="Palatino Linotype"/>
        </w:rPr>
        <w:t xml:space="preserve"> variabel is, maar in de simulatie op tien procent is gesteld.</w:t>
      </w:r>
    </w:p>
    <w:p w:rsidR="00717E4B" w:rsidRDefault="00717E4B" w:rsidP="00654D0E">
      <w:pPr>
        <w:pStyle w:val="NoSpacing"/>
        <w:spacing w:line="360" w:lineRule="auto"/>
        <w:rPr>
          <w:rFonts w:ascii="Palatino Linotype" w:hAnsi="Palatino Linotype"/>
          <w:b/>
        </w:rPr>
      </w:pPr>
    </w:p>
    <w:p w:rsidR="00DD6506" w:rsidRDefault="00DD6506" w:rsidP="00654D0E">
      <w:pPr>
        <w:pStyle w:val="NoSpacing"/>
        <w:spacing w:line="360" w:lineRule="auto"/>
        <w:rPr>
          <w:rFonts w:ascii="Palatino Linotype" w:hAnsi="Palatino Linotype"/>
        </w:rPr>
      </w:pPr>
      <w:r>
        <w:rPr>
          <w:rFonts w:ascii="Palatino Linotype" w:hAnsi="Palatino Linotype"/>
        </w:rPr>
        <w:t>Het Chileense model</w:t>
      </w:r>
      <w:r w:rsidR="00FC254C">
        <w:rPr>
          <w:rFonts w:ascii="Palatino Linotype" w:hAnsi="Palatino Linotype"/>
        </w:rPr>
        <w:t xml:space="preserve"> heeft enkel het kapitaaldekkingssysteem met</w:t>
      </w:r>
      <w:r>
        <w:rPr>
          <w:rFonts w:ascii="Palatino Linotype" w:hAnsi="Palatino Linotype"/>
        </w:rPr>
        <w:t xml:space="preserve"> een vast percentage van het bruto </w:t>
      </w:r>
      <w:r w:rsidR="005B4C11">
        <w:rPr>
          <w:rFonts w:ascii="Palatino Linotype" w:hAnsi="Palatino Linotype"/>
        </w:rPr>
        <w:t>jaarinkomen</w:t>
      </w:r>
      <w:r>
        <w:rPr>
          <w:rFonts w:ascii="Palatino Linotype" w:hAnsi="Palatino Linotype"/>
        </w:rPr>
        <w:t xml:space="preserve"> dat geïnvesteerd wordt voor eigen gebruik in de toekomst. Dit bedrag wordt op eenzelfde manier gecorrigeerd voor ren</w:t>
      </w:r>
      <w:r w:rsidR="005B4C11">
        <w:rPr>
          <w:rFonts w:ascii="Palatino Linotype" w:hAnsi="Palatino Linotype"/>
        </w:rPr>
        <w:t>d</w:t>
      </w:r>
      <w:r>
        <w:rPr>
          <w:rFonts w:ascii="Palatino Linotype" w:hAnsi="Palatino Linotype"/>
        </w:rPr>
        <w:t>ement en</w:t>
      </w:r>
      <w:r w:rsidR="00FC254C">
        <w:rPr>
          <w:rFonts w:ascii="Palatino Linotype" w:hAnsi="Palatino Linotype"/>
        </w:rPr>
        <w:t xml:space="preserve"> inflatie als bij het PAYGO-systeem. Bij dit model is</w:t>
      </w:r>
      <w:r w:rsidR="00BE41B7">
        <w:rPr>
          <w:rFonts w:ascii="Palatino Linotype" w:hAnsi="Palatino Linotype"/>
        </w:rPr>
        <w:t xml:space="preserve"> echter</w:t>
      </w:r>
      <w:r>
        <w:rPr>
          <w:rFonts w:ascii="Palatino Linotype" w:hAnsi="Palatino Linotype"/>
        </w:rPr>
        <w:t xml:space="preserve"> het aantal deelnemers weggelaten aangezien dit model voor iedere inwoner persoonli</w:t>
      </w:r>
      <w:r w:rsidR="00BE41B7">
        <w:rPr>
          <w:rFonts w:ascii="Palatino Linotype" w:hAnsi="Palatino Linotype"/>
        </w:rPr>
        <w:t xml:space="preserve">jk is. Ook al wordt </w:t>
      </w:r>
      <w:r>
        <w:rPr>
          <w:rFonts w:ascii="Palatino Linotype" w:hAnsi="Palatino Linotype"/>
        </w:rPr>
        <w:t>constante inleg</w:t>
      </w:r>
      <w:r w:rsidR="00BE41B7">
        <w:rPr>
          <w:rFonts w:ascii="Palatino Linotype" w:hAnsi="Palatino Linotype"/>
        </w:rPr>
        <w:t xml:space="preserve"> verondersteld</w:t>
      </w:r>
      <w:r>
        <w:rPr>
          <w:rFonts w:ascii="Palatino Linotype" w:hAnsi="Palatino Linotype"/>
        </w:rPr>
        <w:t>, de grootte van de poule werkenden is irrelevant voor het trekken van conclusies.</w:t>
      </w:r>
    </w:p>
    <w:p w:rsidR="00DD6506" w:rsidRDefault="000C1645" w:rsidP="00654D0E">
      <w:pPr>
        <w:pStyle w:val="NoSpacing"/>
        <w:spacing w:line="360" w:lineRule="auto"/>
        <w:rPr>
          <w:rFonts w:ascii="Palatino Linotype" w:hAnsi="Palatino Linotype"/>
        </w:rPr>
      </w:pPr>
      <w:r>
        <w:rPr>
          <w:noProof/>
          <w:lang w:eastAsia="nl-NL"/>
        </w:rPr>
        <mc:AlternateContent>
          <mc:Choice Requires="wps">
            <w:drawing>
              <wp:anchor distT="0" distB="0" distL="114300" distR="114300" simplePos="0" relativeHeight="251663360" behindDoc="0" locked="0" layoutInCell="1" allowOverlap="1" wp14:anchorId="268EA046" wp14:editId="48A77638">
                <wp:simplePos x="0" y="0"/>
                <wp:positionH relativeFrom="column">
                  <wp:posOffset>1714500</wp:posOffset>
                </wp:positionH>
                <wp:positionV relativeFrom="paragraph">
                  <wp:posOffset>163195</wp:posOffset>
                </wp:positionV>
                <wp:extent cx="2276475" cy="762000"/>
                <wp:effectExtent l="0" t="0" r="0" b="0"/>
                <wp:wrapNone/>
                <wp:docPr id="5" name="TextBox 4"/>
                <wp:cNvGraphicFramePr/>
                <a:graphic xmlns:a="http://schemas.openxmlformats.org/drawingml/2006/main">
                  <a:graphicData uri="http://schemas.microsoft.com/office/word/2010/wordprocessingShape">
                    <wps:wsp>
                      <wps:cNvSpPr txBox="1"/>
                      <wps:spPr>
                        <a:xfrm>
                          <a:off x="0" y="0"/>
                          <a:ext cx="2276475" cy="762000"/>
                        </a:xfrm>
                        <a:prstGeom prst="rect">
                          <a:avLst/>
                        </a:prstGeom>
                        <a:noFill/>
                      </wps:spPr>
                      <wps:style>
                        <a:lnRef idx="0">
                          <a:scrgbClr r="0" g="0" b="0"/>
                        </a:lnRef>
                        <a:fillRef idx="0">
                          <a:scrgbClr r="0" g="0" b="0"/>
                        </a:fillRef>
                        <a:effectRef idx="0">
                          <a:scrgbClr r="0" g="0" b="0"/>
                        </a:effectRef>
                        <a:fontRef idx="minor">
                          <a:schemeClr val="tx1"/>
                        </a:fontRef>
                      </wps:style>
                      <wps:txbx>
                        <w:txbxContent>
                          <w:p w:rsidR="00875347" w:rsidRDefault="00190691" w:rsidP="00C17AA2">
                            <w:pPr>
                              <w:pStyle w:val="NormalWeb"/>
                              <w:spacing w:before="0" w:beforeAutospacing="0" w:after="0" w:afterAutospacing="0"/>
                            </w:pPr>
                            <m:oMathPara>
                              <m:oMathParaPr>
                                <m:jc m:val="centerGroup"/>
                              </m:oMathParaPr>
                              <m:oMath>
                                <m:f>
                                  <m:fPr>
                                    <m:ctrlPr>
                                      <w:rPr>
                                        <w:rFonts w:ascii="Cambria Math" w:hAnsi="Cambria Math" w:cstheme="minorBidi"/>
                                        <w:i/>
                                        <w:iCs/>
                                        <w:color w:val="000000" w:themeColor="text1"/>
                                        <w:sz w:val="22"/>
                                        <w:szCs w:val="22"/>
                                      </w:rPr>
                                    </m:ctrlPr>
                                  </m:fPr>
                                  <m:num>
                                    <m:d>
                                      <m:dPr>
                                        <m:ctrlPr>
                                          <w:rPr>
                                            <w:rFonts w:ascii="Cambria Math" w:hAnsi="Cambria Math" w:cstheme="minorBidi"/>
                                            <w:i/>
                                            <w:iCs/>
                                            <w:color w:val="000000" w:themeColor="text1"/>
                                            <w:sz w:val="22"/>
                                            <w:szCs w:val="22"/>
                                          </w:rPr>
                                        </m:ctrlPr>
                                      </m:dPr>
                                      <m:e>
                                        <m:f>
                                          <m:fPr>
                                            <m:ctrlPr>
                                              <w:rPr>
                                                <w:rFonts w:ascii="Cambria Math" w:hAnsi="Cambria Math" w:cstheme="minorBidi"/>
                                                <w:i/>
                                                <w:iCs/>
                                                <w:color w:val="000000" w:themeColor="text1"/>
                                                <w:sz w:val="22"/>
                                                <w:szCs w:val="22"/>
                                              </w:rPr>
                                            </m:ctrlPr>
                                          </m:fPr>
                                          <m:num>
                                            <m:r>
                                              <w:rPr>
                                                <w:rFonts w:ascii="Cambria Math" w:hAnsi="Cambria Math" w:cstheme="minorBidi"/>
                                                <w:color w:val="000000" w:themeColor="text1"/>
                                                <w:sz w:val="22"/>
                                                <w:szCs w:val="22"/>
                                              </w:rPr>
                                              <m:t>(A*Y)*</m:t>
                                            </m:r>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R</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num>
                                          <m:den>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r>
                                                  <m:rPr>
                                                    <m:sty m:val="bi"/>
                                                  </m:rPr>
                                                  <w:rPr>
                                                    <w:rFonts w:ascii="Cambria Math" w:hAnsi="Cambria Math" w:cstheme="minorBidi"/>
                                                    <w:color w:val="000000" w:themeColor="text1"/>
                                                    <w:sz w:val="22"/>
                                                    <w:szCs w:val="22"/>
                                                  </w:rPr>
                                                  <m:t>-1</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π</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den>
                                        </m:f>
                                        <m:r>
                                          <w:rPr>
                                            <w:rFonts w:asciiTheme="minorHAnsi" w:hAnsi="Calibri" w:cstheme="minorBidi"/>
                                            <w:color w:val="000000" w:themeColor="text1"/>
                                            <w:sz w:val="22"/>
                                            <w:szCs w:val="22"/>
                                          </w:rPr>
                                          <m:t> </m:t>
                                        </m:r>
                                      </m:e>
                                    </m:d>
                                  </m:num>
                                  <m:den>
                                    <m:r>
                                      <w:rPr>
                                        <w:rFonts w:ascii="Cambria Math" w:hAnsi="Cambria Math" w:cstheme="minorBidi"/>
                                        <w:color w:val="000000" w:themeColor="text1"/>
                                        <w:sz w:val="22"/>
                                        <w:szCs w:val="22"/>
                                      </w:rPr>
                                      <m:t>(L -P)</m:t>
                                    </m:r>
                                  </m:den>
                                </m:f>
                              </m:oMath>
                            </m:oMathPara>
                          </w:p>
                        </w:txbxContent>
                      </wps:txbx>
                      <wps:bodyPr vertOverflow="clip" horzOverflow="clip" wrap="square" rtlCol="0" anchor="t">
                        <a:noAutofit/>
                      </wps:bodyPr>
                    </wps:wsp>
                  </a:graphicData>
                </a:graphic>
              </wp:anchor>
            </w:drawing>
          </mc:Choice>
          <mc:Fallback>
            <w:pict>
              <v:shape w14:anchorId="268EA046" id="TextBox 4" o:spid="_x0000_s1028" type="#_x0000_t202" style="position:absolute;margin-left:135pt;margin-top:12.85pt;width:179.25pt;height:60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" filled="f" stroked="f">
                <v:textbox>
                  <w:txbxContent>
                    <w:p w:rsidR="00875347" w:rsidRDefault="00190691" w:rsidP="00C17AA2">
                      <w:pPr>
                        <w:pStyle w:val="NormalWeb"/>
                        <w:spacing w:before="0" w:beforeAutospacing="0" w:after="0" w:afterAutospacing="0"/>
                      </w:pPr>
                      <m:oMathPara>
                        <m:oMathParaPr>
                          <m:jc m:val="centerGroup"/>
                        </m:oMathParaPr>
                        <m:oMath>
                          <m:f>
                            <m:fPr>
                              <m:ctrlPr>
                                <w:rPr>
                                  <w:rFonts w:ascii="Cambria Math" w:hAnsi="Cambria Math" w:cstheme="minorBidi"/>
                                  <w:i/>
                                  <w:iCs/>
                                  <w:color w:val="000000" w:themeColor="text1"/>
                                  <w:sz w:val="22"/>
                                  <w:szCs w:val="22"/>
                                </w:rPr>
                              </m:ctrlPr>
                            </m:fPr>
                            <m:num>
                              <m:d>
                                <m:dPr>
                                  <m:ctrlPr>
                                    <w:rPr>
                                      <w:rFonts w:ascii="Cambria Math" w:hAnsi="Cambria Math" w:cstheme="minorBidi"/>
                                      <w:i/>
                                      <w:iCs/>
                                      <w:color w:val="000000" w:themeColor="text1"/>
                                      <w:sz w:val="22"/>
                                      <w:szCs w:val="22"/>
                                    </w:rPr>
                                  </m:ctrlPr>
                                </m:dPr>
                                <m:e>
                                  <m:f>
                                    <m:fPr>
                                      <m:ctrlPr>
                                        <w:rPr>
                                          <w:rFonts w:ascii="Cambria Math" w:hAnsi="Cambria Math" w:cstheme="minorBidi"/>
                                          <w:i/>
                                          <w:iCs/>
                                          <w:color w:val="000000" w:themeColor="text1"/>
                                          <w:sz w:val="22"/>
                                          <w:szCs w:val="22"/>
                                        </w:rPr>
                                      </m:ctrlPr>
                                    </m:fPr>
                                    <m:num>
                                      <m:r>
                                        <w:rPr>
                                          <w:rFonts w:ascii="Cambria Math" w:hAnsi="Cambria Math" w:cstheme="minorBidi"/>
                                          <w:color w:val="000000" w:themeColor="text1"/>
                                          <w:sz w:val="22"/>
                                          <w:szCs w:val="22"/>
                                        </w:rPr>
                                        <m:t>(A*Y)*</m:t>
                                      </m:r>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R</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num>
                                    <m:den>
                                      <m:nary>
                                        <m:naryPr>
                                          <m:chr m:val="∏"/>
                                          <m:limLoc m:val="subSup"/>
                                          <m:ctrlPr>
                                            <w:rPr>
                                              <w:rFonts w:ascii="Cambria Math" w:hAnsi="Cambria Math" w:cstheme="minorBidi"/>
                                              <w:i/>
                                              <w:iCs/>
                                              <w:color w:val="000000" w:themeColor="text1"/>
                                              <w:sz w:val="22"/>
                                              <w:szCs w:val="22"/>
                                            </w:rPr>
                                          </m:ctrlPr>
                                        </m:naryPr>
                                        <m:sub>
                                          <m:r>
                                            <w:rPr>
                                              <w:rFonts w:ascii="Cambria Math" w:hAnsi="Cambria Math" w:cstheme="minorBidi"/>
                                              <w:color w:val="000000" w:themeColor="text1"/>
                                              <w:sz w:val="22"/>
                                              <w:szCs w:val="22"/>
                                            </w:rPr>
                                            <m:t>i=1</m:t>
                                          </m:r>
                                        </m:sub>
                                        <m:sup>
                                          <m:r>
                                            <w:rPr>
                                              <w:rFonts w:ascii="Cambria Math" w:hAnsi="Cambria Math" w:cstheme="minorBidi"/>
                                              <w:color w:val="000000" w:themeColor="text1"/>
                                              <w:sz w:val="22"/>
                                              <w:szCs w:val="22"/>
                                            </w:rPr>
                                            <m:t>j </m:t>
                                          </m:r>
                                          <m:r>
                                            <m:rPr>
                                              <m:sty m:val="bi"/>
                                            </m:rPr>
                                            <w:rPr>
                                              <w:rFonts w:ascii="Cambria Math" w:hAnsi="Cambria Math" w:cstheme="minorBidi"/>
                                              <w:color w:val="000000" w:themeColor="text1"/>
                                              <w:sz w:val="22"/>
                                              <w:szCs w:val="22"/>
                                            </w:rPr>
                                            <m:t>-1</m:t>
                                          </m:r>
                                        </m:sup>
                                        <m:e>
                                          <m:r>
                                            <w:rPr>
                                              <w:rFonts w:ascii="Cambria Math" w:hAnsi="Cambria Math" w:cstheme="minorBidi"/>
                                              <w:color w:val="000000" w:themeColor="text1"/>
                                              <w:sz w:val="22"/>
                                              <w:szCs w:val="22"/>
                                            </w:rPr>
                                            <m:t>(1+</m:t>
                                          </m:r>
                                          <m:sSub>
                                            <m:sSubPr>
                                              <m:ctrlPr>
                                                <w:rPr>
                                                  <w:rFonts w:ascii="Cambria Math" w:hAnsi="Cambria Math" w:cstheme="minorBidi"/>
                                                  <w:i/>
                                                  <w:iCs/>
                                                  <w:color w:val="000000" w:themeColor="text1"/>
                                                  <w:sz w:val="22"/>
                                                  <w:szCs w:val="22"/>
                                                </w:rPr>
                                              </m:ctrlPr>
                                            </m:sSubPr>
                                            <m:e>
                                              <m:r>
                                                <w:rPr>
                                                  <w:rFonts w:ascii="Cambria Math" w:hAnsi="Cambria Math" w:cstheme="minorBidi"/>
                                                  <w:color w:val="000000" w:themeColor="text1"/>
                                                  <w:sz w:val="22"/>
                                                  <w:szCs w:val="22"/>
                                                </w:rPr>
                                                <m:t>π</m:t>
                                              </m:r>
                                            </m:e>
                                            <m:sub>
                                              <m:r>
                                                <w:rPr>
                                                  <w:rFonts w:ascii="Cambria Math" w:hAnsi="Cambria Math" w:cstheme="minorBidi"/>
                                                  <w:color w:val="000000" w:themeColor="text1"/>
                                                  <w:sz w:val="22"/>
                                                  <w:szCs w:val="22"/>
                                                </w:rPr>
                                                <m:t>i</m:t>
                                              </m:r>
                                            </m:sub>
                                          </m:sSub>
                                          <m:r>
                                            <w:rPr>
                                              <w:rFonts w:ascii="Cambria Math" w:hAnsi="Cambria Math" w:cstheme="minorBidi"/>
                                              <w:color w:val="000000" w:themeColor="text1"/>
                                              <w:sz w:val="22"/>
                                              <w:szCs w:val="22"/>
                                            </w:rPr>
                                            <m:t>)</m:t>
                                          </m:r>
                                        </m:e>
                                      </m:nary>
                                    </m:den>
                                  </m:f>
                                  <m:r>
                                    <w:rPr>
                                      <w:rFonts w:asciiTheme="minorHAnsi" w:hAnsi="Calibri" w:cstheme="minorBidi"/>
                                      <w:color w:val="000000" w:themeColor="text1"/>
                                      <w:sz w:val="22"/>
                                      <w:szCs w:val="22"/>
                                    </w:rPr>
                                    <m:t> </m:t>
                                  </m:r>
                                </m:e>
                              </m:d>
                            </m:num>
                            <m:den>
                              <m:r>
                                <w:rPr>
                                  <w:rFonts w:ascii="Cambria Math" w:hAnsi="Cambria Math" w:cstheme="minorBidi"/>
                                  <w:color w:val="000000" w:themeColor="text1"/>
                                  <w:sz w:val="22"/>
                                  <w:szCs w:val="22"/>
                                </w:rPr>
                                <m:t>(L -P)</m:t>
                              </m:r>
                            </m:den>
                          </m:f>
                        </m:oMath>
                      </m:oMathPara>
                    </w:p>
                  </w:txbxContent>
                </v:textbox>
              </v:shape>
            </w:pict>
          </mc:Fallback>
        </mc:AlternateContent>
      </w:r>
    </w:p>
    <w:p w:rsidR="000C1645" w:rsidRDefault="000C1645" w:rsidP="00654D0E">
      <w:pPr>
        <w:pStyle w:val="NoSpacing"/>
        <w:spacing w:line="360" w:lineRule="auto"/>
        <w:rPr>
          <w:rFonts w:ascii="Palatino Linotype" w:hAnsi="Palatino Linotype"/>
        </w:rPr>
      </w:pPr>
    </w:p>
    <w:p w:rsidR="002B6138" w:rsidRDefault="002B6138" w:rsidP="00654D0E">
      <w:pPr>
        <w:pStyle w:val="NoSpacing"/>
        <w:spacing w:line="360" w:lineRule="auto"/>
        <w:rPr>
          <w:rFonts w:ascii="Palatino Linotype" w:hAnsi="Palatino Linotype"/>
        </w:rPr>
      </w:pPr>
    </w:p>
    <w:p w:rsidR="009A5BC3" w:rsidRDefault="00FC254C" w:rsidP="00654D0E">
      <w:pPr>
        <w:pStyle w:val="NoSpacing"/>
        <w:spacing w:line="360" w:lineRule="auto"/>
        <w:rPr>
          <w:rFonts w:ascii="Palatino Linotype" w:hAnsi="Palatino Linotype"/>
        </w:rPr>
      </w:pPr>
      <w:r>
        <w:rPr>
          <w:rFonts w:ascii="Palatino Linotype" w:hAnsi="Palatino Linotype"/>
        </w:rPr>
        <w:t xml:space="preserve">In dit geval worden dus conclusies getrokken over </w:t>
      </w:r>
      <w:r w:rsidR="000D1C2B">
        <w:rPr>
          <w:rFonts w:ascii="Palatino Linotype" w:hAnsi="Palatino Linotype"/>
        </w:rPr>
        <w:t xml:space="preserve">of de uitkering per jaar die dan overblijft al dan niet voldoende is om in (basis)levensonderhoud te voorzien. Stel dat het quotiënt op een bedrag uitkomt dat </w:t>
      </w:r>
      <w:r>
        <w:rPr>
          <w:rFonts w:ascii="Palatino Linotype" w:hAnsi="Palatino Linotype"/>
        </w:rPr>
        <w:t xml:space="preserve">onder het sociaal minimum ligt, dan </w:t>
      </w:r>
      <w:r w:rsidR="000D1C2B">
        <w:rPr>
          <w:rFonts w:ascii="Palatino Linotype" w:hAnsi="Palatino Linotype"/>
        </w:rPr>
        <w:t>kan geconcludeerd worden dat er onvoldoende ingelegd is of dat het rendement te laag is. Dit ren</w:t>
      </w:r>
      <w:r w:rsidR="00A527E7">
        <w:rPr>
          <w:rFonts w:ascii="Palatino Linotype" w:hAnsi="Palatino Linotype"/>
        </w:rPr>
        <w:t>d</w:t>
      </w:r>
      <w:r w:rsidR="000D1C2B">
        <w:rPr>
          <w:rFonts w:ascii="Palatino Linotype" w:hAnsi="Palatino Linotype"/>
        </w:rPr>
        <w:t>ement kan per jaar aangepast worden, zodat veranderingen daarin duidelijk weergegeven worden in de opgebouwde hoeveelheid.</w:t>
      </w:r>
    </w:p>
    <w:p w:rsidR="00A527E7" w:rsidRDefault="00A527E7" w:rsidP="00654D0E">
      <w:pPr>
        <w:pStyle w:val="NoSpacing"/>
        <w:spacing w:line="360" w:lineRule="auto"/>
        <w:rPr>
          <w:rFonts w:ascii="Palatino Linotype" w:hAnsi="Palatino Linotype"/>
        </w:rPr>
      </w:pPr>
    </w:p>
    <w:p w:rsidR="00A527E7" w:rsidRDefault="00A527E7" w:rsidP="00654D0E">
      <w:pPr>
        <w:pStyle w:val="NoSpacing"/>
        <w:spacing w:line="360" w:lineRule="auto"/>
        <w:rPr>
          <w:rFonts w:ascii="Palatino Linotype" w:hAnsi="Palatino Linotype"/>
        </w:rPr>
      </w:pPr>
      <w:r>
        <w:rPr>
          <w:rFonts w:ascii="Palatino Linotype" w:hAnsi="Palatino Linotype"/>
        </w:rPr>
        <w:t xml:space="preserve">In de standaardsituatie worden de berekeningen uitgevoerd zoals boven beschreven. Hierna worden verschillende scenario’s geënsceneerd om de deelvragen van deze scriptie te beantwoorden. </w:t>
      </w:r>
    </w:p>
    <w:p w:rsidR="00A527E7" w:rsidRDefault="00A527E7" w:rsidP="00654D0E">
      <w:pPr>
        <w:pStyle w:val="NoSpacing"/>
        <w:spacing w:line="360" w:lineRule="auto"/>
        <w:rPr>
          <w:rFonts w:ascii="Palatino Linotype" w:hAnsi="Palatino Linotype"/>
        </w:rPr>
      </w:pPr>
    </w:p>
    <w:p w:rsidR="00A527E7" w:rsidRDefault="00A527E7" w:rsidP="00654D0E">
      <w:pPr>
        <w:pStyle w:val="NoSpacing"/>
        <w:spacing w:line="360" w:lineRule="auto"/>
        <w:rPr>
          <w:rFonts w:ascii="Palatino Linotype" w:hAnsi="Palatino Linotype"/>
        </w:rPr>
      </w:pPr>
      <w:r>
        <w:rPr>
          <w:rFonts w:ascii="Palatino Linotype" w:hAnsi="Palatino Linotype"/>
        </w:rPr>
        <w:t xml:space="preserve">Als eerste </w:t>
      </w:r>
      <w:r w:rsidR="005A2638">
        <w:rPr>
          <w:rFonts w:ascii="Palatino Linotype" w:hAnsi="Palatino Linotype"/>
        </w:rPr>
        <w:t>wordt namelijk geplot wat de gevolgen zijn van vijf jaar langer werken, dus tot</w:t>
      </w:r>
      <w:r w:rsidR="004F0185">
        <w:rPr>
          <w:rFonts w:ascii="Palatino Linotype" w:hAnsi="Palatino Linotype"/>
        </w:rPr>
        <w:t xml:space="preserve"> en met</w:t>
      </w:r>
      <w:r w:rsidR="005A2638">
        <w:rPr>
          <w:rFonts w:ascii="Palatino Linotype" w:hAnsi="Palatino Linotype"/>
        </w:rPr>
        <w:t xml:space="preserve"> het zeventigste levensjaar.</w:t>
      </w:r>
      <w:r w:rsidR="00C81C89">
        <w:rPr>
          <w:rFonts w:ascii="Palatino Linotype" w:hAnsi="Palatino Linotype"/>
        </w:rPr>
        <w:t xml:space="preserve"> De reden om dit te simuleren is dat dit als de meest voordehand liggende oplossing wordt gezien voor het vergrijzingsprobleem in veel (westerse) landen</w:t>
      </w:r>
      <w:r w:rsidR="00933FF5">
        <w:rPr>
          <w:rFonts w:ascii="Palatino Linotype" w:hAnsi="Palatino Linotype"/>
        </w:rPr>
        <w:t xml:space="preserve"> (Panis et al., 2002)</w:t>
      </w:r>
      <w:r w:rsidR="00C81C89">
        <w:rPr>
          <w:rFonts w:ascii="Palatino Linotype" w:hAnsi="Palatino Linotype"/>
        </w:rPr>
        <w:t>.</w:t>
      </w:r>
      <w:r w:rsidR="00641826">
        <w:rPr>
          <w:rFonts w:ascii="Palatino Linotype" w:hAnsi="Palatino Linotype"/>
        </w:rPr>
        <w:t xml:space="preserve"> Op het moment van schrijven hebben onder andere Nederland en de Verenigde Staten al beleid ingevoerd voor stapsgewijze verhoging van de pensioenleeftijd.</w:t>
      </w:r>
      <w:r w:rsidR="00933FF5">
        <w:rPr>
          <w:rFonts w:ascii="Palatino Linotype" w:hAnsi="Palatino Linotype"/>
        </w:rPr>
        <w:t xml:space="preserve"> Langer werken leidt tot meer premieafdracht, dus een grotere pensioenpot</w:t>
      </w:r>
      <w:r w:rsidR="004F0185">
        <w:rPr>
          <w:rFonts w:ascii="Palatino Linotype" w:hAnsi="Palatino Linotype"/>
        </w:rPr>
        <w:t xml:space="preserve"> </w:t>
      </w:r>
      <w:r w:rsidR="00933FF5">
        <w:rPr>
          <w:rFonts w:ascii="Palatino Linotype" w:hAnsi="Palatino Linotype"/>
        </w:rPr>
        <w:t xml:space="preserve">waardoor beter in de uitkeringsbehoeften kan worden voorzien, al in de nabije toekomst. </w:t>
      </w:r>
      <w:r w:rsidR="004F0185">
        <w:rPr>
          <w:rFonts w:ascii="Palatino Linotype" w:hAnsi="Palatino Linotype"/>
        </w:rPr>
        <w:t xml:space="preserve">Dit wordt gedaan door simpelweg de inleggen vijf jaar verder op te tellen en te corrigeren voor inflate en rendement. Alle overige factoren worden constant gehouden. In de noemer wordt dus </w:t>
      </w:r>
      <w:r w:rsidR="004F0185">
        <w:rPr>
          <w:rFonts w:ascii="Palatino Linotype" w:hAnsi="Palatino Linotype"/>
          <w:i/>
        </w:rPr>
        <w:t>P</w:t>
      </w:r>
      <w:r w:rsidR="004F0185">
        <w:rPr>
          <w:rFonts w:ascii="Palatino Linotype" w:hAnsi="Palatino Linotype"/>
        </w:rPr>
        <w:t xml:space="preserve"> naar boven aangepast, waardoor het quotiënt (de dekkingsgraad) zal toenemen.</w:t>
      </w:r>
      <w:r w:rsidR="00030DB0">
        <w:rPr>
          <w:rFonts w:ascii="Palatino Linotype" w:hAnsi="Palatino Linotype"/>
        </w:rPr>
        <w:t xml:space="preserve"> Verwacht mag dus worden dat de dekkingsgraad aanzienlijk toe zal nemen, aangezien er geen enkele nadelige situatie optreedt.</w:t>
      </w:r>
    </w:p>
    <w:p w:rsidR="00030DB0" w:rsidRDefault="00030DB0" w:rsidP="00654D0E">
      <w:pPr>
        <w:pStyle w:val="NoSpacing"/>
        <w:spacing w:line="360" w:lineRule="auto"/>
        <w:rPr>
          <w:rFonts w:ascii="Palatino Linotype" w:hAnsi="Palatino Linotype"/>
        </w:rPr>
      </w:pPr>
    </w:p>
    <w:p w:rsidR="00D029FC" w:rsidRDefault="00D029FC" w:rsidP="00654D0E">
      <w:pPr>
        <w:pStyle w:val="NoSpacing"/>
        <w:spacing w:line="360" w:lineRule="auto"/>
        <w:rPr>
          <w:rFonts w:ascii="Palatino Linotype" w:hAnsi="Palatino Linotype"/>
        </w:rPr>
      </w:pPr>
      <w:r>
        <w:rPr>
          <w:rFonts w:ascii="Palatino Linotype" w:hAnsi="Palatino Linotype"/>
        </w:rPr>
        <w:t>Vervolgens wordt een analyse gemaakt van een situatie waarin het aantal werkenden aanzienlijk verlaagd en het aantal pensioengerechtigden aanzienlijk verhoogd worden.</w:t>
      </w:r>
      <w:r w:rsidR="008B4C89">
        <w:rPr>
          <w:rFonts w:ascii="Palatino Linotype" w:hAnsi="Palatino Linotype"/>
        </w:rPr>
        <w:t xml:space="preserve"> De angst hiervoor is namelijk niet ongegrond: de Wereldgezondheidsorganisatie (WHO) heeft aangetoond dat de verhouding werkenden tot gepensioneerden aanzienlijk zal dalen (WHO, 2006).</w:t>
      </w:r>
      <w:r w:rsidR="001F1A03">
        <w:rPr>
          <w:rFonts w:ascii="Palatino Linotype" w:hAnsi="Palatino Linotype"/>
        </w:rPr>
        <w:t xml:space="preserve"> De angst is dus dat de premie-inkomsten de -uitgaven niet meer zouden kunnen dekken.</w:t>
      </w:r>
      <w:r>
        <w:rPr>
          <w:rFonts w:ascii="Palatino Linotype" w:hAnsi="Palatino Linotype"/>
        </w:rPr>
        <w:t xml:space="preserve"> Met aanzienlijk wordt hier</w:t>
      </w:r>
      <w:r w:rsidR="001F1A03">
        <w:rPr>
          <w:rFonts w:ascii="Palatino Linotype" w:hAnsi="Palatino Linotype"/>
        </w:rPr>
        <w:t xml:space="preserve"> overigens</w:t>
      </w:r>
      <w:r>
        <w:rPr>
          <w:rFonts w:ascii="Palatino Linotype" w:hAnsi="Palatino Linotype"/>
        </w:rPr>
        <w:t xml:space="preserve"> in beide gevallen een verlaging respectievelijk ver</w:t>
      </w:r>
      <w:r w:rsidR="00084B9B">
        <w:rPr>
          <w:rFonts w:ascii="Palatino Linotype" w:hAnsi="Palatino Linotype"/>
        </w:rPr>
        <w:t>hoging van tien procent bedoeld, wederom worden alle overige factoren constant gehouden en de pensioenleeftijd wordt terug aangepast naar vijfenzestig jaar.</w:t>
      </w:r>
      <w:r w:rsidR="001376CB">
        <w:rPr>
          <w:rFonts w:ascii="Palatino Linotype" w:hAnsi="Palatino Linotype"/>
        </w:rPr>
        <w:t xml:space="preserve"> Naar verwachting zal deze verandering de grootste invloed hebben op het quotiënt, aangezien het hier om (tientallen) miljoenen mensen gaat. Ook komt dit overeen met de vrees van politici en statistici omtrent de vergrijzing van de samenleving.</w:t>
      </w:r>
    </w:p>
    <w:p w:rsidR="00B421AE" w:rsidRDefault="00B421AE" w:rsidP="00654D0E">
      <w:pPr>
        <w:pStyle w:val="NoSpacing"/>
        <w:spacing w:line="360" w:lineRule="auto"/>
        <w:rPr>
          <w:rFonts w:ascii="Palatino Linotype" w:hAnsi="Palatino Linotype"/>
        </w:rPr>
      </w:pPr>
    </w:p>
    <w:p w:rsidR="008A24A0" w:rsidRDefault="00B421AE" w:rsidP="00654D0E">
      <w:pPr>
        <w:pStyle w:val="NoSpacing"/>
        <w:spacing w:line="360" w:lineRule="auto"/>
        <w:rPr>
          <w:rFonts w:ascii="Palatino Linotype" w:hAnsi="Palatino Linotype"/>
        </w:rPr>
      </w:pPr>
      <w:r>
        <w:rPr>
          <w:rFonts w:ascii="Palatino Linotype" w:hAnsi="Palatino Linotype"/>
        </w:rPr>
        <w:t xml:space="preserve">Ten slotte </w:t>
      </w:r>
      <w:r w:rsidR="00BE41B7">
        <w:rPr>
          <w:rFonts w:ascii="Palatino Linotype" w:hAnsi="Palatino Linotype"/>
        </w:rPr>
        <w:t>wordt gekeken naar wat er gebeurt in het geval van een laag rendement dat vijf jaar aanhoudt, zowel in het begin (de eerste vijf jaar) als aan het eind (de laatste vijf jaar) van de carrière van de werknemer.</w:t>
      </w:r>
      <w:r w:rsidR="003D765B">
        <w:rPr>
          <w:rFonts w:ascii="Palatino Linotype" w:hAnsi="Palatino Linotype"/>
        </w:rPr>
        <w:t xml:space="preserve"> Dit naar aanleiding van wat er in de kredietcrisis die in 2008 begon is waargenomen: gevaarlijk hard dalende pensioenrendementen</w:t>
      </w:r>
      <w:r w:rsidR="004638B6">
        <w:rPr>
          <w:rFonts w:ascii="Palatino Linotype" w:hAnsi="Palatino Linotype"/>
        </w:rPr>
        <w:t xml:space="preserve"> gedurende een meerjarige periode (NRC, 2008)</w:t>
      </w:r>
      <w:r w:rsidR="00E73E0D">
        <w:rPr>
          <w:rFonts w:ascii="Palatino Linotype" w:hAnsi="Palatino Linotype"/>
        </w:rPr>
        <w:t xml:space="preserve">. </w:t>
      </w:r>
      <w:r w:rsidR="00DB728A">
        <w:rPr>
          <w:rFonts w:ascii="Palatino Linotype" w:hAnsi="Palatino Linotype"/>
        </w:rPr>
        <w:t>Het is dus interessant om via getallen te laten zien hoe sterk de inslag van een dergelijke economische ontwikkeling is.</w:t>
      </w:r>
      <w:r w:rsidR="00BE41B7">
        <w:rPr>
          <w:rFonts w:ascii="Palatino Linotype" w:hAnsi="Palatino Linotype"/>
        </w:rPr>
        <w:t xml:space="preserve"> Ook hier geldt een pensioe</w:t>
      </w:r>
      <w:r w:rsidR="007F461E">
        <w:rPr>
          <w:rFonts w:ascii="Palatino Linotype" w:hAnsi="Palatino Linotype"/>
        </w:rPr>
        <w:t>nleeftijd van vijfenzestig jaar. Waar standaard is uitgegaan van een rendement (</w:t>
      </w:r>
      <w:r w:rsidR="007F461E">
        <w:rPr>
          <w:rFonts w:ascii="Palatino Linotype" w:hAnsi="Palatino Linotype"/>
          <w:i/>
        </w:rPr>
        <w:t>R</w:t>
      </w:r>
      <w:r w:rsidR="007F461E">
        <w:rPr>
          <w:rFonts w:ascii="Palatino Linotype" w:hAnsi="Palatino Linotype"/>
        </w:rPr>
        <w:t>) van tien procent, geldt in deze periodes een ren</w:t>
      </w:r>
      <w:r w:rsidR="003001EA">
        <w:rPr>
          <w:rFonts w:ascii="Palatino Linotype" w:hAnsi="Palatino Linotype"/>
        </w:rPr>
        <w:t>d</w:t>
      </w:r>
      <w:r w:rsidR="007F461E">
        <w:rPr>
          <w:rFonts w:ascii="Palatino Linotype" w:hAnsi="Palatino Linotype"/>
        </w:rPr>
        <w:t xml:space="preserve">ement van slechts één procent. </w:t>
      </w:r>
      <w:r w:rsidR="00D925DE">
        <w:rPr>
          <w:rFonts w:ascii="Palatino Linotype" w:hAnsi="Palatino Linotype"/>
        </w:rPr>
        <w:t>Verwacht wordt dat ook dit een zeer nadelige invloed heeft op de dekkingsgraad, daar dit bedoeld is om de effecten van een crisis op de pensioenopbouw te simuleren. Aangezien op het eind van een carrière een groter bedrag is opgebouwd, zal waarschijnlijk een verschuiving in het rendement dààr grotere gevolgen hebben op de grootte van het opgebouwd vermogen dan een schok aan het begin van de periode.</w:t>
      </w:r>
    </w:p>
    <w:p w:rsidR="008A24A0" w:rsidRDefault="008A24A0">
      <w:pPr>
        <w:rPr>
          <w:rFonts w:ascii="Palatino Linotype" w:hAnsi="Palatino Linotype"/>
        </w:rPr>
      </w:pPr>
      <w:r>
        <w:rPr>
          <w:rFonts w:ascii="Palatino Linotype" w:hAnsi="Palatino Linotype"/>
        </w:rPr>
        <w:br w:type="page"/>
      </w:r>
    </w:p>
    <w:p w:rsidR="00FC20AE" w:rsidRDefault="008A24A0" w:rsidP="003B6142">
      <w:pPr>
        <w:pStyle w:val="NoSpacing"/>
        <w:rPr>
          <w:rFonts w:ascii="Palatino Linotype" w:hAnsi="Palatino Linotype"/>
          <w:b/>
        </w:rPr>
      </w:pPr>
      <w:r>
        <w:rPr>
          <w:rFonts w:ascii="Palatino Linotype" w:hAnsi="Palatino Linotype"/>
          <w:b/>
        </w:rPr>
        <w:t>Resultaten</w:t>
      </w:r>
    </w:p>
    <w:p w:rsidR="008A24A0" w:rsidRDefault="008A24A0" w:rsidP="003B6142">
      <w:pPr>
        <w:pStyle w:val="NoSpacing"/>
        <w:rPr>
          <w:rFonts w:ascii="Palatino Linotype" w:hAnsi="Palatino Linotype"/>
          <w:b/>
        </w:rPr>
      </w:pPr>
    </w:p>
    <w:p w:rsidR="008A24A0" w:rsidRDefault="00D925DE" w:rsidP="00654D0E">
      <w:pPr>
        <w:pStyle w:val="NoSpacing"/>
        <w:spacing w:line="360" w:lineRule="auto"/>
        <w:rPr>
          <w:rFonts w:ascii="Palatino Linotype" w:hAnsi="Palatino Linotype"/>
        </w:rPr>
      </w:pPr>
      <w:r>
        <w:rPr>
          <w:rFonts w:ascii="Palatino Linotype" w:hAnsi="Palatino Linotype"/>
        </w:rPr>
        <w:t>In dit deel zal getoond worden wat uit de quotiënten uit vo</w:t>
      </w:r>
      <w:r w:rsidR="00EC5C16">
        <w:rPr>
          <w:rFonts w:ascii="Palatino Linotype" w:hAnsi="Palatino Linotype"/>
        </w:rPr>
        <w:t xml:space="preserve">renstaand hoofdstuk is gekomen. Om te beginnen worden de resultaten van de standaarddelingen getoond, dus de dekkingsgraden van de verschillende landen, berekend met de gegevens zoals die vandaag de dag in die landen zijn. </w:t>
      </w:r>
    </w:p>
    <w:p w:rsidR="00441449" w:rsidRDefault="00441449" w:rsidP="00654D0E">
      <w:pPr>
        <w:pStyle w:val="NoSpacing"/>
        <w:spacing w:line="360" w:lineRule="auto"/>
        <w:rPr>
          <w:rFonts w:ascii="Palatino Linotype" w:hAnsi="Palatino Linotype"/>
        </w:rPr>
      </w:pPr>
    </w:p>
    <w:p w:rsidR="00441449" w:rsidRDefault="00441449" w:rsidP="00654D0E">
      <w:pPr>
        <w:pStyle w:val="NoSpacing"/>
        <w:spacing w:line="360" w:lineRule="auto"/>
        <w:rPr>
          <w:rFonts w:ascii="Palatino Linotype" w:hAnsi="Palatino Linotype"/>
        </w:rPr>
      </w:pPr>
      <w:r>
        <w:rPr>
          <w:rFonts w:ascii="Palatino Linotype" w:hAnsi="Palatino Linotype"/>
        </w:rPr>
        <w:t xml:space="preserve">Voor Frankrijk </w:t>
      </w:r>
      <w:r w:rsidR="008A7315">
        <w:rPr>
          <w:rFonts w:ascii="Palatino Linotype" w:hAnsi="Palatino Linotype"/>
        </w:rPr>
        <w:t xml:space="preserve">is in eerste instantie een dekkingsgraad gevonden van 0,72. Dit houdt in dat als nu alle (contant gemaakte) pensioenverplichtingen uitgekeerd zouden moeten worden, er slechts voor 72% daarvan uit de premie-inkomsten garant gestaan kan worden. Hoewel Frankrijk </w:t>
      </w:r>
      <w:r w:rsidR="00C8377E">
        <w:rPr>
          <w:rFonts w:ascii="Palatino Linotype" w:hAnsi="Palatino Linotype"/>
        </w:rPr>
        <w:t>al slechts één pijler heeft voor de opbouw van het pensioen, is dat niet de enige reden voor deze lage dekkingsgraad. De hoogte va</w:t>
      </w:r>
      <w:r w:rsidR="006B03C6">
        <w:rPr>
          <w:rFonts w:ascii="Palatino Linotype" w:hAnsi="Palatino Linotype"/>
        </w:rPr>
        <w:t>n het inlegbedrag is slechts USD</w:t>
      </w:r>
      <w:r w:rsidR="00C8377E">
        <w:rPr>
          <w:rFonts w:ascii="Palatino Linotype" w:hAnsi="Palatino Linotype"/>
        </w:rPr>
        <w:t xml:space="preserve"> 632 per werknemer per jaar, wat een gemiddelde uit</w:t>
      </w:r>
      <w:r w:rsidR="006B03C6">
        <w:rPr>
          <w:rFonts w:ascii="Palatino Linotype" w:hAnsi="Palatino Linotype"/>
        </w:rPr>
        <w:t>kering van meer dan duizend dollar</w:t>
      </w:r>
      <w:r w:rsidR="00C8377E">
        <w:rPr>
          <w:rFonts w:ascii="Palatino Linotype" w:hAnsi="Palatino Linotype"/>
        </w:rPr>
        <w:t xml:space="preserve"> natuurlijk nooit kan dekken.</w:t>
      </w:r>
    </w:p>
    <w:p w:rsidR="0030185C" w:rsidRDefault="0030185C" w:rsidP="00654D0E">
      <w:pPr>
        <w:pStyle w:val="NoSpacing"/>
        <w:spacing w:line="360" w:lineRule="auto"/>
        <w:rPr>
          <w:rFonts w:ascii="Palatino Linotype" w:hAnsi="Palatino Linotype"/>
        </w:rPr>
      </w:pPr>
    </w:p>
    <w:p w:rsidR="0030185C" w:rsidRDefault="0030185C" w:rsidP="00654D0E">
      <w:pPr>
        <w:pStyle w:val="NoSpacing"/>
        <w:spacing w:line="360" w:lineRule="auto"/>
        <w:rPr>
          <w:rFonts w:ascii="Palatino Linotype" w:hAnsi="Palatino Linotype"/>
        </w:rPr>
      </w:pPr>
      <w:r>
        <w:rPr>
          <w:rFonts w:ascii="Palatino Linotype" w:hAnsi="Palatino Linotype"/>
        </w:rPr>
        <w:t>In Nederland echter is de dekking al een stuk beter, namelijk 1,27 ofwel bovenop de verplichtingen is een buffer van 27% beschikbaar voor eventuele economische of demografische tegenslagen zoals een kleinere aanwas van jonge premieplichtigen.</w:t>
      </w:r>
      <w:r w:rsidR="001D580F">
        <w:rPr>
          <w:rFonts w:ascii="Palatino Linotype" w:hAnsi="Palatino Linotype"/>
        </w:rPr>
        <w:t xml:space="preserve"> </w:t>
      </w:r>
      <w:r w:rsidR="00277864">
        <w:rPr>
          <w:rFonts w:ascii="Palatino Linotype" w:hAnsi="Palatino Linotype"/>
        </w:rPr>
        <w:t xml:space="preserve">Ook loopt hier de tweede pijler via de werkgever en is deelname hieraan verplicht, wat zorgt voor een aanzienlijk grotere premiepool dan in Frankrijk. </w:t>
      </w:r>
    </w:p>
    <w:p w:rsidR="004C7F33" w:rsidRDefault="004C7F33" w:rsidP="00654D0E">
      <w:pPr>
        <w:pStyle w:val="NoSpacing"/>
        <w:spacing w:line="360" w:lineRule="auto"/>
        <w:rPr>
          <w:rFonts w:ascii="Palatino Linotype" w:hAnsi="Palatino Linotype"/>
        </w:rPr>
      </w:pPr>
    </w:p>
    <w:p w:rsidR="004C7F33" w:rsidRDefault="004C7F33" w:rsidP="00654D0E">
      <w:pPr>
        <w:pStyle w:val="NoSpacing"/>
        <w:spacing w:line="360" w:lineRule="auto"/>
        <w:rPr>
          <w:rFonts w:ascii="Palatino Linotype" w:hAnsi="Palatino Linotype"/>
        </w:rPr>
      </w:pPr>
      <w:r>
        <w:rPr>
          <w:rFonts w:ascii="Palatino Linotype" w:hAnsi="Palatino Linotype"/>
        </w:rPr>
        <w:t>Nu is in de Verenigde Staten de dekking weer iets lager, namelijk 1,18. Hoewel het afdrachtpercentage voor de tweede pijler hier hoger ligt dan in Nederland (6% respectievelijk 2%) is deelname in deze pijler niet verplicht, maar berust op vrijwillige basis.</w:t>
      </w:r>
      <w:r w:rsidR="00212893">
        <w:rPr>
          <w:rFonts w:ascii="Palatino Linotype" w:hAnsi="Palatino Linotype"/>
        </w:rPr>
        <w:t xml:space="preserve"> Hierdoor zal het relatieve aandeel deelnemers lager liggen dan in Nederland.</w:t>
      </w:r>
    </w:p>
    <w:p w:rsidR="00AE1059" w:rsidRDefault="00AE1059" w:rsidP="00654D0E">
      <w:pPr>
        <w:pStyle w:val="NoSpacing"/>
        <w:spacing w:line="360" w:lineRule="auto"/>
        <w:rPr>
          <w:rFonts w:ascii="Palatino Linotype" w:hAnsi="Palatino Linotype"/>
        </w:rPr>
      </w:pPr>
    </w:p>
    <w:p w:rsidR="00AE1059" w:rsidRDefault="00AE1059" w:rsidP="00654D0E">
      <w:pPr>
        <w:pStyle w:val="NoSpacing"/>
        <w:spacing w:line="360" w:lineRule="auto"/>
        <w:rPr>
          <w:rFonts w:ascii="Palatino Linotype" w:hAnsi="Palatino Linotype"/>
        </w:rPr>
      </w:pPr>
      <w:r>
        <w:rPr>
          <w:rFonts w:ascii="Palatino Linotype" w:hAnsi="Palatino Linotype"/>
        </w:rPr>
        <w:t xml:space="preserve">Ten slotte Chili. </w:t>
      </w:r>
      <w:r w:rsidR="006B03C6">
        <w:rPr>
          <w:rFonts w:ascii="Palatino Linotype" w:hAnsi="Palatino Linotype"/>
        </w:rPr>
        <w:t>Uit het quotiënt kwam hier een bedrag van USD 16</w:t>
      </w:r>
      <w:r w:rsidR="00CD1307">
        <w:rPr>
          <w:rFonts w:ascii="Palatino Linotype" w:hAnsi="Palatino Linotype"/>
        </w:rPr>
        <w:t>.</w:t>
      </w:r>
      <w:r w:rsidR="006B03C6">
        <w:rPr>
          <w:rFonts w:ascii="Palatino Linotype" w:hAnsi="Palatino Linotype"/>
        </w:rPr>
        <w:t xml:space="preserve">101,79. </w:t>
      </w:r>
      <w:r w:rsidR="00B470F5">
        <w:rPr>
          <w:rFonts w:ascii="Palatino Linotype" w:hAnsi="Palatino Linotype"/>
        </w:rPr>
        <w:t>Dit bedrag ligt hoger dan het bb</w:t>
      </w:r>
      <w:r w:rsidR="006B03C6">
        <w:rPr>
          <w:rFonts w:ascii="Palatino Linotype" w:hAnsi="Palatino Linotype"/>
        </w:rPr>
        <w:t>p per hoofd van de bevolking, wat in</w:t>
      </w:r>
      <w:r w:rsidR="00157F37">
        <w:rPr>
          <w:rFonts w:ascii="Palatino Linotype" w:hAnsi="Palatino Linotype"/>
        </w:rPr>
        <w:t xml:space="preserve"> eerste opzicht vrij hoog lijkt</w:t>
      </w:r>
      <w:r w:rsidR="006B03C6">
        <w:rPr>
          <w:rFonts w:ascii="Palatino Linotype" w:hAnsi="Palatino Linotype"/>
        </w:rPr>
        <w:t>.</w:t>
      </w:r>
      <w:r w:rsidR="0088426E">
        <w:rPr>
          <w:rFonts w:ascii="Palatino Linotype" w:hAnsi="Palatino Linotype"/>
        </w:rPr>
        <w:t xml:space="preserve"> </w:t>
      </w:r>
      <w:r w:rsidR="00CD1307">
        <w:rPr>
          <w:rFonts w:ascii="Palatino Linotype" w:hAnsi="Palatino Linotype"/>
        </w:rPr>
        <w:t>In ieder geval blijkt uit dit gegeven dat gedurende de pensioentijd van dertien jaren, elk jaar een bedrag van USD 16.101,79 genoten kan worden bij een afdrach</w:t>
      </w:r>
      <w:r w:rsidR="00C87266">
        <w:rPr>
          <w:rFonts w:ascii="Palatino Linotype" w:hAnsi="Palatino Linotype"/>
        </w:rPr>
        <w:t>tpercentage van tien, zoals dat op het moment van schrijven in Chili ook geldt.</w:t>
      </w:r>
      <w:r w:rsidR="00157F37">
        <w:rPr>
          <w:rFonts w:ascii="Palatino Linotype" w:hAnsi="Palatino Linotype"/>
        </w:rPr>
        <w:t xml:space="preserve"> In de foutendiscussie in het volgende hoofdstuk zal hier uitgebreider op in worden gegaan.</w:t>
      </w:r>
    </w:p>
    <w:p w:rsidR="00002E06" w:rsidRDefault="00002E06" w:rsidP="00654D0E">
      <w:pPr>
        <w:pStyle w:val="NoSpacing"/>
        <w:spacing w:line="360" w:lineRule="auto"/>
        <w:rPr>
          <w:rFonts w:ascii="Palatino Linotype" w:hAnsi="Palatino Linotype"/>
        </w:rPr>
      </w:pPr>
      <w:r>
        <w:rPr>
          <w:rFonts w:ascii="Palatino Linotype" w:hAnsi="Palatino Linotype"/>
          <w:i/>
        </w:rPr>
        <w:t>Verhogen pensioenleeftijd</w:t>
      </w:r>
    </w:p>
    <w:p w:rsidR="00002E06" w:rsidRDefault="00002E06" w:rsidP="00654D0E">
      <w:pPr>
        <w:pStyle w:val="NoSpacing"/>
        <w:spacing w:line="360" w:lineRule="auto"/>
        <w:rPr>
          <w:rFonts w:ascii="Palatino Linotype" w:hAnsi="Palatino Linotype"/>
        </w:rPr>
      </w:pPr>
    </w:p>
    <w:p w:rsidR="00002E06" w:rsidRDefault="00402EE3" w:rsidP="00654D0E">
      <w:pPr>
        <w:pStyle w:val="NoSpacing"/>
        <w:spacing w:line="360" w:lineRule="auto"/>
        <w:rPr>
          <w:rFonts w:ascii="Palatino Linotype" w:hAnsi="Palatino Linotype"/>
        </w:rPr>
      </w:pPr>
      <w:r>
        <w:rPr>
          <w:rFonts w:ascii="Palatino Linotype" w:hAnsi="Palatino Linotype"/>
        </w:rPr>
        <w:t xml:space="preserve">Hier wordt de werkduur verlengd tot het zeventigste levensjaar, dus een toename van vijf jaar in de totale pensioenopbouw. </w:t>
      </w:r>
      <w:r w:rsidR="00A35691">
        <w:rPr>
          <w:rFonts w:ascii="Palatino Linotype" w:hAnsi="Palatino Linotype"/>
        </w:rPr>
        <w:t>De gevolgen hiervan zijn aanzienlijk: zo heeft Frankrijk hier een dekkingsgraad van 1,05</w:t>
      </w:r>
      <w:r w:rsidR="001E205B">
        <w:rPr>
          <w:rFonts w:ascii="Palatino Linotype" w:hAnsi="Palatino Linotype"/>
        </w:rPr>
        <w:t>. Hier is dus te zien dat ruimschoots aan de pensioenve</w:t>
      </w:r>
      <w:r w:rsidR="009B3E5B">
        <w:rPr>
          <w:rFonts w:ascii="Palatino Linotype" w:hAnsi="Palatino Linotype"/>
        </w:rPr>
        <w:t>rplichtingen voldaan kan worden.</w:t>
      </w:r>
    </w:p>
    <w:p w:rsidR="009B3E5B" w:rsidRDefault="009B3E5B" w:rsidP="00654D0E">
      <w:pPr>
        <w:pStyle w:val="NoSpacing"/>
        <w:spacing w:line="360" w:lineRule="auto"/>
        <w:rPr>
          <w:rFonts w:ascii="Palatino Linotype" w:hAnsi="Palatino Linotype"/>
        </w:rPr>
      </w:pPr>
    </w:p>
    <w:p w:rsidR="0007030B" w:rsidRDefault="00366AAA" w:rsidP="00654D0E">
      <w:pPr>
        <w:pStyle w:val="NoSpacing"/>
        <w:spacing w:line="360" w:lineRule="auto"/>
        <w:rPr>
          <w:rFonts w:ascii="Palatino Linotype" w:hAnsi="Palatino Linotype"/>
        </w:rPr>
      </w:pPr>
      <w:r>
        <w:rPr>
          <w:rFonts w:ascii="Palatino Linotype" w:hAnsi="Palatino Linotype"/>
        </w:rPr>
        <w:t>Hoewel de toename in Frankrijk al groot was, is die in Nederland nog veel groter gebleken: maarliefst 2,40 is de nieuwe dekkingsgr</w:t>
      </w:r>
      <w:r w:rsidR="00F43244">
        <w:rPr>
          <w:rFonts w:ascii="Palatino Linotype" w:hAnsi="Palatino Linotype"/>
        </w:rPr>
        <w:t>aad na vijf jaar langer werken, wat bijna een verdubbeling is ten opzichte van de uitganssituatie zoals hierboven beschreven.</w:t>
      </w:r>
      <w:r w:rsidR="0007030B">
        <w:rPr>
          <w:rFonts w:ascii="Palatino Linotype" w:hAnsi="Palatino Linotype"/>
        </w:rPr>
        <w:t xml:space="preserve"> </w:t>
      </w:r>
    </w:p>
    <w:p w:rsidR="0007030B" w:rsidRDefault="0007030B" w:rsidP="00654D0E">
      <w:pPr>
        <w:pStyle w:val="NoSpacing"/>
        <w:spacing w:line="360" w:lineRule="auto"/>
        <w:rPr>
          <w:rFonts w:ascii="Palatino Linotype" w:hAnsi="Palatino Linotype"/>
        </w:rPr>
      </w:pPr>
    </w:p>
    <w:p w:rsidR="0007030B" w:rsidRDefault="00DA1C2F" w:rsidP="00654D0E">
      <w:pPr>
        <w:pStyle w:val="NoSpacing"/>
        <w:spacing w:line="360" w:lineRule="auto"/>
        <w:rPr>
          <w:rFonts w:ascii="Palatino Linotype" w:hAnsi="Palatino Linotype"/>
        </w:rPr>
      </w:pPr>
      <w:r>
        <w:rPr>
          <w:rFonts w:ascii="Palatino Linotype" w:hAnsi="Palatino Linotype"/>
        </w:rPr>
        <w:t xml:space="preserve">Voor de Verenigde Staten geldt bijna hetzelfde, maar daar is de toename zelfs nog groter gebleken dan die in Nederland: </w:t>
      </w:r>
      <w:r w:rsidR="00A6288B">
        <w:rPr>
          <w:rFonts w:ascii="Palatino Linotype" w:hAnsi="Palatino Linotype"/>
        </w:rPr>
        <w:t>2,41. Hoewel het hier waarschijnlijk een fout in de data betreft</w:t>
      </w:r>
      <w:r w:rsidR="003747E6">
        <w:rPr>
          <w:rFonts w:ascii="Palatino Linotype" w:hAnsi="Palatino Linotype"/>
        </w:rPr>
        <w:t xml:space="preserve"> -aangezien dekkingsgraden boven de 150% een schaars verschijnsel zijn-</w:t>
      </w:r>
      <w:r w:rsidR="00A6288B">
        <w:rPr>
          <w:rFonts w:ascii="Palatino Linotype" w:hAnsi="Palatino Linotype"/>
        </w:rPr>
        <w:t xml:space="preserve"> is hier wel duidelijk naar voren gekomen dat ook in de Verenigde Staten </w:t>
      </w:r>
      <w:r w:rsidR="003747E6">
        <w:rPr>
          <w:rFonts w:ascii="Palatino Linotype" w:hAnsi="Palatino Linotype"/>
        </w:rPr>
        <w:t>deze maatregel verstrekkende, positieve gevolgen zou hebben (Koninklijk Actuarieel Genootschap, 2006).</w:t>
      </w:r>
    </w:p>
    <w:p w:rsidR="00FE784C" w:rsidRDefault="00FE784C" w:rsidP="00654D0E">
      <w:pPr>
        <w:pStyle w:val="NoSpacing"/>
        <w:spacing w:line="360" w:lineRule="auto"/>
        <w:rPr>
          <w:rFonts w:ascii="Palatino Linotype" w:hAnsi="Palatino Linotype"/>
        </w:rPr>
      </w:pPr>
    </w:p>
    <w:p w:rsidR="00FE784C" w:rsidRDefault="00FE784C" w:rsidP="00654D0E">
      <w:pPr>
        <w:pStyle w:val="NoSpacing"/>
        <w:spacing w:line="360" w:lineRule="auto"/>
        <w:rPr>
          <w:rFonts w:ascii="Palatino Linotype" w:hAnsi="Palatino Linotype"/>
        </w:rPr>
      </w:pPr>
      <w:r>
        <w:rPr>
          <w:rFonts w:ascii="Palatino Linotype" w:hAnsi="Palatino Linotype"/>
        </w:rPr>
        <w:t xml:space="preserve">Als laatste in dit scenario is in Chili ook een verdubbeling -van de jaarlijkse uitkering- uitgekomen. Een bedrag van USD 32.995,39 zou per jaar uitgekeerd worden. </w:t>
      </w:r>
      <w:r w:rsidR="00173A2A">
        <w:rPr>
          <w:rFonts w:ascii="Palatino Linotype" w:hAnsi="Palatino Linotype"/>
        </w:rPr>
        <w:t>In eerste instantie zou gedacht kunnen worden dat het hier gaat om een fout, maar zoals ook in het volgende hoofdstuk te lezen is is gebruik gemaakt van actuele statistische data en hetzelfde afdrachtpercentage als genoemd in het bronnenmateriaal</w:t>
      </w:r>
      <w:r w:rsidR="004D4466">
        <w:rPr>
          <w:rFonts w:ascii="Palatino Linotype" w:hAnsi="Palatino Linotype"/>
        </w:rPr>
        <w:t>, waardoor er in ieder geval geen sprake is van een fout van technische aard</w:t>
      </w:r>
      <w:r w:rsidR="00605D99">
        <w:rPr>
          <w:rFonts w:ascii="Palatino Linotype" w:hAnsi="Palatino Linotype"/>
        </w:rPr>
        <w:t xml:space="preserve">. </w:t>
      </w:r>
    </w:p>
    <w:p w:rsidR="00605D99" w:rsidRDefault="00605D99" w:rsidP="00654D0E">
      <w:pPr>
        <w:pStyle w:val="NoSpacing"/>
        <w:spacing w:line="360" w:lineRule="auto"/>
        <w:rPr>
          <w:rFonts w:ascii="Palatino Linotype" w:hAnsi="Palatino Linotype"/>
        </w:rPr>
      </w:pPr>
    </w:p>
    <w:p w:rsidR="00605D99" w:rsidRDefault="00605D99" w:rsidP="00654D0E">
      <w:pPr>
        <w:pStyle w:val="NoSpacing"/>
        <w:spacing w:line="360" w:lineRule="auto"/>
        <w:rPr>
          <w:rFonts w:ascii="Palatino Linotype" w:hAnsi="Palatino Linotype"/>
        </w:rPr>
      </w:pPr>
      <w:r>
        <w:rPr>
          <w:rFonts w:ascii="Palatino Linotype" w:hAnsi="Palatino Linotype"/>
          <w:i/>
        </w:rPr>
        <w:t>Lagere verhouding premieplichtigen tot uitkeringsgerechtigden</w:t>
      </w:r>
    </w:p>
    <w:p w:rsidR="00217E9C" w:rsidRDefault="00217E9C" w:rsidP="00654D0E">
      <w:pPr>
        <w:pStyle w:val="NoSpacing"/>
        <w:spacing w:line="360" w:lineRule="auto"/>
        <w:rPr>
          <w:rFonts w:ascii="Palatino Linotype" w:hAnsi="Palatino Linotype"/>
        </w:rPr>
      </w:pPr>
    </w:p>
    <w:p w:rsidR="00F724C1" w:rsidRDefault="00217E9C" w:rsidP="00654D0E">
      <w:pPr>
        <w:pStyle w:val="NoSpacing"/>
        <w:spacing w:line="360" w:lineRule="auto"/>
        <w:rPr>
          <w:rFonts w:ascii="Palatino Linotype" w:hAnsi="Palatino Linotype"/>
        </w:rPr>
      </w:pPr>
      <w:r>
        <w:rPr>
          <w:rFonts w:ascii="Palatino Linotype" w:hAnsi="Palatino Linotype"/>
        </w:rPr>
        <w:t>In dit geval wordt de pensioengerechtigde leeftijd weer teruggebracht tot 65, maar worden de deelnemers- en uitkeringsgerechtigdenaantallen beide met tien procent -in tegenovergestelde richting- aangepast.</w:t>
      </w:r>
      <w:r w:rsidR="00F724C1">
        <w:rPr>
          <w:rFonts w:ascii="Palatino Linotype" w:hAnsi="Palatino Linotype"/>
        </w:rPr>
        <w:t xml:space="preserve"> Dit heeft op drie van de vier landen een grote inslag gehad, maar wel kleiner -absoluut gezien- dan de verhoging van de pensioenleeftijd. </w:t>
      </w:r>
    </w:p>
    <w:p w:rsidR="00F724C1" w:rsidRDefault="00F724C1" w:rsidP="00654D0E">
      <w:pPr>
        <w:pStyle w:val="NoSpacing"/>
        <w:spacing w:line="360" w:lineRule="auto"/>
        <w:rPr>
          <w:rFonts w:ascii="Palatino Linotype" w:hAnsi="Palatino Linotype"/>
        </w:rPr>
      </w:pPr>
    </w:p>
    <w:p w:rsidR="00F724C1" w:rsidRDefault="00F724C1" w:rsidP="00654D0E">
      <w:pPr>
        <w:pStyle w:val="NoSpacing"/>
        <w:spacing w:line="360" w:lineRule="auto"/>
        <w:rPr>
          <w:rFonts w:ascii="Palatino Linotype" w:hAnsi="Palatino Linotype"/>
        </w:rPr>
      </w:pPr>
      <w:r>
        <w:rPr>
          <w:rFonts w:ascii="Palatino Linotype" w:hAnsi="Palatino Linotype"/>
        </w:rPr>
        <w:t>Bij Frankrijk is de verandering als enige van de drie echter wel groter</w:t>
      </w:r>
      <w:r w:rsidR="00487535">
        <w:rPr>
          <w:rFonts w:ascii="Palatino Linotype" w:hAnsi="Palatino Linotype"/>
        </w:rPr>
        <w:t>, daar daalt de dekkingsgraad tot 0,59 of 59% van de verplichtingen. Een daling van dertien procentpunt ten opzichte van de uitgan</w:t>
      </w:r>
      <w:r w:rsidR="001A165E">
        <w:rPr>
          <w:rFonts w:ascii="Palatino Linotype" w:hAnsi="Palatino Linotype"/>
        </w:rPr>
        <w:t>g</w:t>
      </w:r>
      <w:r w:rsidR="00487535">
        <w:rPr>
          <w:rFonts w:ascii="Palatino Linotype" w:hAnsi="Palatino Linotype"/>
        </w:rPr>
        <w:t>ssituatie</w:t>
      </w:r>
      <w:r w:rsidR="001A165E">
        <w:rPr>
          <w:rFonts w:ascii="Palatino Linotype" w:hAnsi="Palatino Linotype"/>
        </w:rPr>
        <w:t xml:space="preserve">, waardoor een situatie is ontstaan die in de realiteit onmogelijk houdbaar kan zijn. </w:t>
      </w:r>
    </w:p>
    <w:p w:rsidR="001A165E" w:rsidRDefault="001A165E" w:rsidP="00654D0E">
      <w:pPr>
        <w:pStyle w:val="NoSpacing"/>
        <w:spacing w:line="360" w:lineRule="auto"/>
        <w:rPr>
          <w:rFonts w:ascii="Palatino Linotype" w:hAnsi="Palatino Linotype"/>
        </w:rPr>
      </w:pPr>
    </w:p>
    <w:p w:rsidR="001A165E" w:rsidRDefault="001A165E" w:rsidP="00654D0E">
      <w:pPr>
        <w:pStyle w:val="NoSpacing"/>
        <w:spacing w:line="360" w:lineRule="auto"/>
        <w:rPr>
          <w:rFonts w:ascii="Palatino Linotype" w:hAnsi="Palatino Linotype"/>
        </w:rPr>
      </w:pPr>
      <w:r>
        <w:rPr>
          <w:rFonts w:ascii="Palatino Linotype" w:hAnsi="Palatino Linotype"/>
        </w:rPr>
        <w:t xml:space="preserve">In Nederland is daarentegen de klap iets geringer, daar daalt het quotiënt tot 1,05; wat in principe nog een ruimschoots voldoende ratio is om aan alle pensioenverplichtingen te voldoen, mocht dat nu nodig zijn. </w:t>
      </w:r>
    </w:p>
    <w:p w:rsidR="001A165E" w:rsidRDefault="001A165E" w:rsidP="00654D0E">
      <w:pPr>
        <w:pStyle w:val="NoSpacing"/>
        <w:spacing w:line="360" w:lineRule="auto"/>
        <w:rPr>
          <w:rFonts w:ascii="Palatino Linotype" w:hAnsi="Palatino Linotype"/>
        </w:rPr>
      </w:pPr>
    </w:p>
    <w:p w:rsidR="001A165E" w:rsidRDefault="001A165E" w:rsidP="00654D0E">
      <w:pPr>
        <w:pStyle w:val="NoSpacing"/>
        <w:spacing w:line="360" w:lineRule="auto"/>
        <w:rPr>
          <w:rFonts w:ascii="Palatino Linotype" w:hAnsi="Palatino Linotype"/>
        </w:rPr>
      </w:pPr>
      <w:r>
        <w:rPr>
          <w:rFonts w:ascii="Palatino Linotype" w:hAnsi="Palatino Linotype"/>
        </w:rPr>
        <w:t xml:space="preserve">De Verenigde Staten zakken </w:t>
      </w:r>
      <w:r w:rsidR="00025F90">
        <w:rPr>
          <w:rFonts w:ascii="Palatino Linotype" w:hAnsi="Palatino Linotype"/>
        </w:rPr>
        <w:t xml:space="preserve">wel onder de kritieke grens van 1 door: daar is de ratio 0,97; een tekort van drie procent. </w:t>
      </w:r>
    </w:p>
    <w:p w:rsidR="00025F90" w:rsidRDefault="00025F90" w:rsidP="00654D0E">
      <w:pPr>
        <w:pStyle w:val="NoSpacing"/>
        <w:spacing w:line="360" w:lineRule="auto"/>
        <w:rPr>
          <w:rFonts w:ascii="Palatino Linotype" w:hAnsi="Palatino Linotype"/>
        </w:rPr>
      </w:pPr>
    </w:p>
    <w:p w:rsidR="00025F90" w:rsidRDefault="00025F90" w:rsidP="00654D0E">
      <w:pPr>
        <w:pStyle w:val="NoSpacing"/>
        <w:spacing w:line="360" w:lineRule="auto"/>
        <w:rPr>
          <w:rFonts w:ascii="Palatino Linotype" w:hAnsi="Palatino Linotype"/>
        </w:rPr>
      </w:pPr>
      <w:r>
        <w:rPr>
          <w:rFonts w:ascii="Palatino Linotype" w:hAnsi="Palatino Linotype"/>
        </w:rPr>
        <w:t xml:space="preserve">In tegenstelling tot alle andere landen is Chili tot slot ongevoelig voor veranderingen in de grootte van deze groepen. Iedereen spaart hier voor zichzelf, waarbij het persoonlijk rendement niet wordt beïnvloed door andere spaarders of uitkeringsgerechtigden. </w:t>
      </w:r>
      <w:r w:rsidR="00652744">
        <w:rPr>
          <w:rFonts w:ascii="Palatino Linotype" w:hAnsi="Palatino Linotype"/>
        </w:rPr>
        <w:t>Aangezien het verschillende private fondsen betreft waaraan afgedragen wordt; en niet één staatsfonds, zal het voor de fondsen makkelijker te regelen zijn hoe veel er uitbetaald moet worden indien zich een dergelijke verandering voordoet.</w:t>
      </w:r>
    </w:p>
    <w:p w:rsidR="00A579DD" w:rsidRDefault="00A579DD" w:rsidP="00654D0E">
      <w:pPr>
        <w:pStyle w:val="NoSpacing"/>
        <w:spacing w:line="360" w:lineRule="auto"/>
        <w:rPr>
          <w:rFonts w:ascii="Palatino Linotype" w:hAnsi="Palatino Linotype"/>
        </w:rPr>
      </w:pPr>
    </w:p>
    <w:p w:rsidR="00A579DD" w:rsidRDefault="00A579DD" w:rsidP="00654D0E">
      <w:pPr>
        <w:pStyle w:val="NoSpacing"/>
        <w:spacing w:line="360" w:lineRule="auto"/>
        <w:rPr>
          <w:rFonts w:ascii="Palatino Linotype" w:hAnsi="Palatino Linotype"/>
        </w:rPr>
      </w:pPr>
      <w:r>
        <w:rPr>
          <w:rFonts w:ascii="Palatino Linotype" w:hAnsi="Palatino Linotype"/>
          <w:i/>
        </w:rPr>
        <w:t>Rendementsschommelingen</w:t>
      </w:r>
    </w:p>
    <w:p w:rsidR="00A579DD" w:rsidRDefault="00A579DD" w:rsidP="00654D0E">
      <w:pPr>
        <w:pStyle w:val="NoSpacing"/>
        <w:spacing w:line="360" w:lineRule="auto"/>
        <w:rPr>
          <w:rFonts w:ascii="Palatino Linotype" w:hAnsi="Palatino Linotype"/>
        </w:rPr>
      </w:pPr>
    </w:p>
    <w:p w:rsidR="00A579DD" w:rsidRDefault="00E202B0" w:rsidP="00654D0E">
      <w:pPr>
        <w:pStyle w:val="NoSpacing"/>
        <w:spacing w:line="360" w:lineRule="auto"/>
        <w:rPr>
          <w:rFonts w:ascii="Palatino Linotype" w:hAnsi="Palatino Linotype"/>
        </w:rPr>
      </w:pPr>
      <w:r>
        <w:rPr>
          <w:rFonts w:ascii="Palatino Linotype" w:hAnsi="Palatino Linotype"/>
        </w:rPr>
        <w:t xml:space="preserve">Hier werd gesimuleerd hoe een crisis van vijf jaren met lagere rendementen de pensioenportefeuilles zou beïnvloeden. </w:t>
      </w:r>
      <w:r w:rsidR="00F00E49">
        <w:rPr>
          <w:rFonts w:ascii="Palatino Linotype" w:hAnsi="Palatino Linotype"/>
        </w:rPr>
        <w:t>De gemeenschappelijke trend hier is dat alle landen er vrij hard door getroffen worden, hetzij niet zo hard als door de verlaagde verhouding premieplic</w:t>
      </w:r>
      <w:r w:rsidR="00F3716C">
        <w:rPr>
          <w:rFonts w:ascii="Palatino Linotype" w:hAnsi="Palatino Linotype"/>
        </w:rPr>
        <w:t xml:space="preserve">htigen tot pensioengerechtigden, of </w:t>
      </w:r>
      <w:r w:rsidR="00F3716C">
        <w:rPr>
          <w:rFonts w:ascii="Palatino Linotype" w:hAnsi="Palatino Linotype"/>
          <w:i/>
        </w:rPr>
        <w:t>n</w:t>
      </w:r>
      <w:r w:rsidR="00F3716C">
        <w:rPr>
          <w:rFonts w:ascii="Palatino Linotype" w:hAnsi="Palatino Linotype"/>
        </w:rPr>
        <w:t xml:space="preserve"> tot </w:t>
      </w:r>
      <w:r w:rsidR="00F3716C">
        <w:rPr>
          <w:rFonts w:ascii="Palatino Linotype" w:hAnsi="Palatino Linotype"/>
          <w:i/>
        </w:rPr>
        <w:t>m</w:t>
      </w:r>
      <w:r w:rsidR="00F3716C">
        <w:rPr>
          <w:rFonts w:ascii="Palatino Linotype" w:hAnsi="Palatino Linotype"/>
        </w:rPr>
        <w:t>. Wel is het bij allevier de landen zo dat een lager rendement aan het eind van de opbouwperiode zwaardere gevolgen heeft voor het portefeuilletotaal dan een lager rendement aan het begin van die periode.</w:t>
      </w:r>
    </w:p>
    <w:p w:rsidR="001B3AB2" w:rsidRDefault="001B3AB2" w:rsidP="00654D0E">
      <w:pPr>
        <w:pStyle w:val="NoSpacing"/>
        <w:spacing w:line="360" w:lineRule="auto"/>
        <w:rPr>
          <w:rFonts w:ascii="Palatino Linotype" w:hAnsi="Palatino Linotype"/>
        </w:rPr>
      </w:pPr>
    </w:p>
    <w:p w:rsidR="001B3AB2" w:rsidRDefault="001B3AB2" w:rsidP="00654D0E">
      <w:pPr>
        <w:pStyle w:val="NoSpacing"/>
        <w:spacing w:line="360" w:lineRule="auto"/>
        <w:rPr>
          <w:rFonts w:ascii="Palatino Linotype" w:hAnsi="Palatino Linotype"/>
        </w:rPr>
      </w:pPr>
      <w:r>
        <w:rPr>
          <w:rFonts w:ascii="Palatino Linotype" w:hAnsi="Palatino Linotype"/>
        </w:rPr>
        <w:t xml:space="preserve">In Frankrijk is </w:t>
      </w:r>
      <w:r w:rsidR="001A6D42">
        <w:rPr>
          <w:rFonts w:ascii="Palatino Linotype" w:hAnsi="Palatino Linotype"/>
        </w:rPr>
        <w:t>de dekkingsgr</w:t>
      </w:r>
      <w:r w:rsidR="00D84DC9">
        <w:rPr>
          <w:rFonts w:ascii="Palatino Linotype" w:hAnsi="Palatino Linotype"/>
        </w:rPr>
        <w:t>aad gedaald tot 0,68: ongeveer 0</w:t>
      </w:r>
      <w:r w:rsidR="001A6D42">
        <w:rPr>
          <w:rFonts w:ascii="Palatino Linotype" w:hAnsi="Palatino Linotype"/>
        </w:rPr>
        <w:t xml:space="preserve">,04 procentpunt lager dan de uitganssituatie. </w:t>
      </w:r>
      <w:r w:rsidR="00F22A8D">
        <w:rPr>
          <w:rFonts w:ascii="Palatino Linotype" w:hAnsi="Palatino Linotype"/>
        </w:rPr>
        <w:t>Doordat het totaal ingelegde bedrag hier nog vrij laag is, heeft de rendementsdaling nog niet zo veel -negatief- effect op de totale portefeuille. Indien daarentegen gekeken wordt naar een neergang aan het eind van de periode, waar het momentum van de pensioenopbouw veel groter is, is ook een veel grotere neergang waarneemba</w:t>
      </w:r>
      <w:r w:rsidR="00E202B0">
        <w:rPr>
          <w:rFonts w:ascii="Palatino Linotype" w:hAnsi="Palatino Linotype"/>
        </w:rPr>
        <w:t xml:space="preserve">ar. De graad staat hier op 0,51 wat ook lager is dan het gevolg van een lagere </w:t>
      </w:r>
      <w:r w:rsidR="00E202B0">
        <w:rPr>
          <w:rFonts w:ascii="Palatino Linotype" w:hAnsi="Palatino Linotype"/>
          <w:i/>
        </w:rPr>
        <w:t>n</w:t>
      </w:r>
      <w:r w:rsidR="00E202B0">
        <w:rPr>
          <w:rFonts w:ascii="Palatino Linotype" w:hAnsi="Palatino Linotype"/>
        </w:rPr>
        <w:t>/</w:t>
      </w:r>
      <w:r w:rsidR="00E202B0">
        <w:rPr>
          <w:rFonts w:ascii="Palatino Linotype" w:hAnsi="Palatino Linotype"/>
          <w:i/>
        </w:rPr>
        <w:t>m</w:t>
      </w:r>
      <w:r w:rsidR="00E202B0">
        <w:rPr>
          <w:rFonts w:ascii="Palatino Linotype" w:hAnsi="Palatino Linotype"/>
        </w:rPr>
        <w:t xml:space="preserve">-ratio. </w:t>
      </w:r>
    </w:p>
    <w:p w:rsidR="000E7E74" w:rsidRDefault="000E7E74" w:rsidP="00654D0E">
      <w:pPr>
        <w:pStyle w:val="NoSpacing"/>
        <w:spacing w:line="360" w:lineRule="auto"/>
        <w:rPr>
          <w:rFonts w:ascii="Palatino Linotype" w:hAnsi="Palatino Linotype"/>
        </w:rPr>
      </w:pPr>
    </w:p>
    <w:p w:rsidR="000E7E74" w:rsidRDefault="007C0C7A" w:rsidP="00654D0E">
      <w:pPr>
        <w:pStyle w:val="NoSpacing"/>
        <w:spacing w:line="360" w:lineRule="auto"/>
        <w:rPr>
          <w:rFonts w:ascii="Palatino Linotype" w:hAnsi="Palatino Linotype"/>
        </w:rPr>
      </w:pPr>
      <w:r>
        <w:rPr>
          <w:rFonts w:ascii="Palatino Linotype" w:hAnsi="Palatino Linotype"/>
        </w:rPr>
        <w:t>In Nederland blijft in eerste instantie de dekkingsgraad gezond, namelijk 1,19 of een daling ten opzichte van de uitgangssituatie van 0,08 proc</w:t>
      </w:r>
      <w:r w:rsidR="00DF5D5B">
        <w:rPr>
          <w:rFonts w:ascii="Palatino Linotype" w:hAnsi="Palatino Linotype"/>
        </w:rPr>
        <w:t xml:space="preserve">entpunt. Meer dan in Frankrijk, maar wel met een stuk hogere einddekkingsgraad. Aan het eind van de periode zakt de graad echter wel onder de kritieke grens van 1 en eindigt op 0,90. Hier zal dus op andere fronten ingegrepen moeten worden (bijvoorbeeld langer doorwerken) indien dit opgevangen wil worden. </w:t>
      </w:r>
    </w:p>
    <w:p w:rsidR="004A4F51" w:rsidRDefault="004A4F51" w:rsidP="00654D0E">
      <w:pPr>
        <w:pStyle w:val="NoSpacing"/>
        <w:spacing w:line="360" w:lineRule="auto"/>
        <w:rPr>
          <w:rFonts w:ascii="Palatino Linotype" w:hAnsi="Palatino Linotype"/>
        </w:rPr>
      </w:pPr>
    </w:p>
    <w:p w:rsidR="00D103F6" w:rsidRDefault="00074EC5" w:rsidP="00654D0E">
      <w:pPr>
        <w:pStyle w:val="NoSpacing"/>
        <w:spacing w:line="360" w:lineRule="auto"/>
        <w:rPr>
          <w:rFonts w:ascii="Palatino Linotype" w:hAnsi="Palatino Linotype"/>
        </w:rPr>
      </w:pPr>
      <w:r>
        <w:rPr>
          <w:rFonts w:ascii="Palatino Linotype" w:hAnsi="Palatino Linotype"/>
        </w:rPr>
        <w:t>Ook in de Verenigde Staten is de trend zichtbaar: ook daar zorgt de eerste schommeling niet voor een kritieke toestand: de dekkingsgraad wordt 1,11. Bij de eindschommeling is dat al 0,84, waardoor er ook daar (extra) tegenmaatregelen genomen zullen moeten worden.</w:t>
      </w:r>
    </w:p>
    <w:p w:rsidR="00D103F6" w:rsidRDefault="00D103F6" w:rsidP="00654D0E">
      <w:pPr>
        <w:pStyle w:val="NoSpacing"/>
        <w:spacing w:line="360" w:lineRule="auto"/>
        <w:rPr>
          <w:rFonts w:ascii="Palatino Linotype" w:hAnsi="Palatino Linotype"/>
        </w:rPr>
      </w:pPr>
    </w:p>
    <w:p w:rsidR="00C7221B" w:rsidRDefault="0080373A" w:rsidP="00654D0E">
      <w:pPr>
        <w:pStyle w:val="NoSpacing"/>
        <w:spacing w:line="360" w:lineRule="auto"/>
        <w:rPr>
          <w:rFonts w:ascii="Palatino Linotype" w:hAnsi="Palatino Linotype"/>
        </w:rPr>
      </w:pPr>
      <w:r>
        <w:rPr>
          <w:rFonts w:ascii="Palatino Linotype" w:hAnsi="Palatino Linotype"/>
        </w:rPr>
        <w:t xml:space="preserve">Hekkensluiter </w:t>
      </w:r>
      <w:r w:rsidR="004A4F51">
        <w:rPr>
          <w:rFonts w:ascii="Palatino Linotype" w:hAnsi="Palatino Linotype"/>
        </w:rPr>
        <w:t>Chili heeft vrij opmerkelijke cijfers</w:t>
      </w:r>
      <w:r w:rsidR="00673CE4">
        <w:rPr>
          <w:rFonts w:ascii="Palatino Linotype" w:hAnsi="Palatino Linotype"/>
        </w:rPr>
        <w:t>. Als eerste komt daar een jaaruitkering van USD 15.110,89 uit en bij de eindschommeling een bedrag van USD 11.430,48.</w:t>
      </w:r>
      <w:r w:rsidR="008A22CE">
        <w:rPr>
          <w:rFonts w:ascii="Palatino Linotype" w:hAnsi="Palatino Linotype"/>
        </w:rPr>
        <w:t xml:space="preserve"> Die laatste daling is er een van 29%, dit in tegenstelling tot die in Nederland</w:t>
      </w:r>
      <w:r w:rsidR="000527AE">
        <w:rPr>
          <w:rFonts w:ascii="Palatino Linotype" w:hAnsi="Palatino Linotype"/>
        </w:rPr>
        <w:t>,</w:t>
      </w:r>
      <w:r w:rsidR="008A22CE">
        <w:rPr>
          <w:rFonts w:ascii="Palatino Linotype" w:hAnsi="Palatino Linotype"/>
        </w:rPr>
        <w:t xml:space="preserve"> Frankrijk </w:t>
      </w:r>
      <w:r w:rsidR="000527AE">
        <w:rPr>
          <w:rFonts w:ascii="Palatino Linotype" w:hAnsi="Palatino Linotype"/>
        </w:rPr>
        <w:t xml:space="preserve">en de VS </w:t>
      </w:r>
      <w:r w:rsidR="008A22CE">
        <w:rPr>
          <w:rFonts w:ascii="Palatino Linotype" w:hAnsi="Palatino Linotype"/>
        </w:rPr>
        <w:t xml:space="preserve">van 41%. </w:t>
      </w:r>
      <w:r w:rsidR="00171911">
        <w:rPr>
          <w:rFonts w:ascii="Palatino Linotype" w:hAnsi="Palatino Linotype"/>
        </w:rPr>
        <w:t>Zelfs dit laatste bedrag komt nog boven het Chileens sociaal minimum van USD 4.873,02 uit, wat vrij opmerkelijk is aangezien het hier een behoorlij</w:t>
      </w:r>
      <w:r w:rsidR="001305D5">
        <w:rPr>
          <w:rFonts w:ascii="Palatino Linotype" w:hAnsi="Palatino Linotype"/>
        </w:rPr>
        <w:t xml:space="preserve">ke rendementsschok betreft. Hier kan eenzelfde verhaal afgestoken worden als bij de </w:t>
      </w:r>
      <w:r w:rsidR="00F800E1">
        <w:rPr>
          <w:rFonts w:ascii="Palatino Linotype" w:hAnsi="Palatino Linotype"/>
        </w:rPr>
        <w:t>eerdere</w:t>
      </w:r>
      <w:r w:rsidR="001305D5">
        <w:rPr>
          <w:rFonts w:ascii="Palatino Linotype" w:hAnsi="Palatino Linotype"/>
        </w:rPr>
        <w:t xml:space="preserve"> berekening</w:t>
      </w:r>
      <w:r w:rsidR="00F800E1">
        <w:rPr>
          <w:rFonts w:ascii="Palatino Linotype" w:hAnsi="Palatino Linotype"/>
        </w:rPr>
        <w:t>en</w:t>
      </w:r>
      <w:r w:rsidR="001305D5">
        <w:rPr>
          <w:rFonts w:ascii="Palatino Linotype" w:hAnsi="Palatino Linotype"/>
        </w:rPr>
        <w:t xml:space="preserve"> voor Chi</w:t>
      </w:r>
      <w:r w:rsidR="00AE5BBC">
        <w:rPr>
          <w:rFonts w:ascii="Palatino Linotype" w:hAnsi="Palatino Linotype"/>
        </w:rPr>
        <w:t>li met betrekking tot de schijnfoute berekeningen, daarover in het volgende hoofdstuk meer.</w:t>
      </w:r>
    </w:p>
    <w:p w:rsidR="00552ADF" w:rsidRDefault="00552ADF" w:rsidP="00654D0E">
      <w:pPr>
        <w:pStyle w:val="NoSpacing"/>
        <w:spacing w:line="360" w:lineRule="auto"/>
        <w:rPr>
          <w:rFonts w:ascii="Palatino Linotype" w:hAnsi="Palatino Linotype"/>
        </w:rPr>
      </w:pPr>
    </w:p>
    <w:p w:rsidR="00552ADF" w:rsidRDefault="00A12533" w:rsidP="00654D0E">
      <w:pPr>
        <w:pStyle w:val="NoSpacing"/>
        <w:spacing w:line="360" w:lineRule="auto"/>
        <w:rPr>
          <w:rFonts w:ascii="Palatino Linotype" w:hAnsi="Palatino Linotype"/>
        </w:rPr>
      </w:pPr>
      <w:r>
        <w:rPr>
          <w:rFonts w:ascii="Palatino Linotype" w:hAnsi="Palatino Linotype"/>
        </w:rPr>
        <w:t>Om de grootte en vooral de verschillen van deze resultaten tussen de verschillende landen weer te geven, is een tabel gemaakt met daarin de veranderingen van de dekkingsgraad per land</w:t>
      </w:r>
      <w:r w:rsidR="001F6E2E">
        <w:rPr>
          <w:rFonts w:ascii="Palatino Linotype" w:hAnsi="Palatino Linotype"/>
        </w:rPr>
        <w:t xml:space="preserve"> van drie van de vier landen</w:t>
      </w:r>
      <w:r>
        <w:rPr>
          <w:rFonts w:ascii="Palatino Linotype" w:hAnsi="Palatino Linotype"/>
        </w:rPr>
        <w:t>:</w:t>
      </w:r>
    </w:p>
    <w:p w:rsidR="00A12533" w:rsidRDefault="00A12533" w:rsidP="003B6142">
      <w:pPr>
        <w:pStyle w:val="NoSpacing"/>
        <w:rPr>
          <w:rFonts w:ascii="Palatino Linotype" w:hAnsi="Palatino Linotype"/>
        </w:rPr>
      </w:pPr>
    </w:p>
    <w:p w:rsidR="00A12533" w:rsidRDefault="00A12533" w:rsidP="003B6142">
      <w:pPr>
        <w:pStyle w:val="NoSpacing"/>
        <w:rPr>
          <w:rFonts w:ascii="Palatino Linotype" w:hAnsi="Palatino Linotype"/>
        </w:rPr>
      </w:pPr>
      <w:r>
        <w:rPr>
          <w:rFonts w:ascii="Palatino Linotype" w:hAnsi="Palatino Linotype"/>
          <w:noProof/>
          <w:lang w:eastAsia="nl-NL"/>
        </w:rPr>
        <w:drawing>
          <wp:inline distT="0" distB="0" distL="0" distR="0" wp14:anchorId="49DBC323" wp14:editId="0ED9F82D">
            <wp:extent cx="5486400" cy="32004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1F6E2E" w:rsidRPr="001F6E2E" w:rsidRDefault="001F6E2E" w:rsidP="001F6E2E">
      <w:pPr>
        <w:pStyle w:val="NoSpacing"/>
        <w:rPr>
          <w:rFonts w:ascii="Palatino Linotype" w:hAnsi="Palatino Linotype"/>
        </w:rPr>
      </w:pPr>
    </w:p>
    <w:p w:rsidR="001F6E2E" w:rsidRDefault="001F6E2E" w:rsidP="00654D0E">
      <w:pPr>
        <w:pStyle w:val="NoSpacing"/>
        <w:spacing w:line="360" w:lineRule="auto"/>
        <w:rPr>
          <w:rFonts w:ascii="Palatino Linotype" w:hAnsi="Palatino Linotype"/>
        </w:rPr>
      </w:pPr>
      <w:r w:rsidRPr="001F6E2E">
        <w:rPr>
          <w:rFonts w:ascii="Palatino Linotype" w:hAnsi="Palatino Linotype"/>
        </w:rPr>
        <w:t>Hierbij moet wel op</w:t>
      </w:r>
      <w:r>
        <w:rPr>
          <w:rFonts w:ascii="Palatino Linotype" w:hAnsi="Palatino Linotype"/>
        </w:rPr>
        <w:t>gemerkt worden dat de waarden van Chili zijn uitgedrukt in bedragen (jaarinkomens)</w:t>
      </w:r>
      <w:r w:rsidR="009954E5">
        <w:rPr>
          <w:rFonts w:ascii="Palatino Linotype" w:hAnsi="Palatino Linotype"/>
        </w:rPr>
        <w:t xml:space="preserve"> en dus niet in bovenstaande staafdiagram opgenomen konden worden. V</w:t>
      </w:r>
      <w:r>
        <w:rPr>
          <w:rFonts w:ascii="Palatino Linotype" w:hAnsi="Palatino Linotype"/>
        </w:rPr>
        <w:t xml:space="preserve">andaar onderstaande tabel waarin de </w:t>
      </w:r>
      <w:r w:rsidRPr="009E12A3">
        <w:rPr>
          <w:rFonts w:ascii="Palatino Linotype" w:hAnsi="Palatino Linotype"/>
          <w:i/>
        </w:rPr>
        <w:t>procentuele verandering</w:t>
      </w:r>
      <w:r w:rsidR="009E12A3">
        <w:rPr>
          <w:rFonts w:ascii="Palatino Linotype" w:hAnsi="Palatino Linotype"/>
        </w:rPr>
        <w:t xml:space="preserve"> ten opzichte van de uitgangssituatie</w:t>
      </w:r>
      <w:r>
        <w:rPr>
          <w:rFonts w:ascii="Palatino Linotype" w:hAnsi="Palatino Linotype"/>
        </w:rPr>
        <w:t xml:space="preserve"> per land te zien is:</w:t>
      </w:r>
    </w:p>
    <w:p w:rsidR="009E12A3" w:rsidRDefault="009E12A3" w:rsidP="001F6E2E">
      <w:pPr>
        <w:pStyle w:val="NoSpacing"/>
        <w:rPr>
          <w:rFonts w:ascii="Palatino Linotype" w:hAnsi="Palatino Linotype"/>
        </w:rPr>
      </w:pPr>
    </w:p>
    <w:tbl>
      <w:tblPr>
        <w:tblStyle w:val="LightShading"/>
        <w:tblW w:w="0" w:type="auto"/>
        <w:tblLook w:val="04A0" w:firstRow="1" w:lastRow="0" w:firstColumn="1" w:lastColumn="0" w:noHBand="0" w:noVBand="1"/>
      </w:tblPr>
      <w:tblGrid>
        <w:gridCol w:w="1535"/>
        <w:gridCol w:w="1535"/>
        <w:gridCol w:w="1535"/>
        <w:gridCol w:w="1535"/>
        <w:gridCol w:w="1536"/>
        <w:gridCol w:w="1536"/>
      </w:tblGrid>
      <w:tr w:rsidR="00053132" w:rsidTr="00807AB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gridSpan w:val="6"/>
          </w:tcPr>
          <w:p w:rsidR="00053132" w:rsidRDefault="00053132" w:rsidP="001F6E2E">
            <w:pPr>
              <w:pStyle w:val="NoSpacing"/>
              <w:rPr>
                <w:rFonts w:ascii="Palatino Linotype" w:hAnsi="Palatino Linotype"/>
              </w:rPr>
            </w:pPr>
            <w:r>
              <w:rPr>
                <w:rFonts w:ascii="Palatino Linotype" w:hAnsi="Palatino Linotype"/>
              </w:rPr>
              <w:t>Procentuele verandering ten opzichte van uitgangssituatie (per land)</w:t>
            </w:r>
          </w:p>
        </w:tc>
      </w:tr>
      <w:tr w:rsidR="009E12A3" w:rsidTr="009E12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5" w:type="dxa"/>
          </w:tcPr>
          <w:p w:rsidR="009E12A3" w:rsidRDefault="009E12A3" w:rsidP="001F6E2E">
            <w:pPr>
              <w:pStyle w:val="NoSpacing"/>
              <w:rPr>
                <w:rFonts w:ascii="Palatino Linotype" w:hAnsi="Palatino Linotype"/>
              </w:rPr>
            </w:pPr>
          </w:p>
        </w:tc>
        <w:tc>
          <w:tcPr>
            <w:tcW w:w="1535" w:type="dxa"/>
          </w:tcPr>
          <w:p w:rsidR="009E12A3" w:rsidRDefault="009E12A3" w:rsidP="001F6E2E">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rPr>
            </w:pPr>
            <w:r>
              <w:rPr>
                <w:rFonts w:ascii="Palatino Linotype" w:hAnsi="Palatino Linotype"/>
              </w:rPr>
              <w:t>Uitgang</w:t>
            </w:r>
          </w:p>
        </w:tc>
        <w:tc>
          <w:tcPr>
            <w:tcW w:w="1535" w:type="dxa"/>
          </w:tcPr>
          <w:p w:rsidR="009E12A3" w:rsidRDefault="009E12A3" w:rsidP="001F6E2E">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rPr>
            </w:pPr>
            <w:r>
              <w:rPr>
                <w:rFonts w:ascii="Palatino Linotype" w:hAnsi="Palatino Linotype"/>
              </w:rPr>
              <w:t>Hogere P</w:t>
            </w:r>
          </w:p>
        </w:tc>
        <w:tc>
          <w:tcPr>
            <w:tcW w:w="1535" w:type="dxa"/>
          </w:tcPr>
          <w:p w:rsidR="009E12A3" w:rsidRDefault="009E12A3" w:rsidP="001F6E2E">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rPr>
            </w:pPr>
            <w:r>
              <w:rPr>
                <w:rFonts w:ascii="Palatino Linotype" w:hAnsi="Palatino Linotype"/>
              </w:rPr>
              <w:t>Lagere n/m</w:t>
            </w:r>
          </w:p>
        </w:tc>
        <w:tc>
          <w:tcPr>
            <w:tcW w:w="1536" w:type="dxa"/>
          </w:tcPr>
          <w:p w:rsidR="009E12A3" w:rsidRPr="009E12A3" w:rsidRDefault="009E12A3" w:rsidP="001F6E2E">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vertAlign w:val="subscript"/>
              </w:rPr>
            </w:pPr>
            <w:r>
              <w:rPr>
                <w:rFonts w:ascii="Palatino Linotype" w:hAnsi="Palatino Linotype"/>
              </w:rPr>
              <w:t>Lagere R</w:t>
            </w:r>
            <w:r>
              <w:rPr>
                <w:rFonts w:ascii="Palatino Linotype" w:hAnsi="Palatino Linotype"/>
                <w:vertAlign w:val="subscript"/>
              </w:rPr>
              <w:t>begin</w:t>
            </w:r>
          </w:p>
        </w:tc>
        <w:tc>
          <w:tcPr>
            <w:tcW w:w="1536" w:type="dxa"/>
          </w:tcPr>
          <w:p w:rsidR="009E12A3" w:rsidRPr="009E12A3" w:rsidRDefault="009E12A3" w:rsidP="001F6E2E">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vertAlign w:val="subscript"/>
              </w:rPr>
            </w:pPr>
            <w:r>
              <w:rPr>
                <w:rFonts w:ascii="Palatino Linotype" w:hAnsi="Palatino Linotype"/>
              </w:rPr>
              <w:t>Lagere R</w:t>
            </w:r>
            <w:r>
              <w:rPr>
                <w:rFonts w:ascii="Palatino Linotype" w:hAnsi="Palatino Linotype"/>
                <w:vertAlign w:val="subscript"/>
              </w:rPr>
              <w:t>eind</w:t>
            </w:r>
          </w:p>
        </w:tc>
      </w:tr>
      <w:tr w:rsidR="009E12A3" w:rsidTr="009E12A3">
        <w:tc>
          <w:tcPr>
            <w:cnfStyle w:val="001000000000" w:firstRow="0" w:lastRow="0" w:firstColumn="1" w:lastColumn="0" w:oddVBand="0" w:evenVBand="0" w:oddHBand="0" w:evenHBand="0" w:firstRowFirstColumn="0" w:firstRowLastColumn="0" w:lastRowFirstColumn="0" w:lastRowLastColumn="0"/>
            <w:tcW w:w="1535" w:type="dxa"/>
          </w:tcPr>
          <w:p w:rsidR="009E12A3" w:rsidRDefault="009E12A3" w:rsidP="001F6E2E">
            <w:pPr>
              <w:pStyle w:val="NoSpacing"/>
              <w:rPr>
                <w:rFonts w:ascii="Palatino Linotype" w:hAnsi="Palatino Linotype"/>
              </w:rPr>
            </w:pPr>
            <w:r>
              <w:rPr>
                <w:rFonts w:ascii="Palatino Linotype" w:hAnsi="Palatino Linotype"/>
              </w:rPr>
              <w:t>Chili</w:t>
            </w:r>
          </w:p>
        </w:tc>
        <w:tc>
          <w:tcPr>
            <w:tcW w:w="1535" w:type="dxa"/>
          </w:tcPr>
          <w:p w:rsidR="009E12A3" w:rsidRDefault="009954E5" w:rsidP="001F6E2E">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rPr>
            </w:pPr>
            <w:r>
              <w:rPr>
                <w:rFonts w:ascii="Palatino Linotype" w:hAnsi="Palatino Linotype"/>
              </w:rPr>
              <w:t>16101,79</w:t>
            </w:r>
          </w:p>
        </w:tc>
        <w:tc>
          <w:tcPr>
            <w:tcW w:w="1535" w:type="dxa"/>
          </w:tcPr>
          <w:p w:rsidR="009E12A3" w:rsidRDefault="00481017" w:rsidP="001F6E2E">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rPr>
            </w:pPr>
            <w:r>
              <w:rPr>
                <w:rFonts w:ascii="Palatino Linotype" w:hAnsi="Palatino Linotype"/>
              </w:rPr>
              <w:t>+ 104,9%</w:t>
            </w:r>
          </w:p>
        </w:tc>
        <w:tc>
          <w:tcPr>
            <w:tcW w:w="1535" w:type="dxa"/>
          </w:tcPr>
          <w:p w:rsidR="009E12A3" w:rsidRDefault="001B232C" w:rsidP="001F6E2E">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rPr>
            </w:pPr>
            <w:r>
              <w:rPr>
                <w:rFonts w:ascii="Palatino Linotype" w:hAnsi="Palatino Linotype"/>
              </w:rPr>
              <w:t>n.v.t.</w:t>
            </w:r>
          </w:p>
        </w:tc>
        <w:tc>
          <w:tcPr>
            <w:tcW w:w="1536" w:type="dxa"/>
          </w:tcPr>
          <w:p w:rsidR="009E12A3" w:rsidRDefault="001B232C" w:rsidP="001F6E2E">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rPr>
            </w:pPr>
            <w:r>
              <w:rPr>
                <w:rFonts w:ascii="Palatino Linotype" w:hAnsi="Palatino Linotype"/>
              </w:rPr>
              <w:t>- 6,2%</w:t>
            </w:r>
          </w:p>
        </w:tc>
        <w:tc>
          <w:tcPr>
            <w:tcW w:w="1536" w:type="dxa"/>
          </w:tcPr>
          <w:p w:rsidR="009E12A3" w:rsidRDefault="00777576" w:rsidP="001F6E2E">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rPr>
            </w:pPr>
            <w:r>
              <w:rPr>
                <w:rFonts w:ascii="Palatino Linotype" w:hAnsi="Palatino Linotype"/>
              </w:rPr>
              <w:t>- 41,0</w:t>
            </w:r>
            <w:r w:rsidR="001B232C">
              <w:rPr>
                <w:rFonts w:ascii="Palatino Linotype" w:hAnsi="Palatino Linotype"/>
              </w:rPr>
              <w:t>%</w:t>
            </w:r>
          </w:p>
        </w:tc>
      </w:tr>
      <w:tr w:rsidR="009E12A3" w:rsidTr="009E12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5" w:type="dxa"/>
          </w:tcPr>
          <w:p w:rsidR="009E12A3" w:rsidRDefault="009E12A3" w:rsidP="001F6E2E">
            <w:pPr>
              <w:pStyle w:val="NoSpacing"/>
              <w:rPr>
                <w:rFonts w:ascii="Palatino Linotype" w:hAnsi="Palatino Linotype"/>
              </w:rPr>
            </w:pPr>
            <w:r>
              <w:rPr>
                <w:rFonts w:ascii="Palatino Linotype" w:hAnsi="Palatino Linotype"/>
              </w:rPr>
              <w:t>Frankrijk</w:t>
            </w:r>
          </w:p>
        </w:tc>
        <w:tc>
          <w:tcPr>
            <w:tcW w:w="1535" w:type="dxa"/>
          </w:tcPr>
          <w:p w:rsidR="009E12A3" w:rsidRDefault="009954E5" w:rsidP="001F6E2E">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rPr>
            </w:pPr>
            <w:r>
              <w:rPr>
                <w:rFonts w:ascii="Palatino Linotype" w:hAnsi="Palatino Linotype"/>
              </w:rPr>
              <w:t>0,72</w:t>
            </w:r>
          </w:p>
        </w:tc>
        <w:tc>
          <w:tcPr>
            <w:tcW w:w="1535" w:type="dxa"/>
          </w:tcPr>
          <w:p w:rsidR="009E12A3" w:rsidRDefault="009954E5" w:rsidP="009954E5">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rPr>
            </w:pPr>
            <w:r>
              <w:rPr>
                <w:rFonts w:ascii="Palatino Linotype" w:hAnsi="Palatino Linotype"/>
              </w:rPr>
              <w:t>+ 45,8%</w:t>
            </w:r>
          </w:p>
        </w:tc>
        <w:tc>
          <w:tcPr>
            <w:tcW w:w="1535" w:type="dxa"/>
          </w:tcPr>
          <w:p w:rsidR="009E12A3" w:rsidRDefault="009954E5" w:rsidP="001F6E2E">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rPr>
            </w:pPr>
            <w:r>
              <w:rPr>
                <w:rFonts w:ascii="Palatino Linotype" w:hAnsi="Palatino Linotype"/>
              </w:rPr>
              <w:t>- 18,1 %</w:t>
            </w:r>
          </w:p>
        </w:tc>
        <w:tc>
          <w:tcPr>
            <w:tcW w:w="1536" w:type="dxa"/>
          </w:tcPr>
          <w:p w:rsidR="009E12A3" w:rsidRDefault="009954E5" w:rsidP="001F6E2E">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rPr>
            </w:pPr>
            <w:r>
              <w:rPr>
                <w:rFonts w:ascii="Palatino Linotype" w:hAnsi="Palatino Linotype"/>
              </w:rPr>
              <w:t>- 5,5%</w:t>
            </w:r>
          </w:p>
        </w:tc>
        <w:tc>
          <w:tcPr>
            <w:tcW w:w="1536" w:type="dxa"/>
          </w:tcPr>
          <w:p w:rsidR="009E12A3" w:rsidRDefault="009954E5" w:rsidP="001F6E2E">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rPr>
            </w:pPr>
            <w:r>
              <w:rPr>
                <w:rFonts w:ascii="Palatino Linotype" w:hAnsi="Palatino Linotype"/>
              </w:rPr>
              <w:t>- 29,2%</w:t>
            </w:r>
          </w:p>
        </w:tc>
      </w:tr>
      <w:tr w:rsidR="009E12A3" w:rsidTr="009E12A3">
        <w:tc>
          <w:tcPr>
            <w:cnfStyle w:val="001000000000" w:firstRow="0" w:lastRow="0" w:firstColumn="1" w:lastColumn="0" w:oddVBand="0" w:evenVBand="0" w:oddHBand="0" w:evenHBand="0" w:firstRowFirstColumn="0" w:firstRowLastColumn="0" w:lastRowFirstColumn="0" w:lastRowLastColumn="0"/>
            <w:tcW w:w="1535" w:type="dxa"/>
          </w:tcPr>
          <w:p w:rsidR="009E12A3" w:rsidRDefault="009E12A3" w:rsidP="001F6E2E">
            <w:pPr>
              <w:pStyle w:val="NoSpacing"/>
              <w:rPr>
                <w:rFonts w:ascii="Palatino Linotype" w:hAnsi="Palatino Linotype"/>
              </w:rPr>
            </w:pPr>
            <w:r>
              <w:rPr>
                <w:rFonts w:ascii="Palatino Linotype" w:hAnsi="Palatino Linotype"/>
              </w:rPr>
              <w:t>Nederland</w:t>
            </w:r>
          </w:p>
        </w:tc>
        <w:tc>
          <w:tcPr>
            <w:tcW w:w="1535" w:type="dxa"/>
          </w:tcPr>
          <w:p w:rsidR="009E12A3" w:rsidRDefault="009954E5" w:rsidP="001F6E2E">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rPr>
            </w:pPr>
            <w:r>
              <w:rPr>
                <w:rFonts w:ascii="Palatino Linotype" w:hAnsi="Palatino Linotype"/>
              </w:rPr>
              <w:t>1,27</w:t>
            </w:r>
          </w:p>
        </w:tc>
        <w:tc>
          <w:tcPr>
            <w:tcW w:w="1535" w:type="dxa"/>
          </w:tcPr>
          <w:p w:rsidR="009E12A3" w:rsidRDefault="00874C1C" w:rsidP="001F6E2E">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rPr>
            </w:pPr>
            <w:r>
              <w:rPr>
                <w:rFonts w:ascii="Palatino Linotype" w:hAnsi="Palatino Linotype"/>
              </w:rPr>
              <w:t>+ 89,0%</w:t>
            </w:r>
          </w:p>
        </w:tc>
        <w:tc>
          <w:tcPr>
            <w:tcW w:w="1535" w:type="dxa"/>
          </w:tcPr>
          <w:p w:rsidR="009E12A3" w:rsidRDefault="00874C1C" w:rsidP="001F6E2E">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rPr>
            </w:pPr>
            <w:r>
              <w:rPr>
                <w:rFonts w:ascii="Palatino Linotype" w:hAnsi="Palatino Linotype"/>
              </w:rPr>
              <w:t>- 17,3%</w:t>
            </w:r>
          </w:p>
        </w:tc>
        <w:tc>
          <w:tcPr>
            <w:tcW w:w="1536" w:type="dxa"/>
          </w:tcPr>
          <w:p w:rsidR="009E12A3" w:rsidRDefault="00874C1C" w:rsidP="001F6E2E">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rPr>
            </w:pPr>
            <w:r>
              <w:rPr>
                <w:rFonts w:ascii="Palatino Linotype" w:hAnsi="Palatino Linotype"/>
              </w:rPr>
              <w:t>- 6,3%</w:t>
            </w:r>
          </w:p>
        </w:tc>
        <w:tc>
          <w:tcPr>
            <w:tcW w:w="1536" w:type="dxa"/>
          </w:tcPr>
          <w:p w:rsidR="009E12A3" w:rsidRDefault="00777576" w:rsidP="001F6E2E">
            <w:pPr>
              <w:pStyle w:val="NoSpacing"/>
              <w:cnfStyle w:val="000000000000" w:firstRow="0" w:lastRow="0" w:firstColumn="0" w:lastColumn="0" w:oddVBand="0" w:evenVBand="0" w:oddHBand="0" w:evenHBand="0" w:firstRowFirstColumn="0" w:firstRowLastColumn="0" w:lastRowFirstColumn="0" w:lastRowLastColumn="0"/>
              <w:rPr>
                <w:rFonts w:ascii="Palatino Linotype" w:hAnsi="Palatino Linotype"/>
              </w:rPr>
            </w:pPr>
            <w:r>
              <w:rPr>
                <w:rFonts w:ascii="Palatino Linotype" w:hAnsi="Palatino Linotype"/>
              </w:rPr>
              <w:t>- 41</w:t>
            </w:r>
            <w:r w:rsidR="00874C1C">
              <w:rPr>
                <w:rFonts w:ascii="Palatino Linotype" w:hAnsi="Palatino Linotype"/>
              </w:rPr>
              <w:t>,1%</w:t>
            </w:r>
          </w:p>
        </w:tc>
      </w:tr>
      <w:tr w:rsidR="009E12A3" w:rsidTr="009E12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5" w:type="dxa"/>
          </w:tcPr>
          <w:p w:rsidR="009E12A3" w:rsidRDefault="009E12A3" w:rsidP="001F6E2E">
            <w:pPr>
              <w:pStyle w:val="NoSpacing"/>
              <w:rPr>
                <w:rFonts w:ascii="Palatino Linotype" w:hAnsi="Palatino Linotype"/>
              </w:rPr>
            </w:pPr>
            <w:r>
              <w:rPr>
                <w:rFonts w:ascii="Palatino Linotype" w:hAnsi="Palatino Linotype"/>
              </w:rPr>
              <w:t>VS</w:t>
            </w:r>
          </w:p>
        </w:tc>
        <w:tc>
          <w:tcPr>
            <w:tcW w:w="1535" w:type="dxa"/>
          </w:tcPr>
          <w:p w:rsidR="009E12A3" w:rsidRDefault="009954E5" w:rsidP="001F6E2E">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rPr>
            </w:pPr>
            <w:r>
              <w:rPr>
                <w:rFonts w:ascii="Palatino Linotype" w:hAnsi="Palatino Linotype"/>
              </w:rPr>
              <w:t>1,18</w:t>
            </w:r>
          </w:p>
        </w:tc>
        <w:tc>
          <w:tcPr>
            <w:tcW w:w="1535" w:type="dxa"/>
          </w:tcPr>
          <w:p w:rsidR="009E12A3" w:rsidRDefault="005216C6" w:rsidP="001F6E2E">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rPr>
            </w:pPr>
            <w:r>
              <w:rPr>
                <w:rFonts w:ascii="Palatino Linotype" w:hAnsi="Palatino Linotype"/>
              </w:rPr>
              <w:t>+ 104%</w:t>
            </w:r>
          </w:p>
        </w:tc>
        <w:tc>
          <w:tcPr>
            <w:tcW w:w="1535" w:type="dxa"/>
          </w:tcPr>
          <w:p w:rsidR="009E12A3" w:rsidRDefault="00036104" w:rsidP="001F6E2E">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rPr>
            </w:pPr>
            <w:r>
              <w:rPr>
                <w:rFonts w:ascii="Palatino Linotype" w:hAnsi="Palatino Linotype"/>
              </w:rPr>
              <w:t>-</w:t>
            </w:r>
            <w:r w:rsidR="005216C6">
              <w:rPr>
                <w:rFonts w:ascii="Palatino Linotype" w:hAnsi="Palatino Linotype"/>
              </w:rPr>
              <w:t xml:space="preserve"> 17,8%</w:t>
            </w:r>
          </w:p>
        </w:tc>
        <w:tc>
          <w:tcPr>
            <w:tcW w:w="1536" w:type="dxa"/>
          </w:tcPr>
          <w:p w:rsidR="009E12A3" w:rsidRDefault="005216C6" w:rsidP="001F6E2E">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rPr>
            </w:pPr>
            <w:r>
              <w:rPr>
                <w:rFonts w:ascii="Palatino Linotype" w:hAnsi="Palatino Linotype"/>
              </w:rPr>
              <w:t>- 5,9%</w:t>
            </w:r>
          </w:p>
        </w:tc>
        <w:tc>
          <w:tcPr>
            <w:tcW w:w="1536" w:type="dxa"/>
          </w:tcPr>
          <w:p w:rsidR="009E12A3" w:rsidRDefault="00777576" w:rsidP="001F6E2E">
            <w:pPr>
              <w:pStyle w:val="NoSpacing"/>
              <w:cnfStyle w:val="000000100000" w:firstRow="0" w:lastRow="0" w:firstColumn="0" w:lastColumn="0" w:oddVBand="0" w:evenVBand="0" w:oddHBand="1" w:evenHBand="0" w:firstRowFirstColumn="0" w:firstRowLastColumn="0" w:lastRowFirstColumn="0" w:lastRowLastColumn="0"/>
              <w:rPr>
                <w:rFonts w:ascii="Palatino Linotype" w:hAnsi="Palatino Linotype"/>
              </w:rPr>
            </w:pPr>
            <w:r>
              <w:rPr>
                <w:rFonts w:ascii="Palatino Linotype" w:hAnsi="Palatino Linotype"/>
              </w:rPr>
              <w:t>- 41,0</w:t>
            </w:r>
            <w:r w:rsidR="005216C6">
              <w:rPr>
                <w:rFonts w:ascii="Palatino Linotype" w:hAnsi="Palatino Linotype"/>
              </w:rPr>
              <w:t>%</w:t>
            </w:r>
          </w:p>
        </w:tc>
      </w:tr>
    </w:tbl>
    <w:p w:rsidR="009E12A3" w:rsidRDefault="009E12A3" w:rsidP="001F6E2E">
      <w:pPr>
        <w:pStyle w:val="NoSpacing"/>
        <w:rPr>
          <w:rFonts w:ascii="Palatino Linotype" w:hAnsi="Palatino Linotype"/>
        </w:rPr>
      </w:pPr>
    </w:p>
    <w:p w:rsidR="009E12A3" w:rsidRDefault="009E12A3" w:rsidP="001F6E2E">
      <w:pPr>
        <w:pStyle w:val="NoSpacing"/>
        <w:rPr>
          <w:rFonts w:ascii="Palatino Linotype" w:hAnsi="Palatino Linotype"/>
        </w:rPr>
      </w:pPr>
    </w:p>
    <w:p w:rsidR="009E12A3" w:rsidRDefault="009E12A3" w:rsidP="001F6E2E">
      <w:pPr>
        <w:pStyle w:val="NoSpacing"/>
        <w:rPr>
          <w:rFonts w:ascii="Palatino Linotype" w:hAnsi="Palatino Linotype"/>
        </w:rPr>
      </w:pPr>
    </w:p>
    <w:p w:rsidR="001F6E2E" w:rsidRDefault="001F6E2E" w:rsidP="001F6E2E">
      <w:pPr>
        <w:pStyle w:val="NoSpacing"/>
        <w:rPr>
          <w:rFonts w:ascii="Palatino Linotype" w:hAnsi="Palatino Linotype"/>
        </w:rPr>
      </w:pPr>
    </w:p>
    <w:p w:rsidR="00C7221B" w:rsidRDefault="00C7221B" w:rsidP="001F6E2E">
      <w:pPr>
        <w:pStyle w:val="NoSpacing"/>
      </w:pPr>
      <w:r>
        <w:br w:type="page"/>
      </w:r>
    </w:p>
    <w:p w:rsidR="004A4F51" w:rsidRDefault="00C7221B" w:rsidP="003B6142">
      <w:pPr>
        <w:pStyle w:val="NoSpacing"/>
        <w:rPr>
          <w:rFonts w:ascii="Palatino Linotype" w:hAnsi="Palatino Linotype"/>
          <w:b/>
        </w:rPr>
      </w:pPr>
      <w:r>
        <w:rPr>
          <w:rFonts w:ascii="Palatino Linotype" w:hAnsi="Palatino Linotype"/>
          <w:b/>
        </w:rPr>
        <w:t>Conclusie, interpretatie en discussie</w:t>
      </w:r>
    </w:p>
    <w:p w:rsidR="00480F18" w:rsidRDefault="00480F18" w:rsidP="003B6142">
      <w:pPr>
        <w:pStyle w:val="NoSpacing"/>
        <w:rPr>
          <w:rFonts w:ascii="Palatino Linotype" w:hAnsi="Palatino Linotype"/>
          <w:b/>
        </w:rPr>
      </w:pPr>
    </w:p>
    <w:p w:rsidR="00480F18" w:rsidRDefault="00002109" w:rsidP="00654D0E">
      <w:pPr>
        <w:pStyle w:val="NoSpacing"/>
        <w:spacing w:line="360" w:lineRule="auto"/>
        <w:rPr>
          <w:rFonts w:ascii="Palatino Linotype" w:hAnsi="Palatino Linotype"/>
        </w:rPr>
      </w:pPr>
      <w:r>
        <w:rPr>
          <w:rFonts w:ascii="Palatino Linotype" w:hAnsi="Palatino Linotype"/>
        </w:rPr>
        <w:t>In de weg naar het antwoord op de vraag welke van de systemen</w:t>
      </w:r>
      <w:r w:rsidR="00ED42F4">
        <w:rPr>
          <w:rFonts w:ascii="Palatino Linotype" w:hAnsi="Palatino Linotype"/>
        </w:rPr>
        <w:t xml:space="preserve"> resistenter is tegen economische en demografische veranderingen </w:t>
      </w:r>
      <w:r w:rsidR="00177E48">
        <w:rPr>
          <w:rFonts w:ascii="Palatino Linotype" w:hAnsi="Palatino Linotype"/>
        </w:rPr>
        <w:t xml:space="preserve">hebben de simulatie en haar uitkomsten een vrij duidelijk beeld geschetst. Ook is duidelijk geworden wat voor alle systemen, ongeacht of het een kapitaaldekkings- of omslagstelsel betreft, </w:t>
      </w:r>
      <w:r w:rsidR="00355BA3">
        <w:rPr>
          <w:rFonts w:ascii="Palatino Linotype" w:hAnsi="Palatino Linotype"/>
        </w:rPr>
        <w:t>het beste effect heeft op de dekkingsgraad en wat dus de beste bewapening zou zijn tegen eventuele toekomstige pensioengrillen.</w:t>
      </w:r>
    </w:p>
    <w:p w:rsidR="00177E48" w:rsidRDefault="00177E48" w:rsidP="00654D0E">
      <w:pPr>
        <w:pStyle w:val="NoSpacing"/>
        <w:spacing w:line="360" w:lineRule="auto"/>
        <w:rPr>
          <w:rFonts w:ascii="Palatino Linotype" w:hAnsi="Palatino Linotype"/>
        </w:rPr>
      </w:pPr>
    </w:p>
    <w:p w:rsidR="004A3ACE" w:rsidRDefault="007E00AF" w:rsidP="00654D0E">
      <w:pPr>
        <w:pStyle w:val="NoSpacing"/>
        <w:spacing w:line="360" w:lineRule="auto"/>
        <w:rPr>
          <w:rFonts w:ascii="Palatino Linotype" w:hAnsi="Palatino Linotype"/>
        </w:rPr>
      </w:pPr>
      <w:r>
        <w:rPr>
          <w:rFonts w:ascii="Palatino Linotype" w:hAnsi="Palatino Linotype"/>
        </w:rPr>
        <w:t xml:space="preserve">De eerste uitkomsten van de simulatie bleken te zijn zoals verwacht: de systemen waar private inleg -kapitaaldekking- </w:t>
      </w:r>
      <w:r w:rsidR="00C56845">
        <w:rPr>
          <w:rFonts w:ascii="Palatino Linotype" w:hAnsi="Palatino Linotype"/>
        </w:rPr>
        <w:t xml:space="preserve">een van de inlegpijlers vormde, bleken een hogere dekkingsgraad of een hogere einduitkering te hebben dan Frankrijk, waar enkel een pay-as-you-gosysteem bestaat, dat loopt via een staatsfonds. </w:t>
      </w:r>
      <w:r w:rsidR="00052D3B">
        <w:rPr>
          <w:rFonts w:ascii="Palatino Linotype" w:hAnsi="Palatino Linotype"/>
        </w:rPr>
        <w:t xml:space="preserve">Hoewel de dekkingsgraden iets hoger uitkwamen dan ze in werkelijkheid zijn (Nederland bijvoorbeeld ongeveer 0,2 punten te hoog), bleek het beeld dat de simulatie gaf representatief voor wat verwacht werd. In Chili bleek de uitkomst aan de hoge kant, maar dit komt natuurlijk ook door het feit dat in de simulatie niet van tussentijdse uitkeringen of onttrekkingen </w:t>
      </w:r>
      <w:r w:rsidR="00617CEA">
        <w:rPr>
          <w:rFonts w:ascii="Palatino Linotype" w:hAnsi="Palatino Linotype"/>
        </w:rPr>
        <w:t>aan het opgebouwd vermogen is uitgegaan. Hierdoor blijft de meetkundige reeks de jaarlijkse afdr</w:t>
      </w:r>
      <w:r w:rsidR="00B470F5">
        <w:rPr>
          <w:rFonts w:ascii="Palatino Linotype" w:hAnsi="Palatino Linotype"/>
        </w:rPr>
        <w:t>acht van tien procent van het bb</w:t>
      </w:r>
      <w:r w:rsidR="00617CEA">
        <w:rPr>
          <w:rFonts w:ascii="Palatino Linotype" w:hAnsi="Palatino Linotype"/>
        </w:rPr>
        <w:t>p per hoofd -gecorrigeerd- accumuleren, waardoor op vorengenoemd bedrag uitgekomen is.</w:t>
      </w:r>
      <w:r w:rsidR="00052D3B">
        <w:rPr>
          <w:rFonts w:ascii="Palatino Linotype" w:hAnsi="Palatino Linotype"/>
        </w:rPr>
        <w:t xml:space="preserve"> </w:t>
      </w:r>
    </w:p>
    <w:p w:rsidR="004A3ACE" w:rsidRDefault="004A3ACE" w:rsidP="00654D0E">
      <w:pPr>
        <w:pStyle w:val="NoSpacing"/>
        <w:spacing w:line="360" w:lineRule="auto"/>
        <w:rPr>
          <w:rFonts w:ascii="Palatino Linotype" w:hAnsi="Palatino Linotype"/>
        </w:rPr>
      </w:pPr>
    </w:p>
    <w:p w:rsidR="007E00AF" w:rsidRDefault="00AC6A93" w:rsidP="00654D0E">
      <w:pPr>
        <w:pStyle w:val="NoSpacing"/>
        <w:spacing w:line="360" w:lineRule="auto"/>
        <w:rPr>
          <w:rFonts w:ascii="Palatino Linotype" w:hAnsi="Palatino Linotype"/>
        </w:rPr>
      </w:pPr>
      <w:r>
        <w:rPr>
          <w:rFonts w:ascii="Palatino Linotype" w:hAnsi="Palatino Linotype"/>
        </w:rPr>
        <w:t>Hier kan dus wel geconcludeerd worden dat de ongevoeligheid voor de grootte van de afdragers- en ontvangerspoules (en de verhouding tussen die twee) vruchten</w:t>
      </w:r>
      <w:r w:rsidR="00D97F53">
        <w:rPr>
          <w:rFonts w:ascii="Palatino Linotype" w:hAnsi="Palatino Linotype"/>
        </w:rPr>
        <w:t xml:space="preserve"> afwerpt bij de einduitkeringen in de zin van hoogte en resistentie.</w:t>
      </w:r>
      <w:r w:rsidR="00ED67BF">
        <w:rPr>
          <w:rFonts w:ascii="Palatino Linotype" w:hAnsi="Palatino Linotype"/>
        </w:rPr>
        <w:t xml:space="preserve"> Verder is ook goed naar voren gekomen hoe de vrijwillige basis van pijler twee in de Verenigde Staten zijn uitdrukking vond in een lagere dekkingsgraad dan het -in nature- vergelijkbare systeem van Nederland</w:t>
      </w:r>
      <w:r w:rsidR="0010327A">
        <w:rPr>
          <w:rFonts w:ascii="Palatino Linotype" w:hAnsi="Palatino Linotype"/>
        </w:rPr>
        <w:t xml:space="preserve">. Een idee om het onderzoek nog waarheidsgetrouwer te maken zou hier zijn om </w:t>
      </w:r>
      <w:r w:rsidR="002C2DD7">
        <w:rPr>
          <w:rFonts w:ascii="Palatino Linotype" w:hAnsi="Palatino Linotype"/>
        </w:rPr>
        <w:t>tussentijdse uitkeringen mee te rekenen of de startleeftijd variabel te maken, om voor bijvoorbeeld mensen met een beropepsopleiding, die op hun zestiende of zeventiende al beginnen met pensioenopbouw, een nauwkeurigere einduitkomst te berekenen.</w:t>
      </w:r>
      <w:r w:rsidR="004F5491">
        <w:rPr>
          <w:rFonts w:ascii="Palatino Linotype" w:hAnsi="Palatino Linotype"/>
        </w:rPr>
        <w:t xml:space="preserve"> </w:t>
      </w:r>
    </w:p>
    <w:p w:rsidR="007E00AF" w:rsidRDefault="007E00AF" w:rsidP="00654D0E">
      <w:pPr>
        <w:pStyle w:val="NoSpacing"/>
        <w:spacing w:line="360" w:lineRule="auto"/>
        <w:rPr>
          <w:rFonts w:ascii="Palatino Linotype" w:hAnsi="Palatino Linotype"/>
        </w:rPr>
      </w:pPr>
    </w:p>
    <w:p w:rsidR="008874DE" w:rsidRDefault="004F5491" w:rsidP="00654D0E">
      <w:pPr>
        <w:pStyle w:val="NoSpacing"/>
        <w:spacing w:line="360" w:lineRule="auto"/>
        <w:rPr>
          <w:rFonts w:ascii="Palatino Linotype" w:hAnsi="Palatino Linotype"/>
        </w:rPr>
      </w:pPr>
      <w:r>
        <w:rPr>
          <w:rFonts w:ascii="Palatino Linotype" w:hAnsi="Palatino Linotype"/>
        </w:rPr>
        <w:t>Ten tweede</w:t>
      </w:r>
      <w:r w:rsidR="00665B6C">
        <w:rPr>
          <w:rFonts w:ascii="Palatino Linotype" w:hAnsi="Palatino Linotype"/>
        </w:rPr>
        <w:t xml:space="preserve"> is</w:t>
      </w:r>
      <w:r w:rsidR="00177E48">
        <w:rPr>
          <w:rFonts w:ascii="Palatino Linotype" w:hAnsi="Palatino Linotype"/>
        </w:rPr>
        <w:t xml:space="preserve"> gebleken dat </w:t>
      </w:r>
      <w:r w:rsidR="00355BA3">
        <w:rPr>
          <w:rFonts w:ascii="Palatino Linotype" w:hAnsi="Palatino Linotype"/>
        </w:rPr>
        <w:t xml:space="preserve">de verhoging van de pensioenleeftijd met vijf jaren tot het zeventigste levensjaar </w:t>
      </w:r>
      <w:r w:rsidR="00DC17F9">
        <w:rPr>
          <w:rFonts w:ascii="Palatino Linotype" w:hAnsi="Palatino Linotype"/>
        </w:rPr>
        <w:t>voor beide systemen zeer positieve ontwikkelingen weergeeft: bij Frankrijk is de dekkingsgraad tot boven de kritieke grens van 1 geklommen, waardoor in principe aan alle contante verplichtingen voldaan zou kunnen worden.</w:t>
      </w:r>
      <w:r w:rsidR="001D5888">
        <w:rPr>
          <w:rFonts w:ascii="Palatino Linotype" w:hAnsi="Palatino Linotype"/>
        </w:rPr>
        <w:t xml:space="preserve"> Geconcludeerd kan dus worden dat dit het meest effectieve middel is om het pensioengat te dekken.</w:t>
      </w:r>
      <w:r>
        <w:rPr>
          <w:rFonts w:ascii="Palatino Linotype" w:hAnsi="Palatino Linotype"/>
        </w:rPr>
        <w:t xml:space="preserve"> Wel zijn b</w:t>
      </w:r>
      <w:r w:rsidR="00EA46F8">
        <w:rPr>
          <w:rFonts w:ascii="Palatino Linotype" w:hAnsi="Palatino Linotype"/>
        </w:rPr>
        <w:t xml:space="preserve">ij Nederland, de Verenigde Staten en Chili de uitkomsten erg hoog. Dit zijn de landen waar een kapitaaldekkingsfactor is meegerekend in de berekeningen, en waarschijnlijk is daardoor </w:t>
      </w:r>
      <w:r w:rsidR="00141380">
        <w:rPr>
          <w:rFonts w:ascii="Palatino Linotype" w:hAnsi="Palatino Linotype"/>
        </w:rPr>
        <w:t>aan de inkomstenzijde een ietwat scheef beeld ontstaan doordat ook de inleg van de tweede pijler -en in Chili de gehele inleg- niet tussentijds aangepast is in deze simulatie.</w:t>
      </w:r>
      <w:r>
        <w:rPr>
          <w:rFonts w:ascii="Palatino Linotype" w:hAnsi="Palatino Linotype"/>
        </w:rPr>
        <w:t xml:space="preserve"> In Chili is de uitkomst echter dermate hoog dat kennelijk die extra vijf jaar erg zwaar gewogen hebben in het model. Een aanpassing hier zou noodzakelijk zijn, aangezien een pensioenuit</w:t>
      </w:r>
      <w:r w:rsidR="00B470F5">
        <w:rPr>
          <w:rFonts w:ascii="Palatino Linotype" w:hAnsi="Palatino Linotype"/>
        </w:rPr>
        <w:t>kering van ruim twee keer het bb</w:t>
      </w:r>
      <w:r>
        <w:rPr>
          <w:rFonts w:ascii="Palatino Linotype" w:hAnsi="Palatino Linotype"/>
        </w:rPr>
        <w:t>p per hoofd veel te hoog is, zeker gezien de andere gegevens uit de data -zowel van Chili als van de andere landen- waar deze uitkeringen relatief veel lager liggen (zie bijlage).</w:t>
      </w:r>
      <w:r w:rsidR="008874DE">
        <w:rPr>
          <w:rFonts w:ascii="Palatino Linotype" w:hAnsi="Palatino Linotype"/>
        </w:rPr>
        <w:t xml:space="preserve"> </w:t>
      </w:r>
    </w:p>
    <w:p w:rsidR="008874DE" w:rsidRDefault="008874DE" w:rsidP="00654D0E">
      <w:pPr>
        <w:pStyle w:val="NoSpacing"/>
        <w:spacing w:line="360" w:lineRule="auto"/>
        <w:rPr>
          <w:rFonts w:ascii="Palatino Linotype" w:hAnsi="Palatino Linotype"/>
        </w:rPr>
      </w:pPr>
    </w:p>
    <w:p w:rsidR="001D5888" w:rsidRDefault="008874DE" w:rsidP="00654D0E">
      <w:pPr>
        <w:pStyle w:val="NoSpacing"/>
        <w:spacing w:line="360" w:lineRule="auto"/>
        <w:rPr>
          <w:rFonts w:ascii="Palatino Linotype" w:hAnsi="Palatino Linotype"/>
        </w:rPr>
      </w:pPr>
      <w:r>
        <w:rPr>
          <w:rFonts w:ascii="Palatino Linotype" w:hAnsi="Palatino Linotype"/>
        </w:rPr>
        <w:t>Ook is hier opvallend dat de Amerikaanse dekkingsgraad die van Nederland overstijgt, al is het met maar één procentpunt. Waar er bij de uitgangssituatie nog tien procentpunt tussen de landen zat, is dat hier erg ingekrompen. Dit komt waarschijnlijk doordat de tweede pijler in de Verenigde Staten een hoger afdrachtpercentage heeft, wat meer momentum krijgt naarmate de opbouwperiode langer duurt, net als dat rendementsschokken aan het eind van een periode -door hun momentum- meer schade aanrichten dan aan het begin van de periode.</w:t>
      </w:r>
      <w:r w:rsidR="005F4A1E">
        <w:rPr>
          <w:rFonts w:ascii="Palatino Linotype" w:hAnsi="Palatino Linotype"/>
        </w:rPr>
        <w:t xml:space="preserve"> Wel kan hier weer gezien worden dat de systemen met kapitaaldekking beduidend beter presteren dan het Franse.</w:t>
      </w:r>
    </w:p>
    <w:p w:rsidR="004F5491" w:rsidRDefault="004F5491" w:rsidP="00654D0E">
      <w:pPr>
        <w:pStyle w:val="NoSpacing"/>
        <w:spacing w:line="360" w:lineRule="auto"/>
        <w:rPr>
          <w:rFonts w:ascii="Palatino Linotype" w:hAnsi="Palatino Linotype"/>
        </w:rPr>
      </w:pPr>
    </w:p>
    <w:p w:rsidR="004F5491" w:rsidRDefault="005F4A1E" w:rsidP="00654D0E">
      <w:pPr>
        <w:pStyle w:val="NoSpacing"/>
        <w:spacing w:line="360" w:lineRule="auto"/>
        <w:rPr>
          <w:rFonts w:ascii="Palatino Linotype" w:hAnsi="Palatino Linotype"/>
        </w:rPr>
      </w:pPr>
      <w:r>
        <w:rPr>
          <w:rFonts w:ascii="Palatino Linotype" w:hAnsi="Palatino Linotype"/>
        </w:rPr>
        <w:t xml:space="preserve">Als echter de </w:t>
      </w:r>
      <w:r>
        <w:rPr>
          <w:rFonts w:ascii="Palatino Linotype" w:hAnsi="Palatino Linotype"/>
          <w:i/>
        </w:rPr>
        <w:t>n</w:t>
      </w:r>
      <w:r>
        <w:rPr>
          <w:rFonts w:ascii="Palatino Linotype" w:hAnsi="Palatino Linotype"/>
        </w:rPr>
        <w:t>/</w:t>
      </w:r>
      <w:r>
        <w:rPr>
          <w:rFonts w:ascii="Palatino Linotype" w:hAnsi="Palatino Linotype"/>
          <w:i/>
        </w:rPr>
        <w:t>m</w:t>
      </w:r>
      <w:r>
        <w:rPr>
          <w:rFonts w:ascii="Palatino Linotype" w:hAnsi="Palatino Linotype"/>
        </w:rPr>
        <w:t>-ratio met tien procent aan beide zijden in tegenovergestelde richting wordt aangepast, blijkt ook weer dat Fran</w:t>
      </w:r>
      <w:r w:rsidR="00994B0E">
        <w:rPr>
          <w:rFonts w:ascii="Palatino Linotype" w:hAnsi="Palatino Linotype"/>
        </w:rPr>
        <w:t xml:space="preserve">krijk verder achter blijft bij </w:t>
      </w:r>
      <w:r>
        <w:rPr>
          <w:rFonts w:ascii="Palatino Linotype" w:hAnsi="Palatino Linotype"/>
        </w:rPr>
        <w:t xml:space="preserve">de andere landen. In Chili speelt zoals eerder uitgelegd deze verhouding geen rol en hier is dan ook geen conclusie te trekken over of en hoe dit demografische effect een uitwerking zou hebben op de pensioenbetalingen. </w:t>
      </w:r>
      <w:r w:rsidR="00A7746D">
        <w:rPr>
          <w:rFonts w:ascii="Palatino Linotype" w:hAnsi="Palatino Linotype"/>
        </w:rPr>
        <w:t xml:space="preserve">In de Verenigde Staten wordt de toestand echter wel kritiek, in Nederland blijft deze gezond. </w:t>
      </w:r>
      <w:r w:rsidR="0018355F">
        <w:rPr>
          <w:rFonts w:ascii="Palatino Linotype" w:hAnsi="Palatino Linotype"/>
        </w:rPr>
        <w:t>In een volgende studie zou men wellicht aan kunnen tonen wat het gevolg op het totale Chileense systeem is indien alle verschillende private fondsen te kampen krijgen met een sterke terugloop aan deelnemers -die bijvoorbeeld uit risico-perspectief of angst voor rendementsschommelingen in beleggingen hun geld liever volledig zelf beheren en het opsparen.</w:t>
      </w:r>
      <w:r w:rsidR="00EE79A7">
        <w:rPr>
          <w:rFonts w:ascii="Palatino Linotype" w:hAnsi="Palatino Linotype"/>
        </w:rPr>
        <w:t xml:space="preserve"> Dit scenario heeft dus wel het duidelijkst weergegeven wat er gebeurt als het vergrijzingsprobleem zoals dat in de media uiteen wordt gezet, zich in een extreme vorm aandoet.</w:t>
      </w:r>
    </w:p>
    <w:p w:rsidR="00774A6B" w:rsidRDefault="00774A6B" w:rsidP="00654D0E">
      <w:pPr>
        <w:pStyle w:val="NoSpacing"/>
        <w:spacing w:line="360" w:lineRule="auto"/>
        <w:rPr>
          <w:rFonts w:ascii="Palatino Linotype" w:hAnsi="Palatino Linotype"/>
        </w:rPr>
      </w:pPr>
    </w:p>
    <w:p w:rsidR="00774A6B" w:rsidRDefault="00416033" w:rsidP="00654D0E">
      <w:pPr>
        <w:pStyle w:val="NoSpacing"/>
        <w:spacing w:line="360" w:lineRule="auto"/>
        <w:rPr>
          <w:rFonts w:ascii="Palatino Linotype" w:hAnsi="Palatino Linotype"/>
        </w:rPr>
      </w:pPr>
      <w:r>
        <w:rPr>
          <w:rFonts w:ascii="Palatino Linotype" w:hAnsi="Palatino Linotype"/>
        </w:rPr>
        <w:t xml:space="preserve">Bij de rendementsschommelingen ten slotte zijn zowel meetkundig als economisch interessante zaken naar voren gekomen: hier kan geconcludeerd worden dat hoewel een systeem in de basis (uitgangssituatie) heel sterk is, een flinke dip in de economie diepe sporen kan nalaten, ook al is extra deelname in een tweede fonds verplicht. </w:t>
      </w:r>
      <w:r w:rsidR="001625FA">
        <w:rPr>
          <w:rFonts w:ascii="Palatino Linotype" w:hAnsi="Palatino Linotype"/>
        </w:rPr>
        <w:t>Te zien is namelijk dat</w:t>
      </w:r>
      <w:r w:rsidR="00C3681A">
        <w:rPr>
          <w:rFonts w:ascii="Palatino Linotype" w:hAnsi="Palatino Linotype"/>
        </w:rPr>
        <w:t xml:space="preserve"> bij</w:t>
      </w:r>
      <w:r w:rsidR="001625FA">
        <w:rPr>
          <w:rFonts w:ascii="Palatino Linotype" w:hAnsi="Palatino Linotype"/>
        </w:rPr>
        <w:t xml:space="preserve"> </w:t>
      </w:r>
      <w:r w:rsidR="00C3681A">
        <w:rPr>
          <w:rFonts w:ascii="Palatino Linotype" w:hAnsi="Palatino Linotype"/>
        </w:rPr>
        <w:t xml:space="preserve">de drie niet-volledig geprivatiseerde systemen een daling van 41% in dekkingsgraad optreedt. Bij Chili is het wel opmerkelijk dat de daling slechts 29% betreft, dit kan komen </w:t>
      </w:r>
      <w:r w:rsidR="006C765B">
        <w:rPr>
          <w:rFonts w:ascii="Palatino Linotype" w:hAnsi="Palatino Linotype"/>
        </w:rPr>
        <w:t xml:space="preserve">doordat er hier </w:t>
      </w:r>
      <w:r w:rsidR="00BC1E0D">
        <w:rPr>
          <w:rFonts w:ascii="Palatino Linotype" w:hAnsi="Palatino Linotype"/>
        </w:rPr>
        <w:t>geen ‘dubbeltelling’ van de beleggingen plaatsvindt: hier bestaat de opbouw slechts uit één deel, waarbij alleen de inlegger zelf wordt betrokken en niet de gehele beroeps- en pensioenpopulatie.</w:t>
      </w:r>
    </w:p>
    <w:p w:rsidR="004B12D3" w:rsidRDefault="004B12D3" w:rsidP="00654D0E">
      <w:pPr>
        <w:pStyle w:val="NoSpacing"/>
        <w:spacing w:line="360" w:lineRule="auto"/>
        <w:rPr>
          <w:rFonts w:ascii="Palatino Linotype" w:hAnsi="Palatino Linotype"/>
        </w:rPr>
      </w:pPr>
    </w:p>
    <w:p w:rsidR="004B12D3" w:rsidRDefault="004B12D3" w:rsidP="00654D0E">
      <w:pPr>
        <w:pStyle w:val="NoSpacing"/>
        <w:spacing w:line="360" w:lineRule="auto"/>
        <w:rPr>
          <w:rFonts w:ascii="Palatino Linotype" w:hAnsi="Palatino Linotype"/>
        </w:rPr>
      </w:pPr>
      <w:r>
        <w:rPr>
          <w:rFonts w:ascii="Palatino Linotype" w:hAnsi="Palatino Linotype"/>
        </w:rPr>
        <w:t>Verder blijkt hier dat bij de rendementsdaling aan het begin van de periode er wel onderlinge verschillen zijn in hoogte van daling. Zo daalt Nederland het har</w:t>
      </w:r>
      <w:r w:rsidR="00F70697">
        <w:rPr>
          <w:rFonts w:ascii="Palatino Linotype" w:hAnsi="Palatino Linotype"/>
        </w:rPr>
        <w:t xml:space="preserve">dst en Frankrijk het langzaamst, </w:t>
      </w:r>
      <w:r>
        <w:rPr>
          <w:rFonts w:ascii="Palatino Linotype" w:hAnsi="Palatino Linotype"/>
        </w:rPr>
        <w:t xml:space="preserve"> waarschijnlijk is ook dit een </w:t>
      </w:r>
      <w:r w:rsidR="00F70697">
        <w:rPr>
          <w:rFonts w:ascii="Palatino Linotype" w:hAnsi="Palatino Linotype"/>
        </w:rPr>
        <w:t>teken</w:t>
      </w:r>
      <w:r>
        <w:rPr>
          <w:rFonts w:ascii="Palatino Linotype" w:hAnsi="Palatino Linotype"/>
        </w:rPr>
        <w:t xml:space="preserve"> van het enkele pijlersysteem dat in beginsel sterker bestand is tegen dit soort effecten. </w:t>
      </w:r>
      <w:r w:rsidR="00D772A9">
        <w:rPr>
          <w:rFonts w:ascii="Palatino Linotype" w:hAnsi="Palatino Linotype"/>
        </w:rPr>
        <w:t xml:space="preserve">Ook daalt zowel Nederland als de Verenigde Staten onder de kritieke grens door en nadert die in Frankrijk zelfs bijna de helft daarvan, indien gekeken wordt naar de eindschok. </w:t>
      </w:r>
      <w:r w:rsidR="00B72FBD">
        <w:rPr>
          <w:rFonts w:ascii="Palatino Linotype" w:hAnsi="Palatino Linotype"/>
        </w:rPr>
        <w:t xml:space="preserve">Hieruit kan opgemaakt worden dat pensioenfondsen wellicht bij portefeuilles die hun eindpunt naderen (portefeuilles die bijvoorbeeld al 40 opbouwjaren hebben) minder risico’s moeten nemen door bijvoorbeeld in andere producten te beleggen. </w:t>
      </w:r>
      <w:r w:rsidR="00B630FD">
        <w:rPr>
          <w:rFonts w:ascii="Palatino Linotype" w:hAnsi="Palatino Linotype"/>
        </w:rPr>
        <w:t xml:space="preserve">In dit geval zou een vervolgstudie een crisis nauwkeuriger kunnen simuleren door de inflatiepercentages te veranderen, of bijvoorbeeld </w:t>
      </w:r>
      <w:r w:rsidR="0094248A">
        <w:rPr>
          <w:rFonts w:ascii="Palatino Linotype" w:hAnsi="Palatino Linotype"/>
        </w:rPr>
        <w:t>variabele rendementen gedurende de hele opbouwperiode te modelleren, zodat ook perioden van hoogcunjunctuur meegenomen kunnen worden.</w:t>
      </w:r>
    </w:p>
    <w:p w:rsidR="0094248A" w:rsidRDefault="0094248A" w:rsidP="00654D0E">
      <w:pPr>
        <w:pStyle w:val="NoSpacing"/>
        <w:spacing w:line="360" w:lineRule="auto"/>
        <w:rPr>
          <w:rFonts w:ascii="Palatino Linotype" w:hAnsi="Palatino Linotype"/>
        </w:rPr>
      </w:pPr>
    </w:p>
    <w:p w:rsidR="00A7746D" w:rsidRDefault="00EE6149" w:rsidP="00654D0E">
      <w:pPr>
        <w:pStyle w:val="NoSpacing"/>
        <w:spacing w:line="360" w:lineRule="auto"/>
        <w:rPr>
          <w:rFonts w:ascii="Palatino Linotype" w:hAnsi="Palatino Linotype"/>
        </w:rPr>
      </w:pPr>
      <w:r>
        <w:rPr>
          <w:rFonts w:ascii="Palatino Linotype" w:hAnsi="Palatino Linotype"/>
        </w:rPr>
        <w:t>Nu de deelvragen afzonderlijk zijn behandeld kan ook een eindantwoord gegeven worden op de onderzoeksvraag, namelijk welk systeem nu beter bestand is tegen demografische en economische omstandigheden zoals gemodelleerd in de simulatie.</w:t>
      </w:r>
      <w:r w:rsidR="00CC4C8E">
        <w:rPr>
          <w:rFonts w:ascii="Palatino Linotype" w:hAnsi="Palatino Linotype"/>
        </w:rPr>
        <w:t xml:space="preserve"> Het is gebleken dat het Chileense systeem zowel in termen van rendementsschokken als in termen van de verschuivende bevolkingssamenstelling minder, en in het laatste geval zelfs niet, gevoelig is. </w:t>
      </w:r>
      <w:r w:rsidR="00962DEF">
        <w:rPr>
          <w:rFonts w:ascii="Palatino Linotype" w:hAnsi="Palatino Linotype"/>
        </w:rPr>
        <w:t xml:space="preserve">Daarbij komt dat het Nederlandse en Amerikaanse systeem ook hogere dekkingsgraden hebben dan het Franse, in allevier de scenario’s. Ook is het zo dat de Amerikaanse dekkingsgraden lager zijn dan de Nederlandse door de niet-verplichte deelname in pijler 2. Daar tegenover staat een hoger afdrachtpercentage in de Amerikaanse tweede pijler, wat de opbouw een zwaarder gewicht geeft </w:t>
      </w:r>
      <w:r w:rsidR="00B16FCF">
        <w:rPr>
          <w:rFonts w:ascii="Palatino Linotype" w:hAnsi="Palatino Linotype"/>
        </w:rPr>
        <w:t xml:space="preserve">en dus zorgt voor een iets hoger rendement in het geval van een verlenging van vijf jaar van de opbouwperiode. Dit momentum werkt dan weer wel in het nadeel bij rendementsschommelingen en daardoor blijft het Nederlandse systeem toch het meest stabiel in de verschillende scenario’s. </w:t>
      </w:r>
    </w:p>
    <w:p w:rsidR="00875347" w:rsidRDefault="00875347" w:rsidP="00654D0E">
      <w:pPr>
        <w:pStyle w:val="NoSpacing"/>
        <w:spacing w:line="360" w:lineRule="auto"/>
        <w:rPr>
          <w:rFonts w:ascii="Palatino Linotype" w:hAnsi="Palatino Linotype"/>
        </w:rPr>
      </w:pPr>
    </w:p>
    <w:p w:rsidR="00875347" w:rsidRDefault="0011472D" w:rsidP="00654D0E">
      <w:pPr>
        <w:pStyle w:val="NoSpacing"/>
        <w:spacing w:line="360" w:lineRule="auto"/>
        <w:rPr>
          <w:rFonts w:ascii="Palatino Linotype" w:hAnsi="Palatino Linotype"/>
        </w:rPr>
      </w:pPr>
      <w:r>
        <w:rPr>
          <w:rFonts w:ascii="Palatino Linotype" w:hAnsi="Palatino Linotype"/>
        </w:rPr>
        <w:t xml:space="preserve">Zoals te zien is </w:t>
      </w:r>
      <w:r w:rsidR="004464C4">
        <w:rPr>
          <w:rFonts w:ascii="Palatino Linotype" w:hAnsi="Palatino Linotype"/>
        </w:rPr>
        <w:t>zijn</w:t>
      </w:r>
      <w:r>
        <w:rPr>
          <w:rFonts w:ascii="Palatino Linotype" w:hAnsi="Palatino Linotype"/>
        </w:rPr>
        <w:t xml:space="preserve"> de grootste bepe</w:t>
      </w:r>
      <w:r w:rsidR="0015510E">
        <w:rPr>
          <w:rFonts w:ascii="Palatino Linotype" w:hAnsi="Palatino Linotype"/>
        </w:rPr>
        <w:t xml:space="preserve">rkingen van deze scriptie dus </w:t>
      </w:r>
      <w:r w:rsidR="004464C4">
        <w:rPr>
          <w:rFonts w:ascii="Palatino Linotype" w:hAnsi="Palatino Linotype"/>
        </w:rPr>
        <w:t>van</w:t>
      </w:r>
      <w:r w:rsidR="0015510E">
        <w:rPr>
          <w:rFonts w:ascii="Palatino Linotype" w:hAnsi="Palatino Linotype"/>
        </w:rPr>
        <w:t xml:space="preserve"> wiskundige </w:t>
      </w:r>
      <w:r w:rsidR="004464C4">
        <w:rPr>
          <w:rFonts w:ascii="Palatino Linotype" w:hAnsi="Palatino Linotype"/>
        </w:rPr>
        <w:t xml:space="preserve">aard, met name de opbouw van de pensioeninleggen over de afdrachtperiode. </w:t>
      </w:r>
      <w:r w:rsidR="00460111">
        <w:rPr>
          <w:rFonts w:ascii="Palatino Linotype" w:hAnsi="Palatino Linotype"/>
        </w:rPr>
        <w:t>Het nauwkeurig bepalen van de hoogte van de jaarlijkse afdrachten blijft immers een lastig karwei</w:t>
      </w:r>
      <w:r w:rsidR="00D43A9E">
        <w:rPr>
          <w:rFonts w:ascii="Palatino Linotype" w:hAnsi="Palatino Linotype"/>
        </w:rPr>
        <w:t xml:space="preserve">, ook doordat in een reëele situatie de pensioenafdracht voor bijna iedere premieplichtige anders is, naargelang zijn inkomen en spaarplannen. </w:t>
      </w:r>
      <w:r w:rsidR="0045057B">
        <w:rPr>
          <w:rFonts w:ascii="Palatino Linotype" w:hAnsi="Palatino Linotype"/>
        </w:rPr>
        <w:t xml:space="preserve">Om dit te simuleren zou, bijvoorbeeld voor Nederland, gedifferentieerd kunnen worden naar belastingschijf. In Nederland is het immers zo dat alleen de eerste twee schijven afdragen aan de eerste pijler. </w:t>
      </w:r>
      <w:r w:rsidR="009A1841">
        <w:rPr>
          <w:rFonts w:ascii="Palatino Linotype" w:hAnsi="Palatino Linotype"/>
        </w:rPr>
        <w:t>In deze scriptie is ruwweg</w:t>
      </w:r>
      <w:r w:rsidR="00B06E9D">
        <w:rPr>
          <w:rFonts w:ascii="Palatino Linotype" w:hAnsi="Palatino Linotype"/>
        </w:rPr>
        <w:t xml:space="preserve"> de totale pensioeninlegpot verdeeld over het aantal afdragende inwoners. Voor de uitkomst van </w:t>
      </w:r>
      <w:r w:rsidR="00FB3935">
        <w:rPr>
          <w:rFonts w:ascii="Palatino Linotype" w:hAnsi="Palatino Linotype"/>
        </w:rPr>
        <w:t>de simulatie was deze benadering nauwkeurig genoeg, dus een geavanceerdere studie zou dit bijvoorbeeld wel kunnen doen.</w:t>
      </w:r>
    </w:p>
    <w:p w:rsidR="00FB3935" w:rsidRDefault="00FB3935" w:rsidP="00654D0E">
      <w:pPr>
        <w:pStyle w:val="NoSpacing"/>
        <w:spacing w:line="360" w:lineRule="auto"/>
        <w:rPr>
          <w:rFonts w:ascii="Palatino Linotype" w:hAnsi="Palatino Linotype"/>
        </w:rPr>
      </w:pPr>
    </w:p>
    <w:p w:rsidR="00FB3935" w:rsidRDefault="009A1841" w:rsidP="00654D0E">
      <w:pPr>
        <w:pStyle w:val="NoSpacing"/>
        <w:spacing w:line="360" w:lineRule="auto"/>
        <w:rPr>
          <w:rFonts w:ascii="Palatino Linotype" w:hAnsi="Palatino Linotype"/>
        </w:rPr>
      </w:pPr>
      <w:r>
        <w:rPr>
          <w:rFonts w:ascii="Palatino Linotype" w:hAnsi="Palatino Linotype"/>
        </w:rPr>
        <w:t>Daarbij komt de tussentijdse aanpassing van deze inleggen, aangezien die natuurlijk niet voor ieder jaar exact hetzelfde kan zijn zoals in deze scriptie is aangenomen. Mensen maken promotie, demotie, raken hun baan kwijt of winnen de loterij: allemaal factoren die de hoogte van de pens</w:t>
      </w:r>
      <w:r w:rsidR="00693C59">
        <w:rPr>
          <w:rFonts w:ascii="Palatino Linotype" w:hAnsi="Palatino Linotype"/>
        </w:rPr>
        <w:t>ioenafdracht kunnen (en doen) veranderen.</w:t>
      </w:r>
      <w:r w:rsidR="00613D67">
        <w:rPr>
          <w:rFonts w:ascii="Palatino Linotype" w:hAnsi="Palatino Linotype"/>
        </w:rPr>
        <w:t xml:space="preserve"> Verder is bij deze opbouwperiodes, afgezien van de aparte simulatie van </w:t>
      </w:r>
      <w:r w:rsidR="00476768">
        <w:rPr>
          <w:rFonts w:ascii="Palatino Linotype" w:hAnsi="Palatino Linotype"/>
        </w:rPr>
        <w:t>de lagere rendementen een rendements- of inflatieschommeling niet gemodelleerd. Idealiter zouden al deze factoren gelijktijdig veranderd moeten worden, elk jaar, zo niet elke dag</w:t>
      </w:r>
      <w:r w:rsidR="0077149F">
        <w:rPr>
          <w:rFonts w:ascii="Palatino Linotype" w:hAnsi="Palatino Linotype"/>
        </w:rPr>
        <w:t>,</w:t>
      </w:r>
      <w:r w:rsidR="00476768">
        <w:rPr>
          <w:rFonts w:ascii="Palatino Linotype" w:hAnsi="Palatino Linotype"/>
        </w:rPr>
        <w:t xml:space="preserve"> om een nog nauwkeurigere benadering te verkrijgen.</w:t>
      </w:r>
    </w:p>
    <w:p w:rsidR="0080494F" w:rsidRDefault="0080494F" w:rsidP="00654D0E">
      <w:pPr>
        <w:pStyle w:val="NoSpacing"/>
        <w:spacing w:line="360" w:lineRule="auto"/>
        <w:rPr>
          <w:rFonts w:ascii="Palatino Linotype" w:hAnsi="Palatino Linotype"/>
        </w:rPr>
      </w:pPr>
    </w:p>
    <w:p w:rsidR="0080494F" w:rsidRDefault="0080494F" w:rsidP="00654D0E">
      <w:pPr>
        <w:pStyle w:val="NoSpacing"/>
        <w:spacing w:line="360" w:lineRule="auto"/>
        <w:rPr>
          <w:rFonts w:ascii="Palatino Linotype" w:hAnsi="Palatino Linotype"/>
        </w:rPr>
      </w:pPr>
      <w:r>
        <w:rPr>
          <w:rFonts w:ascii="Palatino Linotype" w:hAnsi="Palatino Linotype"/>
        </w:rPr>
        <w:t xml:space="preserve">Daarnaast zou het natuurlijk ook handiger zijn om een programma te gebruiken dat in één keer een meetkundige reeks kan doortrekken (zoals de ‘boom’ waarmee de ingelegde bedragen en de tussentijdse hoogte van de totale pensioenpot mee worden weergegeven). Dit zou een hoop tijd besparen en het risico op </w:t>
      </w:r>
      <w:r w:rsidR="004157B5">
        <w:rPr>
          <w:rFonts w:ascii="Palatino Linotype" w:hAnsi="Palatino Linotype"/>
        </w:rPr>
        <w:t>(</w:t>
      </w:r>
      <w:r>
        <w:rPr>
          <w:rFonts w:ascii="Palatino Linotype" w:hAnsi="Palatino Linotype"/>
        </w:rPr>
        <w:t>type</w:t>
      </w:r>
      <w:r w:rsidR="004157B5">
        <w:rPr>
          <w:rFonts w:ascii="Palatino Linotype" w:hAnsi="Palatino Linotype"/>
        </w:rPr>
        <w:t>)</w:t>
      </w:r>
      <w:r>
        <w:rPr>
          <w:rFonts w:ascii="Palatino Linotype" w:hAnsi="Palatino Linotype"/>
        </w:rPr>
        <w:t xml:space="preserve">fouten sterk inperken. </w:t>
      </w:r>
    </w:p>
    <w:p w:rsidR="00033DE3" w:rsidRDefault="00033DE3" w:rsidP="00654D0E">
      <w:pPr>
        <w:pStyle w:val="NoSpacing"/>
        <w:spacing w:line="360" w:lineRule="auto"/>
        <w:rPr>
          <w:rFonts w:ascii="Palatino Linotype" w:hAnsi="Palatino Linotype"/>
        </w:rPr>
      </w:pPr>
    </w:p>
    <w:p w:rsidR="00B33BCA" w:rsidRDefault="00B33BCA" w:rsidP="00654D0E">
      <w:pPr>
        <w:pStyle w:val="NoSpacing"/>
        <w:spacing w:line="360" w:lineRule="auto"/>
        <w:rPr>
          <w:rFonts w:ascii="Palatino Linotype" w:hAnsi="Palatino Linotype"/>
        </w:rPr>
      </w:pPr>
      <w:r>
        <w:rPr>
          <w:rFonts w:ascii="Palatino Linotype" w:hAnsi="Palatino Linotype"/>
        </w:rPr>
        <w:t xml:space="preserve">Voor wat betreft de uitkeringen is het ook zo dat in deze studie geen onderscheid is gemaakt tussen de verschillende soorten uitkeringsgerechtigden, zoals vergroegde uittreders -die een afkoopsom betalen om hun pensioen eerder te kunnen genieten-, reguliere uittreders en latere uittreders die bijvoorbeeld door willen sparen voor studie van (klein)kinderen of iets dergelijks. </w:t>
      </w:r>
    </w:p>
    <w:p w:rsidR="00B33BCA" w:rsidRDefault="00B33BCA" w:rsidP="00654D0E">
      <w:pPr>
        <w:pStyle w:val="NoSpacing"/>
        <w:spacing w:line="360" w:lineRule="auto"/>
        <w:rPr>
          <w:rFonts w:ascii="Palatino Linotype" w:hAnsi="Palatino Linotype"/>
        </w:rPr>
      </w:pPr>
    </w:p>
    <w:p w:rsidR="00033DE3" w:rsidRDefault="00033DE3" w:rsidP="00654D0E">
      <w:pPr>
        <w:pStyle w:val="NoSpacing"/>
        <w:spacing w:line="360" w:lineRule="auto"/>
        <w:rPr>
          <w:rFonts w:ascii="Palatino Linotype" w:hAnsi="Palatino Linotype"/>
        </w:rPr>
      </w:pPr>
      <w:r>
        <w:rPr>
          <w:rFonts w:ascii="Palatino Linotype" w:hAnsi="Palatino Linotype"/>
        </w:rPr>
        <w:t xml:space="preserve">Verder onderzoek zou </w:t>
      </w:r>
      <w:r w:rsidR="00B33BCA">
        <w:rPr>
          <w:rFonts w:ascii="Palatino Linotype" w:hAnsi="Palatino Linotype"/>
        </w:rPr>
        <w:t>dus vooral op wiskundig gebied mogelijkheden hebben om voort te borduren op deze studie.</w:t>
      </w:r>
      <w:r w:rsidR="004157B5">
        <w:rPr>
          <w:rFonts w:ascii="Palatino Linotype" w:hAnsi="Palatino Linotype"/>
        </w:rPr>
        <w:t xml:space="preserve"> </w:t>
      </w:r>
      <w:r w:rsidR="0087303F">
        <w:rPr>
          <w:rFonts w:ascii="Palatino Linotype" w:hAnsi="Palatino Linotype"/>
        </w:rPr>
        <w:t>Voor wat betreft de vereenvoudiging -het constant veronderstellen- van veel data zou gebruik gemaakt kunnen worden van real time data uit bijvoorbeeld een Bloom</w:t>
      </w:r>
      <w:r w:rsidR="00265B9F">
        <w:rPr>
          <w:rFonts w:ascii="Palatino Linotype" w:hAnsi="Palatino Linotype"/>
        </w:rPr>
        <w:t>berg of Thompson Reuters datastream</w:t>
      </w:r>
      <w:r w:rsidR="0087303F">
        <w:rPr>
          <w:rFonts w:ascii="Palatino Linotype" w:hAnsi="Palatino Linotype"/>
        </w:rPr>
        <w:t xml:space="preserve">, voor bijvoorbeeld real time inflatiepercentages of hoogte van </w:t>
      </w:r>
      <w:r w:rsidR="00B470F5">
        <w:rPr>
          <w:rFonts w:ascii="Palatino Linotype" w:hAnsi="Palatino Linotype"/>
        </w:rPr>
        <w:t>het bb</w:t>
      </w:r>
      <w:r w:rsidR="0087303F">
        <w:rPr>
          <w:rFonts w:ascii="Palatino Linotype" w:hAnsi="Palatino Linotype"/>
        </w:rPr>
        <w:t>p.</w:t>
      </w:r>
      <w:r w:rsidR="00B666F4">
        <w:rPr>
          <w:rFonts w:ascii="Palatino Linotype" w:hAnsi="Palatino Linotype"/>
        </w:rPr>
        <w:t xml:space="preserve"> </w:t>
      </w:r>
    </w:p>
    <w:p w:rsidR="000B4AD6" w:rsidRDefault="000B4AD6" w:rsidP="00654D0E">
      <w:pPr>
        <w:pStyle w:val="NoSpacing"/>
        <w:spacing w:line="360" w:lineRule="auto"/>
        <w:rPr>
          <w:rFonts w:ascii="Palatino Linotype" w:hAnsi="Palatino Linotype"/>
        </w:rPr>
      </w:pPr>
    </w:p>
    <w:p w:rsidR="00654D0E" w:rsidRDefault="000B4AD6" w:rsidP="00654D0E">
      <w:pPr>
        <w:pStyle w:val="NoSpacing"/>
        <w:spacing w:line="360" w:lineRule="auto"/>
        <w:rPr>
          <w:rFonts w:ascii="Palatino Linotype" w:hAnsi="Palatino Linotype"/>
        </w:rPr>
      </w:pPr>
      <w:r>
        <w:rPr>
          <w:rFonts w:ascii="Palatino Linotype" w:hAnsi="Palatino Linotype"/>
        </w:rPr>
        <w:t>Tot slot kan gezegd worden dat deze scriptie een vrij nauwkeurige benadering is van hoe de huidige pensioensystemen in verschillende landen ervoor staan en hoe deze onder verschillende -veranderende- economische en demografische omstandigheden zouden presteren. Ondanks de wat ruwe wiskundige be</w:t>
      </w:r>
      <w:r w:rsidR="00562E5A">
        <w:rPr>
          <w:rFonts w:ascii="Palatino Linotype" w:hAnsi="Palatino Linotype"/>
        </w:rPr>
        <w:t xml:space="preserve">nadering geven de uitkomsten van de scenarioanalyse een getrouwe weergave van de onderzochte materie en zijn de hoofd- en deelvragen </w:t>
      </w:r>
      <w:r w:rsidR="00F81596">
        <w:rPr>
          <w:rFonts w:ascii="Palatino Linotype" w:hAnsi="Palatino Linotype"/>
        </w:rPr>
        <w:t xml:space="preserve">beantwoord. </w:t>
      </w:r>
    </w:p>
    <w:p w:rsidR="00654D0E" w:rsidRDefault="00654D0E" w:rsidP="00654D0E">
      <w:pPr>
        <w:pStyle w:val="NoSpacing"/>
        <w:spacing w:line="360" w:lineRule="auto"/>
        <w:rPr>
          <w:rFonts w:ascii="Palatino Linotype" w:hAnsi="Palatino Linotype"/>
        </w:rPr>
      </w:pPr>
    </w:p>
    <w:p w:rsidR="000B4AD6" w:rsidRDefault="00F81596" w:rsidP="00654D0E">
      <w:pPr>
        <w:pStyle w:val="NoSpacing"/>
        <w:spacing w:line="360" w:lineRule="auto"/>
        <w:rPr>
          <w:rFonts w:ascii="Palatino Linotype" w:hAnsi="Palatino Linotype"/>
        </w:rPr>
      </w:pPr>
      <w:r>
        <w:rPr>
          <w:rFonts w:ascii="Palatino Linotype" w:hAnsi="Palatino Linotype"/>
        </w:rPr>
        <w:t>De maatschappelijke discussie over hoe pensioensystemen resistenter gemaakt kunnen worden tegen allerlei grillen zal voorlopig nog niet over zijn; wel is inmiddels duidelijk hoe de verschillende ontwikkelingen uit zullen pakken en hoe de meest besproken -en reeds ingevoerde- maatregel, het verhogen van de pesnsioengerechtigde leeftijd, de dekkingsgraad ten gunste zal komen.</w:t>
      </w:r>
    </w:p>
    <w:p w:rsidR="008D57C8" w:rsidRDefault="008D57C8">
      <w:pPr>
        <w:rPr>
          <w:rFonts w:ascii="Palatino Linotype" w:hAnsi="Palatino Linotype"/>
        </w:rPr>
      </w:pPr>
      <w:r>
        <w:rPr>
          <w:rFonts w:ascii="Palatino Linotype" w:hAnsi="Palatino Linotype"/>
        </w:rPr>
        <w:br w:type="page"/>
      </w:r>
    </w:p>
    <w:p w:rsidR="00AE7D69" w:rsidRPr="00B33BCA" w:rsidRDefault="008D57C8">
      <w:pPr>
        <w:pStyle w:val="Heading1"/>
        <w:rPr>
          <w:rFonts w:ascii="Palatino Linotype" w:hAnsi="Palatino Linotype"/>
          <w:color w:val="auto"/>
          <w:sz w:val="22"/>
          <w:szCs w:val="22"/>
          <w:lang w:val="nl-NL"/>
        </w:rPr>
      </w:pPr>
      <w:r w:rsidRPr="00B33BCA">
        <w:rPr>
          <w:rFonts w:ascii="Palatino Linotype" w:hAnsi="Palatino Linotype"/>
          <w:color w:val="auto"/>
          <w:sz w:val="22"/>
          <w:szCs w:val="22"/>
          <w:lang w:val="nl-NL"/>
        </w:rPr>
        <w:t>Bibliografie</w:t>
      </w:r>
    </w:p>
    <w:sdt>
      <w:sdtPr>
        <w:id w:val="1779140340"/>
        <w:docPartObj>
          <w:docPartGallery w:val="Bibliographies"/>
          <w:docPartUnique/>
        </w:docPartObj>
      </w:sdtPr>
      <w:sdtEndPr/>
      <w:sdtContent>
        <w:p w:rsidR="00AE7D69" w:rsidRPr="00E73E0D" w:rsidRDefault="00AE7D69" w:rsidP="00AE7D69">
          <w:pPr>
            <w:pStyle w:val="NoSpacing"/>
            <w:rPr>
              <w:rFonts w:ascii="Palatino Linotype" w:hAnsi="Palatino Linotype"/>
            </w:rPr>
          </w:pPr>
        </w:p>
        <w:sdt>
          <w:sdtPr>
            <w:rPr>
              <w:rFonts w:ascii="Palatino Linotype" w:hAnsi="Palatino Linotype"/>
            </w:rPr>
            <w:id w:val="111145805"/>
            <w:bibliography/>
          </w:sdtPr>
          <w:sdtEndPr/>
          <w:sdtContent>
            <w:p w:rsidR="00E73E0D" w:rsidRPr="00E73E0D" w:rsidRDefault="00AE7D69" w:rsidP="00E73E0D">
              <w:pPr>
                <w:pStyle w:val="Bibliography"/>
                <w:ind w:left="720" w:hanging="720"/>
                <w:rPr>
                  <w:rFonts w:ascii="Palatino Linotype" w:hAnsi="Palatino Linotype"/>
                  <w:noProof/>
                  <w:lang w:val="en-US"/>
                </w:rPr>
              </w:pPr>
              <w:r w:rsidRPr="00E73E0D">
                <w:rPr>
                  <w:rFonts w:ascii="Palatino Linotype" w:hAnsi="Palatino Linotype"/>
                </w:rPr>
                <w:fldChar w:fldCharType="begin"/>
              </w:r>
              <w:r w:rsidRPr="004924E8">
                <w:rPr>
                  <w:rFonts w:ascii="Palatino Linotype" w:hAnsi="Palatino Linotype"/>
                  <w:lang w:val="en-GB"/>
                </w:rPr>
                <w:instrText xml:space="preserve"> BIBLIOGRAPHY </w:instrText>
              </w:r>
              <w:r w:rsidRPr="00E73E0D">
                <w:rPr>
                  <w:rFonts w:ascii="Palatino Linotype" w:hAnsi="Palatino Linotype"/>
                </w:rPr>
                <w:fldChar w:fldCharType="separate"/>
              </w:r>
              <w:r w:rsidR="00E73E0D" w:rsidRPr="004924E8">
                <w:rPr>
                  <w:rFonts w:ascii="Palatino Linotype" w:hAnsi="Palatino Linotype"/>
                  <w:noProof/>
                  <w:lang w:val="en-GB"/>
                </w:rPr>
                <w:t xml:space="preserve">Central Intelligence </w:t>
              </w:r>
              <w:r w:rsidR="00E73E0D" w:rsidRPr="00E73E0D">
                <w:rPr>
                  <w:rFonts w:ascii="Palatino Linotype" w:hAnsi="Palatino Linotype"/>
                  <w:noProof/>
                  <w:lang w:val="en-US"/>
                </w:rPr>
                <w:t xml:space="preserve">Agency. (2014). </w:t>
              </w:r>
              <w:r w:rsidR="00E73E0D" w:rsidRPr="00E73E0D">
                <w:rPr>
                  <w:rFonts w:ascii="Palatino Linotype" w:hAnsi="Palatino Linotype"/>
                  <w:i/>
                  <w:iCs/>
                  <w:noProof/>
                  <w:lang w:val="en-US"/>
                </w:rPr>
                <w:t>The World Factbook</w:t>
              </w:r>
              <w:r w:rsidR="00E73E0D" w:rsidRPr="00E73E0D">
                <w:rPr>
                  <w:rFonts w:ascii="Palatino Linotype" w:hAnsi="Palatino Linotype"/>
                  <w:noProof/>
                  <w:lang w:val="en-US"/>
                </w:rPr>
                <w:t>. Retrieved 7 2014, from CIA: https://www.cia.gov/library/publications/the-world-factbook/</w:t>
              </w:r>
            </w:p>
            <w:p w:rsidR="00E73E0D" w:rsidRPr="00E73E0D" w:rsidRDefault="00E73E0D" w:rsidP="00E73E0D">
              <w:pPr>
                <w:pStyle w:val="Bibliography"/>
                <w:ind w:left="720" w:hanging="720"/>
                <w:rPr>
                  <w:rFonts w:ascii="Palatino Linotype" w:hAnsi="Palatino Linotype"/>
                  <w:noProof/>
                  <w:lang w:val="en-US"/>
                </w:rPr>
              </w:pPr>
              <w:r w:rsidRPr="00E73E0D">
                <w:rPr>
                  <w:rFonts w:ascii="Palatino Linotype" w:hAnsi="Palatino Linotype"/>
                  <w:noProof/>
                </w:rPr>
                <w:t xml:space="preserve">Duin, C. v., &amp; J, G. (2010, 12 17). </w:t>
              </w:r>
              <w:r w:rsidRPr="00E73E0D">
                <w:rPr>
                  <w:rFonts w:ascii="Palatino Linotype" w:hAnsi="Palatino Linotype"/>
                  <w:i/>
                  <w:iCs/>
                  <w:noProof/>
                </w:rPr>
                <w:t>Bevolkingsprognose 2010–2060: sterkere vergrijzing, langere levensduur.</w:t>
              </w:r>
              <w:r w:rsidRPr="00E73E0D">
                <w:rPr>
                  <w:rFonts w:ascii="Palatino Linotype" w:hAnsi="Palatino Linotype"/>
                  <w:noProof/>
                </w:rPr>
                <w:t xml:space="preserve"> </w:t>
              </w:r>
              <w:r w:rsidRPr="00E73E0D">
                <w:rPr>
                  <w:rFonts w:ascii="Palatino Linotype" w:hAnsi="Palatino Linotype"/>
                  <w:noProof/>
                  <w:lang w:val="en-US"/>
                </w:rPr>
                <w:t>Retrieved 7 2014, from CBS: http://www.cbs.nl/NR/rdonlyres/91E3EC1E-4FF2-4019-B47E-24DC24334180/0/2010bevolkingsprognose20102060sterkerevergrijzingart.pdf</w:t>
              </w:r>
            </w:p>
            <w:p w:rsidR="00E73E0D" w:rsidRPr="00E73E0D" w:rsidRDefault="00E73E0D" w:rsidP="00E73E0D">
              <w:pPr>
                <w:pStyle w:val="Bibliography"/>
                <w:ind w:left="720" w:hanging="720"/>
                <w:rPr>
                  <w:rFonts w:ascii="Palatino Linotype" w:hAnsi="Palatino Linotype"/>
                  <w:noProof/>
                  <w:lang w:val="en-US"/>
                </w:rPr>
              </w:pPr>
              <w:r w:rsidRPr="00E73E0D">
                <w:rPr>
                  <w:rFonts w:ascii="Palatino Linotype" w:hAnsi="Palatino Linotype"/>
                  <w:noProof/>
                  <w:lang w:val="en-US"/>
                </w:rPr>
                <w:t xml:space="preserve">Financial Times. (2014). </w:t>
              </w:r>
              <w:r w:rsidRPr="00E73E0D">
                <w:rPr>
                  <w:rFonts w:ascii="Palatino Linotype" w:hAnsi="Palatino Linotype"/>
                  <w:i/>
                  <w:iCs/>
                  <w:noProof/>
                  <w:lang w:val="en-US"/>
                </w:rPr>
                <w:t>Lexicon</w:t>
              </w:r>
              <w:r w:rsidRPr="00E73E0D">
                <w:rPr>
                  <w:rFonts w:ascii="Palatino Linotype" w:hAnsi="Palatino Linotype"/>
                  <w:noProof/>
                  <w:lang w:val="en-US"/>
                </w:rPr>
                <w:t>. Retrieved 7 2014, from Financial Times: lexicon.ft.com/Term?term=coverage-ratio</w:t>
              </w:r>
            </w:p>
            <w:p w:rsidR="00E73E0D" w:rsidRPr="00E73E0D" w:rsidRDefault="00E73E0D" w:rsidP="00E73E0D">
              <w:pPr>
                <w:pStyle w:val="Bibliography"/>
                <w:ind w:left="720" w:hanging="720"/>
                <w:rPr>
                  <w:rFonts w:ascii="Palatino Linotype" w:hAnsi="Palatino Linotype"/>
                  <w:noProof/>
                  <w:lang w:val="en-US"/>
                </w:rPr>
              </w:pPr>
              <w:r w:rsidRPr="00E73E0D">
                <w:rPr>
                  <w:rFonts w:ascii="Palatino Linotype" w:hAnsi="Palatino Linotype"/>
                  <w:noProof/>
                </w:rPr>
                <w:t xml:space="preserve">Financiële Redactie. (2008, 10 23). </w:t>
              </w:r>
              <w:r w:rsidRPr="00E73E0D">
                <w:rPr>
                  <w:rFonts w:ascii="Palatino Linotype" w:hAnsi="Palatino Linotype"/>
                  <w:i/>
                  <w:iCs/>
                  <w:noProof/>
                </w:rPr>
                <w:t>Grote pensioenfondsen geraakt door crisis.</w:t>
              </w:r>
              <w:r w:rsidRPr="00E73E0D">
                <w:rPr>
                  <w:rFonts w:ascii="Palatino Linotype" w:hAnsi="Palatino Linotype"/>
                  <w:noProof/>
                </w:rPr>
                <w:t xml:space="preserve"> </w:t>
              </w:r>
              <w:r w:rsidRPr="00E73E0D">
                <w:rPr>
                  <w:rFonts w:ascii="Palatino Linotype" w:hAnsi="Palatino Linotype"/>
                  <w:noProof/>
                  <w:lang w:val="en-US"/>
                </w:rPr>
                <w:t>Retrieved 07 2014, from nrc.nl -&gt; archief: http://vorige.nrc.nl/article2035005.ece#rel_expand=1</w:t>
              </w:r>
            </w:p>
            <w:p w:rsidR="00E73E0D" w:rsidRPr="00E73E0D" w:rsidRDefault="00E73E0D" w:rsidP="00E73E0D">
              <w:pPr>
                <w:pStyle w:val="Bibliography"/>
                <w:ind w:left="720" w:hanging="720"/>
                <w:rPr>
                  <w:rFonts w:ascii="Palatino Linotype" w:hAnsi="Palatino Linotype"/>
                  <w:noProof/>
                  <w:lang w:val="en-US"/>
                </w:rPr>
              </w:pPr>
              <w:r w:rsidRPr="00E73E0D">
                <w:rPr>
                  <w:rFonts w:ascii="Palatino Linotype" w:hAnsi="Palatino Linotype"/>
                  <w:noProof/>
                  <w:lang w:val="en-US"/>
                </w:rPr>
                <w:t xml:space="preserve">Holzmann, R. (1997). Pension reform, financial market development and economic growth: Preliminary evidence from Chile. </w:t>
              </w:r>
              <w:r w:rsidRPr="00E73E0D">
                <w:rPr>
                  <w:rFonts w:ascii="Palatino Linotype" w:hAnsi="Palatino Linotype"/>
                  <w:i/>
                  <w:iCs/>
                  <w:noProof/>
                  <w:lang w:val="en-US"/>
                </w:rPr>
                <w:t>Staff Papers</w:t>
              </w:r>
              <w:r w:rsidRPr="00E73E0D">
                <w:rPr>
                  <w:rFonts w:ascii="Palatino Linotype" w:hAnsi="Palatino Linotype"/>
                  <w:noProof/>
                  <w:lang w:val="en-US"/>
                </w:rPr>
                <w:t>, 149-178.</w:t>
              </w:r>
            </w:p>
            <w:p w:rsidR="00E73E0D" w:rsidRPr="00E73E0D" w:rsidRDefault="00E73E0D" w:rsidP="00E73E0D">
              <w:pPr>
                <w:pStyle w:val="Bibliography"/>
                <w:ind w:left="720" w:hanging="720"/>
                <w:rPr>
                  <w:rFonts w:ascii="Palatino Linotype" w:hAnsi="Palatino Linotype"/>
                  <w:noProof/>
                  <w:lang w:val="en-US"/>
                </w:rPr>
              </w:pPr>
              <w:r w:rsidRPr="00E73E0D">
                <w:rPr>
                  <w:rFonts w:ascii="Palatino Linotype" w:hAnsi="Palatino Linotype"/>
                  <w:noProof/>
                  <w:lang w:val="en-US"/>
                </w:rPr>
                <w:t xml:space="preserve">Institut national de la statistique et des études économiques. (2014). </w:t>
              </w:r>
              <w:r w:rsidRPr="00E73E0D">
                <w:rPr>
                  <w:rFonts w:ascii="Palatino Linotype" w:hAnsi="Palatino Linotype"/>
                  <w:i/>
                  <w:iCs/>
                  <w:noProof/>
                  <w:lang w:val="en-US"/>
                </w:rPr>
                <w:t>Montants des pensions moyennes brutes en 2012.</w:t>
              </w:r>
              <w:r w:rsidRPr="00E73E0D">
                <w:rPr>
                  <w:rFonts w:ascii="Palatino Linotype" w:hAnsi="Palatino Linotype"/>
                  <w:noProof/>
                  <w:lang w:val="en-US"/>
                </w:rPr>
                <w:t xml:space="preserve"> Retrieved 7 2014, from Insee: http://insee.fr/fr/themes/tableau.asp?reg_id=0&amp;ref_id=NATTEF04571</w:t>
              </w:r>
            </w:p>
            <w:p w:rsidR="00E73E0D" w:rsidRPr="00E73E0D" w:rsidRDefault="00E73E0D" w:rsidP="00E73E0D">
              <w:pPr>
                <w:pStyle w:val="Bibliography"/>
                <w:ind w:left="720" w:hanging="720"/>
                <w:rPr>
                  <w:rFonts w:ascii="Palatino Linotype" w:hAnsi="Palatino Linotype"/>
                  <w:noProof/>
                  <w:lang w:val="en-US"/>
                </w:rPr>
              </w:pPr>
              <w:r w:rsidRPr="00E73E0D">
                <w:rPr>
                  <w:rFonts w:ascii="Palatino Linotype" w:hAnsi="Palatino Linotype"/>
                  <w:noProof/>
                  <w:lang w:val="en-US"/>
                </w:rPr>
                <w:t xml:space="preserve">Instituto Nacional de Estadísticas Chile. (2008, 5 7). </w:t>
              </w:r>
              <w:r w:rsidRPr="00E73E0D">
                <w:rPr>
                  <w:rFonts w:ascii="Palatino Linotype" w:hAnsi="Palatino Linotype"/>
                  <w:i/>
                  <w:iCs/>
                  <w:noProof/>
                  <w:lang w:val="en-US"/>
                </w:rPr>
                <w:t>Población y Sociedad; aspectos demográficos.</w:t>
              </w:r>
              <w:r w:rsidRPr="00E73E0D">
                <w:rPr>
                  <w:rFonts w:ascii="Palatino Linotype" w:hAnsi="Palatino Linotype"/>
                  <w:noProof/>
                  <w:lang w:val="en-US"/>
                </w:rPr>
                <w:t xml:space="preserve"> Retrieved 7 2014, from INE: http://www.ine.cl/canales/chile_estadistico/demografia_y_vitales/demografia/pdf/poblacion_sociedad_enero09.pdf</w:t>
              </w:r>
            </w:p>
            <w:p w:rsidR="00E73E0D" w:rsidRPr="00E73E0D" w:rsidRDefault="00E73E0D" w:rsidP="00E73E0D">
              <w:pPr>
                <w:pStyle w:val="Bibliography"/>
                <w:ind w:left="720" w:hanging="720"/>
                <w:rPr>
                  <w:rFonts w:ascii="Palatino Linotype" w:hAnsi="Palatino Linotype"/>
                  <w:noProof/>
                  <w:lang w:val="en-US"/>
                </w:rPr>
              </w:pPr>
              <w:r w:rsidRPr="00E73E0D">
                <w:rPr>
                  <w:rFonts w:ascii="Palatino Linotype" w:hAnsi="Palatino Linotype"/>
                  <w:noProof/>
                  <w:lang w:val="en-US"/>
                </w:rPr>
                <w:t xml:space="preserve">International Organisation of Pension Supervisors. (2013). </w:t>
              </w:r>
              <w:r w:rsidRPr="00E73E0D">
                <w:rPr>
                  <w:rFonts w:ascii="Palatino Linotype" w:hAnsi="Palatino Linotype"/>
                  <w:i/>
                  <w:iCs/>
                  <w:noProof/>
                  <w:lang w:val="en-US"/>
                </w:rPr>
                <w:t>Research by Country.</w:t>
              </w:r>
              <w:r w:rsidRPr="00E73E0D">
                <w:rPr>
                  <w:rFonts w:ascii="Palatino Linotype" w:hAnsi="Palatino Linotype"/>
                  <w:noProof/>
                  <w:lang w:val="en-US"/>
                </w:rPr>
                <w:t xml:space="preserve"> IOPS.</w:t>
              </w:r>
            </w:p>
            <w:p w:rsidR="00E73E0D" w:rsidRPr="00E73E0D" w:rsidRDefault="00E73E0D" w:rsidP="00E73E0D">
              <w:pPr>
                <w:pStyle w:val="Bibliography"/>
                <w:ind w:left="720" w:hanging="720"/>
                <w:rPr>
                  <w:rFonts w:ascii="Palatino Linotype" w:hAnsi="Palatino Linotype"/>
                  <w:noProof/>
                  <w:lang w:val="en-US"/>
                </w:rPr>
              </w:pPr>
              <w:r w:rsidRPr="00E73E0D">
                <w:rPr>
                  <w:rFonts w:ascii="Palatino Linotype" w:hAnsi="Palatino Linotype"/>
                  <w:noProof/>
                  <w:lang w:val="en-US"/>
                </w:rPr>
                <w:t xml:space="preserve">Organisation for Economical Cooperation and Development. (2013). </w:t>
              </w:r>
              <w:r w:rsidRPr="00E73E0D">
                <w:rPr>
                  <w:rFonts w:ascii="Palatino Linotype" w:hAnsi="Palatino Linotype"/>
                  <w:i/>
                  <w:iCs/>
                  <w:noProof/>
                  <w:lang w:val="en-US"/>
                </w:rPr>
                <w:t>Pension Markets in Focus.</w:t>
              </w:r>
              <w:r w:rsidRPr="00E73E0D">
                <w:rPr>
                  <w:rFonts w:ascii="Palatino Linotype" w:hAnsi="Palatino Linotype"/>
                  <w:noProof/>
                  <w:lang w:val="en-US"/>
                </w:rPr>
                <w:t xml:space="preserve"> Paris: OECD.</w:t>
              </w:r>
            </w:p>
            <w:p w:rsidR="00E73E0D" w:rsidRPr="00E73E0D" w:rsidRDefault="00E73E0D" w:rsidP="00E73E0D">
              <w:pPr>
                <w:pStyle w:val="Bibliography"/>
                <w:ind w:left="720" w:hanging="720"/>
                <w:rPr>
                  <w:rFonts w:ascii="Palatino Linotype" w:hAnsi="Palatino Linotype"/>
                  <w:noProof/>
                </w:rPr>
              </w:pPr>
              <w:r w:rsidRPr="00E73E0D">
                <w:rPr>
                  <w:rFonts w:ascii="Palatino Linotype" w:hAnsi="Palatino Linotype"/>
                  <w:noProof/>
                  <w:lang w:val="en-US"/>
                </w:rPr>
                <w:t xml:space="preserve">Panis, C. H. (2002). </w:t>
              </w:r>
              <w:r w:rsidRPr="00E73E0D">
                <w:rPr>
                  <w:rFonts w:ascii="Palatino Linotype" w:hAnsi="Palatino Linotype"/>
                  <w:i/>
                  <w:iCs/>
                  <w:noProof/>
                  <w:lang w:val="en-US"/>
                </w:rPr>
                <w:t>The Effects of Changing Social Security Administration’s Early Entitlement Age and the Normal Retirement Age.</w:t>
              </w:r>
              <w:r w:rsidRPr="00E73E0D">
                <w:rPr>
                  <w:rFonts w:ascii="Palatino Linotype" w:hAnsi="Palatino Linotype"/>
                  <w:noProof/>
                  <w:lang w:val="en-US"/>
                </w:rPr>
                <w:t xml:space="preserve"> </w:t>
              </w:r>
              <w:r w:rsidRPr="00E73E0D">
                <w:rPr>
                  <w:rFonts w:ascii="Palatino Linotype" w:hAnsi="Palatino Linotype"/>
                  <w:noProof/>
                </w:rPr>
                <w:t>Santa Monica, Ca, USA: RAND.</w:t>
              </w:r>
            </w:p>
            <w:p w:rsidR="00E73E0D" w:rsidRPr="00E73E0D" w:rsidRDefault="00E73E0D" w:rsidP="00E73E0D">
              <w:pPr>
                <w:pStyle w:val="Bibliography"/>
                <w:ind w:left="720" w:hanging="720"/>
                <w:rPr>
                  <w:rFonts w:ascii="Palatino Linotype" w:hAnsi="Palatino Linotype"/>
                  <w:noProof/>
                </w:rPr>
              </w:pPr>
              <w:r w:rsidRPr="00E73E0D">
                <w:rPr>
                  <w:rFonts w:ascii="Palatino Linotype" w:hAnsi="Palatino Linotype"/>
                  <w:noProof/>
                </w:rPr>
                <w:t xml:space="preserve">Paulis, A. (2006, 7). Een Schitterend Ongeluk. </w:t>
              </w:r>
              <w:r w:rsidRPr="00E73E0D">
                <w:rPr>
                  <w:rFonts w:ascii="Palatino Linotype" w:hAnsi="Palatino Linotype"/>
                  <w:i/>
                  <w:iCs/>
                  <w:noProof/>
                </w:rPr>
                <w:t>De Actuaris</w:t>
              </w:r>
              <w:r w:rsidRPr="00E73E0D">
                <w:rPr>
                  <w:rFonts w:ascii="Palatino Linotype" w:hAnsi="Palatino Linotype"/>
                  <w:noProof/>
                </w:rPr>
                <w:t>, pp. 30-32.</w:t>
              </w:r>
            </w:p>
            <w:p w:rsidR="00E73E0D" w:rsidRPr="00E73E0D" w:rsidRDefault="00E73E0D" w:rsidP="00E73E0D">
              <w:pPr>
                <w:pStyle w:val="Bibliography"/>
                <w:ind w:left="720" w:hanging="720"/>
                <w:rPr>
                  <w:rFonts w:ascii="Palatino Linotype" w:hAnsi="Palatino Linotype"/>
                  <w:noProof/>
                  <w:lang w:val="en-US"/>
                </w:rPr>
              </w:pPr>
              <w:r w:rsidRPr="00E73E0D">
                <w:rPr>
                  <w:rFonts w:ascii="Palatino Linotype" w:hAnsi="Palatino Linotype"/>
                  <w:noProof/>
                </w:rPr>
                <w:t xml:space="preserve">Rijksoverheid. (n.d.). </w:t>
              </w:r>
              <w:r w:rsidRPr="00E73E0D">
                <w:rPr>
                  <w:rFonts w:ascii="Palatino Linotype" w:hAnsi="Palatino Linotype"/>
                  <w:i/>
                  <w:iCs/>
                  <w:noProof/>
                </w:rPr>
                <w:t>Pensioen</w:t>
              </w:r>
              <w:r w:rsidRPr="00E73E0D">
                <w:rPr>
                  <w:rFonts w:ascii="Palatino Linotype" w:hAnsi="Palatino Linotype"/>
                  <w:noProof/>
                </w:rPr>
                <w:t xml:space="preserve">. </w:t>
              </w:r>
              <w:r w:rsidRPr="00E73E0D">
                <w:rPr>
                  <w:rFonts w:ascii="Palatino Linotype" w:hAnsi="Palatino Linotype"/>
                  <w:noProof/>
                  <w:lang w:val="en-US"/>
                </w:rPr>
                <w:t>Retrieved 7 2014, from Rijksoverheid: http://www.rijksoverheid.nl/onderwerpen/pensioen</w:t>
              </w:r>
            </w:p>
            <w:p w:rsidR="00E73E0D" w:rsidRPr="00E73E0D" w:rsidRDefault="00E73E0D" w:rsidP="00E73E0D">
              <w:pPr>
                <w:pStyle w:val="Bibliography"/>
                <w:ind w:left="720" w:hanging="720"/>
                <w:rPr>
                  <w:rFonts w:ascii="Palatino Linotype" w:hAnsi="Palatino Linotype"/>
                  <w:noProof/>
                  <w:lang w:val="en-US"/>
                </w:rPr>
              </w:pPr>
              <w:r w:rsidRPr="00E73E0D">
                <w:rPr>
                  <w:rFonts w:ascii="Palatino Linotype" w:hAnsi="Palatino Linotype"/>
                  <w:noProof/>
                  <w:lang w:val="en-US"/>
                </w:rPr>
                <w:t xml:space="preserve">United States Department of Labor. (2014). </w:t>
              </w:r>
              <w:r w:rsidRPr="00E73E0D">
                <w:rPr>
                  <w:rFonts w:ascii="Palatino Linotype" w:hAnsi="Palatino Linotype"/>
                  <w:i/>
                  <w:iCs/>
                  <w:noProof/>
                  <w:lang w:val="en-US"/>
                </w:rPr>
                <w:t>United States Bureau of Labor Statistics</w:t>
              </w:r>
              <w:r w:rsidRPr="00E73E0D">
                <w:rPr>
                  <w:rFonts w:ascii="Palatino Linotype" w:hAnsi="Palatino Linotype"/>
                  <w:noProof/>
                  <w:lang w:val="en-US"/>
                </w:rPr>
                <w:t>. Retrieved 7 2014, from United States Bureau of Labor Statistics Website: http://www.bls.gov/</w:t>
              </w:r>
            </w:p>
            <w:p w:rsidR="00E73E0D" w:rsidRPr="00E73E0D" w:rsidRDefault="00E73E0D" w:rsidP="00E73E0D">
              <w:pPr>
                <w:pStyle w:val="Bibliography"/>
                <w:ind w:left="720" w:hanging="720"/>
                <w:rPr>
                  <w:rFonts w:ascii="Palatino Linotype" w:hAnsi="Palatino Linotype"/>
                  <w:noProof/>
                  <w:lang w:val="en-US"/>
                </w:rPr>
              </w:pPr>
              <w:r w:rsidRPr="00E73E0D">
                <w:rPr>
                  <w:rFonts w:ascii="Palatino Linotype" w:hAnsi="Palatino Linotype"/>
                  <w:noProof/>
                  <w:lang w:val="en-US"/>
                </w:rPr>
                <w:t xml:space="preserve">World Bank. (2014). </w:t>
              </w:r>
              <w:r w:rsidRPr="00E73E0D">
                <w:rPr>
                  <w:rFonts w:ascii="Palatino Linotype" w:hAnsi="Palatino Linotype"/>
                  <w:i/>
                  <w:iCs/>
                  <w:noProof/>
                  <w:lang w:val="en-US"/>
                </w:rPr>
                <w:t>Life expectancy at birth, total (years)</w:t>
              </w:r>
              <w:r w:rsidRPr="00E73E0D">
                <w:rPr>
                  <w:rFonts w:ascii="Palatino Linotype" w:hAnsi="Palatino Linotype"/>
                  <w:noProof/>
                  <w:lang w:val="en-US"/>
                </w:rPr>
                <w:t>. Retrieved 7 2014, from The World Bank; Data: http://data.worldbank.org/indicator/SP.DYN.LE00.IN</w:t>
              </w:r>
            </w:p>
            <w:p w:rsidR="00E73E0D" w:rsidRPr="00E73E0D" w:rsidRDefault="00E73E0D" w:rsidP="00E73E0D">
              <w:pPr>
                <w:pStyle w:val="Bibliography"/>
                <w:ind w:left="720" w:hanging="720"/>
                <w:rPr>
                  <w:rFonts w:ascii="Palatino Linotype" w:hAnsi="Palatino Linotype"/>
                  <w:noProof/>
                </w:rPr>
              </w:pPr>
              <w:r w:rsidRPr="00E73E0D">
                <w:rPr>
                  <w:rFonts w:ascii="Palatino Linotype" w:hAnsi="Palatino Linotype"/>
                  <w:noProof/>
                  <w:lang w:val="en-US"/>
                </w:rPr>
                <w:t xml:space="preserve">World Health Organization. (2006). </w:t>
              </w:r>
              <w:r w:rsidRPr="00E73E0D">
                <w:rPr>
                  <w:rFonts w:ascii="Palatino Linotype" w:hAnsi="Palatino Linotype"/>
                  <w:i/>
                  <w:iCs/>
                  <w:noProof/>
                  <w:lang w:val="en-US"/>
                </w:rPr>
                <w:t>Working together for health.</w:t>
              </w:r>
              <w:r w:rsidRPr="00E73E0D">
                <w:rPr>
                  <w:rFonts w:ascii="Palatino Linotype" w:hAnsi="Palatino Linotype"/>
                  <w:noProof/>
                  <w:lang w:val="en-US"/>
                </w:rPr>
                <w:t xml:space="preserve"> </w:t>
              </w:r>
              <w:r w:rsidRPr="00E73E0D">
                <w:rPr>
                  <w:rFonts w:ascii="Palatino Linotype" w:hAnsi="Palatino Linotype"/>
                  <w:noProof/>
                </w:rPr>
                <w:t>Genève: WHO.</w:t>
              </w:r>
            </w:p>
            <w:p w:rsidR="00E73E0D" w:rsidRPr="00E73E0D" w:rsidRDefault="00E73E0D" w:rsidP="00E73E0D">
              <w:pPr>
                <w:pStyle w:val="Bibliography"/>
                <w:ind w:left="720" w:hanging="720"/>
                <w:rPr>
                  <w:rFonts w:ascii="Palatino Linotype" w:hAnsi="Palatino Linotype"/>
                  <w:noProof/>
                  <w:lang w:val="en-US"/>
                </w:rPr>
              </w:pPr>
              <w:r w:rsidRPr="00E73E0D">
                <w:rPr>
                  <w:rFonts w:ascii="Palatino Linotype" w:hAnsi="Palatino Linotype"/>
                  <w:noProof/>
                </w:rPr>
                <w:t xml:space="preserve">ZZP-Nederland. (2014, 6 19). </w:t>
              </w:r>
              <w:r w:rsidRPr="00E73E0D">
                <w:rPr>
                  <w:rFonts w:ascii="Palatino Linotype" w:hAnsi="Palatino Linotype"/>
                  <w:i/>
                  <w:iCs/>
                  <w:noProof/>
                </w:rPr>
                <w:t>Pensioen voor ZZP’ers een feit</w:t>
              </w:r>
              <w:r w:rsidRPr="00E73E0D">
                <w:rPr>
                  <w:rFonts w:ascii="Palatino Linotype" w:hAnsi="Palatino Linotype"/>
                  <w:noProof/>
                </w:rPr>
                <w:t xml:space="preserve">. </w:t>
              </w:r>
              <w:r w:rsidRPr="00E73E0D">
                <w:rPr>
                  <w:rFonts w:ascii="Palatino Linotype" w:hAnsi="Palatino Linotype"/>
                  <w:noProof/>
                  <w:lang w:val="en-US"/>
                </w:rPr>
                <w:t>Retrieved 7 2014, from ZZP-Nederland: http://www.zzp-nederland.nl/nieuws/63817-pensioen-voor-zzpers-een-feit</w:t>
              </w:r>
            </w:p>
            <w:p w:rsidR="00AE7D69" w:rsidRDefault="00AE7D69" w:rsidP="00E73E0D">
              <w:r w:rsidRPr="00E73E0D">
                <w:rPr>
                  <w:rFonts w:ascii="Palatino Linotype" w:hAnsi="Palatino Linotype"/>
                  <w:b/>
                  <w:bCs/>
                  <w:noProof/>
                </w:rPr>
                <w:fldChar w:fldCharType="end"/>
              </w:r>
            </w:p>
          </w:sdtContent>
        </w:sdt>
      </w:sdtContent>
    </w:sdt>
    <w:p w:rsidR="008D57C8" w:rsidRPr="008D57C8" w:rsidRDefault="008D57C8" w:rsidP="003B6142">
      <w:pPr>
        <w:pStyle w:val="NoSpacing"/>
        <w:rPr>
          <w:rFonts w:ascii="Palatino Linotype" w:hAnsi="Palatino Linotype"/>
        </w:rPr>
      </w:pPr>
    </w:p>
    <w:p w:rsidR="00697892" w:rsidRDefault="00697892">
      <w:pPr>
        <w:rPr>
          <w:rFonts w:ascii="Palatino Linotype" w:hAnsi="Palatino Linotype"/>
        </w:rPr>
      </w:pPr>
      <w:r>
        <w:rPr>
          <w:rFonts w:ascii="Palatino Linotype" w:hAnsi="Palatino Linotype"/>
        </w:rPr>
        <w:br w:type="page"/>
      </w:r>
    </w:p>
    <w:p w:rsidR="00A7746D" w:rsidRDefault="00697892" w:rsidP="003B6142">
      <w:pPr>
        <w:pStyle w:val="NoSpacing"/>
        <w:rPr>
          <w:rFonts w:ascii="Palatino Linotype" w:hAnsi="Palatino Linotype"/>
          <w:b/>
        </w:rPr>
      </w:pPr>
      <w:r>
        <w:rPr>
          <w:rFonts w:ascii="Palatino Linotype" w:hAnsi="Palatino Linotype"/>
          <w:b/>
        </w:rPr>
        <w:t>Bijlagen</w:t>
      </w:r>
    </w:p>
    <w:p w:rsidR="00EF0DFA" w:rsidRDefault="00EF0DFA" w:rsidP="003B6142">
      <w:pPr>
        <w:pStyle w:val="NoSpacing"/>
        <w:rPr>
          <w:rFonts w:ascii="Palatino Linotype" w:hAnsi="Palatino Linotype"/>
          <w:b/>
        </w:rPr>
      </w:pPr>
    </w:p>
    <w:p w:rsidR="00A35044" w:rsidRPr="00A35044" w:rsidRDefault="00A35044" w:rsidP="003B6142">
      <w:pPr>
        <w:pStyle w:val="NoSpacing"/>
        <w:rPr>
          <w:rFonts w:ascii="Palatino Linotype" w:hAnsi="Palatino Linotype"/>
        </w:rPr>
      </w:pPr>
      <w:r>
        <w:rPr>
          <w:rFonts w:ascii="Palatino Linotype" w:hAnsi="Palatino Linotype"/>
        </w:rPr>
        <w:t>Hier staan de data die middels eigen berekeningen uit b</w:t>
      </w:r>
      <w:r w:rsidR="001B0DF3">
        <w:rPr>
          <w:rFonts w:ascii="Palatino Linotype" w:hAnsi="Palatino Linotype"/>
        </w:rPr>
        <w:t xml:space="preserve">ronnenmateriaal zijn onttrokken; </w:t>
      </w:r>
      <w:r>
        <w:rPr>
          <w:rFonts w:ascii="Palatino Linotype" w:hAnsi="Palatino Linotype"/>
        </w:rPr>
        <w:t>voor de overige data wordt verwezen naar de oorspronkelijke bronnen.</w:t>
      </w:r>
    </w:p>
    <w:p w:rsidR="00C30EC3" w:rsidRDefault="00EF0DFA" w:rsidP="003B6142">
      <w:pPr>
        <w:pStyle w:val="NoSpacing"/>
      </w:pPr>
      <w:r>
        <w:rPr>
          <w:rFonts w:ascii="Palatino Linotype" w:hAnsi="Palatino Linotype"/>
          <w:b/>
        </w:rPr>
        <w:fldChar w:fldCharType="begin"/>
      </w:r>
      <w:r>
        <w:rPr>
          <w:rFonts w:ascii="Palatino Linotype" w:hAnsi="Palatino Linotype"/>
          <w:b/>
        </w:rPr>
        <w:instrText xml:space="preserve"> LINK </w:instrText>
      </w:r>
      <w:r w:rsidR="00C30EC3">
        <w:rPr>
          <w:rFonts w:ascii="Palatino Linotype" w:hAnsi="Palatino Linotype"/>
          <w:b/>
        </w:rPr>
        <w:instrText xml:space="preserve">Excel.Sheet.12 "C:\\Users\\Arun\\Documents\\ARUN\\Rotterdam\\Economie\\Bachelorscriptie\\DataSimulatie (Autosaved).xlsx" Data!R1C1:R6C17 </w:instrText>
      </w:r>
      <w:r>
        <w:rPr>
          <w:rFonts w:ascii="Palatino Linotype" w:hAnsi="Palatino Linotype"/>
          <w:b/>
        </w:rPr>
        <w:instrText xml:space="preserve">\a \f 5 \h  \* MERGEFORMAT </w:instrText>
      </w:r>
      <w:r>
        <w:rPr>
          <w:rFonts w:ascii="Palatino Linotype" w:hAnsi="Palatino Linotype"/>
          <w:b/>
        </w:rPr>
        <w:fldChar w:fldCharType="separate"/>
      </w:r>
    </w:p>
    <w:tbl>
      <w:tblPr>
        <w:tblStyle w:val="TableGrid"/>
        <w:tblW w:w="9288" w:type="dxa"/>
        <w:tblLook w:val="04A0" w:firstRow="1" w:lastRow="0" w:firstColumn="1" w:lastColumn="0" w:noHBand="0" w:noVBand="1"/>
      </w:tblPr>
      <w:tblGrid>
        <w:gridCol w:w="844"/>
        <w:gridCol w:w="580"/>
        <w:gridCol w:w="409"/>
        <w:gridCol w:w="410"/>
        <w:gridCol w:w="410"/>
        <w:gridCol w:w="410"/>
        <w:gridCol w:w="410"/>
        <w:gridCol w:w="410"/>
        <w:gridCol w:w="410"/>
        <w:gridCol w:w="410"/>
        <w:gridCol w:w="410"/>
        <w:gridCol w:w="410"/>
        <w:gridCol w:w="410"/>
        <w:gridCol w:w="465"/>
        <w:gridCol w:w="782"/>
        <w:gridCol w:w="1039"/>
        <w:gridCol w:w="1069"/>
      </w:tblGrid>
      <w:tr w:rsidR="00C30EC3" w:rsidRPr="00C30EC3" w:rsidTr="00C30EC3">
        <w:trPr>
          <w:divId w:val="144276569"/>
          <w:trHeight w:val="300"/>
        </w:trPr>
        <w:tc>
          <w:tcPr>
            <w:tcW w:w="1047" w:type="dxa"/>
            <w:gridSpan w:val="2"/>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AFDRACHT %GDP</w:t>
            </w:r>
          </w:p>
        </w:tc>
        <w:tc>
          <w:tcPr>
            <w:tcW w:w="500" w:type="dxa"/>
            <w:noWrap/>
            <w:hideMark/>
          </w:tcPr>
          <w:p w:rsidR="00C30EC3" w:rsidRPr="00C30EC3" w:rsidRDefault="00C30EC3" w:rsidP="00C30EC3">
            <w:pPr>
              <w:pStyle w:val="NoSpacing"/>
              <w:rPr>
                <w:rFonts w:ascii="Palatino Linotype" w:hAnsi="Palatino Linotype"/>
                <w:sz w:val="16"/>
              </w:rPr>
            </w:pPr>
          </w:p>
        </w:tc>
        <w:tc>
          <w:tcPr>
            <w:tcW w:w="500" w:type="dxa"/>
            <w:noWrap/>
            <w:hideMark/>
          </w:tcPr>
          <w:p w:rsidR="00C30EC3" w:rsidRPr="00C30EC3" w:rsidRDefault="00C30EC3" w:rsidP="00C30EC3">
            <w:pPr>
              <w:pStyle w:val="NoSpacing"/>
              <w:rPr>
                <w:rFonts w:ascii="Palatino Linotype" w:hAnsi="Palatino Linotype"/>
                <w:sz w:val="16"/>
              </w:rPr>
            </w:pPr>
          </w:p>
        </w:tc>
        <w:tc>
          <w:tcPr>
            <w:tcW w:w="500" w:type="dxa"/>
            <w:noWrap/>
            <w:hideMark/>
          </w:tcPr>
          <w:p w:rsidR="00C30EC3" w:rsidRPr="00C30EC3" w:rsidRDefault="00C30EC3" w:rsidP="00C30EC3">
            <w:pPr>
              <w:pStyle w:val="NoSpacing"/>
              <w:rPr>
                <w:rFonts w:ascii="Palatino Linotype" w:hAnsi="Palatino Linotype"/>
                <w:sz w:val="16"/>
              </w:rPr>
            </w:pPr>
          </w:p>
        </w:tc>
        <w:tc>
          <w:tcPr>
            <w:tcW w:w="499" w:type="dxa"/>
            <w:noWrap/>
            <w:hideMark/>
          </w:tcPr>
          <w:p w:rsidR="00C30EC3" w:rsidRPr="00C30EC3" w:rsidRDefault="00C30EC3" w:rsidP="00C30EC3">
            <w:pPr>
              <w:pStyle w:val="NoSpacing"/>
              <w:rPr>
                <w:rFonts w:ascii="Palatino Linotype" w:hAnsi="Palatino Linotype"/>
                <w:sz w:val="16"/>
              </w:rPr>
            </w:pPr>
          </w:p>
        </w:tc>
        <w:tc>
          <w:tcPr>
            <w:tcW w:w="499" w:type="dxa"/>
            <w:noWrap/>
            <w:hideMark/>
          </w:tcPr>
          <w:p w:rsidR="00C30EC3" w:rsidRPr="00C30EC3" w:rsidRDefault="00C30EC3" w:rsidP="00C30EC3">
            <w:pPr>
              <w:pStyle w:val="NoSpacing"/>
              <w:rPr>
                <w:rFonts w:ascii="Palatino Linotype" w:hAnsi="Palatino Linotype"/>
                <w:sz w:val="16"/>
              </w:rPr>
            </w:pPr>
          </w:p>
        </w:tc>
        <w:tc>
          <w:tcPr>
            <w:tcW w:w="499" w:type="dxa"/>
            <w:noWrap/>
            <w:hideMark/>
          </w:tcPr>
          <w:p w:rsidR="00C30EC3" w:rsidRPr="00C30EC3" w:rsidRDefault="00C30EC3" w:rsidP="00C30EC3">
            <w:pPr>
              <w:pStyle w:val="NoSpacing"/>
              <w:rPr>
                <w:rFonts w:ascii="Palatino Linotype" w:hAnsi="Palatino Linotype"/>
                <w:sz w:val="16"/>
              </w:rPr>
            </w:pPr>
          </w:p>
        </w:tc>
        <w:tc>
          <w:tcPr>
            <w:tcW w:w="499" w:type="dxa"/>
            <w:noWrap/>
            <w:hideMark/>
          </w:tcPr>
          <w:p w:rsidR="00C30EC3" w:rsidRPr="00C30EC3" w:rsidRDefault="00C30EC3" w:rsidP="00C30EC3">
            <w:pPr>
              <w:pStyle w:val="NoSpacing"/>
              <w:rPr>
                <w:rFonts w:ascii="Palatino Linotype" w:hAnsi="Palatino Linotype"/>
                <w:sz w:val="16"/>
              </w:rPr>
            </w:pPr>
          </w:p>
        </w:tc>
        <w:tc>
          <w:tcPr>
            <w:tcW w:w="499" w:type="dxa"/>
            <w:noWrap/>
            <w:hideMark/>
          </w:tcPr>
          <w:p w:rsidR="00C30EC3" w:rsidRPr="00C30EC3" w:rsidRDefault="00C30EC3" w:rsidP="00C30EC3">
            <w:pPr>
              <w:pStyle w:val="NoSpacing"/>
              <w:rPr>
                <w:rFonts w:ascii="Palatino Linotype" w:hAnsi="Palatino Linotype"/>
                <w:sz w:val="16"/>
              </w:rPr>
            </w:pPr>
          </w:p>
        </w:tc>
        <w:tc>
          <w:tcPr>
            <w:tcW w:w="499" w:type="dxa"/>
            <w:noWrap/>
            <w:hideMark/>
          </w:tcPr>
          <w:p w:rsidR="00C30EC3" w:rsidRPr="00C30EC3" w:rsidRDefault="00C30EC3" w:rsidP="00C30EC3">
            <w:pPr>
              <w:pStyle w:val="NoSpacing"/>
              <w:rPr>
                <w:rFonts w:ascii="Palatino Linotype" w:hAnsi="Palatino Linotype"/>
                <w:sz w:val="16"/>
              </w:rPr>
            </w:pPr>
          </w:p>
        </w:tc>
        <w:tc>
          <w:tcPr>
            <w:tcW w:w="499" w:type="dxa"/>
            <w:noWrap/>
            <w:hideMark/>
          </w:tcPr>
          <w:p w:rsidR="00C30EC3" w:rsidRPr="00C30EC3" w:rsidRDefault="00C30EC3" w:rsidP="00C30EC3">
            <w:pPr>
              <w:pStyle w:val="NoSpacing"/>
              <w:rPr>
                <w:rFonts w:ascii="Palatino Linotype" w:hAnsi="Palatino Linotype"/>
                <w:sz w:val="16"/>
              </w:rPr>
            </w:pPr>
          </w:p>
        </w:tc>
        <w:tc>
          <w:tcPr>
            <w:tcW w:w="499" w:type="dxa"/>
            <w:noWrap/>
            <w:hideMark/>
          </w:tcPr>
          <w:p w:rsidR="00C30EC3" w:rsidRPr="00C30EC3" w:rsidRDefault="00C30EC3" w:rsidP="00C30EC3">
            <w:pPr>
              <w:pStyle w:val="NoSpacing"/>
              <w:rPr>
                <w:rFonts w:ascii="Palatino Linotype" w:hAnsi="Palatino Linotype"/>
                <w:sz w:val="16"/>
              </w:rPr>
            </w:pPr>
          </w:p>
        </w:tc>
        <w:tc>
          <w:tcPr>
            <w:tcW w:w="581" w:type="dxa"/>
            <w:noWrap/>
            <w:hideMark/>
          </w:tcPr>
          <w:p w:rsidR="00C30EC3" w:rsidRPr="00C30EC3" w:rsidRDefault="00C30EC3" w:rsidP="00C30EC3">
            <w:pPr>
              <w:pStyle w:val="NoSpacing"/>
              <w:rPr>
                <w:rFonts w:ascii="Palatino Linotype" w:hAnsi="Palatino Linotype"/>
                <w:sz w:val="16"/>
              </w:rPr>
            </w:pPr>
          </w:p>
        </w:tc>
        <w:tc>
          <w:tcPr>
            <w:tcW w:w="1151" w:type="dxa"/>
            <w:noWrap/>
            <w:hideMark/>
          </w:tcPr>
          <w:p w:rsidR="00C30EC3" w:rsidRPr="00C30EC3" w:rsidRDefault="00C30EC3" w:rsidP="00C30EC3">
            <w:pPr>
              <w:pStyle w:val="NoSpacing"/>
              <w:rPr>
                <w:rFonts w:ascii="Palatino Linotype" w:hAnsi="Palatino Linotype"/>
                <w:sz w:val="16"/>
              </w:rPr>
            </w:pPr>
          </w:p>
        </w:tc>
        <w:tc>
          <w:tcPr>
            <w:tcW w:w="1017" w:type="dxa"/>
            <w:noWrap/>
            <w:hideMark/>
          </w:tcPr>
          <w:p w:rsidR="00C30EC3" w:rsidRPr="00C30EC3" w:rsidRDefault="00C30EC3" w:rsidP="00C30EC3">
            <w:pPr>
              <w:pStyle w:val="NoSpacing"/>
              <w:rPr>
                <w:rFonts w:ascii="Palatino Linotype" w:hAnsi="Palatino Linotype"/>
                <w:sz w:val="16"/>
              </w:rPr>
            </w:pPr>
          </w:p>
        </w:tc>
        <w:tc>
          <w:tcPr>
            <w:tcW w:w="1625" w:type="dxa"/>
            <w:noWrap/>
            <w:hideMark/>
          </w:tcPr>
          <w:p w:rsidR="00C30EC3" w:rsidRPr="00C30EC3" w:rsidRDefault="00C30EC3" w:rsidP="00C30EC3">
            <w:pPr>
              <w:pStyle w:val="NoSpacing"/>
            </w:pPr>
          </w:p>
        </w:tc>
      </w:tr>
      <w:tr w:rsidR="00C30EC3" w:rsidRPr="00C30EC3" w:rsidTr="00C30EC3">
        <w:trPr>
          <w:divId w:val="144276569"/>
          <w:trHeight w:val="300"/>
        </w:trPr>
        <w:tc>
          <w:tcPr>
            <w:tcW w:w="422" w:type="dxa"/>
            <w:noWrap/>
            <w:hideMark/>
          </w:tcPr>
          <w:p w:rsidR="00C30EC3" w:rsidRPr="00C30EC3" w:rsidRDefault="00C30EC3" w:rsidP="00C30EC3">
            <w:pPr>
              <w:pStyle w:val="NoSpacing"/>
              <w:rPr>
                <w:rFonts w:ascii="Palatino Linotype" w:hAnsi="Palatino Linotype"/>
                <w:sz w:val="16"/>
              </w:rPr>
            </w:pPr>
          </w:p>
        </w:tc>
        <w:tc>
          <w:tcPr>
            <w:tcW w:w="625" w:type="dxa"/>
            <w:noWrap/>
            <w:hideMark/>
          </w:tcPr>
          <w:p w:rsidR="00C30EC3" w:rsidRPr="00C30EC3" w:rsidRDefault="00C30EC3" w:rsidP="00C30EC3">
            <w:pPr>
              <w:pStyle w:val="NoSpacing"/>
              <w:rPr>
                <w:b/>
                <w:bCs/>
              </w:rPr>
            </w:pPr>
            <w:r w:rsidRPr="00C30EC3">
              <w:rPr>
                <w:rFonts w:ascii="Palatino Linotype" w:hAnsi="Palatino Linotype"/>
                <w:bCs/>
                <w:sz w:val="16"/>
              </w:rPr>
              <w:t xml:space="preserve">%pppj </w:t>
            </w:r>
            <w:r w:rsidRPr="00C30EC3">
              <w:rPr>
                <w:b/>
                <w:bCs/>
              </w:rPr>
              <w:t>(CHILI)</w:t>
            </w:r>
          </w:p>
        </w:tc>
        <w:tc>
          <w:tcPr>
            <w:tcW w:w="500" w:type="dxa"/>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2002</w:t>
            </w:r>
          </w:p>
        </w:tc>
        <w:tc>
          <w:tcPr>
            <w:tcW w:w="500" w:type="dxa"/>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2003</w:t>
            </w:r>
          </w:p>
        </w:tc>
        <w:tc>
          <w:tcPr>
            <w:tcW w:w="500" w:type="dxa"/>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2004</w:t>
            </w:r>
          </w:p>
        </w:tc>
        <w:tc>
          <w:tcPr>
            <w:tcW w:w="499" w:type="dxa"/>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2005</w:t>
            </w:r>
          </w:p>
        </w:tc>
        <w:tc>
          <w:tcPr>
            <w:tcW w:w="499" w:type="dxa"/>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2006</w:t>
            </w:r>
          </w:p>
        </w:tc>
        <w:tc>
          <w:tcPr>
            <w:tcW w:w="499" w:type="dxa"/>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2007</w:t>
            </w:r>
          </w:p>
        </w:tc>
        <w:tc>
          <w:tcPr>
            <w:tcW w:w="499" w:type="dxa"/>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2008</w:t>
            </w:r>
          </w:p>
        </w:tc>
        <w:tc>
          <w:tcPr>
            <w:tcW w:w="499" w:type="dxa"/>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2009</w:t>
            </w:r>
          </w:p>
        </w:tc>
        <w:tc>
          <w:tcPr>
            <w:tcW w:w="499" w:type="dxa"/>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2010</w:t>
            </w:r>
          </w:p>
        </w:tc>
        <w:tc>
          <w:tcPr>
            <w:tcW w:w="499" w:type="dxa"/>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2011</w:t>
            </w:r>
          </w:p>
        </w:tc>
        <w:tc>
          <w:tcPr>
            <w:tcW w:w="499" w:type="dxa"/>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2012</w:t>
            </w:r>
          </w:p>
        </w:tc>
        <w:tc>
          <w:tcPr>
            <w:tcW w:w="581" w:type="dxa"/>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GEM.</w:t>
            </w:r>
          </w:p>
        </w:tc>
        <w:tc>
          <w:tcPr>
            <w:tcW w:w="1151" w:type="dxa"/>
            <w:noWrap/>
            <w:hideMark/>
          </w:tcPr>
          <w:p w:rsidR="00C30EC3" w:rsidRPr="00C30EC3" w:rsidRDefault="00C30EC3" w:rsidP="00C30EC3">
            <w:pPr>
              <w:pStyle w:val="NoSpacing"/>
              <w:rPr>
                <w:rFonts w:ascii="Palatino Linotype" w:hAnsi="Palatino Linotype"/>
                <w:bCs/>
                <w:sz w:val="16"/>
                <w:lang w:val="en-GB"/>
              </w:rPr>
            </w:pPr>
            <w:r w:rsidRPr="00C30EC3">
              <w:rPr>
                <w:rFonts w:ascii="Palatino Linotype" w:hAnsi="Palatino Linotype"/>
                <w:bCs/>
                <w:sz w:val="16"/>
                <w:lang w:val="en-GB"/>
              </w:rPr>
              <w:t>2030E</w:t>
            </w:r>
          </w:p>
        </w:tc>
        <w:tc>
          <w:tcPr>
            <w:tcW w:w="1017" w:type="dxa"/>
            <w:noWrap/>
            <w:hideMark/>
          </w:tcPr>
          <w:p w:rsidR="00C30EC3" w:rsidRPr="00C30EC3" w:rsidRDefault="00C30EC3" w:rsidP="00C30EC3">
            <w:pPr>
              <w:pStyle w:val="NoSpacing"/>
              <w:rPr>
                <w:rFonts w:ascii="Palatino Linotype" w:hAnsi="Palatino Linotype"/>
                <w:bCs/>
                <w:sz w:val="16"/>
                <w:lang w:val="en-GB"/>
              </w:rPr>
            </w:pPr>
            <w:r w:rsidRPr="00C30EC3">
              <w:rPr>
                <w:rFonts w:ascii="Palatino Linotype" w:hAnsi="Palatino Linotype"/>
                <w:bCs/>
                <w:sz w:val="16"/>
                <w:lang w:val="en-GB"/>
              </w:rPr>
              <w:t>GEM. in USD</w:t>
            </w:r>
          </w:p>
        </w:tc>
        <w:tc>
          <w:tcPr>
            <w:tcW w:w="1625" w:type="dxa"/>
            <w:noWrap/>
            <w:hideMark/>
          </w:tcPr>
          <w:p w:rsidR="00C30EC3" w:rsidRPr="00C30EC3" w:rsidRDefault="00C30EC3" w:rsidP="00C30EC3">
            <w:pPr>
              <w:pStyle w:val="NoSpacing"/>
              <w:rPr>
                <w:b/>
                <w:bCs/>
              </w:rPr>
            </w:pPr>
            <w:r w:rsidRPr="00C30EC3">
              <w:rPr>
                <w:rFonts w:ascii="Palatino Linotype" w:hAnsi="Palatino Linotype"/>
                <w:bCs/>
                <w:sz w:val="16"/>
                <w:szCs w:val="16"/>
              </w:rPr>
              <w:t xml:space="preserve">PER WN PER </w:t>
            </w:r>
            <w:r w:rsidRPr="00C30EC3">
              <w:rPr>
                <w:b/>
                <w:bCs/>
              </w:rPr>
              <w:t>JAAR</w:t>
            </w:r>
          </w:p>
        </w:tc>
      </w:tr>
      <w:tr w:rsidR="00C30EC3" w:rsidRPr="00C30EC3" w:rsidTr="00C30EC3">
        <w:trPr>
          <w:divId w:val="144276569"/>
          <w:trHeight w:val="300"/>
        </w:trPr>
        <w:tc>
          <w:tcPr>
            <w:tcW w:w="422" w:type="dxa"/>
            <w:noWrap/>
            <w:hideMark/>
          </w:tcPr>
          <w:p w:rsidR="00C30EC3" w:rsidRPr="00C30EC3" w:rsidRDefault="00C30EC3" w:rsidP="00C30EC3">
            <w:pPr>
              <w:pStyle w:val="NoSpacing"/>
              <w:rPr>
                <w:rFonts w:ascii="Palatino Linotype" w:hAnsi="Palatino Linotype"/>
                <w:bCs/>
                <w:sz w:val="16"/>
                <w:lang w:val="en-GB"/>
              </w:rPr>
            </w:pPr>
            <w:r w:rsidRPr="00C30EC3">
              <w:rPr>
                <w:rFonts w:ascii="Palatino Linotype" w:hAnsi="Palatino Linotype"/>
                <w:bCs/>
                <w:sz w:val="16"/>
                <w:lang w:val="en-GB"/>
              </w:rPr>
              <w:t xml:space="preserve">CHILI </w:t>
            </w:r>
          </w:p>
        </w:tc>
        <w:tc>
          <w:tcPr>
            <w:tcW w:w="625"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10%</w:t>
            </w:r>
          </w:p>
        </w:tc>
        <w:tc>
          <w:tcPr>
            <w:tcW w:w="500"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3,5</w:t>
            </w:r>
          </w:p>
        </w:tc>
        <w:tc>
          <w:tcPr>
            <w:tcW w:w="500"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3,3</w:t>
            </w:r>
          </w:p>
        </w:tc>
        <w:tc>
          <w:tcPr>
            <w:tcW w:w="500"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3,3</w:t>
            </w:r>
          </w:p>
        </w:tc>
        <w:tc>
          <w:tcPr>
            <w:tcW w:w="499"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3,3</w:t>
            </w:r>
          </w:p>
        </w:tc>
        <w:tc>
          <w:tcPr>
            <w:tcW w:w="499"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3,1</w:t>
            </w:r>
          </w:p>
        </w:tc>
        <w:tc>
          <w:tcPr>
            <w:tcW w:w="499"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3,3</w:t>
            </w:r>
          </w:p>
        </w:tc>
        <w:tc>
          <w:tcPr>
            <w:tcW w:w="499"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3,3</w:t>
            </w:r>
          </w:p>
        </w:tc>
        <w:tc>
          <w:tcPr>
            <w:tcW w:w="499"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3,7</w:t>
            </w:r>
          </w:p>
        </w:tc>
        <w:tc>
          <w:tcPr>
            <w:tcW w:w="499"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3,7</w:t>
            </w:r>
          </w:p>
        </w:tc>
        <w:tc>
          <w:tcPr>
            <w:tcW w:w="499"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3,7</w:t>
            </w:r>
          </w:p>
        </w:tc>
        <w:tc>
          <w:tcPr>
            <w:tcW w:w="499"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3,7</w:t>
            </w:r>
          </w:p>
        </w:tc>
        <w:tc>
          <w:tcPr>
            <w:tcW w:w="581"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3,45</w:t>
            </w:r>
          </w:p>
        </w:tc>
        <w:tc>
          <w:tcPr>
            <w:tcW w:w="1151"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3%</w:t>
            </w:r>
          </w:p>
        </w:tc>
        <w:tc>
          <w:tcPr>
            <w:tcW w:w="1017" w:type="dxa"/>
            <w:noWrap/>
            <w:hideMark/>
          </w:tcPr>
          <w:p w:rsidR="00C30EC3" w:rsidRPr="00C30EC3" w:rsidRDefault="00C30EC3" w:rsidP="00C30EC3">
            <w:pPr>
              <w:pStyle w:val="NoSpacing"/>
            </w:pPr>
            <w:r w:rsidRPr="00C30EC3">
              <w:rPr>
                <w:rFonts w:ascii="Palatino Linotype" w:hAnsi="Palatino Linotype"/>
                <w:sz w:val="16"/>
                <w:lang w:val="en-GB"/>
              </w:rPr>
              <w:t xml:space="preserve">$5.609.830.398,18 </w:t>
            </w:r>
          </w:p>
        </w:tc>
        <w:tc>
          <w:tcPr>
            <w:tcW w:w="1625" w:type="dxa"/>
            <w:noWrap/>
            <w:hideMark/>
          </w:tcPr>
          <w:p w:rsidR="00C30EC3" w:rsidRPr="00C30EC3" w:rsidRDefault="00C30EC3" w:rsidP="00C30EC3">
            <w:pPr>
              <w:pStyle w:val="NoSpacing"/>
              <w:rPr>
                <w:rFonts w:ascii="Palatino Linotype" w:hAnsi="Palatino Linotype"/>
                <w:sz w:val="16"/>
                <w:szCs w:val="16"/>
              </w:rPr>
            </w:pPr>
            <w:r w:rsidRPr="00C30EC3">
              <w:rPr>
                <w:rFonts w:ascii="Palatino Linotype" w:hAnsi="Palatino Linotype"/>
                <w:sz w:val="16"/>
                <w:szCs w:val="16"/>
              </w:rPr>
              <w:t xml:space="preserve"> $     834,32 </w:t>
            </w:r>
          </w:p>
        </w:tc>
      </w:tr>
      <w:tr w:rsidR="00C30EC3" w:rsidRPr="00C30EC3" w:rsidTr="00C30EC3">
        <w:trPr>
          <w:divId w:val="144276569"/>
          <w:trHeight w:val="300"/>
        </w:trPr>
        <w:tc>
          <w:tcPr>
            <w:tcW w:w="422" w:type="dxa"/>
            <w:noWrap/>
            <w:hideMark/>
          </w:tcPr>
          <w:p w:rsidR="00C30EC3" w:rsidRPr="00C30EC3" w:rsidRDefault="00C30EC3" w:rsidP="00C30EC3">
            <w:pPr>
              <w:pStyle w:val="NoSpacing"/>
              <w:rPr>
                <w:rFonts w:ascii="Palatino Linotype" w:hAnsi="Palatino Linotype"/>
                <w:bCs/>
                <w:sz w:val="16"/>
                <w:lang w:val="en-GB"/>
              </w:rPr>
            </w:pPr>
            <w:r w:rsidRPr="00C30EC3">
              <w:rPr>
                <w:rFonts w:ascii="Palatino Linotype" w:hAnsi="Palatino Linotype"/>
                <w:bCs/>
                <w:sz w:val="16"/>
                <w:lang w:val="en-GB"/>
              </w:rPr>
              <w:t>FRANKRIJK</w:t>
            </w:r>
          </w:p>
        </w:tc>
        <w:tc>
          <w:tcPr>
            <w:tcW w:w="625" w:type="dxa"/>
            <w:noWrap/>
            <w:hideMark/>
          </w:tcPr>
          <w:p w:rsidR="00C30EC3" w:rsidRPr="00C30EC3" w:rsidRDefault="00C30EC3" w:rsidP="00C30EC3">
            <w:pPr>
              <w:pStyle w:val="NoSpacing"/>
              <w:rPr>
                <w:rFonts w:ascii="Palatino Linotype" w:hAnsi="Palatino Linotype"/>
                <w:sz w:val="16"/>
                <w:lang w:val="en-GB"/>
              </w:rPr>
            </w:pPr>
          </w:p>
        </w:tc>
        <w:tc>
          <w:tcPr>
            <w:tcW w:w="500" w:type="dxa"/>
            <w:noWrap/>
            <w:hideMark/>
          </w:tcPr>
          <w:p w:rsidR="00C30EC3" w:rsidRPr="00C30EC3" w:rsidRDefault="00C30EC3" w:rsidP="00C30EC3">
            <w:pPr>
              <w:pStyle w:val="NoSpacing"/>
              <w:rPr>
                <w:rFonts w:ascii="Palatino Linotype" w:hAnsi="Palatino Linotype"/>
                <w:sz w:val="16"/>
                <w:lang w:val="en-GB"/>
              </w:rPr>
            </w:pPr>
          </w:p>
        </w:tc>
        <w:tc>
          <w:tcPr>
            <w:tcW w:w="500" w:type="dxa"/>
            <w:noWrap/>
            <w:hideMark/>
          </w:tcPr>
          <w:p w:rsidR="00C30EC3" w:rsidRPr="00C30EC3" w:rsidRDefault="00C30EC3" w:rsidP="00C30EC3">
            <w:pPr>
              <w:pStyle w:val="NoSpacing"/>
              <w:rPr>
                <w:rFonts w:ascii="Palatino Linotype" w:hAnsi="Palatino Linotype"/>
                <w:sz w:val="16"/>
                <w:lang w:val="en-GB"/>
              </w:rPr>
            </w:pPr>
          </w:p>
        </w:tc>
        <w:tc>
          <w:tcPr>
            <w:tcW w:w="500" w:type="dxa"/>
            <w:noWrap/>
            <w:hideMark/>
          </w:tcPr>
          <w:p w:rsidR="00C30EC3" w:rsidRPr="00C30EC3" w:rsidRDefault="00C30EC3" w:rsidP="00C30EC3">
            <w:pPr>
              <w:pStyle w:val="NoSpacing"/>
              <w:rPr>
                <w:rFonts w:ascii="Palatino Linotype" w:hAnsi="Palatino Linotype"/>
                <w:sz w:val="16"/>
                <w:lang w:val="en-GB"/>
              </w:rPr>
            </w:pPr>
          </w:p>
        </w:tc>
        <w:tc>
          <w:tcPr>
            <w:tcW w:w="499" w:type="dxa"/>
            <w:noWrap/>
            <w:hideMark/>
          </w:tcPr>
          <w:p w:rsidR="00C30EC3" w:rsidRPr="00C30EC3" w:rsidRDefault="00C30EC3" w:rsidP="00C30EC3">
            <w:pPr>
              <w:pStyle w:val="NoSpacing"/>
              <w:rPr>
                <w:rFonts w:ascii="Palatino Linotype" w:hAnsi="Palatino Linotype"/>
                <w:sz w:val="16"/>
                <w:lang w:val="en-GB"/>
              </w:rPr>
            </w:pPr>
          </w:p>
        </w:tc>
        <w:tc>
          <w:tcPr>
            <w:tcW w:w="499" w:type="dxa"/>
            <w:noWrap/>
            <w:hideMark/>
          </w:tcPr>
          <w:p w:rsidR="00C30EC3" w:rsidRPr="00C30EC3" w:rsidRDefault="00C30EC3" w:rsidP="00C30EC3">
            <w:pPr>
              <w:pStyle w:val="NoSpacing"/>
              <w:rPr>
                <w:rFonts w:ascii="Palatino Linotype" w:hAnsi="Palatino Linotype"/>
                <w:sz w:val="16"/>
                <w:lang w:val="en-GB"/>
              </w:rPr>
            </w:pPr>
          </w:p>
        </w:tc>
        <w:tc>
          <w:tcPr>
            <w:tcW w:w="499" w:type="dxa"/>
            <w:noWrap/>
            <w:hideMark/>
          </w:tcPr>
          <w:p w:rsidR="00C30EC3" w:rsidRPr="00C30EC3" w:rsidRDefault="00C30EC3" w:rsidP="00C30EC3">
            <w:pPr>
              <w:pStyle w:val="NoSpacing"/>
              <w:rPr>
                <w:rFonts w:ascii="Palatino Linotype" w:hAnsi="Palatino Linotype"/>
                <w:sz w:val="16"/>
                <w:lang w:val="en-GB"/>
              </w:rPr>
            </w:pPr>
          </w:p>
        </w:tc>
        <w:tc>
          <w:tcPr>
            <w:tcW w:w="499" w:type="dxa"/>
            <w:noWrap/>
            <w:hideMark/>
          </w:tcPr>
          <w:p w:rsidR="00C30EC3" w:rsidRPr="00C30EC3" w:rsidRDefault="00C30EC3" w:rsidP="00C30EC3">
            <w:pPr>
              <w:pStyle w:val="NoSpacing"/>
              <w:rPr>
                <w:rFonts w:ascii="Palatino Linotype" w:hAnsi="Palatino Linotype"/>
                <w:sz w:val="16"/>
                <w:lang w:val="en-GB"/>
              </w:rPr>
            </w:pPr>
          </w:p>
        </w:tc>
        <w:tc>
          <w:tcPr>
            <w:tcW w:w="499"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0,70</w:t>
            </w:r>
          </w:p>
        </w:tc>
        <w:tc>
          <w:tcPr>
            <w:tcW w:w="499" w:type="dxa"/>
            <w:noWrap/>
            <w:hideMark/>
          </w:tcPr>
          <w:p w:rsidR="00C30EC3" w:rsidRPr="00C30EC3" w:rsidRDefault="00C30EC3" w:rsidP="00C30EC3">
            <w:pPr>
              <w:pStyle w:val="NoSpacing"/>
              <w:rPr>
                <w:rFonts w:ascii="Palatino Linotype" w:hAnsi="Palatino Linotype"/>
                <w:sz w:val="16"/>
                <w:lang w:val="en-GB"/>
              </w:rPr>
            </w:pPr>
          </w:p>
        </w:tc>
        <w:tc>
          <w:tcPr>
            <w:tcW w:w="499" w:type="dxa"/>
            <w:noWrap/>
            <w:hideMark/>
          </w:tcPr>
          <w:p w:rsidR="00C30EC3" w:rsidRPr="00C30EC3" w:rsidRDefault="00C30EC3" w:rsidP="00C30EC3">
            <w:pPr>
              <w:pStyle w:val="NoSpacing"/>
              <w:rPr>
                <w:rFonts w:ascii="Palatino Linotype" w:hAnsi="Palatino Linotype"/>
                <w:sz w:val="16"/>
                <w:lang w:val="en-GB"/>
              </w:rPr>
            </w:pPr>
          </w:p>
        </w:tc>
        <w:tc>
          <w:tcPr>
            <w:tcW w:w="499" w:type="dxa"/>
            <w:noWrap/>
            <w:hideMark/>
          </w:tcPr>
          <w:p w:rsidR="00C30EC3" w:rsidRPr="00C30EC3" w:rsidRDefault="00C30EC3" w:rsidP="00C30EC3">
            <w:pPr>
              <w:pStyle w:val="NoSpacing"/>
              <w:rPr>
                <w:rFonts w:ascii="Palatino Linotype" w:hAnsi="Palatino Linotype"/>
                <w:sz w:val="16"/>
                <w:lang w:val="en-GB"/>
              </w:rPr>
            </w:pPr>
          </w:p>
        </w:tc>
        <w:tc>
          <w:tcPr>
            <w:tcW w:w="581"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1,00</w:t>
            </w:r>
          </w:p>
        </w:tc>
        <w:tc>
          <w:tcPr>
            <w:tcW w:w="1151" w:type="dxa"/>
            <w:noWrap/>
            <w:hideMark/>
          </w:tcPr>
          <w:p w:rsidR="00C30EC3" w:rsidRPr="00C30EC3" w:rsidRDefault="00C30EC3" w:rsidP="00C30EC3">
            <w:pPr>
              <w:pStyle w:val="NoSpacing"/>
              <w:rPr>
                <w:rFonts w:ascii="Palatino Linotype" w:hAnsi="Palatino Linotype"/>
                <w:sz w:val="16"/>
                <w:lang w:val="en-GB"/>
              </w:rPr>
            </w:pPr>
            <w:r w:rsidRPr="00C30EC3">
              <w:rPr>
                <w:rFonts w:ascii="Palatino Linotype" w:hAnsi="Palatino Linotype"/>
                <w:sz w:val="16"/>
                <w:lang w:val="en-GB"/>
              </w:rPr>
              <w:t>1%</w:t>
            </w:r>
          </w:p>
        </w:tc>
        <w:tc>
          <w:tcPr>
            <w:tcW w:w="1017" w:type="dxa"/>
            <w:noWrap/>
            <w:hideMark/>
          </w:tcPr>
          <w:p w:rsidR="00C30EC3" w:rsidRPr="00C30EC3" w:rsidRDefault="00C30EC3" w:rsidP="00C30EC3">
            <w:pPr>
              <w:pStyle w:val="NoSpacing"/>
            </w:pPr>
            <w:r w:rsidRPr="00C30EC3">
              <w:rPr>
                <w:rFonts w:ascii="Palatino Linotype" w:hAnsi="Palatino Linotype"/>
                <w:sz w:val="16"/>
                <w:lang w:val="en-GB"/>
              </w:rPr>
              <w:t xml:space="preserve">$16.578.196.830,69 </w:t>
            </w:r>
          </w:p>
        </w:tc>
        <w:tc>
          <w:tcPr>
            <w:tcW w:w="1625" w:type="dxa"/>
            <w:noWrap/>
            <w:hideMark/>
          </w:tcPr>
          <w:p w:rsidR="00C30EC3" w:rsidRPr="00C30EC3" w:rsidRDefault="00C30EC3" w:rsidP="00C30EC3">
            <w:pPr>
              <w:pStyle w:val="NoSpacing"/>
              <w:rPr>
                <w:rFonts w:ascii="Palatino Linotype" w:hAnsi="Palatino Linotype"/>
                <w:sz w:val="16"/>
                <w:szCs w:val="16"/>
              </w:rPr>
            </w:pPr>
            <w:r w:rsidRPr="00C30EC3">
              <w:rPr>
                <w:rFonts w:ascii="Palatino Linotype" w:hAnsi="Palatino Linotype"/>
                <w:sz w:val="16"/>
                <w:szCs w:val="16"/>
              </w:rPr>
              <w:t xml:space="preserve"> $     632,07 </w:t>
            </w:r>
          </w:p>
        </w:tc>
      </w:tr>
      <w:tr w:rsidR="00C30EC3" w:rsidRPr="00C30EC3" w:rsidTr="00C30EC3">
        <w:trPr>
          <w:divId w:val="144276569"/>
          <w:trHeight w:val="300"/>
        </w:trPr>
        <w:tc>
          <w:tcPr>
            <w:tcW w:w="422" w:type="dxa"/>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NEDERLAND</w:t>
            </w:r>
          </w:p>
        </w:tc>
        <w:tc>
          <w:tcPr>
            <w:tcW w:w="625" w:type="dxa"/>
            <w:noWrap/>
            <w:hideMark/>
          </w:tcPr>
          <w:p w:rsidR="00C30EC3" w:rsidRPr="00C30EC3" w:rsidRDefault="00C30EC3" w:rsidP="00C30EC3">
            <w:pPr>
              <w:pStyle w:val="NoSpacing"/>
              <w:rPr>
                <w:rFonts w:ascii="Palatino Linotype" w:hAnsi="Palatino Linotype"/>
                <w:sz w:val="16"/>
              </w:rPr>
            </w:pPr>
          </w:p>
        </w:tc>
        <w:tc>
          <w:tcPr>
            <w:tcW w:w="500"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3,70</w:t>
            </w:r>
          </w:p>
        </w:tc>
        <w:tc>
          <w:tcPr>
            <w:tcW w:w="500"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4,40</w:t>
            </w:r>
          </w:p>
        </w:tc>
        <w:tc>
          <w:tcPr>
            <w:tcW w:w="500"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4,60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4,90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4,40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4,20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4,60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5,30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4,90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5,10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5,40</w:t>
            </w:r>
          </w:p>
        </w:tc>
        <w:tc>
          <w:tcPr>
            <w:tcW w:w="581"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4,68</w:t>
            </w:r>
          </w:p>
        </w:tc>
        <w:tc>
          <w:tcPr>
            <w:tcW w:w="1151"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5%</w:t>
            </w:r>
          </w:p>
        </w:tc>
        <w:tc>
          <w:tcPr>
            <w:tcW w:w="1017" w:type="dxa"/>
            <w:noWrap/>
            <w:hideMark/>
          </w:tcPr>
          <w:p w:rsidR="00C30EC3" w:rsidRPr="00C30EC3" w:rsidRDefault="00C30EC3" w:rsidP="00C30EC3">
            <w:pPr>
              <w:pStyle w:val="NoSpacing"/>
            </w:pPr>
            <w:r w:rsidRPr="00C30EC3">
              <w:rPr>
                <w:rFonts w:ascii="Palatino Linotype" w:hAnsi="Palatino Linotype"/>
                <w:sz w:val="16"/>
              </w:rPr>
              <w:t xml:space="preserve">$32.895.567.367,76 </w:t>
            </w:r>
          </w:p>
        </w:tc>
        <w:tc>
          <w:tcPr>
            <w:tcW w:w="1625" w:type="dxa"/>
            <w:noWrap/>
            <w:hideMark/>
          </w:tcPr>
          <w:p w:rsidR="00C30EC3" w:rsidRPr="00C30EC3" w:rsidRDefault="00C30EC3" w:rsidP="00C30EC3">
            <w:pPr>
              <w:pStyle w:val="NoSpacing"/>
              <w:rPr>
                <w:rFonts w:ascii="Palatino Linotype" w:hAnsi="Palatino Linotype"/>
                <w:sz w:val="16"/>
                <w:szCs w:val="16"/>
              </w:rPr>
            </w:pPr>
            <w:r w:rsidRPr="00C30EC3">
              <w:rPr>
                <w:rFonts w:ascii="Palatino Linotype" w:hAnsi="Palatino Linotype"/>
                <w:sz w:val="16"/>
                <w:szCs w:val="16"/>
              </w:rPr>
              <w:t xml:space="preserve"> $ 3.908,84 </w:t>
            </w:r>
          </w:p>
        </w:tc>
      </w:tr>
      <w:tr w:rsidR="00C30EC3" w:rsidRPr="00C30EC3" w:rsidTr="00C30EC3">
        <w:trPr>
          <w:divId w:val="144276569"/>
          <w:trHeight w:val="300"/>
        </w:trPr>
        <w:tc>
          <w:tcPr>
            <w:tcW w:w="422" w:type="dxa"/>
            <w:noWrap/>
            <w:hideMark/>
          </w:tcPr>
          <w:p w:rsidR="00C30EC3" w:rsidRPr="00C30EC3" w:rsidRDefault="00C30EC3" w:rsidP="00C30EC3">
            <w:pPr>
              <w:pStyle w:val="NoSpacing"/>
              <w:rPr>
                <w:rFonts w:ascii="Palatino Linotype" w:hAnsi="Palatino Linotype"/>
                <w:bCs/>
                <w:sz w:val="16"/>
              </w:rPr>
            </w:pPr>
            <w:r w:rsidRPr="00C30EC3">
              <w:rPr>
                <w:rFonts w:ascii="Palatino Linotype" w:hAnsi="Palatino Linotype"/>
                <w:bCs/>
                <w:sz w:val="16"/>
              </w:rPr>
              <w:t>VS</w:t>
            </w:r>
          </w:p>
        </w:tc>
        <w:tc>
          <w:tcPr>
            <w:tcW w:w="625" w:type="dxa"/>
            <w:noWrap/>
            <w:hideMark/>
          </w:tcPr>
          <w:p w:rsidR="00C30EC3" w:rsidRPr="00C30EC3" w:rsidRDefault="00C30EC3" w:rsidP="00C30EC3">
            <w:pPr>
              <w:pStyle w:val="NoSpacing"/>
              <w:rPr>
                <w:rFonts w:ascii="Palatino Linotype" w:hAnsi="Palatino Linotype"/>
                <w:sz w:val="16"/>
              </w:rPr>
            </w:pPr>
          </w:p>
        </w:tc>
        <w:tc>
          <w:tcPr>
            <w:tcW w:w="500"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3,50</w:t>
            </w:r>
          </w:p>
        </w:tc>
        <w:tc>
          <w:tcPr>
            <w:tcW w:w="500"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3,70</w:t>
            </w:r>
          </w:p>
        </w:tc>
        <w:tc>
          <w:tcPr>
            <w:tcW w:w="500"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3,50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3,40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3,50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3,40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3,80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3,90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4,00</w:t>
            </w:r>
          </w:p>
        </w:tc>
        <w:tc>
          <w:tcPr>
            <w:tcW w:w="499"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4,00</w:t>
            </w:r>
          </w:p>
        </w:tc>
        <w:tc>
          <w:tcPr>
            <w:tcW w:w="499" w:type="dxa"/>
            <w:noWrap/>
            <w:hideMark/>
          </w:tcPr>
          <w:p w:rsidR="00C30EC3" w:rsidRPr="00C30EC3" w:rsidRDefault="00C30EC3" w:rsidP="00C30EC3">
            <w:pPr>
              <w:pStyle w:val="NoSpacing"/>
              <w:rPr>
                <w:rFonts w:ascii="Palatino Linotype" w:hAnsi="Palatino Linotype"/>
                <w:sz w:val="16"/>
              </w:rPr>
            </w:pPr>
          </w:p>
        </w:tc>
        <w:tc>
          <w:tcPr>
            <w:tcW w:w="581"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3,67</w:t>
            </w:r>
          </w:p>
        </w:tc>
        <w:tc>
          <w:tcPr>
            <w:tcW w:w="1151" w:type="dxa"/>
            <w:noWrap/>
            <w:hideMark/>
          </w:tcPr>
          <w:p w:rsidR="00C30EC3" w:rsidRPr="00C30EC3" w:rsidRDefault="00C30EC3" w:rsidP="00C30EC3">
            <w:pPr>
              <w:pStyle w:val="NoSpacing"/>
              <w:rPr>
                <w:rFonts w:ascii="Palatino Linotype" w:hAnsi="Palatino Linotype"/>
                <w:sz w:val="16"/>
              </w:rPr>
            </w:pPr>
            <w:r w:rsidRPr="00C30EC3">
              <w:rPr>
                <w:rFonts w:ascii="Palatino Linotype" w:hAnsi="Palatino Linotype"/>
                <w:sz w:val="16"/>
              </w:rPr>
              <w:t>4%</w:t>
            </w:r>
          </w:p>
        </w:tc>
        <w:tc>
          <w:tcPr>
            <w:tcW w:w="1017" w:type="dxa"/>
            <w:noWrap/>
            <w:hideMark/>
          </w:tcPr>
          <w:p w:rsidR="00C30EC3" w:rsidRPr="00C30EC3" w:rsidRDefault="00C30EC3" w:rsidP="00C30EC3">
            <w:pPr>
              <w:pStyle w:val="NoSpacing"/>
            </w:pPr>
            <w:r w:rsidRPr="00C30EC3">
              <w:rPr>
                <w:rFonts w:ascii="Palatino Linotype" w:hAnsi="Palatino Linotype"/>
                <w:sz w:val="16"/>
              </w:rPr>
              <w:t xml:space="preserve">$507.387.175.454,55 </w:t>
            </w:r>
          </w:p>
        </w:tc>
        <w:tc>
          <w:tcPr>
            <w:tcW w:w="1625" w:type="dxa"/>
            <w:noWrap/>
            <w:hideMark/>
          </w:tcPr>
          <w:p w:rsidR="00C30EC3" w:rsidRPr="00C30EC3" w:rsidRDefault="00C30EC3" w:rsidP="00C30EC3">
            <w:pPr>
              <w:pStyle w:val="NoSpacing"/>
              <w:rPr>
                <w:rFonts w:ascii="Palatino Linotype" w:hAnsi="Palatino Linotype"/>
                <w:sz w:val="16"/>
                <w:szCs w:val="16"/>
              </w:rPr>
            </w:pPr>
            <w:r w:rsidRPr="00C30EC3">
              <w:rPr>
                <w:rFonts w:ascii="Palatino Linotype" w:hAnsi="Palatino Linotype"/>
                <w:sz w:val="16"/>
                <w:szCs w:val="16"/>
              </w:rPr>
              <w:t xml:space="preserve"> $ 3.517,11 </w:t>
            </w:r>
          </w:p>
        </w:tc>
      </w:tr>
    </w:tbl>
    <w:p w:rsidR="00EF0DFA" w:rsidRDefault="00EF0DFA" w:rsidP="003B6142">
      <w:pPr>
        <w:pStyle w:val="NoSpacing"/>
        <w:rPr>
          <w:rFonts w:ascii="Palatino Linotype" w:hAnsi="Palatino Linotype"/>
          <w:b/>
        </w:rPr>
      </w:pPr>
      <w:r>
        <w:rPr>
          <w:rFonts w:ascii="Palatino Linotype" w:hAnsi="Palatino Linotype"/>
          <w:b/>
        </w:rPr>
        <w:fldChar w:fldCharType="end"/>
      </w:r>
    </w:p>
    <w:tbl>
      <w:tblPr>
        <w:tblStyle w:val="TableGrid"/>
        <w:tblW w:w="0" w:type="auto"/>
        <w:tblLook w:val="04A0" w:firstRow="1" w:lastRow="0" w:firstColumn="1" w:lastColumn="0" w:noHBand="0" w:noVBand="1"/>
      </w:tblPr>
      <w:tblGrid>
        <w:gridCol w:w="732"/>
        <w:gridCol w:w="242"/>
        <w:gridCol w:w="540"/>
        <w:gridCol w:w="635"/>
        <w:gridCol w:w="559"/>
        <w:gridCol w:w="755"/>
        <w:gridCol w:w="755"/>
        <w:gridCol w:w="755"/>
        <w:gridCol w:w="755"/>
        <w:gridCol w:w="755"/>
        <w:gridCol w:w="755"/>
        <w:gridCol w:w="755"/>
        <w:gridCol w:w="540"/>
        <w:gridCol w:w="755"/>
      </w:tblGrid>
      <w:tr w:rsidR="003A0EC8" w:rsidRPr="00B17C88" w:rsidTr="00B17C88">
        <w:trPr>
          <w:trHeight w:val="300"/>
        </w:trPr>
        <w:tc>
          <w:tcPr>
            <w:tcW w:w="993" w:type="dxa"/>
            <w:gridSpan w:val="2"/>
            <w:noWrap/>
            <w:hideMark/>
          </w:tcPr>
          <w:p w:rsidR="00B17C88" w:rsidRPr="00B17C88" w:rsidRDefault="00BF14E4" w:rsidP="00B17C88">
            <w:pPr>
              <w:pStyle w:val="NoSpacing"/>
              <w:rPr>
                <w:rFonts w:ascii="Palatino Linotype" w:hAnsi="Palatino Linotype"/>
                <w:bCs/>
                <w:sz w:val="16"/>
                <w:szCs w:val="16"/>
              </w:rPr>
            </w:pPr>
            <w:r>
              <w:rPr>
                <w:rFonts w:ascii="Palatino Linotype" w:hAnsi="Palatino Linotype"/>
                <w:bCs/>
                <w:sz w:val="16"/>
                <w:szCs w:val="16"/>
              </w:rPr>
              <w:t>UITK.</w:t>
            </w:r>
            <w:r w:rsidR="00B17C88" w:rsidRPr="00B17C88">
              <w:rPr>
                <w:rFonts w:ascii="Palatino Linotype" w:hAnsi="Palatino Linotype"/>
                <w:bCs/>
                <w:sz w:val="16"/>
                <w:szCs w:val="16"/>
              </w:rPr>
              <w:t xml:space="preserve"> %GDP</w:t>
            </w:r>
          </w:p>
        </w:tc>
        <w:tc>
          <w:tcPr>
            <w:tcW w:w="553" w:type="dxa"/>
            <w:noWrap/>
            <w:hideMark/>
          </w:tcPr>
          <w:p w:rsidR="00B17C88" w:rsidRPr="00B17C88" w:rsidRDefault="00B17C88" w:rsidP="00B17C88">
            <w:pPr>
              <w:pStyle w:val="NoSpacing"/>
              <w:rPr>
                <w:rFonts w:ascii="Palatino Linotype" w:hAnsi="Palatino Linotype"/>
                <w:sz w:val="16"/>
                <w:szCs w:val="16"/>
              </w:rPr>
            </w:pPr>
          </w:p>
        </w:tc>
        <w:tc>
          <w:tcPr>
            <w:tcW w:w="651" w:type="dxa"/>
            <w:noWrap/>
            <w:hideMark/>
          </w:tcPr>
          <w:p w:rsidR="00B17C88" w:rsidRPr="00B17C88" w:rsidRDefault="00B17C88" w:rsidP="00B17C88">
            <w:pPr>
              <w:pStyle w:val="NoSpacing"/>
              <w:rPr>
                <w:rFonts w:ascii="Palatino Linotype" w:hAnsi="Palatino Linotype"/>
                <w:sz w:val="16"/>
                <w:szCs w:val="16"/>
              </w:rPr>
            </w:pPr>
          </w:p>
        </w:tc>
        <w:tc>
          <w:tcPr>
            <w:tcW w:w="572" w:type="dxa"/>
            <w:noWrap/>
            <w:hideMark/>
          </w:tcPr>
          <w:p w:rsidR="00B17C88" w:rsidRPr="00B17C88" w:rsidRDefault="00B17C88" w:rsidP="00B17C88">
            <w:pPr>
              <w:pStyle w:val="NoSpacing"/>
              <w:rPr>
                <w:rFonts w:ascii="Palatino Linotype" w:hAnsi="Palatino Linotype"/>
                <w:sz w:val="16"/>
                <w:szCs w:val="16"/>
              </w:rPr>
            </w:pPr>
          </w:p>
        </w:tc>
        <w:tc>
          <w:tcPr>
            <w:tcW w:w="672" w:type="dxa"/>
            <w:noWrap/>
            <w:hideMark/>
          </w:tcPr>
          <w:p w:rsidR="00B17C88" w:rsidRPr="00B17C88" w:rsidRDefault="00B17C88" w:rsidP="00B17C88">
            <w:pPr>
              <w:pStyle w:val="NoSpacing"/>
              <w:rPr>
                <w:rFonts w:ascii="Palatino Linotype" w:hAnsi="Palatino Linotype"/>
                <w:sz w:val="16"/>
                <w:szCs w:val="16"/>
              </w:rPr>
            </w:pPr>
          </w:p>
        </w:tc>
        <w:tc>
          <w:tcPr>
            <w:tcW w:w="672" w:type="dxa"/>
            <w:noWrap/>
            <w:hideMark/>
          </w:tcPr>
          <w:p w:rsidR="00B17C88" w:rsidRPr="00B17C88" w:rsidRDefault="00B17C88" w:rsidP="00B17C88">
            <w:pPr>
              <w:pStyle w:val="NoSpacing"/>
              <w:rPr>
                <w:rFonts w:ascii="Palatino Linotype" w:hAnsi="Palatino Linotype"/>
                <w:sz w:val="16"/>
                <w:szCs w:val="16"/>
              </w:rPr>
            </w:pPr>
          </w:p>
        </w:tc>
        <w:tc>
          <w:tcPr>
            <w:tcW w:w="672" w:type="dxa"/>
            <w:noWrap/>
            <w:hideMark/>
          </w:tcPr>
          <w:p w:rsidR="00B17C88" w:rsidRPr="00B17C88" w:rsidRDefault="00B17C88" w:rsidP="00B17C88">
            <w:pPr>
              <w:pStyle w:val="NoSpacing"/>
              <w:rPr>
                <w:rFonts w:ascii="Palatino Linotype" w:hAnsi="Palatino Linotype"/>
                <w:sz w:val="16"/>
                <w:szCs w:val="16"/>
              </w:rPr>
            </w:pPr>
          </w:p>
        </w:tc>
        <w:tc>
          <w:tcPr>
            <w:tcW w:w="672" w:type="dxa"/>
            <w:noWrap/>
            <w:hideMark/>
          </w:tcPr>
          <w:p w:rsidR="00B17C88" w:rsidRPr="00B17C88" w:rsidRDefault="00B17C88" w:rsidP="00B17C88">
            <w:pPr>
              <w:pStyle w:val="NoSpacing"/>
              <w:rPr>
                <w:rFonts w:ascii="Palatino Linotype" w:hAnsi="Palatino Linotype"/>
                <w:sz w:val="16"/>
                <w:szCs w:val="16"/>
              </w:rPr>
            </w:pPr>
          </w:p>
        </w:tc>
        <w:tc>
          <w:tcPr>
            <w:tcW w:w="672" w:type="dxa"/>
            <w:noWrap/>
            <w:hideMark/>
          </w:tcPr>
          <w:p w:rsidR="00B17C88" w:rsidRPr="00B17C88" w:rsidRDefault="00B17C88" w:rsidP="00B17C88">
            <w:pPr>
              <w:pStyle w:val="NoSpacing"/>
              <w:rPr>
                <w:rFonts w:ascii="Palatino Linotype" w:hAnsi="Palatino Linotype"/>
                <w:sz w:val="16"/>
                <w:szCs w:val="16"/>
              </w:rPr>
            </w:pPr>
          </w:p>
        </w:tc>
        <w:tc>
          <w:tcPr>
            <w:tcW w:w="672" w:type="dxa"/>
            <w:noWrap/>
            <w:hideMark/>
          </w:tcPr>
          <w:p w:rsidR="00B17C88" w:rsidRPr="00B17C88" w:rsidRDefault="00B17C88" w:rsidP="00B17C88">
            <w:pPr>
              <w:pStyle w:val="NoSpacing"/>
              <w:rPr>
                <w:rFonts w:ascii="Palatino Linotype" w:hAnsi="Palatino Linotype"/>
                <w:sz w:val="16"/>
                <w:szCs w:val="16"/>
              </w:rPr>
            </w:pPr>
          </w:p>
        </w:tc>
        <w:tc>
          <w:tcPr>
            <w:tcW w:w="672" w:type="dxa"/>
            <w:noWrap/>
            <w:hideMark/>
          </w:tcPr>
          <w:p w:rsidR="00B17C88" w:rsidRPr="00B17C88" w:rsidRDefault="00B17C88" w:rsidP="00B17C88">
            <w:pPr>
              <w:pStyle w:val="NoSpacing"/>
              <w:rPr>
                <w:rFonts w:ascii="Palatino Linotype" w:hAnsi="Palatino Linotype"/>
                <w:sz w:val="16"/>
                <w:szCs w:val="16"/>
              </w:rPr>
            </w:pPr>
          </w:p>
        </w:tc>
        <w:tc>
          <w:tcPr>
            <w:tcW w:w="553" w:type="dxa"/>
            <w:noWrap/>
            <w:hideMark/>
          </w:tcPr>
          <w:p w:rsidR="00B17C88" w:rsidRPr="00B17C88" w:rsidRDefault="00B17C88" w:rsidP="00B17C88">
            <w:pPr>
              <w:pStyle w:val="NoSpacing"/>
              <w:rPr>
                <w:rFonts w:ascii="Palatino Linotype" w:hAnsi="Palatino Linotype"/>
                <w:sz w:val="16"/>
                <w:szCs w:val="16"/>
              </w:rPr>
            </w:pPr>
          </w:p>
        </w:tc>
        <w:tc>
          <w:tcPr>
            <w:tcW w:w="672" w:type="dxa"/>
            <w:noWrap/>
            <w:hideMark/>
          </w:tcPr>
          <w:p w:rsidR="00B17C88" w:rsidRPr="00B17C88" w:rsidRDefault="00B17C88" w:rsidP="00B17C88">
            <w:pPr>
              <w:pStyle w:val="NoSpacing"/>
              <w:rPr>
                <w:rFonts w:ascii="Palatino Linotype" w:hAnsi="Palatino Linotype"/>
                <w:sz w:val="16"/>
                <w:szCs w:val="16"/>
              </w:rPr>
            </w:pPr>
          </w:p>
        </w:tc>
      </w:tr>
      <w:tr w:rsidR="003A0EC8" w:rsidRPr="00B17C88" w:rsidTr="00B17C88">
        <w:trPr>
          <w:trHeight w:val="300"/>
        </w:trPr>
        <w:tc>
          <w:tcPr>
            <w:tcW w:w="751" w:type="dxa"/>
            <w:noWrap/>
            <w:hideMark/>
          </w:tcPr>
          <w:p w:rsidR="00B17C88" w:rsidRPr="00B17C88" w:rsidRDefault="00B17C88" w:rsidP="00B17C88">
            <w:pPr>
              <w:pStyle w:val="NoSpacing"/>
              <w:rPr>
                <w:rFonts w:ascii="Palatino Linotype" w:hAnsi="Palatino Linotype"/>
                <w:sz w:val="16"/>
                <w:szCs w:val="16"/>
              </w:rPr>
            </w:pPr>
          </w:p>
        </w:tc>
        <w:tc>
          <w:tcPr>
            <w:tcW w:w="242" w:type="dxa"/>
            <w:noWrap/>
            <w:hideMark/>
          </w:tcPr>
          <w:p w:rsidR="00B17C88" w:rsidRPr="00B17C88" w:rsidRDefault="00B17C88" w:rsidP="00B17C88">
            <w:pPr>
              <w:pStyle w:val="NoSpacing"/>
              <w:rPr>
                <w:rFonts w:ascii="Palatino Linotype" w:hAnsi="Palatino Linotype"/>
                <w:sz w:val="16"/>
                <w:szCs w:val="16"/>
              </w:rPr>
            </w:pPr>
          </w:p>
        </w:tc>
        <w:tc>
          <w:tcPr>
            <w:tcW w:w="553" w:type="dxa"/>
            <w:noWrap/>
            <w:hideMark/>
          </w:tcPr>
          <w:p w:rsidR="00B17C88" w:rsidRPr="00B17C88" w:rsidRDefault="00B17C88" w:rsidP="00B17C88">
            <w:pPr>
              <w:pStyle w:val="NoSpacing"/>
              <w:rPr>
                <w:rFonts w:ascii="Palatino Linotype" w:hAnsi="Palatino Linotype"/>
                <w:bCs/>
                <w:sz w:val="16"/>
                <w:szCs w:val="16"/>
              </w:rPr>
            </w:pPr>
            <w:r w:rsidRPr="00B17C88">
              <w:rPr>
                <w:rFonts w:ascii="Palatino Linotype" w:hAnsi="Palatino Linotype"/>
                <w:bCs/>
                <w:sz w:val="16"/>
                <w:szCs w:val="16"/>
              </w:rPr>
              <w:t>2002</w:t>
            </w:r>
          </w:p>
        </w:tc>
        <w:tc>
          <w:tcPr>
            <w:tcW w:w="651" w:type="dxa"/>
            <w:noWrap/>
            <w:hideMark/>
          </w:tcPr>
          <w:p w:rsidR="00B17C88" w:rsidRPr="00B17C88" w:rsidRDefault="00B17C88" w:rsidP="00B17C88">
            <w:pPr>
              <w:pStyle w:val="NoSpacing"/>
              <w:rPr>
                <w:rFonts w:ascii="Palatino Linotype" w:hAnsi="Palatino Linotype"/>
                <w:bCs/>
                <w:sz w:val="16"/>
                <w:szCs w:val="16"/>
              </w:rPr>
            </w:pPr>
            <w:r w:rsidRPr="00B17C88">
              <w:rPr>
                <w:rFonts w:ascii="Palatino Linotype" w:hAnsi="Palatino Linotype"/>
                <w:bCs/>
                <w:sz w:val="16"/>
                <w:szCs w:val="16"/>
              </w:rPr>
              <w:t>2003</w:t>
            </w:r>
          </w:p>
        </w:tc>
        <w:tc>
          <w:tcPr>
            <w:tcW w:w="572" w:type="dxa"/>
            <w:noWrap/>
            <w:hideMark/>
          </w:tcPr>
          <w:p w:rsidR="00B17C88" w:rsidRPr="00B17C88" w:rsidRDefault="00B17C88" w:rsidP="00B17C88">
            <w:pPr>
              <w:pStyle w:val="NoSpacing"/>
              <w:rPr>
                <w:rFonts w:ascii="Palatino Linotype" w:hAnsi="Palatino Linotype"/>
                <w:bCs/>
                <w:sz w:val="16"/>
                <w:szCs w:val="16"/>
              </w:rPr>
            </w:pPr>
            <w:r w:rsidRPr="00B17C88">
              <w:rPr>
                <w:rFonts w:ascii="Palatino Linotype" w:hAnsi="Palatino Linotype"/>
                <w:bCs/>
                <w:sz w:val="16"/>
                <w:szCs w:val="16"/>
              </w:rPr>
              <w:t>2004</w:t>
            </w:r>
          </w:p>
        </w:tc>
        <w:tc>
          <w:tcPr>
            <w:tcW w:w="672" w:type="dxa"/>
            <w:noWrap/>
            <w:hideMark/>
          </w:tcPr>
          <w:p w:rsidR="00B17C88" w:rsidRPr="00B17C88" w:rsidRDefault="00B17C88" w:rsidP="00B17C88">
            <w:pPr>
              <w:pStyle w:val="NoSpacing"/>
              <w:rPr>
                <w:rFonts w:ascii="Palatino Linotype" w:hAnsi="Palatino Linotype"/>
                <w:bCs/>
                <w:sz w:val="16"/>
                <w:szCs w:val="16"/>
              </w:rPr>
            </w:pPr>
            <w:r w:rsidRPr="00B17C88">
              <w:rPr>
                <w:rFonts w:ascii="Palatino Linotype" w:hAnsi="Palatino Linotype"/>
                <w:bCs/>
                <w:sz w:val="16"/>
                <w:szCs w:val="16"/>
              </w:rPr>
              <w:t>2005</w:t>
            </w:r>
          </w:p>
        </w:tc>
        <w:tc>
          <w:tcPr>
            <w:tcW w:w="672" w:type="dxa"/>
            <w:noWrap/>
            <w:hideMark/>
          </w:tcPr>
          <w:p w:rsidR="00B17C88" w:rsidRPr="00B17C88" w:rsidRDefault="00B17C88" w:rsidP="00B17C88">
            <w:pPr>
              <w:pStyle w:val="NoSpacing"/>
              <w:rPr>
                <w:rFonts w:ascii="Palatino Linotype" w:hAnsi="Palatino Linotype"/>
                <w:bCs/>
                <w:sz w:val="16"/>
                <w:szCs w:val="16"/>
              </w:rPr>
            </w:pPr>
            <w:r w:rsidRPr="00B17C88">
              <w:rPr>
                <w:rFonts w:ascii="Palatino Linotype" w:hAnsi="Palatino Linotype"/>
                <w:bCs/>
                <w:sz w:val="16"/>
                <w:szCs w:val="16"/>
              </w:rPr>
              <w:t>2006</w:t>
            </w:r>
          </w:p>
        </w:tc>
        <w:tc>
          <w:tcPr>
            <w:tcW w:w="672" w:type="dxa"/>
            <w:noWrap/>
            <w:hideMark/>
          </w:tcPr>
          <w:p w:rsidR="00B17C88" w:rsidRPr="00B17C88" w:rsidRDefault="00B17C88" w:rsidP="00B17C88">
            <w:pPr>
              <w:pStyle w:val="NoSpacing"/>
              <w:rPr>
                <w:rFonts w:ascii="Palatino Linotype" w:hAnsi="Palatino Linotype"/>
                <w:bCs/>
                <w:sz w:val="16"/>
                <w:szCs w:val="16"/>
              </w:rPr>
            </w:pPr>
            <w:r w:rsidRPr="00B17C88">
              <w:rPr>
                <w:rFonts w:ascii="Palatino Linotype" w:hAnsi="Palatino Linotype"/>
                <w:bCs/>
                <w:sz w:val="16"/>
                <w:szCs w:val="16"/>
              </w:rPr>
              <w:t>2007</w:t>
            </w:r>
          </w:p>
        </w:tc>
        <w:tc>
          <w:tcPr>
            <w:tcW w:w="672" w:type="dxa"/>
            <w:noWrap/>
            <w:hideMark/>
          </w:tcPr>
          <w:p w:rsidR="00B17C88" w:rsidRPr="00B17C88" w:rsidRDefault="00B17C88" w:rsidP="00B17C88">
            <w:pPr>
              <w:pStyle w:val="NoSpacing"/>
              <w:rPr>
                <w:rFonts w:ascii="Palatino Linotype" w:hAnsi="Palatino Linotype"/>
                <w:bCs/>
                <w:sz w:val="16"/>
                <w:szCs w:val="16"/>
              </w:rPr>
            </w:pPr>
            <w:r w:rsidRPr="00B17C88">
              <w:rPr>
                <w:rFonts w:ascii="Palatino Linotype" w:hAnsi="Palatino Linotype"/>
                <w:bCs/>
                <w:sz w:val="16"/>
                <w:szCs w:val="16"/>
              </w:rPr>
              <w:t>2008</w:t>
            </w:r>
          </w:p>
        </w:tc>
        <w:tc>
          <w:tcPr>
            <w:tcW w:w="672" w:type="dxa"/>
            <w:noWrap/>
            <w:hideMark/>
          </w:tcPr>
          <w:p w:rsidR="00B17C88" w:rsidRPr="00B17C88" w:rsidRDefault="00B17C88" w:rsidP="00B17C88">
            <w:pPr>
              <w:pStyle w:val="NoSpacing"/>
              <w:rPr>
                <w:rFonts w:ascii="Palatino Linotype" w:hAnsi="Palatino Linotype"/>
                <w:bCs/>
                <w:sz w:val="16"/>
                <w:szCs w:val="16"/>
              </w:rPr>
            </w:pPr>
            <w:r w:rsidRPr="00B17C88">
              <w:rPr>
                <w:rFonts w:ascii="Palatino Linotype" w:hAnsi="Palatino Linotype"/>
                <w:bCs/>
                <w:sz w:val="16"/>
                <w:szCs w:val="16"/>
              </w:rPr>
              <w:t>2009</w:t>
            </w:r>
          </w:p>
        </w:tc>
        <w:tc>
          <w:tcPr>
            <w:tcW w:w="672" w:type="dxa"/>
            <w:noWrap/>
            <w:hideMark/>
          </w:tcPr>
          <w:p w:rsidR="00B17C88" w:rsidRPr="00B17C88" w:rsidRDefault="00B17C88" w:rsidP="00B17C88">
            <w:pPr>
              <w:pStyle w:val="NoSpacing"/>
              <w:rPr>
                <w:rFonts w:ascii="Palatino Linotype" w:hAnsi="Palatino Linotype"/>
                <w:bCs/>
                <w:sz w:val="16"/>
                <w:szCs w:val="16"/>
              </w:rPr>
            </w:pPr>
            <w:r w:rsidRPr="00B17C88">
              <w:rPr>
                <w:rFonts w:ascii="Palatino Linotype" w:hAnsi="Palatino Linotype"/>
                <w:bCs/>
                <w:sz w:val="16"/>
                <w:szCs w:val="16"/>
              </w:rPr>
              <w:t>2010</w:t>
            </w:r>
          </w:p>
        </w:tc>
        <w:tc>
          <w:tcPr>
            <w:tcW w:w="672" w:type="dxa"/>
            <w:noWrap/>
            <w:hideMark/>
          </w:tcPr>
          <w:p w:rsidR="00B17C88" w:rsidRPr="00B17C88" w:rsidRDefault="00B17C88" w:rsidP="00B17C88">
            <w:pPr>
              <w:pStyle w:val="NoSpacing"/>
              <w:rPr>
                <w:rFonts w:ascii="Palatino Linotype" w:hAnsi="Palatino Linotype"/>
                <w:bCs/>
                <w:sz w:val="16"/>
                <w:szCs w:val="16"/>
              </w:rPr>
            </w:pPr>
            <w:r w:rsidRPr="00B17C88">
              <w:rPr>
                <w:rFonts w:ascii="Palatino Linotype" w:hAnsi="Palatino Linotype"/>
                <w:bCs/>
                <w:sz w:val="16"/>
                <w:szCs w:val="16"/>
              </w:rPr>
              <w:t>2011</w:t>
            </w:r>
          </w:p>
        </w:tc>
        <w:tc>
          <w:tcPr>
            <w:tcW w:w="553" w:type="dxa"/>
            <w:noWrap/>
            <w:hideMark/>
          </w:tcPr>
          <w:p w:rsidR="00B17C88" w:rsidRPr="00B17C88" w:rsidRDefault="00B17C88" w:rsidP="00B17C88">
            <w:pPr>
              <w:pStyle w:val="NoSpacing"/>
              <w:rPr>
                <w:rFonts w:ascii="Palatino Linotype" w:hAnsi="Palatino Linotype"/>
                <w:bCs/>
                <w:sz w:val="16"/>
                <w:szCs w:val="16"/>
              </w:rPr>
            </w:pPr>
            <w:r w:rsidRPr="00B17C88">
              <w:rPr>
                <w:rFonts w:ascii="Palatino Linotype" w:hAnsi="Palatino Linotype"/>
                <w:bCs/>
                <w:sz w:val="16"/>
                <w:szCs w:val="16"/>
              </w:rPr>
              <w:t>2012</w:t>
            </w:r>
          </w:p>
        </w:tc>
        <w:tc>
          <w:tcPr>
            <w:tcW w:w="672" w:type="dxa"/>
            <w:noWrap/>
            <w:hideMark/>
          </w:tcPr>
          <w:p w:rsidR="00B17C88" w:rsidRPr="00B17C88" w:rsidRDefault="00B17C88" w:rsidP="00B17C88">
            <w:pPr>
              <w:pStyle w:val="NoSpacing"/>
              <w:rPr>
                <w:rFonts w:ascii="Palatino Linotype" w:hAnsi="Palatino Linotype"/>
                <w:bCs/>
                <w:sz w:val="16"/>
                <w:szCs w:val="16"/>
              </w:rPr>
            </w:pPr>
          </w:p>
        </w:tc>
      </w:tr>
      <w:tr w:rsidR="003A0EC8" w:rsidRPr="00B17C88" w:rsidTr="00B17C88">
        <w:trPr>
          <w:trHeight w:val="300"/>
        </w:trPr>
        <w:tc>
          <w:tcPr>
            <w:tcW w:w="751" w:type="dxa"/>
            <w:noWrap/>
            <w:hideMark/>
          </w:tcPr>
          <w:p w:rsidR="00B17C88" w:rsidRPr="00B17C88" w:rsidRDefault="00B17C88" w:rsidP="00B17C88">
            <w:pPr>
              <w:pStyle w:val="NoSpacing"/>
              <w:rPr>
                <w:rFonts w:ascii="Palatino Linotype" w:hAnsi="Palatino Linotype"/>
                <w:bCs/>
                <w:sz w:val="16"/>
                <w:szCs w:val="16"/>
              </w:rPr>
            </w:pPr>
            <w:r>
              <w:rPr>
                <w:rFonts w:ascii="Palatino Linotype" w:hAnsi="Palatino Linotype"/>
                <w:bCs/>
                <w:sz w:val="16"/>
                <w:szCs w:val="16"/>
              </w:rPr>
              <w:t>CL</w:t>
            </w:r>
          </w:p>
        </w:tc>
        <w:tc>
          <w:tcPr>
            <w:tcW w:w="242" w:type="dxa"/>
            <w:noWrap/>
            <w:hideMark/>
          </w:tcPr>
          <w:p w:rsidR="00B17C88" w:rsidRPr="00B17C88" w:rsidRDefault="00B17C88" w:rsidP="00B17C88">
            <w:pPr>
              <w:pStyle w:val="NoSpacing"/>
              <w:rPr>
                <w:rFonts w:ascii="Palatino Linotype" w:hAnsi="Palatino Linotype"/>
                <w:sz w:val="16"/>
                <w:szCs w:val="16"/>
              </w:rPr>
            </w:pPr>
          </w:p>
        </w:tc>
        <w:tc>
          <w:tcPr>
            <w:tcW w:w="553"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0,8</w:t>
            </w:r>
          </w:p>
        </w:tc>
        <w:tc>
          <w:tcPr>
            <w:tcW w:w="651"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0,8</w:t>
            </w:r>
          </w:p>
        </w:tc>
        <w:tc>
          <w:tcPr>
            <w:tcW w:w="5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0,8</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0,8</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0,8</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0,9</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0,9</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0,8</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0,9</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1,1</w:t>
            </w:r>
          </w:p>
        </w:tc>
        <w:tc>
          <w:tcPr>
            <w:tcW w:w="553"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1</w:t>
            </w:r>
          </w:p>
        </w:tc>
        <w:tc>
          <w:tcPr>
            <w:tcW w:w="672" w:type="dxa"/>
            <w:noWrap/>
            <w:hideMark/>
          </w:tcPr>
          <w:p w:rsidR="00B17C88" w:rsidRPr="00B17C88" w:rsidRDefault="00B17C88" w:rsidP="00B17C88">
            <w:pPr>
              <w:pStyle w:val="NoSpacing"/>
              <w:rPr>
                <w:rFonts w:ascii="Palatino Linotype" w:hAnsi="Palatino Linotype"/>
                <w:sz w:val="16"/>
                <w:szCs w:val="16"/>
              </w:rPr>
            </w:pPr>
          </w:p>
        </w:tc>
      </w:tr>
      <w:tr w:rsidR="003A0EC8" w:rsidRPr="00B17C88" w:rsidTr="00B17C88">
        <w:trPr>
          <w:trHeight w:val="300"/>
        </w:trPr>
        <w:tc>
          <w:tcPr>
            <w:tcW w:w="1546" w:type="dxa"/>
            <w:gridSpan w:val="3"/>
            <w:noWrap/>
            <w:hideMark/>
          </w:tcPr>
          <w:p w:rsidR="00B17C88" w:rsidRPr="00B17C88" w:rsidRDefault="00B17C88" w:rsidP="00B17C88">
            <w:pPr>
              <w:pStyle w:val="NoSpacing"/>
              <w:rPr>
                <w:rFonts w:ascii="Palatino Linotype" w:hAnsi="Palatino Linotype"/>
                <w:bCs/>
                <w:sz w:val="16"/>
                <w:szCs w:val="16"/>
              </w:rPr>
            </w:pPr>
            <w:r>
              <w:rPr>
                <w:rFonts w:ascii="Palatino Linotype" w:hAnsi="Palatino Linotype"/>
                <w:bCs/>
                <w:sz w:val="16"/>
                <w:szCs w:val="16"/>
              </w:rPr>
              <w:t>FR:*</w:t>
            </w:r>
            <w:r w:rsidR="003A0EC8">
              <w:rPr>
                <w:rFonts w:ascii="Palatino Linotype" w:hAnsi="Palatino Linotype"/>
                <w:bCs/>
                <w:sz w:val="16"/>
                <w:szCs w:val="16"/>
              </w:rPr>
              <w:t xml:space="preserve"> (€)</w:t>
            </w:r>
          </w:p>
        </w:tc>
        <w:tc>
          <w:tcPr>
            <w:tcW w:w="651" w:type="dxa"/>
            <w:noWrap/>
            <w:hideMark/>
          </w:tcPr>
          <w:p w:rsidR="00B17C88" w:rsidRPr="00B17C88" w:rsidRDefault="00B17C88" w:rsidP="00B17C88">
            <w:pPr>
              <w:pStyle w:val="NoSpacing"/>
              <w:rPr>
                <w:rFonts w:ascii="Palatino Linotype" w:hAnsi="Palatino Linotype"/>
                <w:sz w:val="16"/>
                <w:szCs w:val="16"/>
              </w:rPr>
            </w:pPr>
          </w:p>
        </w:tc>
        <w:tc>
          <w:tcPr>
            <w:tcW w:w="572" w:type="dxa"/>
            <w:noWrap/>
            <w:hideMark/>
          </w:tcPr>
          <w:p w:rsidR="00B17C88" w:rsidRPr="00B17C88" w:rsidRDefault="00B17C88" w:rsidP="00B17C88">
            <w:pPr>
              <w:pStyle w:val="NoSpacing"/>
              <w:rPr>
                <w:rFonts w:ascii="Palatino Linotype" w:hAnsi="Palatino Linotype"/>
                <w:sz w:val="16"/>
                <w:szCs w:val="16"/>
              </w:rPr>
            </w:pP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1.062,46</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1.099,53</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1.134,73</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1.173,82</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1.193,67</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1.216,45</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1.255,88</w:t>
            </w:r>
          </w:p>
        </w:tc>
        <w:tc>
          <w:tcPr>
            <w:tcW w:w="553" w:type="dxa"/>
            <w:noWrap/>
            <w:hideMark/>
          </w:tcPr>
          <w:p w:rsidR="00B17C88" w:rsidRPr="00B17C88" w:rsidRDefault="00B17C88" w:rsidP="00B17C88">
            <w:pPr>
              <w:pStyle w:val="NoSpacing"/>
              <w:rPr>
                <w:rFonts w:ascii="Palatino Linotype" w:hAnsi="Palatino Linotype"/>
                <w:sz w:val="16"/>
                <w:szCs w:val="16"/>
              </w:rPr>
            </w:pP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1.162,36</w:t>
            </w:r>
          </w:p>
        </w:tc>
      </w:tr>
      <w:tr w:rsidR="003A0EC8" w:rsidRPr="00B17C88" w:rsidTr="00B17C88">
        <w:trPr>
          <w:trHeight w:val="300"/>
        </w:trPr>
        <w:tc>
          <w:tcPr>
            <w:tcW w:w="751" w:type="dxa"/>
            <w:noWrap/>
            <w:hideMark/>
          </w:tcPr>
          <w:p w:rsidR="00B17C88" w:rsidRPr="00B17C88" w:rsidRDefault="00B17C88" w:rsidP="00B17C88">
            <w:pPr>
              <w:pStyle w:val="NoSpacing"/>
              <w:rPr>
                <w:rFonts w:ascii="Palatino Linotype" w:hAnsi="Palatino Linotype"/>
                <w:bCs/>
                <w:sz w:val="16"/>
                <w:szCs w:val="16"/>
              </w:rPr>
            </w:pPr>
            <w:r w:rsidRPr="00B17C88">
              <w:rPr>
                <w:rFonts w:ascii="Palatino Linotype" w:hAnsi="Palatino Linotype"/>
                <w:bCs/>
                <w:sz w:val="16"/>
                <w:szCs w:val="16"/>
              </w:rPr>
              <w:t>N</w:t>
            </w:r>
            <w:r>
              <w:rPr>
                <w:rFonts w:ascii="Palatino Linotype" w:hAnsi="Palatino Linotype"/>
                <w:bCs/>
                <w:sz w:val="16"/>
                <w:szCs w:val="16"/>
              </w:rPr>
              <w:t>L</w:t>
            </w:r>
          </w:p>
        </w:tc>
        <w:tc>
          <w:tcPr>
            <w:tcW w:w="242" w:type="dxa"/>
            <w:noWrap/>
            <w:hideMark/>
          </w:tcPr>
          <w:p w:rsidR="00B17C88" w:rsidRPr="00B17C88" w:rsidRDefault="00B17C88" w:rsidP="00B17C88">
            <w:pPr>
              <w:pStyle w:val="NoSpacing"/>
              <w:rPr>
                <w:rFonts w:ascii="Palatino Linotype" w:hAnsi="Palatino Linotype"/>
                <w:sz w:val="16"/>
                <w:szCs w:val="16"/>
              </w:rPr>
            </w:pPr>
          </w:p>
        </w:tc>
        <w:tc>
          <w:tcPr>
            <w:tcW w:w="553"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3,1</w:t>
            </w:r>
          </w:p>
        </w:tc>
        <w:tc>
          <w:tcPr>
            <w:tcW w:w="651"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3,2</w:t>
            </w:r>
          </w:p>
        </w:tc>
        <w:tc>
          <w:tcPr>
            <w:tcW w:w="5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3,4</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3,5</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3,5</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3,5</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3,6</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3,9</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4</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4,2</w:t>
            </w:r>
          </w:p>
        </w:tc>
        <w:tc>
          <w:tcPr>
            <w:tcW w:w="553"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4,3</w:t>
            </w:r>
          </w:p>
        </w:tc>
        <w:tc>
          <w:tcPr>
            <w:tcW w:w="672" w:type="dxa"/>
            <w:noWrap/>
            <w:hideMark/>
          </w:tcPr>
          <w:p w:rsidR="00B17C88" w:rsidRPr="00B17C88" w:rsidRDefault="00B17C88" w:rsidP="00B17C88">
            <w:pPr>
              <w:pStyle w:val="NoSpacing"/>
              <w:rPr>
                <w:rFonts w:ascii="Palatino Linotype" w:hAnsi="Palatino Linotype"/>
                <w:sz w:val="16"/>
                <w:szCs w:val="16"/>
              </w:rPr>
            </w:pPr>
          </w:p>
        </w:tc>
      </w:tr>
      <w:tr w:rsidR="003A0EC8" w:rsidRPr="00B17C88" w:rsidTr="00B17C88">
        <w:trPr>
          <w:trHeight w:val="300"/>
        </w:trPr>
        <w:tc>
          <w:tcPr>
            <w:tcW w:w="751" w:type="dxa"/>
            <w:noWrap/>
            <w:hideMark/>
          </w:tcPr>
          <w:p w:rsidR="00B17C88" w:rsidRPr="00B17C88" w:rsidRDefault="00B17C88" w:rsidP="00B17C88">
            <w:pPr>
              <w:pStyle w:val="NoSpacing"/>
              <w:rPr>
                <w:rFonts w:ascii="Palatino Linotype" w:hAnsi="Palatino Linotype"/>
                <w:bCs/>
                <w:sz w:val="16"/>
                <w:szCs w:val="16"/>
              </w:rPr>
            </w:pPr>
            <w:r w:rsidRPr="00B17C88">
              <w:rPr>
                <w:rFonts w:ascii="Palatino Linotype" w:hAnsi="Palatino Linotype"/>
                <w:bCs/>
                <w:sz w:val="16"/>
                <w:szCs w:val="16"/>
              </w:rPr>
              <w:t>VS</w:t>
            </w:r>
          </w:p>
        </w:tc>
        <w:tc>
          <w:tcPr>
            <w:tcW w:w="242" w:type="dxa"/>
            <w:noWrap/>
            <w:hideMark/>
          </w:tcPr>
          <w:p w:rsidR="00B17C88" w:rsidRPr="00B17C88" w:rsidRDefault="00B17C88" w:rsidP="00B17C88">
            <w:pPr>
              <w:pStyle w:val="NoSpacing"/>
              <w:rPr>
                <w:rFonts w:ascii="Palatino Linotype" w:hAnsi="Palatino Linotype"/>
                <w:sz w:val="16"/>
                <w:szCs w:val="16"/>
              </w:rPr>
            </w:pPr>
          </w:p>
        </w:tc>
        <w:tc>
          <w:tcPr>
            <w:tcW w:w="553"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3</w:t>
            </w:r>
          </w:p>
        </w:tc>
        <w:tc>
          <w:tcPr>
            <w:tcW w:w="651"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2,7</w:t>
            </w:r>
          </w:p>
        </w:tc>
        <w:tc>
          <w:tcPr>
            <w:tcW w:w="5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2,8</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2,8</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3,1</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3,2</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3</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2,9</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3,2</w:t>
            </w:r>
          </w:p>
        </w:tc>
        <w:tc>
          <w:tcPr>
            <w:tcW w:w="672" w:type="dxa"/>
            <w:noWrap/>
            <w:hideMark/>
          </w:tcPr>
          <w:p w:rsidR="00B17C88" w:rsidRPr="00B17C88" w:rsidRDefault="00B17C88" w:rsidP="00B17C88">
            <w:pPr>
              <w:pStyle w:val="NoSpacing"/>
              <w:rPr>
                <w:rFonts w:ascii="Palatino Linotype" w:hAnsi="Palatino Linotype"/>
                <w:sz w:val="16"/>
                <w:szCs w:val="16"/>
              </w:rPr>
            </w:pPr>
            <w:r w:rsidRPr="00B17C88">
              <w:rPr>
                <w:rFonts w:ascii="Palatino Linotype" w:hAnsi="Palatino Linotype"/>
                <w:sz w:val="16"/>
                <w:szCs w:val="16"/>
              </w:rPr>
              <w:t>3,1</w:t>
            </w:r>
          </w:p>
        </w:tc>
        <w:tc>
          <w:tcPr>
            <w:tcW w:w="553" w:type="dxa"/>
            <w:noWrap/>
            <w:hideMark/>
          </w:tcPr>
          <w:p w:rsidR="00B17C88" w:rsidRPr="00B17C88" w:rsidRDefault="00B17C88" w:rsidP="00B17C88">
            <w:pPr>
              <w:pStyle w:val="NoSpacing"/>
              <w:rPr>
                <w:rFonts w:ascii="Palatino Linotype" w:hAnsi="Palatino Linotype"/>
                <w:sz w:val="16"/>
                <w:szCs w:val="16"/>
              </w:rPr>
            </w:pPr>
          </w:p>
        </w:tc>
        <w:tc>
          <w:tcPr>
            <w:tcW w:w="672" w:type="dxa"/>
            <w:noWrap/>
            <w:hideMark/>
          </w:tcPr>
          <w:p w:rsidR="00B17C88" w:rsidRPr="00B17C88" w:rsidRDefault="00B17C88" w:rsidP="00B17C88">
            <w:pPr>
              <w:pStyle w:val="NoSpacing"/>
              <w:rPr>
                <w:rFonts w:ascii="Palatino Linotype" w:hAnsi="Palatino Linotype"/>
                <w:sz w:val="16"/>
                <w:szCs w:val="16"/>
              </w:rPr>
            </w:pPr>
          </w:p>
        </w:tc>
      </w:tr>
    </w:tbl>
    <w:p w:rsidR="00053D5B" w:rsidRDefault="00053D5B" w:rsidP="003B6142">
      <w:pPr>
        <w:pStyle w:val="NoSpacing"/>
        <w:rPr>
          <w:rFonts w:ascii="Palatino Linotype" w:hAnsi="Palatino Linotype"/>
          <w:b/>
        </w:rPr>
      </w:pPr>
    </w:p>
    <w:p w:rsidR="00B17C88" w:rsidRDefault="00B17C88" w:rsidP="003B6142">
      <w:pPr>
        <w:pStyle w:val="NoSpacing"/>
        <w:rPr>
          <w:rFonts w:ascii="Palatino Linotype" w:hAnsi="Palatino Linotype"/>
          <w:i/>
        </w:rPr>
      </w:pPr>
      <w:r>
        <w:rPr>
          <w:rFonts w:ascii="Palatino Linotype" w:hAnsi="Palatino Linotype"/>
          <w:b/>
        </w:rPr>
        <w:t>*</w:t>
      </w:r>
      <w:r>
        <w:rPr>
          <w:rFonts w:ascii="Palatino Linotype" w:hAnsi="Palatino Linotype"/>
          <w:i/>
        </w:rPr>
        <w:t>Voor Frankrijk waren geen gegevens beschikbaar m.b.t. jaarlijkse afdrachtpercentages. Daarom zijn hier gelijk de bedragen zelf gebruikt.</w:t>
      </w:r>
    </w:p>
    <w:p w:rsidR="00A76E11" w:rsidRDefault="00A76E11" w:rsidP="003B6142">
      <w:pPr>
        <w:pStyle w:val="NoSpacing"/>
        <w:rPr>
          <w:rFonts w:ascii="Palatino Linotype" w:hAnsi="Palatino Linotype"/>
          <w:i/>
        </w:rPr>
      </w:pPr>
    </w:p>
    <w:tbl>
      <w:tblPr>
        <w:tblStyle w:val="TableGrid"/>
        <w:tblW w:w="0" w:type="auto"/>
        <w:tblLook w:val="04A0" w:firstRow="1" w:lastRow="0" w:firstColumn="1" w:lastColumn="0" w:noHBand="0" w:noVBand="1"/>
      </w:tblPr>
      <w:tblGrid>
        <w:gridCol w:w="708"/>
        <w:gridCol w:w="217"/>
        <w:gridCol w:w="578"/>
        <w:gridCol w:w="684"/>
        <w:gridCol w:w="598"/>
        <w:gridCol w:w="578"/>
        <w:gridCol w:w="675"/>
        <w:gridCol w:w="578"/>
        <w:gridCol w:w="598"/>
        <w:gridCol w:w="578"/>
        <w:gridCol w:w="578"/>
        <w:gridCol w:w="578"/>
        <w:gridCol w:w="578"/>
        <w:gridCol w:w="635"/>
        <w:gridCol w:w="367"/>
        <w:gridCol w:w="760"/>
      </w:tblGrid>
      <w:tr w:rsidR="00A76E11" w:rsidRPr="00A76E11" w:rsidTr="00A76E11">
        <w:trPr>
          <w:trHeight w:val="300"/>
        </w:trPr>
        <w:tc>
          <w:tcPr>
            <w:tcW w:w="2689" w:type="dxa"/>
            <w:gridSpan w:val="2"/>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UITK  USD/JR</w:t>
            </w:r>
            <w:r w:rsidR="005376A7" w:rsidRPr="00B50506">
              <w:rPr>
                <w:rFonts w:ascii="Palatino Linotype" w:hAnsi="Palatino Linotype"/>
                <w:bCs/>
                <w:sz w:val="16"/>
                <w:szCs w:val="16"/>
              </w:rPr>
              <w:t xml:space="preserve"> (MLD)</w:t>
            </w:r>
          </w:p>
        </w:tc>
        <w:tc>
          <w:tcPr>
            <w:tcW w:w="1978" w:type="dxa"/>
            <w:noWrap/>
            <w:hideMark/>
          </w:tcPr>
          <w:p w:rsidR="00A76E11" w:rsidRPr="00B50506" w:rsidRDefault="00A76E11" w:rsidP="00A76E11">
            <w:pPr>
              <w:pStyle w:val="NoSpacing"/>
              <w:rPr>
                <w:rFonts w:ascii="Palatino Linotype" w:hAnsi="Palatino Linotype"/>
                <w:sz w:val="16"/>
                <w:szCs w:val="16"/>
              </w:rPr>
            </w:pPr>
          </w:p>
        </w:tc>
        <w:tc>
          <w:tcPr>
            <w:tcW w:w="2492" w:type="dxa"/>
            <w:noWrap/>
            <w:hideMark/>
          </w:tcPr>
          <w:p w:rsidR="00A76E11" w:rsidRPr="00B50506" w:rsidRDefault="00A76E11" w:rsidP="00A76E11">
            <w:pPr>
              <w:pStyle w:val="NoSpacing"/>
              <w:rPr>
                <w:rFonts w:ascii="Palatino Linotype" w:hAnsi="Palatino Linotype"/>
                <w:sz w:val="16"/>
                <w:szCs w:val="16"/>
              </w:rPr>
            </w:pPr>
          </w:p>
        </w:tc>
        <w:tc>
          <w:tcPr>
            <w:tcW w:w="2076"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A76E11">
            <w:pPr>
              <w:pStyle w:val="NoSpacing"/>
              <w:rPr>
                <w:rFonts w:ascii="Palatino Linotype" w:hAnsi="Palatino Linotype"/>
                <w:sz w:val="16"/>
                <w:szCs w:val="16"/>
              </w:rPr>
            </w:pPr>
          </w:p>
        </w:tc>
        <w:tc>
          <w:tcPr>
            <w:tcW w:w="2452"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A76E11">
            <w:pPr>
              <w:pStyle w:val="NoSpacing"/>
              <w:rPr>
                <w:rFonts w:ascii="Palatino Linotype" w:hAnsi="Palatino Linotype"/>
                <w:sz w:val="16"/>
                <w:szCs w:val="16"/>
              </w:rPr>
            </w:pPr>
          </w:p>
        </w:tc>
        <w:tc>
          <w:tcPr>
            <w:tcW w:w="2076"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A76E11">
            <w:pPr>
              <w:pStyle w:val="NoSpacing"/>
              <w:rPr>
                <w:rFonts w:ascii="Palatino Linotype" w:hAnsi="Palatino Linotype"/>
                <w:sz w:val="16"/>
                <w:szCs w:val="16"/>
              </w:rPr>
            </w:pPr>
          </w:p>
        </w:tc>
        <w:tc>
          <w:tcPr>
            <w:tcW w:w="2254" w:type="dxa"/>
            <w:noWrap/>
            <w:hideMark/>
          </w:tcPr>
          <w:p w:rsidR="00A76E11" w:rsidRPr="00B50506" w:rsidRDefault="00A76E11" w:rsidP="00A76E11">
            <w:pPr>
              <w:pStyle w:val="NoSpacing"/>
              <w:rPr>
                <w:rFonts w:ascii="Palatino Linotype" w:hAnsi="Palatino Linotype"/>
                <w:sz w:val="16"/>
                <w:szCs w:val="16"/>
              </w:rPr>
            </w:pPr>
          </w:p>
        </w:tc>
        <w:tc>
          <w:tcPr>
            <w:tcW w:w="949" w:type="dxa"/>
            <w:noWrap/>
            <w:hideMark/>
          </w:tcPr>
          <w:p w:rsidR="00A76E11" w:rsidRPr="00B50506" w:rsidRDefault="00A76E11" w:rsidP="00A76E11">
            <w:pPr>
              <w:pStyle w:val="NoSpacing"/>
              <w:rPr>
                <w:rFonts w:ascii="Palatino Linotype" w:hAnsi="Palatino Linotype"/>
                <w:sz w:val="16"/>
                <w:szCs w:val="16"/>
              </w:rPr>
            </w:pPr>
          </w:p>
        </w:tc>
        <w:tc>
          <w:tcPr>
            <w:tcW w:w="2861" w:type="dxa"/>
            <w:noWrap/>
            <w:hideMark/>
          </w:tcPr>
          <w:p w:rsidR="00A76E11" w:rsidRPr="00B50506" w:rsidRDefault="00A76E11" w:rsidP="00A76E11">
            <w:pPr>
              <w:pStyle w:val="NoSpacing"/>
              <w:rPr>
                <w:rFonts w:ascii="Palatino Linotype" w:hAnsi="Palatino Linotype"/>
                <w:sz w:val="16"/>
                <w:szCs w:val="16"/>
              </w:rPr>
            </w:pPr>
          </w:p>
        </w:tc>
      </w:tr>
      <w:tr w:rsidR="00A76E11" w:rsidRPr="00A76E11" w:rsidTr="00A76E11">
        <w:trPr>
          <w:trHeight w:val="300"/>
        </w:trPr>
        <w:tc>
          <w:tcPr>
            <w:tcW w:w="2608" w:type="dxa"/>
            <w:noWrap/>
            <w:hideMark/>
          </w:tcPr>
          <w:p w:rsidR="00A76E11" w:rsidRPr="00B50506" w:rsidRDefault="00A76E11" w:rsidP="00A76E11">
            <w:pPr>
              <w:pStyle w:val="NoSpacing"/>
              <w:rPr>
                <w:rFonts w:ascii="Palatino Linotype" w:hAnsi="Palatino Linotype"/>
                <w:sz w:val="16"/>
                <w:szCs w:val="16"/>
              </w:rPr>
            </w:pPr>
          </w:p>
        </w:tc>
        <w:tc>
          <w:tcPr>
            <w:tcW w:w="81"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2002</w:t>
            </w:r>
          </w:p>
        </w:tc>
        <w:tc>
          <w:tcPr>
            <w:tcW w:w="2492"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2003</w:t>
            </w:r>
          </w:p>
        </w:tc>
        <w:tc>
          <w:tcPr>
            <w:tcW w:w="2076"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2004</w:t>
            </w:r>
          </w:p>
        </w:tc>
        <w:tc>
          <w:tcPr>
            <w:tcW w:w="1978"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2005</w:t>
            </w:r>
          </w:p>
        </w:tc>
        <w:tc>
          <w:tcPr>
            <w:tcW w:w="2452"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2006</w:t>
            </w:r>
          </w:p>
        </w:tc>
        <w:tc>
          <w:tcPr>
            <w:tcW w:w="1978"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2007</w:t>
            </w:r>
          </w:p>
        </w:tc>
        <w:tc>
          <w:tcPr>
            <w:tcW w:w="2076"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2008</w:t>
            </w:r>
          </w:p>
        </w:tc>
        <w:tc>
          <w:tcPr>
            <w:tcW w:w="1978"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2009</w:t>
            </w:r>
          </w:p>
        </w:tc>
        <w:tc>
          <w:tcPr>
            <w:tcW w:w="1978"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2010</w:t>
            </w:r>
          </w:p>
        </w:tc>
        <w:tc>
          <w:tcPr>
            <w:tcW w:w="1978"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2011</w:t>
            </w:r>
          </w:p>
        </w:tc>
        <w:tc>
          <w:tcPr>
            <w:tcW w:w="1978"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2012</w:t>
            </w:r>
          </w:p>
        </w:tc>
        <w:tc>
          <w:tcPr>
            <w:tcW w:w="2254"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GEM.</w:t>
            </w:r>
          </w:p>
        </w:tc>
        <w:tc>
          <w:tcPr>
            <w:tcW w:w="949" w:type="dxa"/>
            <w:noWrap/>
            <w:hideMark/>
          </w:tcPr>
          <w:p w:rsidR="00A76E11" w:rsidRPr="00B50506" w:rsidRDefault="00A76E11" w:rsidP="00A76E11">
            <w:pPr>
              <w:pStyle w:val="NoSpacing"/>
              <w:rPr>
                <w:rFonts w:ascii="Palatino Linotype" w:hAnsi="Palatino Linotype"/>
                <w:bCs/>
                <w:sz w:val="16"/>
                <w:szCs w:val="16"/>
              </w:rPr>
            </w:pPr>
          </w:p>
        </w:tc>
        <w:tc>
          <w:tcPr>
            <w:tcW w:w="2861" w:type="dxa"/>
            <w:noWrap/>
            <w:hideMark/>
          </w:tcPr>
          <w:p w:rsidR="00A76E11" w:rsidRPr="00B50506" w:rsidRDefault="006064BE" w:rsidP="006064BE">
            <w:pPr>
              <w:pStyle w:val="NoSpacing"/>
              <w:rPr>
                <w:rFonts w:ascii="Palatino Linotype" w:hAnsi="Palatino Linotype"/>
                <w:bCs/>
                <w:sz w:val="16"/>
                <w:szCs w:val="16"/>
              </w:rPr>
            </w:pPr>
            <w:r w:rsidRPr="00B50506">
              <w:rPr>
                <w:rFonts w:ascii="Palatino Linotype" w:hAnsi="Palatino Linotype"/>
                <w:bCs/>
                <w:sz w:val="16"/>
                <w:szCs w:val="16"/>
              </w:rPr>
              <w:t>GEM./p</w:t>
            </w:r>
            <w:r w:rsidR="00A76E11" w:rsidRPr="00B50506">
              <w:rPr>
                <w:rFonts w:ascii="Palatino Linotype" w:hAnsi="Palatino Linotype"/>
                <w:bCs/>
                <w:sz w:val="16"/>
                <w:szCs w:val="16"/>
              </w:rPr>
              <w:t xml:space="preserve"> (USD/jr)</w:t>
            </w:r>
          </w:p>
        </w:tc>
      </w:tr>
      <w:tr w:rsidR="00A76E11" w:rsidRPr="00A76E11" w:rsidTr="00A76E11">
        <w:trPr>
          <w:trHeight w:val="300"/>
        </w:trPr>
        <w:tc>
          <w:tcPr>
            <w:tcW w:w="2608"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CL</w:t>
            </w:r>
          </w:p>
        </w:tc>
        <w:tc>
          <w:tcPr>
            <w:tcW w:w="81"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6064BE">
            <w:pPr>
              <w:pStyle w:val="NoSpacing"/>
              <w:rPr>
                <w:rFonts w:ascii="Palatino Linotype" w:hAnsi="Palatino Linotype"/>
                <w:sz w:val="16"/>
                <w:szCs w:val="16"/>
              </w:rPr>
            </w:pPr>
            <w:r w:rsidRPr="00B50506">
              <w:rPr>
                <w:rFonts w:ascii="Palatino Linotype" w:hAnsi="Palatino Linotype"/>
                <w:sz w:val="16"/>
                <w:szCs w:val="16"/>
              </w:rPr>
              <w:t>$</w:t>
            </w:r>
            <w:r w:rsidR="006064BE" w:rsidRPr="00B50506">
              <w:rPr>
                <w:rFonts w:ascii="Palatino Linotype" w:hAnsi="Palatino Linotype"/>
                <w:sz w:val="16"/>
                <w:szCs w:val="16"/>
              </w:rPr>
              <w:t>0,6</w:t>
            </w:r>
            <w:r w:rsidRPr="00B50506">
              <w:rPr>
                <w:rFonts w:ascii="Palatino Linotype" w:hAnsi="Palatino Linotype"/>
                <w:sz w:val="16"/>
                <w:szCs w:val="16"/>
              </w:rPr>
              <w:t xml:space="preserve"> </w:t>
            </w:r>
          </w:p>
        </w:tc>
        <w:tc>
          <w:tcPr>
            <w:tcW w:w="2492" w:type="dxa"/>
            <w:noWrap/>
            <w:hideMark/>
          </w:tcPr>
          <w:p w:rsidR="00A76E11" w:rsidRPr="00B50506" w:rsidRDefault="00A76E11" w:rsidP="006064BE">
            <w:pPr>
              <w:pStyle w:val="NoSpacing"/>
              <w:rPr>
                <w:rFonts w:ascii="Palatino Linotype" w:hAnsi="Palatino Linotype"/>
                <w:sz w:val="16"/>
                <w:szCs w:val="16"/>
              </w:rPr>
            </w:pPr>
            <w:r w:rsidRPr="00B50506">
              <w:rPr>
                <w:rFonts w:ascii="Palatino Linotype" w:hAnsi="Palatino Linotype"/>
                <w:sz w:val="16"/>
                <w:szCs w:val="16"/>
              </w:rPr>
              <w:t>$</w:t>
            </w:r>
            <w:r w:rsidR="006064BE" w:rsidRPr="00B50506">
              <w:rPr>
                <w:rFonts w:ascii="Palatino Linotype" w:hAnsi="Palatino Linotype"/>
                <w:sz w:val="16"/>
                <w:szCs w:val="16"/>
              </w:rPr>
              <w:t>0,</w:t>
            </w:r>
            <w:r w:rsidRPr="00B50506">
              <w:rPr>
                <w:rFonts w:ascii="Palatino Linotype" w:hAnsi="Palatino Linotype"/>
                <w:sz w:val="16"/>
                <w:szCs w:val="16"/>
              </w:rPr>
              <w:t xml:space="preserve">6 </w:t>
            </w:r>
          </w:p>
        </w:tc>
        <w:tc>
          <w:tcPr>
            <w:tcW w:w="2076" w:type="dxa"/>
            <w:noWrap/>
            <w:hideMark/>
          </w:tcPr>
          <w:p w:rsidR="00A76E11" w:rsidRPr="00B50506" w:rsidRDefault="00A76E11" w:rsidP="006064BE">
            <w:pPr>
              <w:pStyle w:val="NoSpacing"/>
              <w:rPr>
                <w:rFonts w:ascii="Palatino Linotype" w:hAnsi="Palatino Linotype"/>
                <w:sz w:val="16"/>
                <w:szCs w:val="16"/>
              </w:rPr>
            </w:pPr>
            <w:r w:rsidRPr="00B50506">
              <w:rPr>
                <w:rFonts w:ascii="Palatino Linotype" w:hAnsi="Palatino Linotype"/>
                <w:sz w:val="16"/>
                <w:szCs w:val="16"/>
              </w:rPr>
              <w:t>$</w:t>
            </w:r>
            <w:r w:rsidR="006064BE" w:rsidRPr="00B50506">
              <w:rPr>
                <w:rFonts w:ascii="Palatino Linotype" w:hAnsi="Palatino Linotype"/>
                <w:sz w:val="16"/>
                <w:szCs w:val="16"/>
              </w:rPr>
              <w:t>0,</w:t>
            </w:r>
            <w:r w:rsidRPr="00B50506">
              <w:rPr>
                <w:rFonts w:ascii="Palatino Linotype" w:hAnsi="Palatino Linotype"/>
                <w:sz w:val="16"/>
                <w:szCs w:val="16"/>
              </w:rPr>
              <w:t xml:space="preserve">8 </w:t>
            </w:r>
          </w:p>
        </w:tc>
        <w:tc>
          <w:tcPr>
            <w:tcW w:w="1978" w:type="dxa"/>
            <w:noWrap/>
            <w:hideMark/>
          </w:tcPr>
          <w:p w:rsidR="00A76E11" w:rsidRPr="00B50506" w:rsidRDefault="00A76E11" w:rsidP="006064BE">
            <w:pPr>
              <w:pStyle w:val="NoSpacing"/>
              <w:rPr>
                <w:rFonts w:ascii="Palatino Linotype" w:hAnsi="Palatino Linotype"/>
                <w:sz w:val="16"/>
                <w:szCs w:val="16"/>
              </w:rPr>
            </w:pPr>
            <w:r w:rsidRPr="00B50506">
              <w:rPr>
                <w:rFonts w:ascii="Palatino Linotype" w:hAnsi="Palatino Linotype"/>
                <w:sz w:val="16"/>
                <w:szCs w:val="16"/>
              </w:rPr>
              <w:t>$</w:t>
            </w:r>
            <w:r w:rsidR="006064BE" w:rsidRPr="00B50506">
              <w:rPr>
                <w:rFonts w:ascii="Palatino Linotype" w:hAnsi="Palatino Linotype"/>
                <w:sz w:val="16"/>
                <w:szCs w:val="16"/>
              </w:rPr>
              <w:t>1,0</w:t>
            </w:r>
            <w:r w:rsidRPr="00B50506">
              <w:rPr>
                <w:rFonts w:ascii="Palatino Linotype" w:hAnsi="Palatino Linotype"/>
                <w:sz w:val="16"/>
                <w:szCs w:val="16"/>
              </w:rPr>
              <w:t xml:space="preserve"> </w:t>
            </w:r>
          </w:p>
        </w:tc>
        <w:tc>
          <w:tcPr>
            <w:tcW w:w="2452" w:type="dxa"/>
            <w:noWrap/>
            <w:hideMark/>
          </w:tcPr>
          <w:p w:rsidR="00A76E11" w:rsidRPr="00B50506" w:rsidRDefault="00A76E11" w:rsidP="006064BE">
            <w:pPr>
              <w:pStyle w:val="NoSpacing"/>
              <w:rPr>
                <w:rFonts w:ascii="Palatino Linotype" w:hAnsi="Palatino Linotype"/>
                <w:sz w:val="16"/>
                <w:szCs w:val="16"/>
              </w:rPr>
            </w:pPr>
            <w:r w:rsidRPr="00B50506">
              <w:rPr>
                <w:rFonts w:ascii="Palatino Linotype" w:hAnsi="Palatino Linotype"/>
                <w:sz w:val="16"/>
                <w:szCs w:val="16"/>
              </w:rPr>
              <w:t xml:space="preserve">$1.2 </w:t>
            </w:r>
          </w:p>
        </w:tc>
        <w:tc>
          <w:tcPr>
            <w:tcW w:w="1978" w:type="dxa"/>
            <w:noWrap/>
            <w:hideMark/>
          </w:tcPr>
          <w:p w:rsidR="00A76E11" w:rsidRPr="00B50506" w:rsidRDefault="006064BE" w:rsidP="006064BE">
            <w:pPr>
              <w:pStyle w:val="NoSpacing"/>
              <w:rPr>
                <w:rFonts w:ascii="Palatino Linotype" w:hAnsi="Palatino Linotype"/>
                <w:sz w:val="16"/>
                <w:szCs w:val="16"/>
              </w:rPr>
            </w:pPr>
            <w:r w:rsidRPr="00B50506">
              <w:rPr>
                <w:rFonts w:ascii="Palatino Linotype" w:hAnsi="Palatino Linotype"/>
                <w:sz w:val="16"/>
                <w:szCs w:val="16"/>
              </w:rPr>
              <w:t>$1.6</w:t>
            </w:r>
            <w:r w:rsidR="00A76E11" w:rsidRPr="00B50506">
              <w:rPr>
                <w:rFonts w:ascii="Palatino Linotype" w:hAnsi="Palatino Linotype"/>
                <w:sz w:val="16"/>
                <w:szCs w:val="16"/>
              </w:rPr>
              <w:t xml:space="preserve"> </w:t>
            </w:r>
          </w:p>
        </w:tc>
        <w:tc>
          <w:tcPr>
            <w:tcW w:w="2076" w:type="dxa"/>
            <w:noWrap/>
            <w:hideMark/>
          </w:tcPr>
          <w:p w:rsidR="00A76E11" w:rsidRPr="00B50506" w:rsidRDefault="00A76E11" w:rsidP="006064BE">
            <w:pPr>
              <w:pStyle w:val="NoSpacing"/>
              <w:rPr>
                <w:rFonts w:ascii="Palatino Linotype" w:hAnsi="Palatino Linotype"/>
                <w:sz w:val="16"/>
                <w:szCs w:val="16"/>
              </w:rPr>
            </w:pPr>
            <w:r w:rsidRPr="00B50506">
              <w:rPr>
                <w:rFonts w:ascii="Palatino Linotype" w:hAnsi="Palatino Linotype"/>
                <w:sz w:val="16"/>
                <w:szCs w:val="16"/>
              </w:rPr>
              <w:t xml:space="preserve">$1.6 </w:t>
            </w:r>
          </w:p>
        </w:tc>
        <w:tc>
          <w:tcPr>
            <w:tcW w:w="1978" w:type="dxa"/>
            <w:noWrap/>
            <w:hideMark/>
          </w:tcPr>
          <w:p w:rsidR="00A76E11" w:rsidRPr="00B50506" w:rsidRDefault="006064BE" w:rsidP="006064BE">
            <w:pPr>
              <w:pStyle w:val="NoSpacing"/>
              <w:rPr>
                <w:rFonts w:ascii="Palatino Linotype" w:hAnsi="Palatino Linotype"/>
                <w:sz w:val="16"/>
                <w:szCs w:val="16"/>
              </w:rPr>
            </w:pPr>
            <w:r w:rsidRPr="00B50506">
              <w:rPr>
                <w:rFonts w:ascii="Palatino Linotype" w:hAnsi="Palatino Linotype"/>
                <w:sz w:val="16"/>
                <w:szCs w:val="16"/>
              </w:rPr>
              <w:t>$1.4</w:t>
            </w:r>
            <w:r w:rsidR="00A76E11" w:rsidRPr="00B50506">
              <w:rPr>
                <w:rFonts w:ascii="Palatino Linotype" w:hAnsi="Palatino Linotype"/>
                <w:sz w:val="16"/>
                <w:szCs w:val="16"/>
              </w:rPr>
              <w:t xml:space="preserve"> </w:t>
            </w:r>
          </w:p>
        </w:tc>
        <w:tc>
          <w:tcPr>
            <w:tcW w:w="1978" w:type="dxa"/>
            <w:noWrap/>
            <w:hideMark/>
          </w:tcPr>
          <w:p w:rsidR="00A76E11" w:rsidRPr="00B50506" w:rsidRDefault="006064BE" w:rsidP="006064BE">
            <w:pPr>
              <w:pStyle w:val="NoSpacing"/>
              <w:rPr>
                <w:rFonts w:ascii="Palatino Linotype" w:hAnsi="Palatino Linotype"/>
                <w:sz w:val="16"/>
                <w:szCs w:val="16"/>
              </w:rPr>
            </w:pPr>
            <w:r w:rsidRPr="00B50506">
              <w:rPr>
                <w:rFonts w:ascii="Palatino Linotype" w:hAnsi="Palatino Linotype"/>
                <w:sz w:val="16"/>
                <w:szCs w:val="16"/>
              </w:rPr>
              <w:t>$2,0</w:t>
            </w:r>
            <w:r w:rsidR="00A76E11" w:rsidRPr="00B50506">
              <w:rPr>
                <w:rFonts w:ascii="Palatino Linotype" w:hAnsi="Palatino Linotype"/>
                <w:sz w:val="16"/>
                <w:szCs w:val="16"/>
              </w:rPr>
              <w:t xml:space="preserve"> </w:t>
            </w:r>
          </w:p>
        </w:tc>
        <w:tc>
          <w:tcPr>
            <w:tcW w:w="1978" w:type="dxa"/>
            <w:noWrap/>
            <w:hideMark/>
          </w:tcPr>
          <w:p w:rsidR="00A76E11" w:rsidRPr="00B50506" w:rsidRDefault="006064BE" w:rsidP="006064BE">
            <w:pPr>
              <w:pStyle w:val="NoSpacing"/>
              <w:rPr>
                <w:rFonts w:ascii="Palatino Linotype" w:hAnsi="Palatino Linotype"/>
                <w:sz w:val="16"/>
                <w:szCs w:val="16"/>
              </w:rPr>
            </w:pPr>
            <w:r w:rsidRPr="00B50506">
              <w:rPr>
                <w:rFonts w:ascii="Palatino Linotype" w:hAnsi="Palatino Linotype"/>
                <w:sz w:val="16"/>
                <w:szCs w:val="16"/>
              </w:rPr>
              <w:t>$2,8</w:t>
            </w:r>
            <w:r w:rsidR="00A76E11" w:rsidRPr="00B50506">
              <w:rPr>
                <w:rFonts w:ascii="Palatino Linotype" w:hAnsi="Palatino Linotype"/>
                <w:sz w:val="16"/>
                <w:szCs w:val="16"/>
              </w:rPr>
              <w:t xml:space="preserve"> </w:t>
            </w:r>
          </w:p>
        </w:tc>
        <w:tc>
          <w:tcPr>
            <w:tcW w:w="1978" w:type="dxa"/>
            <w:noWrap/>
            <w:hideMark/>
          </w:tcPr>
          <w:p w:rsidR="00A76E11" w:rsidRPr="00B50506" w:rsidRDefault="00A76E11" w:rsidP="006064BE">
            <w:pPr>
              <w:pStyle w:val="NoSpacing"/>
              <w:rPr>
                <w:rFonts w:ascii="Palatino Linotype" w:hAnsi="Palatino Linotype"/>
                <w:sz w:val="16"/>
                <w:szCs w:val="16"/>
              </w:rPr>
            </w:pPr>
            <w:r w:rsidRPr="00B50506">
              <w:rPr>
                <w:rFonts w:ascii="Palatino Linotype" w:hAnsi="Palatino Linotype"/>
                <w:sz w:val="16"/>
                <w:szCs w:val="16"/>
              </w:rPr>
              <w:t>$2</w:t>
            </w:r>
            <w:r w:rsidR="006064BE" w:rsidRPr="00B50506">
              <w:rPr>
                <w:rFonts w:ascii="Palatino Linotype" w:hAnsi="Palatino Linotype"/>
                <w:sz w:val="16"/>
                <w:szCs w:val="16"/>
              </w:rPr>
              <w:t>,7</w:t>
            </w:r>
            <w:r w:rsidRPr="00B50506">
              <w:rPr>
                <w:rFonts w:ascii="Palatino Linotype" w:hAnsi="Palatino Linotype"/>
                <w:sz w:val="16"/>
                <w:szCs w:val="16"/>
              </w:rPr>
              <w:t xml:space="preserve"> </w:t>
            </w:r>
          </w:p>
        </w:tc>
        <w:tc>
          <w:tcPr>
            <w:tcW w:w="2254" w:type="dxa"/>
            <w:noWrap/>
            <w:hideMark/>
          </w:tcPr>
          <w:p w:rsidR="00A76E11" w:rsidRPr="00B50506" w:rsidRDefault="006064BE" w:rsidP="006064BE">
            <w:pPr>
              <w:pStyle w:val="NoSpacing"/>
              <w:rPr>
                <w:rFonts w:ascii="Palatino Linotype" w:hAnsi="Palatino Linotype"/>
                <w:sz w:val="16"/>
                <w:szCs w:val="16"/>
              </w:rPr>
            </w:pPr>
            <w:r w:rsidRPr="00B50506">
              <w:rPr>
                <w:rFonts w:ascii="Palatino Linotype" w:hAnsi="Palatino Linotype"/>
                <w:sz w:val="16"/>
                <w:szCs w:val="16"/>
              </w:rPr>
              <w:t>$1.5</w:t>
            </w:r>
            <w:r w:rsidR="00A76E11" w:rsidRPr="00B50506">
              <w:rPr>
                <w:rFonts w:ascii="Palatino Linotype" w:hAnsi="Palatino Linotype"/>
                <w:sz w:val="16"/>
                <w:szCs w:val="16"/>
              </w:rPr>
              <w:t xml:space="preserve"> </w:t>
            </w:r>
          </w:p>
        </w:tc>
        <w:tc>
          <w:tcPr>
            <w:tcW w:w="949" w:type="dxa"/>
            <w:noWrap/>
            <w:hideMark/>
          </w:tcPr>
          <w:p w:rsidR="00A76E11" w:rsidRPr="00B50506" w:rsidRDefault="00A76E11" w:rsidP="00A76E11">
            <w:pPr>
              <w:pStyle w:val="NoSpacing"/>
              <w:rPr>
                <w:rFonts w:ascii="Palatino Linotype" w:hAnsi="Palatino Linotype"/>
                <w:sz w:val="16"/>
                <w:szCs w:val="16"/>
              </w:rPr>
            </w:pPr>
          </w:p>
        </w:tc>
        <w:tc>
          <w:tcPr>
            <w:tcW w:w="2861" w:type="dxa"/>
            <w:noWrap/>
            <w:hideMark/>
          </w:tcPr>
          <w:p w:rsidR="00A76E11" w:rsidRPr="00B50506" w:rsidRDefault="00A76E11" w:rsidP="00A76E11">
            <w:pPr>
              <w:pStyle w:val="NoSpacing"/>
              <w:rPr>
                <w:rFonts w:ascii="Palatino Linotype" w:hAnsi="Palatino Linotype"/>
                <w:sz w:val="16"/>
                <w:szCs w:val="16"/>
              </w:rPr>
            </w:pPr>
            <w:r w:rsidRPr="00B50506">
              <w:rPr>
                <w:rFonts w:ascii="Palatino Linotype" w:hAnsi="Palatino Linotype"/>
                <w:sz w:val="16"/>
                <w:szCs w:val="16"/>
              </w:rPr>
              <w:t xml:space="preserve"> NVT </w:t>
            </w:r>
          </w:p>
        </w:tc>
      </w:tr>
      <w:tr w:rsidR="00A76E11" w:rsidRPr="00A76E11" w:rsidTr="00A76E11">
        <w:trPr>
          <w:trHeight w:val="300"/>
        </w:trPr>
        <w:tc>
          <w:tcPr>
            <w:tcW w:w="2608"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FR</w:t>
            </w:r>
          </w:p>
        </w:tc>
        <w:tc>
          <w:tcPr>
            <w:tcW w:w="81"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A76E11">
            <w:pPr>
              <w:pStyle w:val="NoSpacing"/>
              <w:rPr>
                <w:rFonts w:ascii="Palatino Linotype" w:hAnsi="Palatino Linotype"/>
                <w:sz w:val="16"/>
                <w:szCs w:val="16"/>
              </w:rPr>
            </w:pPr>
          </w:p>
        </w:tc>
        <w:tc>
          <w:tcPr>
            <w:tcW w:w="2492" w:type="dxa"/>
            <w:noWrap/>
            <w:hideMark/>
          </w:tcPr>
          <w:p w:rsidR="00A76E11" w:rsidRPr="00B50506" w:rsidRDefault="00A76E11" w:rsidP="00A76E11">
            <w:pPr>
              <w:pStyle w:val="NoSpacing"/>
              <w:rPr>
                <w:rFonts w:ascii="Palatino Linotype" w:hAnsi="Palatino Linotype"/>
                <w:sz w:val="16"/>
                <w:szCs w:val="16"/>
              </w:rPr>
            </w:pPr>
          </w:p>
        </w:tc>
        <w:tc>
          <w:tcPr>
            <w:tcW w:w="2076"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A76E11">
            <w:pPr>
              <w:pStyle w:val="NoSpacing"/>
              <w:rPr>
                <w:rFonts w:ascii="Palatino Linotype" w:hAnsi="Palatino Linotype"/>
                <w:sz w:val="16"/>
                <w:szCs w:val="16"/>
              </w:rPr>
            </w:pPr>
          </w:p>
        </w:tc>
        <w:tc>
          <w:tcPr>
            <w:tcW w:w="2452"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A76E11">
            <w:pPr>
              <w:pStyle w:val="NoSpacing"/>
              <w:rPr>
                <w:rFonts w:ascii="Palatino Linotype" w:hAnsi="Palatino Linotype"/>
                <w:sz w:val="16"/>
                <w:szCs w:val="16"/>
              </w:rPr>
            </w:pPr>
          </w:p>
        </w:tc>
        <w:tc>
          <w:tcPr>
            <w:tcW w:w="2076"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A76E11">
            <w:pPr>
              <w:pStyle w:val="NoSpacing"/>
              <w:rPr>
                <w:rFonts w:ascii="Palatino Linotype" w:hAnsi="Palatino Linotype"/>
                <w:sz w:val="16"/>
                <w:szCs w:val="16"/>
              </w:rPr>
            </w:pPr>
          </w:p>
        </w:tc>
        <w:tc>
          <w:tcPr>
            <w:tcW w:w="2254" w:type="dxa"/>
            <w:noWrap/>
            <w:hideMark/>
          </w:tcPr>
          <w:p w:rsidR="00A76E11" w:rsidRPr="00B50506" w:rsidRDefault="00A76E11" w:rsidP="00A76E11">
            <w:pPr>
              <w:pStyle w:val="NoSpacing"/>
              <w:rPr>
                <w:rFonts w:ascii="Palatino Linotype" w:hAnsi="Palatino Linotype"/>
                <w:sz w:val="16"/>
                <w:szCs w:val="16"/>
              </w:rPr>
            </w:pPr>
          </w:p>
        </w:tc>
        <w:tc>
          <w:tcPr>
            <w:tcW w:w="949" w:type="dxa"/>
            <w:noWrap/>
            <w:hideMark/>
          </w:tcPr>
          <w:p w:rsidR="00A76E11" w:rsidRPr="00B50506" w:rsidRDefault="00A76E11" w:rsidP="00A76E11">
            <w:pPr>
              <w:pStyle w:val="NoSpacing"/>
              <w:rPr>
                <w:rFonts w:ascii="Palatino Linotype" w:hAnsi="Palatino Linotype"/>
                <w:sz w:val="16"/>
                <w:szCs w:val="16"/>
              </w:rPr>
            </w:pPr>
          </w:p>
        </w:tc>
        <w:tc>
          <w:tcPr>
            <w:tcW w:w="2861" w:type="dxa"/>
            <w:noWrap/>
            <w:hideMark/>
          </w:tcPr>
          <w:p w:rsidR="00A76E11" w:rsidRPr="00B50506" w:rsidRDefault="00A76E11" w:rsidP="00911EBC">
            <w:pPr>
              <w:pStyle w:val="NoSpacing"/>
              <w:rPr>
                <w:rFonts w:ascii="Palatino Linotype" w:hAnsi="Palatino Linotype"/>
                <w:sz w:val="16"/>
                <w:szCs w:val="16"/>
              </w:rPr>
            </w:pPr>
            <w:r w:rsidRPr="00B50506">
              <w:rPr>
                <w:rFonts w:ascii="Palatino Linotype" w:hAnsi="Palatino Linotype"/>
                <w:sz w:val="16"/>
                <w:szCs w:val="16"/>
              </w:rPr>
              <w:t xml:space="preserve">  </w:t>
            </w:r>
            <w:r w:rsidR="00911EBC" w:rsidRPr="00B50506">
              <w:rPr>
                <w:rFonts w:ascii="Palatino Linotype" w:hAnsi="Palatino Linotype"/>
                <w:sz w:val="16"/>
                <w:szCs w:val="16"/>
              </w:rPr>
              <w:t xml:space="preserve">                    18.412</w:t>
            </w:r>
            <w:r w:rsidRPr="00B50506">
              <w:rPr>
                <w:rFonts w:ascii="Palatino Linotype" w:hAnsi="Palatino Linotype"/>
                <w:sz w:val="16"/>
                <w:szCs w:val="16"/>
              </w:rPr>
              <w:t xml:space="preserve"> </w:t>
            </w:r>
          </w:p>
        </w:tc>
      </w:tr>
      <w:tr w:rsidR="00A76E11" w:rsidRPr="00A76E11" w:rsidTr="00A76E11">
        <w:trPr>
          <w:trHeight w:val="300"/>
        </w:trPr>
        <w:tc>
          <w:tcPr>
            <w:tcW w:w="2608"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NL</w:t>
            </w:r>
          </w:p>
        </w:tc>
        <w:tc>
          <w:tcPr>
            <w:tcW w:w="81"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A76E11" w:rsidP="005376A7">
            <w:pPr>
              <w:pStyle w:val="NoSpacing"/>
              <w:rPr>
                <w:rFonts w:ascii="Palatino Linotype" w:hAnsi="Palatino Linotype"/>
                <w:sz w:val="16"/>
                <w:szCs w:val="16"/>
              </w:rPr>
            </w:pPr>
            <w:r w:rsidRPr="00B50506">
              <w:rPr>
                <w:rFonts w:ascii="Palatino Linotype" w:hAnsi="Palatino Linotype"/>
                <w:sz w:val="16"/>
                <w:szCs w:val="16"/>
              </w:rPr>
              <w:t>$13</w:t>
            </w:r>
            <w:r w:rsidR="005376A7" w:rsidRPr="00B50506">
              <w:rPr>
                <w:rFonts w:ascii="Palatino Linotype" w:hAnsi="Palatino Linotype"/>
                <w:sz w:val="16"/>
                <w:szCs w:val="16"/>
              </w:rPr>
              <w:t>,6</w:t>
            </w:r>
            <w:r w:rsidRPr="00B50506">
              <w:rPr>
                <w:rFonts w:ascii="Palatino Linotype" w:hAnsi="Palatino Linotype"/>
                <w:sz w:val="16"/>
                <w:szCs w:val="16"/>
              </w:rPr>
              <w:t xml:space="preserve"> </w:t>
            </w:r>
          </w:p>
        </w:tc>
        <w:tc>
          <w:tcPr>
            <w:tcW w:w="2492" w:type="dxa"/>
            <w:noWrap/>
            <w:hideMark/>
          </w:tcPr>
          <w:p w:rsidR="00A76E11" w:rsidRPr="00B50506" w:rsidRDefault="005376A7" w:rsidP="005376A7">
            <w:pPr>
              <w:pStyle w:val="NoSpacing"/>
              <w:rPr>
                <w:rFonts w:ascii="Palatino Linotype" w:hAnsi="Palatino Linotype"/>
                <w:sz w:val="16"/>
                <w:szCs w:val="16"/>
              </w:rPr>
            </w:pPr>
            <w:r w:rsidRPr="00B50506">
              <w:rPr>
                <w:rFonts w:ascii="Palatino Linotype" w:hAnsi="Palatino Linotype"/>
                <w:sz w:val="16"/>
                <w:szCs w:val="16"/>
              </w:rPr>
              <w:t>$17,3</w:t>
            </w:r>
            <w:r w:rsidR="00A76E11" w:rsidRPr="00B50506">
              <w:rPr>
                <w:rFonts w:ascii="Palatino Linotype" w:hAnsi="Palatino Linotype"/>
                <w:sz w:val="16"/>
                <w:szCs w:val="16"/>
              </w:rPr>
              <w:t xml:space="preserve"> </w:t>
            </w:r>
          </w:p>
        </w:tc>
        <w:tc>
          <w:tcPr>
            <w:tcW w:w="2076" w:type="dxa"/>
            <w:noWrap/>
            <w:hideMark/>
          </w:tcPr>
          <w:p w:rsidR="00A76E11" w:rsidRPr="00B50506" w:rsidRDefault="005376A7" w:rsidP="005376A7">
            <w:pPr>
              <w:pStyle w:val="NoSpacing"/>
              <w:rPr>
                <w:rFonts w:ascii="Palatino Linotype" w:hAnsi="Palatino Linotype"/>
                <w:sz w:val="16"/>
                <w:szCs w:val="16"/>
              </w:rPr>
            </w:pPr>
            <w:r w:rsidRPr="00B50506">
              <w:rPr>
                <w:rFonts w:ascii="Palatino Linotype" w:hAnsi="Palatino Linotype"/>
                <w:sz w:val="16"/>
                <w:szCs w:val="16"/>
              </w:rPr>
              <w:t>$20,7</w:t>
            </w:r>
            <w:r w:rsidR="00A76E11" w:rsidRPr="00B50506">
              <w:rPr>
                <w:rFonts w:ascii="Palatino Linotype" w:hAnsi="Palatino Linotype"/>
                <w:sz w:val="16"/>
                <w:szCs w:val="16"/>
              </w:rPr>
              <w:t xml:space="preserve"> </w:t>
            </w:r>
          </w:p>
        </w:tc>
        <w:tc>
          <w:tcPr>
            <w:tcW w:w="1978" w:type="dxa"/>
            <w:noWrap/>
            <w:hideMark/>
          </w:tcPr>
          <w:p w:rsidR="00A76E11" w:rsidRPr="00B50506" w:rsidRDefault="00A76E11" w:rsidP="005376A7">
            <w:pPr>
              <w:pStyle w:val="NoSpacing"/>
              <w:rPr>
                <w:rFonts w:ascii="Palatino Linotype" w:hAnsi="Palatino Linotype"/>
                <w:sz w:val="16"/>
                <w:szCs w:val="16"/>
              </w:rPr>
            </w:pPr>
            <w:r w:rsidRPr="00B50506">
              <w:rPr>
                <w:rFonts w:ascii="Palatino Linotype" w:hAnsi="Palatino Linotype"/>
                <w:sz w:val="16"/>
                <w:szCs w:val="16"/>
              </w:rPr>
              <w:t>$22</w:t>
            </w:r>
            <w:r w:rsidR="005376A7" w:rsidRPr="00B50506">
              <w:rPr>
                <w:rFonts w:ascii="Palatino Linotype" w:hAnsi="Palatino Linotype"/>
                <w:sz w:val="16"/>
                <w:szCs w:val="16"/>
              </w:rPr>
              <w:t>,3</w:t>
            </w:r>
            <w:r w:rsidRPr="00B50506">
              <w:rPr>
                <w:rFonts w:ascii="Palatino Linotype" w:hAnsi="Palatino Linotype"/>
                <w:sz w:val="16"/>
                <w:szCs w:val="16"/>
              </w:rPr>
              <w:t xml:space="preserve"> </w:t>
            </w:r>
          </w:p>
        </w:tc>
        <w:tc>
          <w:tcPr>
            <w:tcW w:w="2452" w:type="dxa"/>
            <w:noWrap/>
            <w:hideMark/>
          </w:tcPr>
          <w:p w:rsidR="00A76E11" w:rsidRPr="00B50506" w:rsidRDefault="00A76E11" w:rsidP="005376A7">
            <w:pPr>
              <w:pStyle w:val="NoSpacing"/>
              <w:rPr>
                <w:rFonts w:ascii="Palatino Linotype" w:hAnsi="Palatino Linotype"/>
                <w:sz w:val="16"/>
                <w:szCs w:val="16"/>
              </w:rPr>
            </w:pPr>
            <w:r w:rsidRPr="00B50506">
              <w:rPr>
                <w:rFonts w:ascii="Palatino Linotype" w:hAnsi="Palatino Linotype"/>
                <w:sz w:val="16"/>
                <w:szCs w:val="16"/>
              </w:rPr>
              <w:t>$23</w:t>
            </w:r>
            <w:r w:rsidR="005376A7" w:rsidRPr="00B50506">
              <w:rPr>
                <w:rFonts w:ascii="Palatino Linotype" w:hAnsi="Palatino Linotype"/>
                <w:sz w:val="16"/>
                <w:szCs w:val="16"/>
              </w:rPr>
              <w:t>,7</w:t>
            </w:r>
          </w:p>
        </w:tc>
        <w:tc>
          <w:tcPr>
            <w:tcW w:w="1978" w:type="dxa"/>
            <w:noWrap/>
            <w:hideMark/>
          </w:tcPr>
          <w:p w:rsidR="00A76E11" w:rsidRPr="00B50506" w:rsidRDefault="00A76E11" w:rsidP="005376A7">
            <w:pPr>
              <w:pStyle w:val="NoSpacing"/>
              <w:rPr>
                <w:rFonts w:ascii="Palatino Linotype" w:hAnsi="Palatino Linotype"/>
                <w:sz w:val="16"/>
                <w:szCs w:val="16"/>
              </w:rPr>
            </w:pPr>
            <w:r w:rsidRPr="00B50506">
              <w:rPr>
                <w:rFonts w:ascii="Palatino Linotype" w:hAnsi="Palatino Linotype"/>
                <w:sz w:val="16"/>
                <w:szCs w:val="16"/>
              </w:rPr>
              <w:t>$27</w:t>
            </w:r>
            <w:r w:rsidR="005376A7" w:rsidRPr="00B50506">
              <w:rPr>
                <w:rFonts w:ascii="Palatino Linotype" w:hAnsi="Palatino Linotype"/>
                <w:sz w:val="16"/>
                <w:szCs w:val="16"/>
              </w:rPr>
              <w:t>,4</w:t>
            </w:r>
            <w:r w:rsidRPr="00B50506">
              <w:rPr>
                <w:rFonts w:ascii="Palatino Linotype" w:hAnsi="Palatino Linotype"/>
                <w:sz w:val="16"/>
                <w:szCs w:val="16"/>
              </w:rPr>
              <w:t xml:space="preserve"> </w:t>
            </w:r>
          </w:p>
        </w:tc>
        <w:tc>
          <w:tcPr>
            <w:tcW w:w="2076" w:type="dxa"/>
            <w:noWrap/>
            <w:hideMark/>
          </w:tcPr>
          <w:p w:rsidR="00A76E11" w:rsidRPr="00B50506" w:rsidRDefault="00A76E11" w:rsidP="005376A7">
            <w:pPr>
              <w:pStyle w:val="NoSpacing"/>
              <w:rPr>
                <w:rFonts w:ascii="Palatino Linotype" w:hAnsi="Palatino Linotype"/>
                <w:sz w:val="16"/>
                <w:szCs w:val="16"/>
              </w:rPr>
            </w:pPr>
            <w:r w:rsidRPr="00B50506">
              <w:rPr>
                <w:rFonts w:ascii="Palatino Linotype" w:hAnsi="Palatino Linotype"/>
                <w:sz w:val="16"/>
                <w:szCs w:val="16"/>
              </w:rPr>
              <w:t>$31</w:t>
            </w:r>
            <w:r w:rsidR="005376A7" w:rsidRPr="00B50506">
              <w:rPr>
                <w:rFonts w:ascii="Palatino Linotype" w:hAnsi="Palatino Linotype"/>
                <w:sz w:val="16"/>
                <w:szCs w:val="16"/>
              </w:rPr>
              <w:t>,3</w:t>
            </w:r>
          </w:p>
        </w:tc>
        <w:tc>
          <w:tcPr>
            <w:tcW w:w="1978" w:type="dxa"/>
            <w:noWrap/>
            <w:hideMark/>
          </w:tcPr>
          <w:p w:rsidR="00A76E11" w:rsidRPr="00B50506" w:rsidRDefault="00A76E11" w:rsidP="005376A7">
            <w:pPr>
              <w:pStyle w:val="NoSpacing"/>
              <w:rPr>
                <w:rFonts w:ascii="Palatino Linotype" w:hAnsi="Palatino Linotype"/>
                <w:sz w:val="16"/>
                <w:szCs w:val="16"/>
              </w:rPr>
            </w:pPr>
            <w:r w:rsidRPr="00B50506">
              <w:rPr>
                <w:rFonts w:ascii="Palatino Linotype" w:hAnsi="Palatino Linotype"/>
                <w:sz w:val="16"/>
                <w:szCs w:val="16"/>
              </w:rPr>
              <w:t>$31</w:t>
            </w:r>
            <w:r w:rsidR="005376A7" w:rsidRPr="00B50506">
              <w:rPr>
                <w:rFonts w:ascii="Palatino Linotype" w:hAnsi="Palatino Linotype"/>
                <w:sz w:val="16"/>
                <w:szCs w:val="16"/>
              </w:rPr>
              <w:t>,1</w:t>
            </w:r>
            <w:r w:rsidRPr="00B50506">
              <w:rPr>
                <w:rFonts w:ascii="Palatino Linotype" w:hAnsi="Palatino Linotype"/>
                <w:sz w:val="16"/>
                <w:szCs w:val="16"/>
              </w:rPr>
              <w:t xml:space="preserve"> </w:t>
            </w:r>
          </w:p>
        </w:tc>
        <w:tc>
          <w:tcPr>
            <w:tcW w:w="1978" w:type="dxa"/>
            <w:noWrap/>
            <w:hideMark/>
          </w:tcPr>
          <w:p w:rsidR="00A76E11" w:rsidRPr="00B50506" w:rsidRDefault="00A76E11" w:rsidP="005376A7">
            <w:pPr>
              <w:pStyle w:val="NoSpacing"/>
              <w:rPr>
                <w:rFonts w:ascii="Palatino Linotype" w:hAnsi="Palatino Linotype"/>
                <w:sz w:val="16"/>
                <w:szCs w:val="16"/>
              </w:rPr>
            </w:pPr>
            <w:r w:rsidRPr="00B50506">
              <w:rPr>
                <w:rFonts w:ascii="Palatino Linotype" w:hAnsi="Palatino Linotype"/>
                <w:sz w:val="16"/>
                <w:szCs w:val="16"/>
              </w:rPr>
              <w:t>$31</w:t>
            </w:r>
            <w:r w:rsidR="005376A7" w:rsidRPr="00B50506">
              <w:rPr>
                <w:rFonts w:ascii="Palatino Linotype" w:hAnsi="Palatino Linotype"/>
                <w:sz w:val="16"/>
                <w:szCs w:val="16"/>
              </w:rPr>
              <w:t>,1</w:t>
            </w:r>
            <w:r w:rsidRPr="00B50506">
              <w:rPr>
                <w:rFonts w:ascii="Palatino Linotype" w:hAnsi="Palatino Linotype"/>
                <w:sz w:val="16"/>
                <w:szCs w:val="16"/>
              </w:rPr>
              <w:t xml:space="preserve"> </w:t>
            </w:r>
          </w:p>
        </w:tc>
        <w:tc>
          <w:tcPr>
            <w:tcW w:w="1978" w:type="dxa"/>
            <w:noWrap/>
            <w:hideMark/>
          </w:tcPr>
          <w:p w:rsidR="00A76E11" w:rsidRPr="00B50506" w:rsidRDefault="005376A7" w:rsidP="005376A7">
            <w:pPr>
              <w:pStyle w:val="NoSpacing"/>
              <w:rPr>
                <w:rFonts w:ascii="Palatino Linotype" w:hAnsi="Palatino Linotype"/>
                <w:sz w:val="16"/>
                <w:szCs w:val="16"/>
              </w:rPr>
            </w:pPr>
            <w:r w:rsidRPr="00B50506">
              <w:rPr>
                <w:rFonts w:ascii="Palatino Linotype" w:hAnsi="Palatino Linotype"/>
                <w:sz w:val="16"/>
                <w:szCs w:val="16"/>
              </w:rPr>
              <w:t>$35,0</w:t>
            </w:r>
            <w:r w:rsidR="00A76E11" w:rsidRPr="00B50506">
              <w:rPr>
                <w:rFonts w:ascii="Palatino Linotype" w:hAnsi="Palatino Linotype"/>
                <w:sz w:val="16"/>
                <w:szCs w:val="16"/>
              </w:rPr>
              <w:t xml:space="preserve"> </w:t>
            </w:r>
          </w:p>
        </w:tc>
        <w:tc>
          <w:tcPr>
            <w:tcW w:w="1978" w:type="dxa"/>
            <w:noWrap/>
            <w:hideMark/>
          </w:tcPr>
          <w:p w:rsidR="00A76E11" w:rsidRPr="00B50506" w:rsidRDefault="00A76E11" w:rsidP="005376A7">
            <w:pPr>
              <w:pStyle w:val="NoSpacing"/>
              <w:rPr>
                <w:rFonts w:ascii="Palatino Linotype" w:hAnsi="Palatino Linotype"/>
                <w:sz w:val="16"/>
                <w:szCs w:val="16"/>
              </w:rPr>
            </w:pPr>
            <w:r w:rsidRPr="00B50506">
              <w:rPr>
                <w:rFonts w:ascii="Palatino Linotype" w:hAnsi="Palatino Linotype"/>
                <w:sz w:val="16"/>
                <w:szCs w:val="16"/>
              </w:rPr>
              <w:t>$33</w:t>
            </w:r>
            <w:r w:rsidR="005376A7" w:rsidRPr="00B50506">
              <w:rPr>
                <w:rFonts w:ascii="Palatino Linotype" w:hAnsi="Palatino Linotype"/>
                <w:sz w:val="16"/>
                <w:szCs w:val="16"/>
              </w:rPr>
              <w:t>,1</w:t>
            </w:r>
            <w:r w:rsidRPr="00B50506">
              <w:rPr>
                <w:rFonts w:ascii="Palatino Linotype" w:hAnsi="Palatino Linotype"/>
                <w:sz w:val="16"/>
                <w:szCs w:val="16"/>
              </w:rPr>
              <w:t xml:space="preserve"> </w:t>
            </w:r>
          </w:p>
        </w:tc>
        <w:tc>
          <w:tcPr>
            <w:tcW w:w="2254" w:type="dxa"/>
            <w:noWrap/>
            <w:hideMark/>
          </w:tcPr>
          <w:p w:rsidR="00A76E11" w:rsidRPr="00B50506" w:rsidRDefault="005376A7" w:rsidP="005376A7">
            <w:pPr>
              <w:pStyle w:val="NoSpacing"/>
              <w:rPr>
                <w:rFonts w:ascii="Palatino Linotype" w:hAnsi="Palatino Linotype"/>
                <w:sz w:val="16"/>
                <w:szCs w:val="16"/>
              </w:rPr>
            </w:pPr>
            <w:r w:rsidRPr="00B50506">
              <w:rPr>
                <w:rFonts w:ascii="Palatino Linotype" w:hAnsi="Palatino Linotype"/>
                <w:sz w:val="16"/>
                <w:szCs w:val="16"/>
              </w:rPr>
              <w:t>$26,1</w:t>
            </w:r>
            <w:r w:rsidR="00A76E11" w:rsidRPr="00B50506">
              <w:rPr>
                <w:rFonts w:ascii="Palatino Linotype" w:hAnsi="Palatino Linotype"/>
                <w:sz w:val="16"/>
                <w:szCs w:val="16"/>
              </w:rPr>
              <w:t xml:space="preserve"> </w:t>
            </w:r>
          </w:p>
        </w:tc>
        <w:tc>
          <w:tcPr>
            <w:tcW w:w="949" w:type="dxa"/>
            <w:noWrap/>
            <w:hideMark/>
          </w:tcPr>
          <w:p w:rsidR="00A76E11" w:rsidRPr="00B50506" w:rsidRDefault="00A76E11" w:rsidP="00A76E11">
            <w:pPr>
              <w:pStyle w:val="NoSpacing"/>
              <w:rPr>
                <w:rFonts w:ascii="Palatino Linotype" w:hAnsi="Palatino Linotype"/>
                <w:sz w:val="16"/>
                <w:szCs w:val="16"/>
              </w:rPr>
            </w:pPr>
          </w:p>
        </w:tc>
        <w:tc>
          <w:tcPr>
            <w:tcW w:w="2861" w:type="dxa"/>
            <w:noWrap/>
            <w:hideMark/>
          </w:tcPr>
          <w:p w:rsidR="00A76E11" w:rsidRPr="00B50506" w:rsidRDefault="00A76E11" w:rsidP="00911EBC">
            <w:pPr>
              <w:pStyle w:val="NoSpacing"/>
              <w:rPr>
                <w:rFonts w:ascii="Palatino Linotype" w:hAnsi="Palatino Linotype"/>
                <w:sz w:val="16"/>
                <w:szCs w:val="16"/>
              </w:rPr>
            </w:pPr>
            <w:r w:rsidRPr="00B50506">
              <w:rPr>
                <w:rFonts w:ascii="Palatino Linotype" w:hAnsi="Palatino Linotype"/>
                <w:sz w:val="16"/>
                <w:szCs w:val="16"/>
              </w:rPr>
              <w:t xml:space="preserve">                      10.782 </w:t>
            </w:r>
          </w:p>
        </w:tc>
      </w:tr>
      <w:tr w:rsidR="00A76E11" w:rsidRPr="00A76E11" w:rsidTr="00A76E11">
        <w:trPr>
          <w:trHeight w:val="300"/>
        </w:trPr>
        <w:tc>
          <w:tcPr>
            <w:tcW w:w="2608" w:type="dxa"/>
            <w:noWrap/>
            <w:hideMark/>
          </w:tcPr>
          <w:p w:rsidR="00A76E11" w:rsidRPr="00B50506" w:rsidRDefault="00A76E11" w:rsidP="00A76E11">
            <w:pPr>
              <w:pStyle w:val="NoSpacing"/>
              <w:rPr>
                <w:rFonts w:ascii="Palatino Linotype" w:hAnsi="Palatino Linotype"/>
                <w:bCs/>
                <w:sz w:val="16"/>
                <w:szCs w:val="16"/>
              </w:rPr>
            </w:pPr>
            <w:r w:rsidRPr="00B50506">
              <w:rPr>
                <w:rFonts w:ascii="Palatino Linotype" w:hAnsi="Palatino Linotype"/>
                <w:bCs/>
                <w:sz w:val="16"/>
                <w:szCs w:val="16"/>
              </w:rPr>
              <w:t>VS</w:t>
            </w:r>
          </w:p>
        </w:tc>
        <w:tc>
          <w:tcPr>
            <w:tcW w:w="81" w:type="dxa"/>
            <w:noWrap/>
            <w:hideMark/>
          </w:tcPr>
          <w:p w:rsidR="00A76E11" w:rsidRPr="00B50506" w:rsidRDefault="00A76E11" w:rsidP="00A76E11">
            <w:pPr>
              <w:pStyle w:val="NoSpacing"/>
              <w:rPr>
                <w:rFonts w:ascii="Palatino Linotype" w:hAnsi="Palatino Linotype"/>
                <w:sz w:val="16"/>
                <w:szCs w:val="16"/>
              </w:rPr>
            </w:pPr>
          </w:p>
        </w:tc>
        <w:tc>
          <w:tcPr>
            <w:tcW w:w="1978" w:type="dxa"/>
            <w:noWrap/>
            <w:hideMark/>
          </w:tcPr>
          <w:p w:rsidR="00A76E11" w:rsidRPr="00B50506" w:rsidRDefault="005376A7" w:rsidP="005376A7">
            <w:pPr>
              <w:pStyle w:val="NoSpacing"/>
              <w:rPr>
                <w:rFonts w:ascii="Palatino Linotype" w:hAnsi="Palatino Linotype"/>
                <w:sz w:val="16"/>
                <w:szCs w:val="16"/>
              </w:rPr>
            </w:pPr>
            <w:r w:rsidRPr="00B50506">
              <w:rPr>
                <w:rFonts w:ascii="Palatino Linotype" w:hAnsi="Palatino Linotype"/>
                <w:sz w:val="16"/>
                <w:szCs w:val="16"/>
              </w:rPr>
              <w:t>$329,4</w:t>
            </w:r>
            <w:r w:rsidR="00A76E11" w:rsidRPr="00B50506">
              <w:rPr>
                <w:rFonts w:ascii="Palatino Linotype" w:hAnsi="Palatino Linotype"/>
                <w:sz w:val="16"/>
                <w:szCs w:val="16"/>
              </w:rPr>
              <w:t xml:space="preserve"> </w:t>
            </w:r>
          </w:p>
        </w:tc>
        <w:tc>
          <w:tcPr>
            <w:tcW w:w="2492" w:type="dxa"/>
            <w:noWrap/>
            <w:hideMark/>
          </w:tcPr>
          <w:p w:rsidR="00A76E11" w:rsidRPr="00B50506" w:rsidRDefault="005376A7" w:rsidP="005376A7">
            <w:pPr>
              <w:pStyle w:val="NoSpacing"/>
              <w:rPr>
                <w:rFonts w:ascii="Palatino Linotype" w:hAnsi="Palatino Linotype"/>
                <w:sz w:val="16"/>
                <w:szCs w:val="16"/>
              </w:rPr>
            </w:pPr>
            <w:r w:rsidRPr="00B50506">
              <w:rPr>
                <w:rFonts w:ascii="Palatino Linotype" w:hAnsi="Palatino Linotype"/>
                <w:sz w:val="16"/>
                <w:szCs w:val="16"/>
              </w:rPr>
              <w:t>$310,8</w:t>
            </w:r>
            <w:r w:rsidR="00A76E11" w:rsidRPr="00B50506">
              <w:rPr>
                <w:rFonts w:ascii="Palatino Linotype" w:hAnsi="Palatino Linotype"/>
                <w:sz w:val="16"/>
                <w:szCs w:val="16"/>
              </w:rPr>
              <w:t xml:space="preserve"> </w:t>
            </w:r>
          </w:p>
        </w:tc>
        <w:tc>
          <w:tcPr>
            <w:tcW w:w="2076" w:type="dxa"/>
            <w:noWrap/>
            <w:hideMark/>
          </w:tcPr>
          <w:p w:rsidR="00A76E11" w:rsidRPr="00B50506" w:rsidRDefault="005376A7" w:rsidP="005376A7">
            <w:pPr>
              <w:pStyle w:val="NoSpacing"/>
              <w:rPr>
                <w:rFonts w:ascii="Palatino Linotype" w:hAnsi="Palatino Linotype"/>
                <w:sz w:val="16"/>
                <w:szCs w:val="16"/>
              </w:rPr>
            </w:pPr>
            <w:r w:rsidRPr="00B50506">
              <w:rPr>
                <w:rFonts w:ascii="Palatino Linotype" w:hAnsi="Palatino Linotype"/>
                <w:sz w:val="16"/>
                <w:szCs w:val="16"/>
              </w:rPr>
              <w:t>$343,8</w:t>
            </w:r>
            <w:r w:rsidR="00A76E11" w:rsidRPr="00B50506">
              <w:rPr>
                <w:rFonts w:ascii="Palatino Linotype" w:hAnsi="Palatino Linotype"/>
                <w:sz w:val="16"/>
                <w:szCs w:val="16"/>
              </w:rPr>
              <w:t xml:space="preserve"> </w:t>
            </w:r>
          </w:p>
        </w:tc>
        <w:tc>
          <w:tcPr>
            <w:tcW w:w="1978" w:type="dxa"/>
            <w:noWrap/>
            <w:hideMark/>
          </w:tcPr>
          <w:p w:rsidR="00A76E11" w:rsidRPr="00B50506" w:rsidRDefault="005376A7" w:rsidP="005376A7">
            <w:pPr>
              <w:pStyle w:val="NoSpacing"/>
              <w:rPr>
                <w:rFonts w:ascii="Palatino Linotype" w:hAnsi="Palatino Linotype"/>
                <w:sz w:val="16"/>
                <w:szCs w:val="16"/>
              </w:rPr>
            </w:pPr>
            <w:r w:rsidRPr="00B50506">
              <w:rPr>
                <w:rFonts w:ascii="Palatino Linotype" w:hAnsi="Palatino Linotype"/>
                <w:sz w:val="16"/>
                <w:szCs w:val="16"/>
              </w:rPr>
              <w:t>$366,6</w:t>
            </w:r>
            <w:r w:rsidR="00A76E11" w:rsidRPr="00B50506">
              <w:rPr>
                <w:rFonts w:ascii="Palatino Linotype" w:hAnsi="Palatino Linotype"/>
                <w:sz w:val="16"/>
                <w:szCs w:val="16"/>
              </w:rPr>
              <w:t xml:space="preserve"> </w:t>
            </w:r>
          </w:p>
        </w:tc>
        <w:tc>
          <w:tcPr>
            <w:tcW w:w="2452" w:type="dxa"/>
            <w:noWrap/>
            <w:hideMark/>
          </w:tcPr>
          <w:p w:rsidR="00A76E11" w:rsidRPr="00B50506" w:rsidRDefault="005376A7" w:rsidP="005376A7">
            <w:pPr>
              <w:pStyle w:val="NoSpacing"/>
              <w:rPr>
                <w:rFonts w:ascii="Palatino Linotype" w:hAnsi="Palatino Linotype"/>
                <w:sz w:val="16"/>
                <w:szCs w:val="16"/>
              </w:rPr>
            </w:pPr>
            <w:r w:rsidRPr="00B50506">
              <w:rPr>
                <w:rFonts w:ascii="Palatino Linotype" w:hAnsi="Palatino Linotype"/>
                <w:sz w:val="16"/>
                <w:szCs w:val="16"/>
              </w:rPr>
              <w:t>$429,6</w:t>
            </w:r>
          </w:p>
        </w:tc>
        <w:tc>
          <w:tcPr>
            <w:tcW w:w="1978" w:type="dxa"/>
            <w:noWrap/>
            <w:hideMark/>
          </w:tcPr>
          <w:p w:rsidR="00A76E11" w:rsidRPr="00B50506" w:rsidRDefault="005376A7" w:rsidP="005376A7">
            <w:pPr>
              <w:pStyle w:val="NoSpacing"/>
              <w:rPr>
                <w:rFonts w:ascii="Palatino Linotype" w:hAnsi="Palatino Linotype"/>
                <w:sz w:val="16"/>
                <w:szCs w:val="16"/>
              </w:rPr>
            </w:pPr>
            <w:r w:rsidRPr="00B50506">
              <w:rPr>
                <w:rFonts w:ascii="Palatino Linotype" w:hAnsi="Palatino Linotype"/>
                <w:sz w:val="16"/>
                <w:szCs w:val="16"/>
              </w:rPr>
              <w:t>$463,4</w:t>
            </w:r>
            <w:r w:rsidR="00A76E11" w:rsidRPr="00B50506">
              <w:rPr>
                <w:rFonts w:ascii="Palatino Linotype" w:hAnsi="Palatino Linotype"/>
                <w:sz w:val="16"/>
                <w:szCs w:val="16"/>
              </w:rPr>
              <w:t xml:space="preserve"> </w:t>
            </w:r>
          </w:p>
        </w:tc>
        <w:tc>
          <w:tcPr>
            <w:tcW w:w="2076" w:type="dxa"/>
            <w:noWrap/>
            <w:hideMark/>
          </w:tcPr>
          <w:p w:rsidR="00A76E11" w:rsidRPr="00B50506" w:rsidRDefault="005376A7" w:rsidP="005376A7">
            <w:pPr>
              <w:pStyle w:val="NoSpacing"/>
              <w:rPr>
                <w:rFonts w:ascii="Palatino Linotype" w:hAnsi="Palatino Linotype"/>
                <w:sz w:val="16"/>
                <w:szCs w:val="16"/>
              </w:rPr>
            </w:pPr>
            <w:r w:rsidRPr="00B50506">
              <w:rPr>
                <w:rFonts w:ascii="Palatino Linotype" w:hAnsi="Palatino Linotype"/>
                <w:sz w:val="16"/>
                <w:szCs w:val="16"/>
              </w:rPr>
              <w:t>$441,6</w:t>
            </w:r>
            <w:r w:rsidR="00A76E11" w:rsidRPr="00B50506">
              <w:rPr>
                <w:rFonts w:ascii="Palatino Linotype" w:hAnsi="Palatino Linotype"/>
                <w:sz w:val="16"/>
                <w:szCs w:val="16"/>
              </w:rPr>
              <w:t xml:space="preserve"> </w:t>
            </w:r>
          </w:p>
        </w:tc>
        <w:tc>
          <w:tcPr>
            <w:tcW w:w="1978" w:type="dxa"/>
            <w:noWrap/>
            <w:hideMark/>
          </w:tcPr>
          <w:p w:rsidR="00A76E11" w:rsidRPr="00B50506" w:rsidRDefault="005376A7" w:rsidP="005376A7">
            <w:pPr>
              <w:pStyle w:val="NoSpacing"/>
              <w:rPr>
                <w:rFonts w:ascii="Palatino Linotype" w:hAnsi="Palatino Linotype"/>
                <w:sz w:val="16"/>
                <w:szCs w:val="16"/>
              </w:rPr>
            </w:pPr>
            <w:r w:rsidRPr="00B50506">
              <w:rPr>
                <w:rFonts w:ascii="Palatino Linotype" w:hAnsi="Palatino Linotype"/>
                <w:sz w:val="16"/>
                <w:szCs w:val="16"/>
              </w:rPr>
              <w:t>$418,1</w:t>
            </w:r>
            <w:r w:rsidR="00A76E11" w:rsidRPr="00B50506">
              <w:rPr>
                <w:rFonts w:ascii="Palatino Linotype" w:hAnsi="Palatino Linotype"/>
                <w:sz w:val="16"/>
                <w:szCs w:val="16"/>
              </w:rPr>
              <w:t xml:space="preserve"> </w:t>
            </w:r>
          </w:p>
        </w:tc>
        <w:tc>
          <w:tcPr>
            <w:tcW w:w="1978" w:type="dxa"/>
            <w:noWrap/>
            <w:hideMark/>
          </w:tcPr>
          <w:p w:rsidR="00A76E11" w:rsidRPr="00B50506" w:rsidRDefault="00911EBC" w:rsidP="00911EBC">
            <w:pPr>
              <w:pStyle w:val="NoSpacing"/>
              <w:rPr>
                <w:rFonts w:ascii="Palatino Linotype" w:hAnsi="Palatino Linotype"/>
                <w:sz w:val="16"/>
                <w:szCs w:val="16"/>
              </w:rPr>
            </w:pPr>
            <w:r w:rsidRPr="00B50506">
              <w:rPr>
                <w:rFonts w:ascii="Palatino Linotype" w:hAnsi="Palatino Linotype"/>
                <w:sz w:val="16"/>
                <w:szCs w:val="16"/>
              </w:rPr>
              <w:t>$478,7</w:t>
            </w:r>
            <w:r w:rsidR="00A76E11" w:rsidRPr="00B50506">
              <w:rPr>
                <w:rFonts w:ascii="Palatino Linotype" w:hAnsi="Palatino Linotype"/>
                <w:sz w:val="16"/>
                <w:szCs w:val="16"/>
              </w:rPr>
              <w:t xml:space="preserve"> </w:t>
            </w:r>
          </w:p>
        </w:tc>
        <w:tc>
          <w:tcPr>
            <w:tcW w:w="1978" w:type="dxa"/>
            <w:noWrap/>
            <w:hideMark/>
          </w:tcPr>
          <w:p w:rsidR="00A76E11" w:rsidRPr="00B50506" w:rsidRDefault="00911EBC" w:rsidP="00911EBC">
            <w:pPr>
              <w:pStyle w:val="NoSpacing"/>
              <w:rPr>
                <w:rFonts w:ascii="Palatino Linotype" w:hAnsi="Palatino Linotype"/>
                <w:sz w:val="16"/>
                <w:szCs w:val="16"/>
              </w:rPr>
            </w:pPr>
            <w:r w:rsidRPr="00B50506">
              <w:rPr>
                <w:rFonts w:ascii="Palatino Linotype" w:hAnsi="Palatino Linotype"/>
                <w:sz w:val="16"/>
                <w:szCs w:val="16"/>
              </w:rPr>
              <w:t>$481,5</w:t>
            </w:r>
            <w:r w:rsidR="00A76E11" w:rsidRPr="00B50506">
              <w:rPr>
                <w:rFonts w:ascii="Palatino Linotype" w:hAnsi="Palatino Linotype"/>
                <w:sz w:val="16"/>
                <w:szCs w:val="16"/>
              </w:rPr>
              <w:t xml:space="preserve"> </w:t>
            </w:r>
          </w:p>
        </w:tc>
        <w:tc>
          <w:tcPr>
            <w:tcW w:w="1978" w:type="dxa"/>
            <w:noWrap/>
            <w:hideMark/>
          </w:tcPr>
          <w:p w:rsidR="00A76E11" w:rsidRPr="00B50506" w:rsidRDefault="00911EBC" w:rsidP="00A76E11">
            <w:pPr>
              <w:pStyle w:val="NoSpacing"/>
              <w:rPr>
                <w:rFonts w:ascii="Palatino Linotype" w:hAnsi="Palatino Linotype"/>
                <w:sz w:val="16"/>
                <w:szCs w:val="16"/>
              </w:rPr>
            </w:pPr>
            <w:r w:rsidRPr="00B50506">
              <w:rPr>
                <w:rFonts w:ascii="Palatino Linotype" w:hAnsi="Palatino Linotype"/>
                <w:sz w:val="16"/>
                <w:szCs w:val="16"/>
              </w:rPr>
              <w:t>n.b.</w:t>
            </w:r>
          </w:p>
        </w:tc>
        <w:tc>
          <w:tcPr>
            <w:tcW w:w="2254" w:type="dxa"/>
            <w:noWrap/>
            <w:hideMark/>
          </w:tcPr>
          <w:p w:rsidR="00A76E11" w:rsidRPr="00B50506" w:rsidRDefault="00911EBC" w:rsidP="00911EBC">
            <w:pPr>
              <w:pStyle w:val="NoSpacing"/>
              <w:rPr>
                <w:rFonts w:ascii="Palatino Linotype" w:hAnsi="Palatino Linotype"/>
                <w:sz w:val="16"/>
                <w:szCs w:val="16"/>
              </w:rPr>
            </w:pPr>
            <w:r w:rsidRPr="00B50506">
              <w:rPr>
                <w:rFonts w:ascii="Palatino Linotype" w:hAnsi="Palatino Linotype"/>
                <w:sz w:val="16"/>
                <w:szCs w:val="16"/>
              </w:rPr>
              <w:t>$369,4</w:t>
            </w:r>
          </w:p>
        </w:tc>
        <w:tc>
          <w:tcPr>
            <w:tcW w:w="949" w:type="dxa"/>
            <w:noWrap/>
            <w:hideMark/>
          </w:tcPr>
          <w:p w:rsidR="00A76E11" w:rsidRPr="00B50506" w:rsidRDefault="00A76E11" w:rsidP="00A76E11">
            <w:pPr>
              <w:pStyle w:val="NoSpacing"/>
              <w:rPr>
                <w:rFonts w:ascii="Palatino Linotype" w:hAnsi="Palatino Linotype"/>
                <w:sz w:val="16"/>
                <w:szCs w:val="16"/>
              </w:rPr>
            </w:pPr>
          </w:p>
        </w:tc>
        <w:tc>
          <w:tcPr>
            <w:tcW w:w="2861" w:type="dxa"/>
            <w:noWrap/>
            <w:hideMark/>
          </w:tcPr>
          <w:p w:rsidR="00A76E11" w:rsidRPr="00B50506" w:rsidRDefault="00A76E11" w:rsidP="00911EBC">
            <w:pPr>
              <w:pStyle w:val="NoSpacing"/>
              <w:rPr>
                <w:rFonts w:ascii="Palatino Linotype" w:hAnsi="Palatino Linotype"/>
                <w:sz w:val="16"/>
                <w:szCs w:val="16"/>
              </w:rPr>
            </w:pPr>
            <w:r w:rsidRPr="00B50506">
              <w:rPr>
                <w:rFonts w:ascii="Palatino Linotype" w:hAnsi="Palatino Linotype"/>
                <w:sz w:val="16"/>
                <w:szCs w:val="16"/>
              </w:rPr>
              <w:t xml:space="preserve">                         9.653 </w:t>
            </w:r>
          </w:p>
        </w:tc>
      </w:tr>
    </w:tbl>
    <w:p w:rsidR="00A76E11" w:rsidRDefault="00A76E11" w:rsidP="003B6142">
      <w:pPr>
        <w:pStyle w:val="NoSpacing"/>
        <w:rPr>
          <w:rFonts w:ascii="Palatino Linotype" w:hAnsi="Palatino Linotype"/>
        </w:rPr>
      </w:pPr>
    </w:p>
    <w:tbl>
      <w:tblPr>
        <w:tblStyle w:val="TableGrid"/>
        <w:tblW w:w="0" w:type="auto"/>
        <w:tblLook w:val="04A0" w:firstRow="1" w:lastRow="0" w:firstColumn="1" w:lastColumn="0" w:noHBand="0" w:noVBand="1"/>
      </w:tblPr>
      <w:tblGrid>
        <w:gridCol w:w="675"/>
        <w:gridCol w:w="221"/>
        <w:gridCol w:w="790"/>
        <w:gridCol w:w="790"/>
        <w:gridCol w:w="680"/>
        <w:gridCol w:w="656"/>
        <w:gridCol w:w="774"/>
        <w:gridCol w:w="656"/>
        <w:gridCol w:w="681"/>
        <w:gridCol w:w="656"/>
        <w:gridCol w:w="656"/>
        <w:gridCol w:w="656"/>
        <w:gridCol w:w="656"/>
        <w:gridCol w:w="741"/>
      </w:tblGrid>
      <w:tr w:rsidR="00E501AF" w:rsidRPr="00190691" w:rsidTr="00E501AF">
        <w:trPr>
          <w:trHeight w:val="300"/>
        </w:trPr>
        <w:tc>
          <w:tcPr>
            <w:tcW w:w="2475" w:type="dxa"/>
            <w:gridSpan w:val="4"/>
            <w:noWrap/>
            <w:hideMark/>
          </w:tcPr>
          <w:p w:rsidR="008576C1" w:rsidRPr="008576C1" w:rsidRDefault="008576C1" w:rsidP="008576C1">
            <w:pPr>
              <w:pStyle w:val="NoSpacing"/>
              <w:rPr>
                <w:rFonts w:ascii="Palatino Linotype" w:hAnsi="Palatino Linotype"/>
                <w:bCs/>
                <w:sz w:val="16"/>
                <w:szCs w:val="16"/>
                <w:lang w:val="en-GB"/>
              </w:rPr>
            </w:pPr>
            <w:r w:rsidRPr="008576C1">
              <w:rPr>
                <w:rFonts w:ascii="Palatino Linotype" w:hAnsi="Palatino Linotype"/>
                <w:bCs/>
                <w:i/>
                <w:sz w:val="16"/>
                <w:szCs w:val="16"/>
                <w:lang w:val="en-GB"/>
              </w:rPr>
              <w:t>n</w:t>
            </w:r>
            <w:r w:rsidR="00503BF9">
              <w:rPr>
                <w:rFonts w:ascii="Palatino Linotype" w:hAnsi="Palatino Linotype"/>
                <w:bCs/>
                <w:sz w:val="16"/>
                <w:szCs w:val="16"/>
                <w:lang w:val="en-GB"/>
              </w:rPr>
              <w:t xml:space="preserve"> (EMPLOYED </w:t>
            </w:r>
            <w:r w:rsidRPr="008576C1">
              <w:rPr>
                <w:rFonts w:ascii="Palatino Linotype" w:hAnsi="Palatino Linotype"/>
                <w:bCs/>
                <w:sz w:val="16"/>
                <w:szCs w:val="16"/>
                <w:lang w:val="en-GB"/>
              </w:rPr>
              <w:t xml:space="preserve"> OF LaborForce, WORLD BANK)</w:t>
            </w:r>
            <w:r w:rsidR="00503BF9">
              <w:rPr>
                <w:rFonts w:ascii="Palatino Linotype" w:hAnsi="Palatino Linotype"/>
                <w:bCs/>
                <w:sz w:val="16"/>
                <w:szCs w:val="16"/>
                <w:lang w:val="en-GB"/>
              </w:rPr>
              <w:t xml:space="preserve"> in M</w:t>
            </w:r>
            <w:r w:rsidR="001B0DF3">
              <w:rPr>
                <w:rFonts w:ascii="Palatino Linotype" w:hAnsi="Palatino Linotype"/>
                <w:bCs/>
                <w:sz w:val="16"/>
                <w:szCs w:val="16"/>
                <w:lang w:val="en-GB"/>
              </w:rPr>
              <w:t>io</w:t>
            </w:r>
          </w:p>
        </w:tc>
        <w:tc>
          <w:tcPr>
            <w:tcW w:w="681" w:type="dxa"/>
            <w:noWrap/>
            <w:hideMark/>
          </w:tcPr>
          <w:p w:rsidR="008576C1" w:rsidRPr="008576C1" w:rsidRDefault="008576C1" w:rsidP="008576C1">
            <w:pPr>
              <w:pStyle w:val="NoSpacing"/>
              <w:rPr>
                <w:rFonts w:ascii="Palatino Linotype" w:hAnsi="Palatino Linotype"/>
                <w:sz w:val="16"/>
                <w:szCs w:val="16"/>
                <w:lang w:val="en-GB"/>
              </w:rPr>
            </w:pPr>
          </w:p>
        </w:tc>
        <w:tc>
          <w:tcPr>
            <w:tcW w:w="656" w:type="dxa"/>
            <w:noWrap/>
            <w:hideMark/>
          </w:tcPr>
          <w:p w:rsidR="008576C1" w:rsidRPr="008576C1" w:rsidRDefault="008576C1" w:rsidP="008576C1">
            <w:pPr>
              <w:pStyle w:val="NoSpacing"/>
              <w:rPr>
                <w:rFonts w:ascii="Palatino Linotype" w:hAnsi="Palatino Linotype"/>
                <w:sz w:val="16"/>
                <w:szCs w:val="16"/>
                <w:lang w:val="en-GB"/>
              </w:rPr>
            </w:pPr>
          </w:p>
        </w:tc>
        <w:tc>
          <w:tcPr>
            <w:tcW w:w="774" w:type="dxa"/>
            <w:noWrap/>
            <w:hideMark/>
          </w:tcPr>
          <w:p w:rsidR="008576C1" w:rsidRPr="008576C1" w:rsidRDefault="008576C1" w:rsidP="008576C1">
            <w:pPr>
              <w:pStyle w:val="NoSpacing"/>
              <w:rPr>
                <w:rFonts w:ascii="Palatino Linotype" w:hAnsi="Palatino Linotype"/>
                <w:sz w:val="16"/>
                <w:szCs w:val="16"/>
                <w:lang w:val="en-GB"/>
              </w:rPr>
            </w:pPr>
          </w:p>
        </w:tc>
        <w:tc>
          <w:tcPr>
            <w:tcW w:w="656" w:type="dxa"/>
            <w:noWrap/>
            <w:hideMark/>
          </w:tcPr>
          <w:p w:rsidR="008576C1" w:rsidRPr="008576C1" w:rsidRDefault="008576C1" w:rsidP="008576C1">
            <w:pPr>
              <w:pStyle w:val="NoSpacing"/>
              <w:rPr>
                <w:rFonts w:ascii="Palatino Linotype" w:hAnsi="Palatino Linotype"/>
                <w:sz w:val="16"/>
                <w:szCs w:val="16"/>
                <w:lang w:val="en-GB"/>
              </w:rPr>
            </w:pPr>
          </w:p>
        </w:tc>
        <w:tc>
          <w:tcPr>
            <w:tcW w:w="681" w:type="dxa"/>
            <w:noWrap/>
            <w:hideMark/>
          </w:tcPr>
          <w:p w:rsidR="008576C1" w:rsidRPr="008576C1" w:rsidRDefault="008576C1" w:rsidP="008576C1">
            <w:pPr>
              <w:pStyle w:val="NoSpacing"/>
              <w:rPr>
                <w:rFonts w:ascii="Palatino Linotype" w:hAnsi="Palatino Linotype"/>
                <w:sz w:val="16"/>
                <w:szCs w:val="16"/>
                <w:lang w:val="en-GB"/>
              </w:rPr>
            </w:pPr>
          </w:p>
        </w:tc>
        <w:tc>
          <w:tcPr>
            <w:tcW w:w="656" w:type="dxa"/>
            <w:noWrap/>
            <w:hideMark/>
          </w:tcPr>
          <w:p w:rsidR="008576C1" w:rsidRPr="008576C1" w:rsidRDefault="008576C1" w:rsidP="008576C1">
            <w:pPr>
              <w:pStyle w:val="NoSpacing"/>
              <w:rPr>
                <w:rFonts w:ascii="Palatino Linotype" w:hAnsi="Palatino Linotype"/>
                <w:sz w:val="16"/>
                <w:szCs w:val="16"/>
                <w:lang w:val="en-GB"/>
              </w:rPr>
            </w:pPr>
          </w:p>
        </w:tc>
        <w:tc>
          <w:tcPr>
            <w:tcW w:w="656" w:type="dxa"/>
            <w:noWrap/>
            <w:hideMark/>
          </w:tcPr>
          <w:p w:rsidR="008576C1" w:rsidRPr="008576C1" w:rsidRDefault="008576C1" w:rsidP="008576C1">
            <w:pPr>
              <w:pStyle w:val="NoSpacing"/>
              <w:rPr>
                <w:rFonts w:ascii="Palatino Linotype" w:hAnsi="Palatino Linotype"/>
                <w:sz w:val="16"/>
                <w:szCs w:val="16"/>
                <w:lang w:val="en-GB"/>
              </w:rPr>
            </w:pPr>
          </w:p>
        </w:tc>
        <w:tc>
          <w:tcPr>
            <w:tcW w:w="656" w:type="dxa"/>
            <w:noWrap/>
            <w:hideMark/>
          </w:tcPr>
          <w:p w:rsidR="008576C1" w:rsidRPr="008576C1" w:rsidRDefault="008576C1" w:rsidP="008576C1">
            <w:pPr>
              <w:pStyle w:val="NoSpacing"/>
              <w:rPr>
                <w:rFonts w:ascii="Palatino Linotype" w:hAnsi="Palatino Linotype"/>
                <w:sz w:val="16"/>
                <w:szCs w:val="16"/>
                <w:lang w:val="en-GB"/>
              </w:rPr>
            </w:pPr>
          </w:p>
        </w:tc>
        <w:tc>
          <w:tcPr>
            <w:tcW w:w="656" w:type="dxa"/>
            <w:noWrap/>
            <w:hideMark/>
          </w:tcPr>
          <w:p w:rsidR="008576C1" w:rsidRPr="008576C1" w:rsidRDefault="008576C1" w:rsidP="008576C1">
            <w:pPr>
              <w:pStyle w:val="NoSpacing"/>
              <w:rPr>
                <w:rFonts w:ascii="Palatino Linotype" w:hAnsi="Palatino Linotype"/>
                <w:sz w:val="16"/>
                <w:szCs w:val="16"/>
                <w:lang w:val="en-GB"/>
              </w:rPr>
            </w:pPr>
          </w:p>
        </w:tc>
        <w:tc>
          <w:tcPr>
            <w:tcW w:w="741" w:type="dxa"/>
            <w:noWrap/>
            <w:hideMark/>
          </w:tcPr>
          <w:p w:rsidR="008576C1" w:rsidRPr="008576C1" w:rsidRDefault="008576C1" w:rsidP="008576C1">
            <w:pPr>
              <w:pStyle w:val="NoSpacing"/>
              <w:rPr>
                <w:rFonts w:ascii="Palatino Linotype" w:hAnsi="Palatino Linotype"/>
                <w:sz w:val="16"/>
                <w:szCs w:val="16"/>
                <w:lang w:val="en-GB"/>
              </w:rPr>
            </w:pPr>
          </w:p>
        </w:tc>
      </w:tr>
      <w:tr w:rsidR="00E501AF" w:rsidRPr="008576C1" w:rsidTr="00E501AF">
        <w:trPr>
          <w:trHeight w:val="300"/>
        </w:trPr>
        <w:tc>
          <w:tcPr>
            <w:tcW w:w="676" w:type="dxa"/>
            <w:noWrap/>
            <w:hideMark/>
          </w:tcPr>
          <w:p w:rsidR="008576C1" w:rsidRPr="008576C1" w:rsidRDefault="008576C1" w:rsidP="008576C1">
            <w:pPr>
              <w:pStyle w:val="NoSpacing"/>
              <w:rPr>
                <w:rFonts w:ascii="Palatino Linotype" w:hAnsi="Palatino Linotype"/>
                <w:sz w:val="16"/>
                <w:szCs w:val="16"/>
                <w:lang w:val="en-GB"/>
              </w:rPr>
            </w:pPr>
          </w:p>
        </w:tc>
        <w:tc>
          <w:tcPr>
            <w:tcW w:w="217" w:type="dxa"/>
            <w:noWrap/>
            <w:hideMark/>
          </w:tcPr>
          <w:p w:rsidR="008576C1" w:rsidRPr="008576C1" w:rsidRDefault="008576C1" w:rsidP="008576C1">
            <w:pPr>
              <w:pStyle w:val="NoSpacing"/>
              <w:rPr>
                <w:rFonts w:ascii="Palatino Linotype" w:hAnsi="Palatino Linotype"/>
                <w:sz w:val="16"/>
                <w:szCs w:val="16"/>
                <w:lang w:val="en-GB"/>
              </w:rPr>
            </w:pPr>
          </w:p>
        </w:tc>
        <w:tc>
          <w:tcPr>
            <w:tcW w:w="791"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2002</w:t>
            </w:r>
          </w:p>
        </w:tc>
        <w:tc>
          <w:tcPr>
            <w:tcW w:w="791"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2003</w:t>
            </w:r>
          </w:p>
        </w:tc>
        <w:tc>
          <w:tcPr>
            <w:tcW w:w="681"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2004</w:t>
            </w:r>
          </w:p>
        </w:tc>
        <w:tc>
          <w:tcPr>
            <w:tcW w:w="656"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2005</w:t>
            </w:r>
          </w:p>
        </w:tc>
        <w:tc>
          <w:tcPr>
            <w:tcW w:w="774"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2006</w:t>
            </w:r>
          </w:p>
        </w:tc>
        <w:tc>
          <w:tcPr>
            <w:tcW w:w="656"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2007</w:t>
            </w:r>
          </w:p>
        </w:tc>
        <w:tc>
          <w:tcPr>
            <w:tcW w:w="681"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2008</w:t>
            </w:r>
          </w:p>
        </w:tc>
        <w:tc>
          <w:tcPr>
            <w:tcW w:w="656"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2009</w:t>
            </w:r>
          </w:p>
        </w:tc>
        <w:tc>
          <w:tcPr>
            <w:tcW w:w="656"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2010</w:t>
            </w:r>
          </w:p>
        </w:tc>
        <w:tc>
          <w:tcPr>
            <w:tcW w:w="656"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2011</w:t>
            </w:r>
          </w:p>
        </w:tc>
        <w:tc>
          <w:tcPr>
            <w:tcW w:w="656"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2012</w:t>
            </w:r>
          </w:p>
        </w:tc>
        <w:tc>
          <w:tcPr>
            <w:tcW w:w="741"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GEM</w:t>
            </w:r>
          </w:p>
        </w:tc>
      </w:tr>
      <w:tr w:rsidR="00E501AF" w:rsidRPr="008576C1" w:rsidTr="00E501AF">
        <w:trPr>
          <w:trHeight w:val="300"/>
        </w:trPr>
        <w:tc>
          <w:tcPr>
            <w:tcW w:w="676" w:type="dxa"/>
            <w:noWrap/>
            <w:hideMark/>
          </w:tcPr>
          <w:p w:rsidR="008576C1" w:rsidRPr="008576C1" w:rsidRDefault="008576C1" w:rsidP="008576C1">
            <w:pPr>
              <w:pStyle w:val="NoSpacing"/>
              <w:rPr>
                <w:rFonts w:ascii="Palatino Linotype" w:hAnsi="Palatino Linotype"/>
                <w:bCs/>
                <w:sz w:val="16"/>
                <w:szCs w:val="16"/>
              </w:rPr>
            </w:pPr>
            <w:r>
              <w:rPr>
                <w:rFonts w:ascii="Palatino Linotype" w:hAnsi="Palatino Linotype"/>
                <w:bCs/>
                <w:sz w:val="16"/>
                <w:szCs w:val="16"/>
              </w:rPr>
              <w:t>CL</w:t>
            </w:r>
          </w:p>
        </w:tc>
        <w:tc>
          <w:tcPr>
            <w:tcW w:w="217" w:type="dxa"/>
            <w:noWrap/>
            <w:hideMark/>
          </w:tcPr>
          <w:p w:rsidR="008576C1" w:rsidRPr="008576C1" w:rsidRDefault="008576C1" w:rsidP="008576C1">
            <w:pPr>
              <w:pStyle w:val="NoSpacing"/>
              <w:rPr>
                <w:rFonts w:ascii="Palatino Linotype" w:hAnsi="Palatino Linotype"/>
                <w:sz w:val="16"/>
                <w:szCs w:val="16"/>
              </w:rPr>
            </w:pPr>
          </w:p>
        </w:tc>
        <w:tc>
          <w:tcPr>
            <w:tcW w:w="791" w:type="dxa"/>
            <w:noWrap/>
            <w:hideMark/>
          </w:tcPr>
          <w:p w:rsidR="008576C1" w:rsidRPr="008576C1" w:rsidRDefault="00503BF9" w:rsidP="00503BF9">
            <w:pPr>
              <w:pStyle w:val="NoSpacing"/>
              <w:rPr>
                <w:rFonts w:ascii="Palatino Linotype" w:hAnsi="Palatino Linotype"/>
                <w:sz w:val="16"/>
                <w:szCs w:val="16"/>
              </w:rPr>
            </w:pPr>
            <w:r>
              <w:rPr>
                <w:rFonts w:ascii="Palatino Linotype" w:hAnsi="Palatino Linotype"/>
                <w:sz w:val="16"/>
                <w:szCs w:val="16"/>
              </w:rPr>
              <w:t>5,7</w:t>
            </w:r>
          </w:p>
        </w:tc>
        <w:tc>
          <w:tcPr>
            <w:tcW w:w="791" w:type="dxa"/>
            <w:noWrap/>
            <w:hideMark/>
          </w:tcPr>
          <w:p w:rsidR="008576C1" w:rsidRPr="008576C1" w:rsidRDefault="00503BF9" w:rsidP="00503BF9">
            <w:pPr>
              <w:pStyle w:val="NoSpacing"/>
              <w:rPr>
                <w:rFonts w:ascii="Palatino Linotype" w:hAnsi="Palatino Linotype"/>
                <w:sz w:val="16"/>
                <w:szCs w:val="16"/>
              </w:rPr>
            </w:pPr>
            <w:r>
              <w:rPr>
                <w:rFonts w:ascii="Palatino Linotype" w:hAnsi="Palatino Linotype"/>
                <w:sz w:val="16"/>
                <w:szCs w:val="16"/>
              </w:rPr>
              <w:t>5,9</w:t>
            </w:r>
          </w:p>
        </w:tc>
        <w:tc>
          <w:tcPr>
            <w:tcW w:w="681" w:type="dxa"/>
            <w:noWrap/>
            <w:hideMark/>
          </w:tcPr>
          <w:p w:rsidR="008576C1" w:rsidRPr="008576C1" w:rsidRDefault="00503BF9" w:rsidP="00503BF9">
            <w:pPr>
              <w:pStyle w:val="NoSpacing"/>
              <w:rPr>
                <w:rFonts w:ascii="Palatino Linotype" w:hAnsi="Palatino Linotype"/>
                <w:sz w:val="16"/>
                <w:szCs w:val="16"/>
              </w:rPr>
            </w:pPr>
            <w:r>
              <w:rPr>
                <w:rFonts w:ascii="Palatino Linotype" w:hAnsi="Palatino Linotype"/>
                <w:sz w:val="16"/>
                <w:szCs w:val="16"/>
              </w:rPr>
              <w:t>6,0</w:t>
            </w:r>
          </w:p>
        </w:tc>
        <w:tc>
          <w:tcPr>
            <w:tcW w:w="656" w:type="dxa"/>
            <w:noWrap/>
            <w:hideMark/>
          </w:tcPr>
          <w:p w:rsidR="008576C1" w:rsidRPr="008576C1" w:rsidRDefault="00503BF9" w:rsidP="00503BF9">
            <w:pPr>
              <w:pStyle w:val="NoSpacing"/>
              <w:rPr>
                <w:rFonts w:ascii="Palatino Linotype" w:hAnsi="Palatino Linotype"/>
                <w:sz w:val="16"/>
                <w:szCs w:val="16"/>
              </w:rPr>
            </w:pPr>
            <w:r>
              <w:rPr>
                <w:rFonts w:ascii="Palatino Linotype" w:hAnsi="Palatino Linotype"/>
                <w:sz w:val="16"/>
                <w:szCs w:val="16"/>
              </w:rPr>
              <w:t>6,2</w:t>
            </w:r>
          </w:p>
        </w:tc>
        <w:tc>
          <w:tcPr>
            <w:tcW w:w="774" w:type="dxa"/>
            <w:noWrap/>
            <w:hideMark/>
          </w:tcPr>
          <w:p w:rsidR="008576C1" w:rsidRPr="008576C1" w:rsidRDefault="00503BF9" w:rsidP="00503BF9">
            <w:pPr>
              <w:pStyle w:val="NoSpacing"/>
              <w:rPr>
                <w:rFonts w:ascii="Palatino Linotype" w:hAnsi="Palatino Linotype"/>
                <w:sz w:val="16"/>
                <w:szCs w:val="16"/>
              </w:rPr>
            </w:pPr>
            <w:r>
              <w:rPr>
                <w:rFonts w:ascii="Palatino Linotype" w:hAnsi="Palatino Linotype"/>
                <w:sz w:val="16"/>
                <w:szCs w:val="16"/>
              </w:rPr>
              <w:t>6,4</w:t>
            </w:r>
          </w:p>
        </w:tc>
        <w:tc>
          <w:tcPr>
            <w:tcW w:w="656" w:type="dxa"/>
            <w:noWrap/>
            <w:hideMark/>
          </w:tcPr>
          <w:p w:rsidR="008576C1" w:rsidRPr="008576C1" w:rsidRDefault="00503BF9" w:rsidP="00503BF9">
            <w:pPr>
              <w:pStyle w:val="NoSpacing"/>
              <w:rPr>
                <w:rFonts w:ascii="Palatino Linotype" w:hAnsi="Palatino Linotype"/>
                <w:sz w:val="16"/>
                <w:szCs w:val="16"/>
              </w:rPr>
            </w:pPr>
            <w:r>
              <w:rPr>
                <w:rFonts w:ascii="Palatino Linotype" w:hAnsi="Palatino Linotype"/>
                <w:sz w:val="16"/>
                <w:szCs w:val="16"/>
              </w:rPr>
              <w:t>6,7</w:t>
            </w:r>
          </w:p>
        </w:tc>
        <w:tc>
          <w:tcPr>
            <w:tcW w:w="681" w:type="dxa"/>
            <w:noWrap/>
            <w:hideMark/>
          </w:tcPr>
          <w:p w:rsidR="008576C1" w:rsidRPr="008576C1" w:rsidRDefault="00503BF9" w:rsidP="00503BF9">
            <w:pPr>
              <w:pStyle w:val="NoSpacing"/>
              <w:rPr>
                <w:rFonts w:ascii="Palatino Linotype" w:hAnsi="Palatino Linotype"/>
                <w:sz w:val="16"/>
                <w:szCs w:val="16"/>
              </w:rPr>
            </w:pPr>
            <w:r>
              <w:rPr>
                <w:rFonts w:ascii="Palatino Linotype" w:hAnsi="Palatino Linotype"/>
                <w:sz w:val="16"/>
                <w:szCs w:val="16"/>
              </w:rPr>
              <w:t>7,1</w:t>
            </w:r>
          </w:p>
        </w:tc>
        <w:tc>
          <w:tcPr>
            <w:tcW w:w="656" w:type="dxa"/>
            <w:noWrap/>
            <w:hideMark/>
          </w:tcPr>
          <w:p w:rsidR="008576C1" w:rsidRPr="008576C1" w:rsidRDefault="00503BF9" w:rsidP="00503BF9">
            <w:pPr>
              <w:pStyle w:val="NoSpacing"/>
              <w:rPr>
                <w:rFonts w:ascii="Palatino Linotype" w:hAnsi="Palatino Linotype"/>
                <w:sz w:val="16"/>
                <w:szCs w:val="16"/>
              </w:rPr>
            </w:pPr>
            <w:r>
              <w:rPr>
                <w:rFonts w:ascii="Palatino Linotype" w:hAnsi="Palatino Linotype"/>
                <w:sz w:val="16"/>
                <w:szCs w:val="16"/>
              </w:rPr>
              <w:t>6,9</w:t>
            </w:r>
          </w:p>
        </w:tc>
        <w:tc>
          <w:tcPr>
            <w:tcW w:w="656" w:type="dxa"/>
            <w:noWrap/>
            <w:hideMark/>
          </w:tcPr>
          <w:p w:rsidR="008576C1" w:rsidRPr="008576C1" w:rsidRDefault="00503BF9" w:rsidP="00503BF9">
            <w:pPr>
              <w:pStyle w:val="NoSpacing"/>
              <w:rPr>
                <w:rFonts w:ascii="Palatino Linotype" w:hAnsi="Palatino Linotype"/>
                <w:sz w:val="16"/>
                <w:szCs w:val="16"/>
              </w:rPr>
            </w:pPr>
            <w:r>
              <w:rPr>
                <w:rFonts w:ascii="Palatino Linotype" w:hAnsi="Palatino Linotype"/>
                <w:sz w:val="16"/>
                <w:szCs w:val="16"/>
              </w:rPr>
              <w:t>7,4</w:t>
            </w:r>
          </w:p>
        </w:tc>
        <w:tc>
          <w:tcPr>
            <w:tcW w:w="656" w:type="dxa"/>
            <w:noWrap/>
            <w:hideMark/>
          </w:tcPr>
          <w:p w:rsidR="008576C1" w:rsidRPr="008576C1" w:rsidRDefault="00503BF9" w:rsidP="00503BF9">
            <w:pPr>
              <w:pStyle w:val="NoSpacing"/>
              <w:rPr>
                <w:rFonts w:ascii="Palatino Linotype" w:hAnsi="Palatino Linotype"/>
                <w:sz w:val="16"/>
                <w:szCs w:val="16"/>
              </w:rPr>
            </w:pPr>
            <w:r>
              <w:rPr>
                <w:rFonts w:ascii="Palatino Linotype" w:hAnsi="Palatino Linotype"/>
                <w:sz w:val="16"/>
                <w:szCs w:val="16"/>
              </w:rPr>
              <w:t>7,8</w:t>
            </w:r>
          </w:p>
        </w:tc>
        <w:tc>
          <w:tcPr>
            <w:tcW w:w="656" w:type="dxa"/>
            <w:noWrap/>
            <w:hideMark/>
          </w:tcPr>
          <w:p w:rsidR="008576C1" w:rsidRPr="008576C1" w:rsidRDefault="00503BF9" w:rsidP="00503BF9">
            <w:pPr>
              <w:pStyle w:val="NoSpacing"/>
              <w:rPr>
                <w:rFonts w:ascii="Palatino Linotype" w:hAnsi="Palatino Linotype"/>
                <w:sz w:val="16"/>
                <w:szCs w:val="16"/>
              </w:rPr>
            </w:pPr>
            <w:r>
              <w:rPr>
                <w:rFonts w:ascii="Palatino Linotype" w:hAnsi="Palatino Linotype"/>
                <w:sz w:val="16"/>
                <w:szCs w:val="16"/>
              </w:rPr>
              <w:t>7,9</w:t>
            </w:r>
          </w:p>
        </w:tc>
        <w:tc>
          <w:tcPr>
            <w:tcW w:w="741" w:type="dxa"/>
            <w:noWrap/>
            <w:hideMark/>
          </w:tcPr>
          <w:p w:rsidR="008576C1" w:rsidRPr="008576C1" w:rsidRDefault="00503BF9" w:rsidP="00503BF9">
            <w:pPr>
              <w:pStyle w:val="NoSpacing"/>
              <w:rPr>
                <w:rFonts w:ascii="Palatino Linotype" w:hAnsi="Palatino Linotype"/>
                <w:sz w:val="16"/>
                <w:szCs w:val="16"/>
              </w:rPr>
            </w:pPr>
            <w:r>
              <w:rPr>
                <w:rFonts w:ascii="Palatino Linotype" w:hAnsi="Palatino Linotype"/>
                <w:sz w:val="16"/>
                <w:szCs w:val="16"/>
              </w:rPr>
              <w:t>6,8</w:t>
            </w:r>
            <w:r w:rsidR="008576C1" w:rsidRPr="008576C1">
              <w:rPr>
                <w:rFonts w:ascii="Palatino Linotype" w:hAnsi="Palatino Linotype"/>
                <w:sz w:val="16"/>
                <w:szCs w:val="16"/>
              </w:rPr>
              <w:t xml:space="preserve"> </w:t>
            </w:r>
          </w:p>
        </w:tc>
      </w:tr>
      <w:tr w:rsidR="00E501AF" w:rsidRPr="008576C1" w:rsidTr="00E501AF">
        <w:trPr>
          <w:trHeight w:val="300"/>
        </w:trPr>
        <w:tc>
          <w:tcPr>
            <w:tcW w:w="676"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FR</w:t>
            </w:r>
          </w:p>
        </w:tc>
        <w:tc>
          <w:tcPr>
            <w:tcW w:w="217" w:type="dxa"/>
            <w:noWrap/>
            <w:hideMark/>
          </w:tcPr>
          <w:p w:rsidR="008576C1" w:rsidRPr="008576C1" w:rsidRDefault="008576C1" w:rsidP="008576C1">
            <w:pPr>
              <w:pStyle w:val="NoSpacing"/>
              <w:rPr>
                <w:rFonts w:ascii="Palatino Linotype" w:hAnsi="Palatino Linotype"/>
                <w:sz w:val="16"/>
                <w:szCs w:val="16"/>
              </w:rPr>
            </w:pPr>
          </w:p>
        </w:tc>
        <w:tc>
          <w:tcPr>
            <w:tcW w:w="791" w:type="dxa"/>
            <w:noWrap/>
            <w:hideMark/>
          </w:tcPr>
          <w:p w:rsidR="008576C1" w:rsidRPr="008576C1" w:rsidRDefault="00BA72D1" w:rsidP="00BA72D1">
            <w:pPr>
              <w:pStyle w:val="NoSpacing"/>
              <w:rPr>
                <w:rFonts w:ascii="Palatino Linotype" w:hAnsi="Palatino Linotype"/>
                <w:sz w:val="16"/>
                <w:szCs w:val="16"/>
              </w:rPr>
            </w:pPr>
            <w:r>
              <w:rPr>
                <w:rFonts w:ascii="Palatino Linotype" w:hAnsi="Palatino Linotype"/>
                <w:sz w:val="16"/>
                <w:szCs w:val="16"/>
              </w:rPr>
              <w:t>25,3</w:t>
            </w:r>
          </w:p>
        </w:tc>
        <w:tc>
          <w:tcPr>
            <w:tcW w:w="791" w:type="dxa"/>
            <w:noWrap/>
            <w:hideMark/>
          </w:tcPr>
          <w:p w:rsidR="008576C1" w:rsidRPr="008576C1" w:rsidRDefault="00BA72D1" w:rsidP="00BA72D1">
            <w:pPr>
              <w:pStyle w:val="NoSpacing"/>
              <w:rPr>
                <w:rFonts w:ascii="Palatino Linotype" w:hAnsi="Palatino Linotype"/>
                <w:sz w:val="16"/>
                <w:szCs w:val="16"/>
              </w:rPr>
            </w:pPr>
            <w:r>
              <w:rPr>
                <w:rFonts w:ascii="Palatino Linotype" w:hAnsi="Palatino Linotype"/>
                <w:sz w:val="16"/>
                <w:szCs w:val="16"/>
              </w:rPr>
              <w:t>25,9</w:t>
            </w:r>
          </w:p>
        </w:tc>
        <w:tc>
          <w:tcPr>
            <w:tcW w:w="681" w:type="dxa"/>
            <w:noWrap/>
            <w:hideMark/>
          </w:tcPr>
          <w:p w:rsidR="008576C1" w:rsidRPr="008576C1" w:rsidRDefault="00BA72D1" w:rsidP="00BA72D1">
            <w:pPr>
              <w:pStyle w:val="NoSpacing"/>
              <w:rPr>
                <w:rFonts w:ascii="Palatino Linotype" w:hAnsi="Palatino Linotype"/>
                <w:sz w:val="16"/>
                <w:szCs w:val="16"/>
              </w:rPr>
            </w:pPr>
            <w:r>
              <w:rPr>
                <w:rFonts w:ascii="Palatino Linotype" w:hAnsi="Palatino Linotype"/>
                <w:sz w:val="16"/>
                <w:szCs w:val="16"/>
              </w:rPr>
              <w:t>25,8</w:t>
            </w:r>
          </w:p>
        </w:tc>
        <w:tc>
          <w:tcPr>
            <w:tcW w:w="656" w:type="dxa"/>
            <w:noWrap/>
            <w:hideMark/>
          </w:tcPr>
          <w:p w:rsidR="008576C1" w:rsidRPr="008576C1" w:rsidRDefault="00BA72D1" w:rsidP="00BA72D1">
            <w:pPr>
              <w:pStyle w:val="NoSpacing"/>
              <w:rPr>
                <w:rFonts w:ascii="Palatino Linotype" w:hAnsi="Palatino Linotype"/>
                <w:sz w:val="16"/>
                <w:szCs w:val="16"/>
              </w:rPr>
            </w:pPr>
            <w:r>
              <w:rPr>
                <w:rFonts w:ascii="Palatino Linotype" w:hAnsi="Palatino Linotype"/>
                <w:sz w:val="16"/>
                <w:szCs w:val="16"/>
              </w:rPr>
              <w:t>26,2</w:t>
            </w:r>
          </w:p>
        </w:tc>
        <w:tc>
          <w:tcPr>
            <w:tcW w:w="774" w:type="dxa"/>
            <w:noWrap/>
            <w:hideMark/>
          </w:tcPr>
          <w:p w:rsidR="008576C1" w:rsidRPr="008576C1" w:rsidRDefault="00BA72D1" w:rsidP="00BA72D1">
            <w:pPr>
              <w:pStyle w:val="NoSpacing"/>
              <w:rPr>
                <w:rFonts w:ascii="Palatino Linotype" w:hAnsi="Palatino Linotype"/>
                <w:sz w:val="16"/>
                <w:szCs w:val="16"/>
              </w:rPr>
            </w:pPr>
            <w:r>
              <w:rPr>
                <w:rFonts w:ascii="Palatino Linotype" w:hAnsi="Palatino Linotype"/>
                <w:sz w:val="16"/>
                <w:szCs w:val="16"/>
              </w:rPr>
              <w:t>26,4</w:t>
            </w:r>
          </w:p>
        </w:tc>
        <w:tc>
          <w:tcPr>
            <w:tcW w:w="656" w:type="dxa"/>
            <w:noWrap/>
            <w:hideMark/>
          </w:tcPr>
          <w:p w:rsidR="008576C1" w:rsidRPr="008576C1" w:rsidRDefault="00BA72D1" w:rsidP="00BA72D1">
            <w:pPr>
              <w:pStyle w:val="NoSpacing"/>
              <w:rPr>
                <w:rFonts w:ascii="Palatino Linotype" w:hAnsi="Palatino Linotype"/>
                <w:sz w:val="16"/>
                <w:szCs w:val="16"/>
              </w:rPr>
            </w:pPr>
            <w:r>
              <w:rPr>
                <w:rFonts w:ascii="Palatino Linotype" w:hAnsi="Palatino Linotype"/>
                <w:sz w:val="16"/>
                <w:szCs w:val="16"/>
              </w:rPr>
              <w:t>26,9</w:t>
            </w:r>
          </w:p>
        </w:tc>
        <w:tc>
          <w:tcPr>
            <w:tcW w:w="681" w:type="dxa"/>
            <w:noWrap/>
            <w:hideMark/>
          </w:tcPr>
          <w:p w:rsidR="008576C1" w:rsidRPr="008576C1" w:rsidRDefault="00BA72D1" w:rsidP="00BA72D1">
            <w:pPr>
              <w:pStyle w:val="NoSpacing"/>
              <w:rPr>
                <w:rFonts w:ascii="Palatino Linotype" w:hAnsi="Palatino Linotype"/>
                <w:sz w:val="16"/>
                <w:szCs w:val="16"/>
              </w:rPr>
            </w:pPr>
            <w:r>
              <w:rPr>
                <w:rFonts w:ascii="Palatino Linotype" w:hAnsi="Palatino Linotype"/>
                <w:sz w:val="16"/>
                <w:szCs w:val="16"/>
              </w:rPr>
              <w:t>27,2</w:t>
            </w:r>
          </w:p>
        </w:tc>
        <w:tc>
          <w:tcPr>
            <w:tcW w:w="656" w:type="dxa"/>
            <w:noWrap/>
            <w:hideMark/>
          </w:tcPr>
          <w:p w:rsidR="008576C1" w:rsidRPr="008576C1" w:rsidRDefault="00BA72D1" w:rsidP="00BA72D1">
            <w:pPr>
              <w:pStyle w:val="NoSpacing"/>
              <w:rPr>
                <w:rFonts w:ascii="Palatino Linotype" w:hAnsi="Palatino Linotype"/>
                <w:sz w:val="16"/>
                <w:szCs w:val="16"/>
              </w:rPr>
            </w:pPr>
            <w:r>
              <w:rPr>
                <w:rFonts w:ascii="Palatino Linotype" w:hAnsi="Palatino Linotype"/>
                <w:sz w:val="16"/>
                <w:szCs w:val="16"/>
              </w:rPr>
              <w:t>25,2</w:t>
            </w:r>
          </w:p>
        </w:tc>
        <w:tc>
          <w:tcPr>
            <w:tcW w:w="656" w:type="dxa"/>
            <w:noWrap/>
            <w:hideMark/>
          </w:tcPr>
          <w:p w:rsidR="008576C1" w:rsidRPr="008576C1" w:rsidRDefault="00BA72D1" w:rsidP="00BA72D1">
            <w:pPr>
              <w:pStyle w:val="NoSpacing"/>
              <w:rPr>
                <w:rFonts w:ascii="Palatino Linotype" w:hAnsi="Palatino Linotype"/>
                <w:sz w:val="16"/>
                <w:szCs w:val="16"/>
              </w:rPr>
            </w:pPr>
            <w:r>
              <w:rPr>
                <w:rFonts w:ascii="Palatino Linotype" w:hAnsi="Palatino Linotype"/>
                <w:sz w:val="16"/>
                <w:szCs w:val="16"/>
              </w:rPr>
              <w:t>25,2</w:t>
            </w:r>
          </w:p>
        </w:tc>
        <w:tc>
          <w:tcPr>
            <w:tcW w:w="656" w:type="dxa"/>
            <w:noWrap/>
            <w:hideMark/>
          </w:tcPr>
          <w:p w:rsidR="008576C1" w:rsidRPr="008576C1" w:rsidRDefault="00BA72D1" w:rsidP="00BA72D1">
            <w:pPr>
              <w:pStyle w:val="NoSpacing"/>
              <w:rPr>
                <w:rFonts w:ascii="Palatino Linotype" w:hAnsi="Palatino Linotype"/>
                <w:sz w:val="16"/>
                <w:szCs w:val="16"/>
              </w:rPr>
            </w:pPr>
            <w:r>
              <w:rPr>
                <w:rFonts w:ascii="Palatino Linotype" w:hAnsi="Palatino Linotype"/>
                <w:sz w:val="16"/>
                <w:szCs w:val="16"/>
              </w:rPr>
              <w:t>27,1</w:t>
            </w:r>
          </w:p>
        </w:tc>
        <w:tc>
          <w:tcPr>
            <w:tcW w:w="656" w:type="dxa"/>
            <w:noWrap/>
            <w:hideMark/>
          </w:tcPr>
          <w:p w:rsidR="008576C1" w:rsidRPr="008576C1" w:rsidRDefault="00BA72D1" w:rsidP="00BA72D1">
            <w:pPr>
              <w:pStyle w:val="NoSpacing"/>
              <w:rPr>
                <w:rFonts w:ascii="Palatino Linotype" w:hAnsi="Palatino Linotype"/>
                <w:sz w:val="16"/>
                <w:szCs w:val="16"/>
              </w:rPr>
            </w:pPr>
            <w:r>
              <w:rPr>
                <w:rFonts w:ascii="Palatino Linotype" w:hAnsi="Palatino Linotype"/>
                <w:sz w:val="16"/>
                <w:szCs w:val="16"/>
              </w:rPr>
              <w:t>27,1</w:t>
            </w:r>
          </w:p>
        </w:tc>
        <w:tc>
          <w:tcPr>
            <w:tcW w:w="741" w:type="dxa"/>
            <w:noWrap/>
            <w:hideMark/>
          </w:tcPr>
          <w:p w:rsidR="008576C1" w:rsidRPr="008576C1" w:rsidRDefault="00BA72D1" w:rsidP="00BA72D1">
            <w:pPr>
              <w:pStyle w:val="NoSpacing"/>
              <w:rPr>
                <w:rFonts w:ascii="Palatino Linotype" w:hAnsi="Palatino Linotype"/>
                <w:sz w:val="16"/>
                <w:szCs w:val="16"/>
              </w:rPr>
            </w:pPr>
            <w:r>
              <w:rPr>
                <w:rFonts w:ascii="Palatino Linotype" w:hAnsi="Palatino Linotype"/>
                <w:sz w:val="16"/>
                <w:szCs w:val="16"/>
              </w:rPr>
              <w:t>26,2</w:t>
            </w:r>
            <w:r w:rsidR="008576C1" w:rsidRPr="008576C1">
              <w:rPr>
                <w:rFonts w:ascii="Palatino Linotype" w:hAnsi="Palatino Linotype"/>
                <w:sz w:val="16"/>
                <w:szCs w:val="16"/>
              </w:rPr>
              <w:t xml:space="preserve"> </w:t>
            </w:r>
          </w:p>
        </w:tc>
      </w:tr>
      <w:tr w:rsidR="00E501AF" w:rsidRPr="008576C1" w:rsidTr="00E501AF">
        <w:trPr>
          <w:trHeight w:val="300"/>
        </w:trPr>
        <w:tc>
          <w:tcPr>
            <w:tcW w:w="676"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N</w:t>
            </w:r>
            <w:r>
              <w:rPr>
                <w:rFonts w:ascii="Palatino Linotype" w:hAnsi="Palatino Linotype"/>
                <w:bCs/>
                <w:sz w:val="16"/>
                <w:szCs w:val="16"/>
              </w:rPr>
              <w:t>L</w:t>
            </w:r>
          </w:p>
        </w:tc>
        <w:tc>
          <w:tcPr>
            <w:tcW w:w="217" w:type="dxa"/>
            <w:noWrap/>
            <w:hideMark/>
          </w:tcPr>
          <w:p w:rsidR="008576C1" w:rsidRPr="008576C1" w:rsidRDefault="008576C1" w:rsidP="008576C1">
            <w:pPr>
              <w:pStyle w:val="NoSpacing"/>
              <w:rPr>
                <w:rFonts w:ascii="Palatino Linotype" w:hAnsi="Palatino Linotype"/>
                <w:sz w:val="16"/>
                <w:szCs w:val="16"/>
              </w:rPr>
            </w:pPr>
          </w:p>
        </w:tc>
        <w:tc>
          <w:tcPr>
            <w:tcW w:w="791" w:type="dxa"/>
            <w:noWrap/>
            <w:hideMark/>
          </w:tcPr>
          <w:p w:rsidR="008576C1" w:rsidRPr="008576C1" w:rsidRDefault="00FB5676" w:rsidP="00FB5676">
            <w:pPr>
              <w:pStyle w:val="NoSpacing"/>
              <w:rPr>
                <w:rFonts w:ascii="Palatino Linotype" w:hAnsi="Palatino Linotype"/>
                <w:sz w:val="16"/>
                <w:szCs w:val="16"/>
              </w:rPr>
            </w:pPr>
            <w:r>
              <w:rPr>
                <w:rFonts w:ascii="Palatino Linotype" w:hAnsi="Palatino Linotype"/>
                <w:sz w:val="16"/>
                <w:szCs w:val="16"/>
              </w:rPr>
              <w:t>8,2</w:t>
            </w:r>
          </w:p>
        </w:tc>
        <w:tc>
          <w:tcPr>
            <w:tcW w:w="791" w:type="dxa"/>
            <w:noWrap/>
            <w:hideMark/>
          </w:tcPr>
          <w:p w:rsidR="008576C1" w:rsidRPr="008576C1" w:rsidRDefault="00FB5676" w:rsidP="00FB5676">
            <w:pPr>
              <w:pStyle w:val="NoSpacing"/>
              <w:rPr>
                <w:rFonts w:ascii="Palatino Linotype" w:hAnsi="Palatino Linotype"/>
                <w:sz w:val="16"/>
                <w:szCs w:val="16"/>
              </w:rPr>
            </w:pPr>
            <w:r>
              <w:rPr>
                <w:rFonts w:ascii="Palatino Linotype" w:hAnsi="Palatino Linotype"/>
                <w:sz w:val="16"/>
                <w:szCs w:val="16"/>
              </w:rPr>
              <w:t>8,2</w:t>
            </w:r>
          </w:p>
        </w:tc>
        <w:tc>
          <w:tcPr>
            <w:tcW w:w="681" w:type="dxa"/>
            <w:noWrap/>
            <w:hideMark/>
          </w:tcPr>
          <w:p w:rsidR="008576C1" w:rsidRPr="008576C1" w:rsidRDefault="00FB5676" w:rsidP="00FB5676">
            <w:pPr>
              <w:pStyle w:val="NoSpacing"/>
              <w:rPr>
                <w:rFonts w:ascii="Palatino Linotype" w:hAnsi="Palatino Linotype"/>
                <w:sz w:val="16"/>
                <w:szCs w:val="16"/>
              </w:rPr>
            </w:pPr>
            <w:r>
              <w:rPr>
                <w:rFonts w:ascii="Palatino Linotype" w:hAnsi="Palatino Linotype"/>
                <w:sz w:val="16"/>
                <w:szCs w:val="16"/>
              </w:rPr>
              <w:t>8,2</w:t>
            </w:r>
          </w:p>
        </w:tc>
        <w:tc>
          <w:tcPr>
            <w:tcW w:w="656" w:type="dxa"/>
            <w:noWrap/>
            <w:hideMark/>
          </w:tcPr>
          <w:p w:rsidR="008576C1" w:rsidRPr="008576C1" w:rsidRDefault="00FB5676" w:rsidP="00FB5676">
            <w:pPr>
              <w:pStyle w:val="NoSpacing"/>
              <w:rPr>
                <w:rFonts w:ascii="Palatino Linotype" w:hAnsi="Palatino Linotype"/>
                <w:sz w:val="16"/>
                <w:szCs w:val="16"/>
              </w:rPr>
            </w:pPr>
            <w:r>
              <w:rPr>
                <w:rFonts w:ascii="Palatino Linotype" w:hAnsi="Palatino Linotype"/>
                <w:sz w:val="16"/>
                <w:szCs w:val="16"/>
              </w:rPr>
              <w:t>8,2</w:t>
            </w:r>
          </w:p>
        </w:tc>
        <w:tc>
          <w:tcPr>
            <w:tcW w:w="774" w:type="dxa"/>
            <w:noWrap/>
            <w:hideMark/>
          </w:tcPr>
          <w:p w:rsidR="008576C1" w:rsidRPr="008576C1" w:rsidRDefault="00FB5676" w:rsidP="00FB5676">
            <w:pPr>
              <w:pStyle w:val="NoSpacing"/>
              <w:rPr>
                <w:rFonts w:ascii="Palatino Linotype" w:hAnsi="Palatino Linotype"/>
                <w:sz w:val="16"/>
                <w:szCs w:val="16"/>
              </w:rPr>
            </w:pPr>
            <w:r>
              <w:rPr>
                <w:rFonts w:ascii="Palatino Linotype" w:hAnsi="Palatino Linotype"/>
                <w:sz w:val="16"/>
                <w:szCs w:val="16"/>
              </w:rPr>
              <w:t>8,3</w:t>
            </w:r>
          </w:p>
        </w:tc>
        <w:tc>
          <w:tcPr>
            <w:tcW w:w="656" w:type="dxa"/>
            <w:noWrap/>
            <w:hideMark/>
          </w:tcPr>
          <w:p w:rsidR="008576C1" w:rsidRPr="008576C1" w:rsidRDefault="00FB5676" w:rsidP="00FB5676">
            <w:pPr>
              <w:pStyle w:val="NoSpacing"/>
              <w:rPr>
                <w:rFonts w:ascii="Palatino Linotype" w:hAnsi="Palatino Linotype"/>
                <w:sz w:val="16"/>
                <w:szCs w:val="16"/>
              </w:rPr>
            </w:pPr>
            <w:r>
              <w:rPr>
                <w:rFonts w:ascii="Palatino Linotype" w:hAnsi="Palatino Linotype"/>
                <w:sz w:val="16"/>
                <w:szCs w:val="16"/>
              </w:rPr>
              <w:t>8,7</w:t>
            </w:r>
          </w:p>
        </w:tc>
        <w:tc>
          <w:tcPr>
            <w:tcW w:w="681" w:type="dxa"/>
            <w:noWrap/>
            <w:hideMark/>
          </w:tcPr>
          <w:p w:rsidR="008576C1" w:rsidRPr="008576C1" w:rsidRDefault="00FB5676" w:rsidP="00FB5676">
            <w:pPr>
              <w:pStyle w:val="NoSpacing"/>
              <w:rPr>
                <w:rFonts w:ascii="Palatino Linotype" w:hAnsi="Palatino Linotype"/>
                <w:sz w:val="16"/>
                <w:szCs w:val="16"/>
              </w:rPr>
            </w:pPr>
            <w:r>
              <w:rPr>
                <w:rFonts w:ascii="Palatino Linotype" w:hAnsi="Palatino Linotype"/>
                <w:sz w:val="16"/>
                <w:szCs w:val="16"/>
              </w:rPr>
              <w:t>8,7</w:t>
            </w:r>
          </w:p>
        </w:tc>
        <w:tc>
          <w:tcPr>
            <w:tcW w:w="656" w:type="dxa"/>
            <w:noWrap/>
            <w:hideMark/>
          </w:tcPr>
          <w:p w:rsidR="008576C1" w:rsidRPr="008576C1" w:rsidRDefault="00FB5676" w:rsidP="00FB5676">
            <w:pPr>
              <w:pStyle w:val="NoSpacing"/>
              <w:rPr>
                <w:rFonts w:ascii="Palatino Linotype" w:hAnsi="Palatino Linotype"/>
                <w:sz w:val="16"/>
                <w:szCs w:val="16"/>
              </w:rPr>
            </w:pPr>
            <w:r>
              <w:rPr>
                <w:rFonts w:ascii="Palatino Linotype" w:hAnsi="Palatino Linotype"/>
                <w:sz w:val="16"/>
                <w:szCs w:val="16"/>
              </w:rPr>
              <w:t>8,7</w:t>
            </w:r>
          </w:p>
        </w:tc>
        <w:tc>
          <w:tcPr>
            <w:tcW w:w="656" w:type="dxa"/>
            <w:noWrap/>
            <w:hideMark/>
          </w:tcPr>
          <w:p w:rsidR="008576C1" w:rsidRPr="008576C1" w:rsidRDefault="00FB5676" w:rsidP="00FB5676">
            <w:pPr>
              <w:pStyle w:val="NoSpacing"/>
              <w:rPr>
                <w:rFonts w:ascii="Palatino Linotype" w:hAnsi="Palatino Linotype"/>
                <w:sz w:val="16"/>
                <w:szCs w:val="16"/>
              </w:rPr>
            </w:pPr>
            <w:r>
              <w:rPr>
                <w:rFonts w:ascii="Palatino Linotype" w:hAnsi="Palatino Linotype"/>
                <w:sz w:val="16"/>
                <w:szCs w:val="16"/>
              </w:rPr>
              <w:t>8,5</w:t>
            </w:r>
          </w:p>
        </w:tc>
        <w:tc>
          <w:tcPr>
            <w:tcW w:w="656" w:type="dxa"/>
            <w:noWrap/>
            <w:hideMark/>
          </w:tcPr>
          <w:p w:rsidR="008576C1" w:rsidRPr="008576C1" w:rsidRDefault="00FB5676" w:rsidP="00FB5676">
            <w:pPr>
              <w:pStyle w:val="NoSpacing"/>
              <w:rPr>
                <w:rFonts w:ascii="Palatino Linotype" w:hAnsi="Palatino Linotype"/>
                <w:sz w:val="16"/>
                <w:szCs w:val="16"/>
              </w:rPr>
            </w:pPr>
            <w:r>
              <w:rPr>
                <w:rFonts w:ascii="Palatino Linotype" w:hAnsi="Palatino Linotype"/>
                <w:sz w:val="16"/>
                <w:szCs w:val="16"/>
              </w:rPr>
              <w:t>8,5</w:t>
            </w:r>
          </w:p>
        </w:tc>
        <w:tc>
          <w:tcPr>
            <w:tcW w:w="656" w:type="dxa"/>
            <w:noWrap/>
            <w:hideMark/>
          </w:tcPr>
          <w:p w:rsidR="008576C1" w:rsidRPr="008576C1" w:rsidRDefault="00FB5676" w:rsidP="00FB5676">
            <w:pPr>
              <w:pStyle w:val="NoSpacing"/>
              <w:rPr>
                <w:rFonts w:ascii="Palatino Linotype" w:hAnsi="Palatino Linotype"/>
                <w:sz w:val="16"/>
                <w:szCs w:val="16"/>
              </w:rPr>
            </w:pPr>
            <w:r>
              <w:rPr>
                <w:rFonts w:ascii="Palatino Linotype" w:hAnsi="Palatino Linotype"/>
                <w:sz w:val="16"/>
                <w:szCs w:val="16"/>
              </w:rPr>
              <w:t>8,5</w:t>
            </w:r>
          </w:p>
        </w:tc>
        <w:tc>
          <w:tcPr>
            <w:tcW w:w="741" w:type="dxa"/>
            <w:noWrap/>
            <w:hideMark/>
          </w:tcPr>
          <w:p w:rsidR="008576C1" w:rsidRPr="008576C1" w:rsidRDefault="00FB5676" w:rsidP="00FB5676">
            <w:pPr>
              <w:pStyle w:val="NoSpacing"/>
              <w:rPr>
                <w:rFonts w:ascii="Palatino Linotype" w:hAnsi="Palatino Linotype"/>
                <w:sz w:val="16"/>
                <w:szCs w:val="16"/>
              </w:rPr>
            </w:pPr>
            <w:r>
              <w:rPr>
                <w:rFonts w:ascii="Palatino Linotype" w:hAnsi="Palatino Linotype"/>
                <w:sz w:val="16"/>
                <w:szCs w:val="16"/>
              </w:rPr>
              <w:t>8,4</w:t>
            </w:r>
            <w:r w:rsidR="008576C1" w:rsidRPr="008576C1">
              <w:rPr>
                <w:rFonts w:ascii="Palatino Linotype" w:hAnsi="Palatino Linotype"/>
                <w:sz w:val="16"/>
                <w:szCs w:val="16"/>
              </w:rPr>
              <w:t xml:space="preserve"> </w:t>
            </w:r>
          </w:p>
        </w:tc>
      </w:tr>
      <w:tr w:rsidR="00E501AF" w:rsidRPr="008576C1" w:rsidTr="00E501AF">
        <w:trPr>
          <w:trHeight w:val="300"/>
        </w:trPr>
        <w:tc>
          <w:tcPr>
            <w:tcW w:w="676" w:type="dxa"/>
            <w:noWrap/>
            <w:hideMark/>
          </w:tcPr>
          <w:p w:rsidR="008576C1" w:rsidRPr="008576C1" w:rsidRDefault="008576C1" w:rsidP="008576C1">
            <w:pPr>
              <w:pStyle w:val="NoSpacing"/>
              <w:rPr>
                <w:rFonts w:ascii="Palatino Linotype" w:hAnsi="Palatino Linotype"/>
                <w:bCs/>
                <w:sz w:val="16"/>
                <w:szCs w:val="16"/>
              </w:rPr>
            </w:pPr>
            <w:r w:rsidRPr="008576C1">
              <w:rPr>
                <w:rFonts w:ascii="Palatino Linotype" w:hAnsi="Palatino Linotype"/>
                <w:bCs/>
                <w:sz w:val="16"/>
                <w:szCs w:val="16"/>
              </w:rPr>
              <w:t>VS</w:t>
            </w:r>
          </w:p>
        </w:tc>
        <w:tc>
          <w:tcPr>
            <w:tcW w:w="217" w:type="dxa"/>
            <w:noWrap/>
            <w:hideMark/>
          </w:tcPr>
          <w:p w:rsidR="008576C1" w:rsidRPr="008576C1" w:rsidRDefault="008576C1" w:rsidP="008576C1">
            <w:pPr>
              <w:pStyle w:val="NoSpacing"/>
              <w:rPr>
                <w:rFonts w:ascii="Palatino Linotype" w:hAnsi="Palatino Linotype"/>
                <w:sz w:val="16"/>
                <w:szCs w:val="16"/>
              </w:rPr>
            </w:pPr>
          </w:p>
        </w:tc>
        <w:tc>
          <w:tcPr>
            <w:tcW w:w="791" w:type="dxa"/>
            <w:noWrap/>
            <w:hideMark/>
          </w:tcPr>
          <w:p w:rsidR="008576C1" w:rsidRPr="008576C1" w:rsidRDefault="00F805CC" w:rsidP="00F805CC">
            <w:pPr>
              <w:pStyle w:val="NoSpacing"/>
              <w:rPr>
                <w:rFonts w:ascii="Palatino Linotype" w:hAnsi="Palatino Linotype"/>
                <w:sz w:val="16"/>
                <w:szCs w:val="16"/>
              </w:rPr>
            </w:pPr>
            <w:r>
              <w:rPr>
                <w:rFonts w:ascii="Palatino Linotype" w:hAnsi="Palatino Linotype"/>
                <w:sz w:val="16"/>
                <w:szCs w:val="16"/>
              </w:rPr>
              <w:t>140,2</w:t>
            </w:r>
          </w:p>
        </w:tc>
        <w:tc>
          <w:tcPr>
            <w:tcW w:w="791" w:type="dxa"/>
            <w:noWrap/>
            <w:hideMark/>
          </w:tcPr>
          <w:p w:rsidR="008576C1" w:rsidRPr="008576C1" w:rsidRDefault="00F805CC" w:rsidP="00F805CC">
            <w:pPr>
              <w:pStyle w:val="NoSpacing"/>
              <w:rPr>
                <w:rFonts w:ascii="Palatino Linotype" w:hAnsi="Palatino Linotype"/>
                <w:sz w:val="16"/>
                <w:szCs w:val="16"/>
              </w:rPr>
            </w:pPr>
            <w:r>
              <w:rPr>
                <w:rFonts w:ascii="Palatino Linotype" w:hAnsi="Palatino Linotype"/>
                <w:sz w:val="16"/>
                <w:szCs w:val="16"/>
              </w:rPr>
              <w:t>140,6</w:t>
            </w:r>
          </w:p>
        </w:tc>
        <w:tc>
          <w:tcPr>
            <w:tcW w:w="681" w:type="dxa"/>
            <w:noWrap/>
            <w:hideMark/>
          </w:tcPr>
          <w:p w:rsidR="008576C1" w:rsidRPr="008576C1" w:rsidRDefault="00F805CC" w:rsidP="00F805CC">
            <w:pPr>
              <w:pStyle w:val="NoSpacing"/>
              <w:rPr>
                <w:rFonts w:ascii="Palatino Linotype" w:hAnsi="Palatino Linotype"/>
                <w:sz w:val="16"/>
                <w:szCs w:val="16"/>
              </w:rPr>
            </w:pPr>
            <w:r>
              <w:rPr>
                <w:rFonts w:ascii="Palatino Linotype" w:hAnsi="Palatino Linotype"/>
                <w:sz w:val="16"/>
                <w:szCs w:val="16"/>
              </w:rPr>
              <w:t>142,3</w:t>
            </w:r>
          </w:p>
        </w:tc>
        <w:tc>
          <w:tcPr>
            <w:tcW w:w="656" w:type="dxa"/>
            <w:noWrap/>
            <w:hideMark/>
          </w:tcPr>
          <w:p w:rsidR="008576C1" w:rsidRPr="008576C1" w:rsidRDefault="00F805CC" w:rsidP="00F805CC">
            <w:pPr>
              <w:pStyle w:val="NoSpacing"/>
              <w:rPr>
                <w:rFonts w:ascii="Palatino Linotype" w:hAnsi="Palatino Linotype"/>
                <w:sz w:val="16"/>
                <w:szCs w:val="16"/>
              </w:rPr>
            </w:pPr>
            <w:r>
              <w:rPr>
                <w:rFonts w:ascii="Palatino Linotype" w:hAnsi="Palatino Linotype"/>
                <w:sz w:val="16"/>
                <w:szCs w:val="16"/>
              </w:rPr>
              <w:t>144,7</w:t>
            </w:r>
          </w:p>
        </w:tc>
        <w:tc>
          <w:tcPr>
            <w:tcW w:w="774" w:type="dxa"/>
            <w:noWrap/>
            <w:hideMark/>
          </w:tcPr>
          <w:p w:rsidR="008576C1" w:rsidRPr="008576C1" w:rsidRDefault="008576C1" w:rsidP="00F805CC">
            <w:pPr>
              <w:pStyle w:val="NoSpacing"/>
              <w:rPr>
                <w:rFonts w:ascii="Palatino Linotype" w:hAnsi="Palatino Linotype"/>
                <w:sz w:val="16"/>
                <w:szCs w:val="16"/>
              </w:rPr>
            </w:pPr>
            <w:r w:rsidRPr="008576C1">
              <w:rPr>
                <w:rFonts w:ascii="Palatino Linotype" w:hAnsi="Palatino Linotype"/>
                <w:sz w:val="16"/>
                <w:szCs w:val="16"/>
              </w:rPr>
              <w:t>147</w:t>
            </w:r>
            <w:r w:rsidR="00F805CC">
              <w:rPr>
                <w:rFonts w:ascii="Palatino Linotype" w:hAnsi="Palatino Linotype"/>
                <w:sz w:val="16"/>
                <w:szCs w:val="16"/>
              </w:rPr>
              <w:t>,</w:t>
            </w:r>
            <w:r w:rsidRPr="008576C1">
              <w:rPr>
                <w:rFonts w:ascii="Palatino Linotype" w:hAnsi="Palatino Linotype"/>
                <w:sz w:val="16"/>
                <w:szCs w:val="16"/>
              </w:rPr>
              <w:t>4</w:t>
            </w:r>
          </w:p>
        </w:tc>
        <w:tc>
          <w:tcPr>
            <w:tcW w:w="656" w:type="dxa"/>
            <w:noWrap/>
            <w:hideMark/>
          </w:tcPr>
          <w:p w:rsidR="008576C1" w:rsidRPr="008576C1" w:rsidRDefault="00F805CC" w:rsidP="00F805CC">
            <w:pPr>
              <w:pStyle w:val="NoSpacing"/>
              <w:rPr>
                <w:rFonts w:ascii="Palatino Linotype" w:hAnsi="Palatino Linotype"/>
                <w:sz w:val="16"/>
                <w:szCs w:val="16"/>
              </w:rPr>
            </w:pPr>
            <w:r>
              <w:rPr>
                <w:rFonts w:ascii="Palatino Linotype" w:hAnsi="Palatino Linotype"/>
                <w:sz w:val="16"/>
                <w:szCs w:val="16"/>
              </w:rPr>
              <w:t>148,6</w:t>
            </w:r>
          </w:p>
        </w:tc>
        <w:tc>
          <w:tcPr>
            <w:tcW w:w="681" w:type="dxa"/>
            <w:noWrap/>
            <w:hideMark/>
          </w:tcPr>
          <w:p w:rsidR="008576C1" w:rsidRPr="008576C1" w:rsidRDefault="00F805CC" w:rsidP="00F805CC">
            <w:pPr>
              <w:pStyle w:val="NoSpacing"/>
              <w:rPr>
                <w:rFonts w:ascii="Palatino Linotype" w:hAnsi="Palatino Linotype"/>
                <w:sz w:val="16"/>
                <w:szCs w:val="16"/>
              </w:rPr>
            </w:pPr>
            <w:r>
              <w:rPr>
                <w:rFonts w:ascii="Palatino Linotype" w:hAnsi="Palatino Linotype"/>
                <w:sz w:val="16"/>
                <w:szCs w:val="16"/>
              </w:rPr>
              <w:t>148,4</w:t>
            </w:r>
          </w:p>
        </w:tc>
        <w:tc>
          <w:tcPr>
            <w:tcW w:w="656" w:type="dxa"/>
            <w:noWrap/>
            <w:hideMark/>
          </w:tcPr>
          <w:p w:rsidR="008576C1" w:rsidRPr="008576C1" w:rsidRDefault="00F805CC" w:rsidP="00F805CC">
            <w:pPr>
              <w:pStyle w:val="NoSpacing"/>
              <w:rPr>
                <w:rFonts w:ascii="Palatino Linotype" w:hAnsi="Palatino Linotype"/>
                <w:sz w:val="16"/>
                <w:szCs w:val="16"/>
              </w:rPr>
            </w:pPr>
            <w:r>
              <w:rPr>
                <w:rFonts w:ascii="Palatino Linotype" w:hAnsi="Palatino Linotype"/>
                <w:sz w:val="16"/>
                <w:szCs w:val="16"/>
              </w:rPr>
              <w:t>143,2</w:t>
            </w:r>
          </w:p>
        </w:tc>
        <w:tc>
          <w:tcPr>
            <w:tcW w:w="656" w:type="dxa"/>
            <w:noWrap/>
            <w:hideMark/>
          </w:tcPr>
          <w:p w:rsidR="008576C1" w:rsidRPr="008576C1" w:rsidRDefault="00F805CC" w:rsidP="00F805CC">
            <w:pPr>
              <w:pStyle w:val="NoSpacing"/>
              <w:rPr>
                <w:rFonts w:ascii="Palatino Linotype" w:hAnsi="Palatino Linotype"/>
                <w:sz w:val="16"/>
                <w:szCs w:val="16"/>
              </w:rPr>
            </w:pPr>
            <w:r>
              <w:rPr>
                <w:rFonts w:ascii="Palatino Linotype" w:hAnsi="Palatino Linotype"/>
                <w:sz w:val="16"/>
                <w:szCs w:val="16"/>
              </w:rPr>
              <w:t>142,2</w:t>
            </w:r>
          </w:p>
        </w:tc>
        <w:tc>
          <w:tcPr>
            <w:tcW w:w="656" w:type="dxa"/>
            <w:noWrap/>
            <w:hideMark/>
          </w:tcPr>
          <w:p w:rsidR="008576C1" w:rsidRPr="008576C1" w:rsidRDefault="00F805CC" w:rsidP="00F805CC">
            <w:pPr>
              <w:pStyle w:val="NoSpacing"/>
              <w:rPr>
                <w:rFonts w:ascii="Palatino Linotype" w:hAnsi="Palatino Linotype"/>
                <w:sz w:val="16"/>
                <w:szCs w:val="16"/>
              </w:rPr>
            </w:pPr>
            <w:r>
              <w:rPr>
                <w:rFonts w:ascii="Palatino Linotype" w:hAnsi="Palatino Linotype"/>
                <w:sz w:val="16"/>
                <w:szCs w:val="16"/>
              </w:rPr>
              <w:t>143,4</w:t>
            </w:r>
          </w:p>
        </w:tc>
        <w:tc>
          <w:tcPr>
            <w:tcW w:w="656" w:type="dxa"/>
            <w:noWrap/>
            <w:hideMark/>
          </w:tcPr>
          <w:p w:rsidR="008576C1" w:rsidRPr="008576C1" w:rsidRDefault="00F805CC" w:rsidP="00F805CC">
            <w:pPr>
              <w:pStyle w:val="NoSpacing"/>
              <w:rPr>
                <w:rFonts w:ascii="Palatino Linotype" w:hAnsi="Palatino Linotype"/>
                <w:sz w:val="16"/>
                <w:szCs w:val="16"/>
              </w:rPr>
            </w:pPr>
            <w:r>
              <w:rPr>
                <w:rFonts w:ascii="Palatino Linotype" w:hAnsi="Palatino Linotype"/>
                <w:sz w:val="16"/>
                <w:szCs w:val="16"/>
              </w:rPr>
              <w:t>145,8</w:t>
            </w:r>
          </w:p>
        </w:tc>
        <w:tc>
          <w:tcPr>
            <w:tcW w:w="741" w:type="dxa"/>
            <w:noWrap/>
            <w:hideMark/>
          </w:tcPr>
          <w:p w:rsidR="008576C1" w:rsidRPr="008576C1" w:rsidRDefault="00F805CC" w:rsidP="00F805CC">
            <w:pPr>
              <w:pStyle w:val="NoSpacing"/>
              <w:rPr>
                <w:rFonts w:ascii="Palatino Linotype" w:hAnsi="Palatino Linotype"/>
                <w:sz w:val="16"/>
                <w:szCs w:val="16"/>
              </w:rPr>
            </w:pPr>
            <w:r>
              <w:rPr>
                <w:rFonts w:ascii="Palatino Linotype" w:hAnsi="Palatino Linotype"/>
                <w:sz w:val="16"/>
                <w:szCs w:val="16"/>
              </w:rPr>
              <w:t>144,3</w:t>
            </w:r>
          </w:p>
        </w:tc>
      </w:tr>
    </w:tbl>
    <w:p w:rsidR="003E0AE9" w:rsidRPr="00A76E11" w:rsidRDefault="003E0AE9" w:rsidP="00E501AF">
      <w:pPr>
        <w:pStyle w:val="NoSpacing"/>
        <w:rPr>
          <w:rFonts w:ascii="Palatino Linotype" w:hAnsi="Palatino Linotype"/>
        </w:rPr>
      </w:pPr>
    </w:p>
    <w:sectPr w:rsidR="003E0AE9" w:rsidRPr="00A76E11" w:rsidSect="008D1488">
      <w:footerReference w:type="default" r:id="rId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5E17" w:rsidRDefault="009D5E17" w:rsidP="00C00BB3">
      <w:pPr>
        <w:spacing w:after="0" w:line="240" w:lineRule="auto"/>
      </w:pPr>
      <w:r>
        <w:separator/>
      </w:r>
    </w:p>
  </w:endnote>
  <w:endnote w:type="continuationSeparator" w:id="0">
    <w:p w:rsidR="009D5E17" w:rsidRDefault="009D5E17" w:rsidP="00C00B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0799755"/>
      <w:docPartObj>
        <w:docPartGallery w:val="Page Numbers (Bottom of Page)"/>
        <w:docPartUnique/>
      </w:docPartObj>
    </w:sdtPr>
    <w:sdtEndPr>
      <w:rPr>
        <w:noProof/>
      </w:rPr>
    </w:sdtEndPr>
    <w:sdtContent>
      <w:p w:rsidR="00875347" w:rsidRDefault="00875347">
        <w:pPr>
          <w:pStyle w:val="Footer"/>
          <w:jc w:val="right"/>
        </w:pPr>
        <w:r>
          <w:fldChar w:fldCharType="begin"/>
        </w:r>
        <w:r>
          <w:instrText xml:space="preserve"> PAGE   \* MERGEFORMAT </w:instrText>
        </w:r>
        <w:r>
          <w:fldChar w:fldCharType="separate"/>
        </w:r>
        <w:r w:rsidR="00190691">
          <w:rPr>
            <w:noProof/>
          </w:rPr>
          <w:t>21</w:t>
        </w:r>
        <w:r>
          <w:rPr>
            <w:noProof/>
          </w:rPr>
          <w:fldChar w:fldCharType="end"/>
        </w:r>
      </w:p>
    </w:sdtContent>
  </w:sdt>
  <w:p w:rsidR="00875347" w:rsidRDefault="008753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5E17" w:rsidRDefault="009D5E17" w:rsidP="00C00BB3">
      <w:pPr>
        <w:spacing w:after="0" w:line="240" w:lineRule="auto"/>
      </w:pPr>
      <w:r>
        <w:separator/>
      </w:r>
    </w:p>
  </w:footnote>
  <w:footnote w:type="continuationSeparator" w:id="0">
    <w:p w:rsidR="009D5E17" w:rsidRDefault="009D5E17" w:rsidP="00C00BB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142"/>
    <w:rsid w:val="000003CD"/>
    <w:rsid w:val="00002109"/>
    <w:rsid w:val="00002E06"/>
    <w:rsid w:val="00011913"/>
    <w:rsid w:val="00025F90"/>
    <w:rsid w:val="00027A34"/>
    <w:rsid w:val="00030DB0"/>
    <w:rsid w:val="00033DE3"/>
    <w:rsid w:val="000348D7"/>
    <w:rsid w:val="00035CFE"/>
    <w:rsid w:val="00036104"/>
    <w:rsid w:val="00045156"/>
    <w:rsid w:val="000527AE"/>
    <w:rsid w:val="00052D3B"/>
    <w:rsid w:val="00053132"/>
    <w:rsid w:val="00053D5B"/>
    <w:rsid w:val="00067262"/>
    <w:rsid w:val="0007030B"/>
    <w:rsid w:val="00070C3D"/>
    <w:rsid w:val="00074EC5"/>
    <w:rsid w:val="00084B9B"/>
    <w:rsid w:val="000A40C7"/>
    <w:rsid w:val="000B28AB"/>
    <w:rsid w:val="000B4AD6"/>
    <w:rsid w:val="000C08EA"/>
    <w:rsid w:val="000C1645"/>
    <w:rsid w:val="000C1AB9"/>
    <w:rsid w:val="000C48A2"/>
    <w:rsid w:val="000D1C2B"/>
    <w:rsid w:val="000E7E74"/>
    <w:rsid w:val="000F23C8"/>
    <w:rsid w:val="0010327A"/>
    <w:rsid w:val="0011472D"/>
    <w:rsid w:val="00125A02"/>
    <w:rsid w:val="00127AF7"/>
    <w:rsid w:val="001305D5"/>
    <w:rsid w:val="001376CB"/>
    <w:rsid w:val="00141380"/>
    <w:rsid w:val="001413D8"/>
    <w:rsid w:val="0015510E"/>
    <w:rsid w:val="00157F37"/>
    <w:rsid w:val="001625FA"/>
    <w:rsid w:val="00167BB4"/>
    <w:rsid w:val="00171911"/>
    <w:rsid w:val="00173A2A"/>
    <w:rsid w:val="00177E48"/>
    <w:rsid w:val="0018355F"/>
    <w:rsid w:val="00190691"/>
    <w:rsid w:val="00195420"/>
    <w:rsid w:val="0019596E"/>
    <w:rsid w:val="001A165E"/>
    <w:rsid w:val="001A3BDF"/>
    <w:rsid w:val="001A6D42"/>
    <w:rsid w:val="001B0DF3"/>
    <w:rsid w:val="001B1259"/>
    <w:rsid w:val="001B232C"/>
    <w:rsid w:val="001B3AB2"/>
    <w:rsid w:val="001D580F"/>
    <w:rsid w:val="001D5888"/>
    <w:rsid w:val="001E205B"/>
    <w:rsid w:val="001E2FBD"/>
    <w:rsid w:val="001F1A03"/>
    <w:rsid w:val="001F6E2E"/>
    <w:rsid w:val="00205463"/>
    <w:rsid w:val="00212349"/>
    <w:rsid w:val="00212893"/>
    <w:rsid w:val="00217E9C"/>
    <w:rsid w:val="00226D84"/>
    <w:rsid w:val="00265B9F"/>
    <w:rsid w:val="00267213"/>
    <w:rsid w:val="002703A9"/>
    <w:rsid w:val="00274A1E"/>
    <w:rsid w:val="00277864"/>
    <w:rsid w:val="002A2E42"/>
    <w:rsid w:val="002B6138"/>
    <w:rsid w:val="002C2DD7"/>
    <w:rsid w:val="002E3CA8"/>
    <w:rsid w:val="002F53B7"/>
    <w:rsid w:val="002F7004"/>
    <w:rsid w:val="003001EA"/>
    <w:rsid w:val="0030185C"/>
    <w:rsid w:val="00302FD4"/>
    <w:rsid w:val="003146BF"/>
    <w:rsid w:val="00321822"/>
    <w:rsid w:val="003333CB"/>
    <w:rsid w:val="00336D3A"/>
    <w:rsid w:val="00344343"/>
    <w:rsid w:val="00350D34"/>
    <w:rsid w:val="0035153D"/>
    <w:rsid w:val="00355BA3"/>
    <w:rsid w:val="00364AC7"/>
    <w:rsid w:val="00364E15"/>
    <w:rsid w:val="00366AAA"/>
    <w:rsid w:val="003679E5"/>
    <w:rsid w:val="003747E6"/>
    <w:rsid w:val="00382E35"/>
    <w:rsid w:val="00385383"/>
    <w:rsid w:val="00390A2C"/>
    <w:rsid w:val="003937B9"/>
    <w:rsid w:val="003A0EC8"/>
    <w:rsid w:val="003B1E7E"/>
    <w:rsid w:val="003B2656"/>
    <w:rsid w:val="003B6142"/>
    <w:rsid w:val="003D765B"/>
    <w:rsid w:val="003E0AE9"/>
    <w:rsid w:val="003E5BD9"/>
    <w:rsid w:val="003E6A0F"/>
    <w:rsid w:val="003F1CF6"/>
    <w:rsid w:val="003F6CC0"/>
    <w:rsid w:val="00402EE3"/>
    <w:rsid w:val="00404D3A"/>
    <w:rsid w:val="00405559"/>
    <w:rsid w:val="0040772E"/>
    <w:rsid w:val="004157B5"/>
    <w:rsid w:val="00416033"/>
    <w:rsid w:val="00424A9D"/>
    <w:rsid w:val="00430FCD"/>
    <w:rsid w:val="00434159"/>
    <w:rsid w:val="00437D0F"/>
    <w:rsid w:val="004408FC"/>
    <w:rsid w:val="00441449"/>
    <w:rsid w:val="004464C4"/>
    <w:rsid w:val="0045057B"/>
    <w:rsid w:val="00452D67"/>
    <w:rsid w:val="00453886"/>
    <w:rsid w:val="00460111"/>
    <w:rsid w:val="004638B6"/>
    <w:rsid w:val="00470CD4"/>
    <w:rsid w:val="00476768"/>
    <w:rsid w:val="00480F18"/>
    <w:rsid w:val="00481017"/>
    <w:rsid w:val="00487535"/>
    <w:rsid w:val="004924E8"/>
    <w:rsid w:val="004A3ACE"/>
    <w:rsid w:val="004A4F51"/>
    <w:rsid w:val="004B12D3"/>
    <w:rsid w:val="004B28D7"/>
    <w:rsid w:val="004C7F33"/>
    <w:rsid w:val="004D4466"/>
    <w:rsid w:val="004E02C4"/>
    <w:rsid w:val="004F0185"/>
    <w:rsid w:val="004F5491"/>
    <w:rsid w:val="00503BF9"/>
    <w:rsid w:val="00514506"/>
    <w:rsid w:val="005216C6"/>
    <w:rsid w:val="005245C1"/>
    <w:rsid w:val="00532260"/>
    <w:rsid w:val="005363AB"/>
    <w:rsid w:val="005376A7"/>
    <w:rsid w:val="005420A4"/>
    <w:rsid w:val="005444F4"/>
    <w:rsid w:val="005460F1"/>
    <w:rsid w:val="00552ADF"/>
    <w:rsid w:val="00560810"/>
    <w:rsid w:val="00560D74"/>
    <w:rsid w:val="00562E5A"/>
    <w:rsid w:val="00562E93"/>
    <w:rsid w:val="00565242"/>
    <w:rsid w:val="005750E3"/>
    <w:rsid w:val="00584FD5"/>
    <w:rsid w:val="0059029E"/>
    <w:rsid w:val="00595077"/>
    <w:rsid w:val="00595206"/>
    <w:rsid w:val="0059756C"/>
    <w:rsid w:val="005A2638"/>
    <w:rsid w:val="005A3BE0"/>
    <w:rsid w:val="005A5223"/>
    <w:rsid w:val="005B4C11"/>
    <w:rsid w:val="005C47CD"/>
    <w:rsid w:val="005F4A1E"/>
    <w:rsid w:val="00605D99"/>
    <w:rsid w:val="006064BE"/>
    <w:rsid w:val="00613D67"/>
    <w:rsid w:val="00613F88"/>
    <w:rsid w:val="00617CEA"/>
    <w:rsid w:val="006212C0"/>
    <w:rsid w:val="006234B9"/>
    <w:rsid w:val="00630469"/>
    <w:rsid w:val="00632D69"/>
    <w:rsid w:val="00641826"/>
    <w:rsid w:val="00644307"/>
    <w:rsid w:val="00644DAE"/>
    <w:rsid w:val="00644F65"/>
    <w:rsid w:val="00652744"/>
    <w:rsid w:val="006540DC"/>
    <w:rsid w:val="00654D0E"/>
    <w:rsid w:val="00665B6C"/>
    <w:rsid w:val="00673CE4"/>
    <w:rsid w:val="0069220E"/>
    <w:rsid w:val="00693C59"/>
    <w:rsid w:val="00697892"/>
    <w:rsid w:val="006B03C6"/>
    <w:rsid w:val="006C4D9D"/>
    <w:rsid w:val="006C765B"/>
    <w:rsid w:val="00706C31"/>
    <w:rsid w:val="00717E4B"/>
    <w:rsid w:val="00737288"/>
    <w:rsid w:val="00744ED6"/>
    <w:rsid w:val="00761F3A"/>
    <w:rsid w:val="00764A8E"/>
    <w:rsid w:val="007673E7"/>
    <w:rsid w:val="0077149F"/>
    <w:rsid w:val="00771A24"/>
    <w:rsid w:val="00774A6B"/>
    <w:rsid w:val="00777576"/>
    <w:rsid w:val="00780AA7"/>
    <w:rsid w:val="00781829"/>
    <w:rsid w:val="00785A5F"/>
    <w:rsid w:val="00791F24"/>
    <w:rsid w:val="007A2724"/>
    <w:rsid w:val="007B2E23"/>
    <w:rsid w:val="007B3717"/>
    <w:rsid w:val="007C0C7A"/>
    <w:rsid w:val="007D397E"/>
    <w:rsid w:val="007D3A60"/>
    <w:rsid w:val="007D56F5"/>
    <w:rsid w:val="007E00AF"/>
    <w:rsid w:val="007F461E"/>
    <w:rsid w:val="007F5B50"/>
    <w:rsid w:val="0080373A"/>
    <w:rsid w:val="0080494F"/>
    <w:rsid w:val="008076BB"/>
    <w:rsid w:val="00813FC8"/>
    <w:rsid w:val="00815159"/>
    <w:rsid w:val="008177C4"/>
    <w:rsid w:val="00827479"/>
    <w:rsid w:val="00842F17"/>
    <w:rsid w:val="00847CA2"/>
    <w:rsid w:val="008576C1"/>
    <w:rsid w:val="00872E7E"/>
    <w:rsid w:val="0087303F"/>
    <w:rsid w:val="0087487C"/>
    <w:rsid w:val="00874C1C"/>
    <w:rsid w:val="00875347"/>
    <w:rsid w:val="0088426E"/>
    <w:rsid w:val="008874DE"/>
    <w:rsid w:val="008914DC"/>
    <w:rsid w:val="00894538"/>
    <w:rsid w:val="008A1FE0"/>
    <w:rsid w:val="008A22CE"/>
    <w:rsid w:val="008A24A0"/>
    <w:rsid w:val="008A52C9"/>
    <w:rsid w:val="008A7315"/>
    <w:rsid w:val="008B194F"/>
    <w:rsid w:val="008B4C89"/>
    <w:rsid w:val="008C1222"/>
    <w:rsid w:val="008C3B03"/>
    <w:rsid w:val="008D1488"/>
    <w:rsid w:val="008D5650"/>
    <w:rsid w:val="008D57C8"/>
    <w:rsid w:val="008F0787"/>
    <w:rsid w:val="00911EBC"/>
    <w:rsid w:val="00920AF2"/>
    <w:rsid w:val="0092121A"/>
    <w:rsid w:val="00924B5E"/>
    <w:rsid w:val="00927640"/>
    <w:rsid w:val="00933FF5"/>
    <w:rsid w:val="00941B4A"/>
    <w:rsid w:val="0094248A"/>
    <w:rsid w:val="00942EE2"/>
    <w:rsid w:val="00962DEF"/>
    <w:rsid w:val="00964EB7"/>
    <w:rsid w:val="009658C9"/>
    <w:rsid w:val="00972789"/>
    <w:rsid w:val="00972DAD"/>
    <w:rsid w:val="00980893"/>
    <w:rsid w:val="00994B0E"/>
    <w:rsid w:val="00995415"/>
    <w:rsid w:val="009954E5"/>
    <w:rsid w:val="00996A16"/>
    <w:rsid w:val="009A1841"/>
    <w:rsid w:val="009A5BC3"/>
    <w:rsid w:val="009B202E"/>
    <w:rsid w:val="009B3E5B"/>
    <w:rsid w:val="009B4667"/>
    <w:rsid w:val="009B4688"/>
    <w:rsid w:val="009C7FB7"/>
    <w:rsid w:val="009D0BB7"/>
    <w:rsid w:val="009D5E17"/>
    <w:rsid w:val="009E12A3"/>
    <w:rsid w:val="009E30A3"/>
    <w:rsid w:val="009E5842"/>
    <w:rsid w:val="00A11214"/>
    <w:rsid w:val="00A12533"/>
    <w:rsid w:val="00A21947"/>
    <w:rsid w:val="00A3443A"/>
    <w:rsid w:val="00A35044"/>
    <w:rsid w:val="00A35691"/>
    <w:rsid w:val="00A41F9A"/>
    <w:rsid w:val="00A42195"/>
    <w:rsid w:val="00A43B58"/>
    <w:rsid w:val="00A503A7"/>
    <w:rsid w:val="00A517A8"/>
    <w:rsid w:val="00A527E7"/>
    <w:rsid w:val="00A579DD"/>
    <w:rsid w:val="00A6288B"/>
    <w:rsid w:val="00A70271"/>
    <w:rsid w:val="00A76E11"/>
    <w:rsid w:val="00A7746D"/>
    <w:rsid w:val="00A8423B"/>
    <w:rsid w:val="00A8477B"/>
    <w:rsid w:val="00A9043A"/>
    <w:rsid w:val="00AA42E1"/>
    <w:rsid w:val="00AA5219"/>
    <w:rsid w:val="00AB30D7"/>
    <w:rsid w:val="00AC6A93"/>
    <w:rsid w:val="00AD1CF0"/>
    <w:rsid w:val="00AE1059"/>
    <w:rsid w:val="00AE5BBC"/>
    <w:rsid w:val="00AE7D69"/>
    <w:rsid w:val="00B04EB2"/>
    <w:rsid w:val="00B06E9D"/>
    <w:rsid w:val="00B16FCF"/>
    <w:rsid w:val="00B17C88"/>
    <w:rsid w:val="00B21362"/>
    <w:rsid w:val="00B22554"/>
    <w:rsid w:val="00B24D59"/>
    <w:rsid w:val="00B33BCA"/>
    <w:rsid w:val="00B33C86"/>
    <w:rsid w:val="00B421AE"/>
    <w:rsid w:val="00B470F5"/>
    <w:rsid w:val="00B47567"/>
    <w:rsid w:val="00B50506"/>
    <w:rsid w:val="00B525AC"/>
    <w:rsid w:val="00B53D3C"/>
    <w:rsid w:val="00B630FD"/>
    <w:rsid w:val="00B666F4"/>
    <w:rsid w:val="00B72C02"/>
    <w:rsid w:val="00B72FBD"/>
    <w:rsid w:val="00B749B3"/>
    <w:rsid w:val="00B83EC0"/>
    <w:rsid w:val="00BA72D1"/>
    <w:rsid w:val="00BB1549"/>
    <w:rsid w:val="00BC1C3C"/>
    <w:rsid w:val="00BC1E0D"/>
    <w:rsid w:val="00BE41B7"/>
    <w:rsid w:val="00BF14E4"/>
    <w:rsid w:val="00C00BB3"/>
    <w:rsid w:val="00C06EDF"/>
    <w:rsid w:val="00C12116"/>
    <w:rsid w:val="00C14907"/>
    <w:rsid w:val="00C17AA2"/>
    <w:rsid w:val="00C27E33"/>
    <w:rsid w:val="00C30EC3"/>
    <w:rsid w:val="00C3681A"/>
    <w:rsid w:val="00C444D3"/>
    <w:rsid w:val="00C5678E"/>
    <w:rsid w:val="00C56845"/>
    <w:rsid w:val="00C66775"/>
    <w:rsid w:val="00C7221B"/>
    <w:rsid w:val="00C81C89"/>
    <w:rsid w:val="00C8377E"/>
    <w:rsid w:val="00C860BA"/>
    <w:rsid w:val="00C87266"/>
    <w:rsid w:val="00C96ABF"/>
    <w:rsid w:val="00CC4C8E"/>
    <w:rsid w:val="00CD1307"/>
    <w:rsid w:val="00CD313A"/>
    <w:rsid w:val="00CF1CA4"/>
    <w:rsid w:val="00D029FC"/>
    <w:rsid w:val="00D103F6"/>
    <w:rsid w:val="00D1214B"/>
    <w:rsid w:val="00D179B5"/>
    <w:rsid w:val="00D22A59"/>
    <w:rsid w:val="00D3240A"/>
    <w:rsid w:val="00D32DE9"/>
    <w:rsid w:val="00D4069E"/>
    <w:rsid w:val="00D43A9E"/>
    <w:rsid w:val="00D47603"/>
    <w:rsid w:val="00D51995"/>
    <w:rsid w:val="00D57F4F"/>
    <w:rsid w:val="00D62C23"/>
    <w:rsid w:val="00D772A9"/>
    <w:rsid w:val="00D84DC9"/>
    <w:rsid w:val="00D922F0"/>
    <w:rsid w:val="00D925DE"/>
    <w:rsid w:val="00D94EB9"/>
    <w:rsid w:val="00D97F53"/>
    <w:rsid w:val="00DA0EA5"/>
    <w:rsid w:val="00DA1C2F"/>
    <w:rsid w:val="00DB03C3"/>
    <w:rsid w:val="00DB728A"/>
    <w:rsid w:val="00DC17F9"/>
    <w:rsid w:val="00DC7C69"/>
    <w:rsid w:val="00DD6506"/>
    <w:rsid w:val="00DF49F0"/>
    <w:rsid w:val="00DF5D5B"/>
    <w:rsid w:val="00DF75BA"/>
    <w:rsid w:val="00DF78F7"/>
    <w:rsid w:val="00E04902"/>
    <w:rsid w:val="00E077F5"/>
    <w:rsid w:val="00E15725"/>
    <w:rsid w:val="00E202B0"/>
    <w:rsid w:val="00E24914"/>
    <w:rsid w:val="00E31671"/>
    <w:rsid w:val="00E370E1"/>
    <w:rsid w:val="00E501AF"/>
    <w:rsid w:val="00E54B9C"/>
    <w:rsid w:val="00E66646"/>
    <w:rsid w:val="00E673DE"/>
    <w:rsid w:val="00E73E0D"/>
    <w:rsid w:val="00EA46F8"/>
    <w:rsid w:val="00EA7537"/>
    <w:rsid w:val="00EC15E5"/>
    <w:rsid w:val="00EC5C16"/>
    <w:rsid w:val="00ED2D47"/>
    <w:rsid w:val="00ED42F4"/>
    <w:rsid w:val="00ED4B2F"/>
    <w:rsid w:val="00ED67BF"/>
    <w:rsid w:val="00EE6149"/>
    <w:rsid w:val="00EE6AB4"/>
    <w:rsid w:val="00EE79A7"/>
    <w:rsid w:val="00EF0DFA"/>
    <w:rsid w:val="00EF6E6F"/>
    <w:rsid w:val="00EF6F29"/>
    <w:rsid w:val="00F00E49"/>
    <w:rsid w:val="00F22A8D"/>
    <w:rsid w:val="00F3716C"/>
    <w:rsid w:val="00F43244"/>
    <w:rsid w:val="00F64DCF"/>
    <w:rsid w:val="00F66018"/>
    <w:rsid w:val="00F66497"/>
    <w:rsid w:val="00F70697"/>
    <w:rsid w:val="00F724C1"/>
    <w:rsid w:val="00F800E1"/>
    <w:rsid w:val="00F805CC"/>
    <w:rsid w:val="00F81596"/>
    <w:rsid w:val="00F84E40"/>
    <w:rsid w:val="00F91333"/>
    <w:rsid w:val="00FB14C4"/>
    <w:rsid w:val="00FB3935"/>
    <w:rsid w:val="00FB5676"/>
    <w:rsid w:val="00FC20AE"/>
    <w:rsid w:val="00FC254C"/>
    <w:rsid w:val="00FE784C"/>
    <w:rsid w:val="00FF001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1F7BE817-D6F8-4966-A03C-DA8DED17E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E7D69"/>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6142"/>
    <w:pPr>
      <w:spacing w:after="0" w:line="240" w:lineRule="auto"/>
    </w:pPr>
  </w:style>
  <w:style w:type="paragraph" w:styleId="NormalWeb">
    <w:name w:val="Normal (Web)"/>
    <w:basedOn w:val="Normal"/>
    <w:uiPriority w:val="99"/>
    <w:semiHidden/>
    <w:unhideWhenUsed/>
    <w:rsid w:val="001B1259"/>
    <w:pPr>
      <w:spacing w:before="100" w:beforeAutospacing="1" w:after="100" w:afterAutospacing="1" w:line="240" w:lineRule="auto"/>
    </w:pPr>
    <w:rPr>
      <w:rFonts w:ascii="Times New Roman" w:eastAsiaTheme="minorEastAsia" w:hAnsi="Times New Roman" w:cs="Times New Roman"/>
      <w:sz w:val="24"/>
      <w:szCs w:val="24"/>
      <w:lang w:eastAsia="nl-NL"/>
    </w:rPr>
  </w:style>
  <w:style w:type="paragraph" w:styleId="BalloonText">
    <w:name w:val="Balloon Text"/>
    <w:basedOn w:val="Normal"/>
    <w:link w:val="BalloonTextChar"/>
    <w:uiPriority w:val="99"/>
    <w:semiHidden/>
    <w:unhideWhenUsed/>
    <w:rsid w:val="001B12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1259"/>
    <w:rPr>
      <w:rFonts w:ascii="Tahoma" w:hAnsi="Tahoma" w:cs="Tahoma"/>
      <w:sz w:val="16"/>
      <w:szCs w:val="16"/>
    </w:rPr>
  </w:style>
  <w:style w:type="paragraph" w:styleId="EndnoteText">
    <w:name w:val="endnote text"/>
    <w:basedOn w:val="Normal"/>
    <w:link w:val="EndnoteTextChar"/>
    <w:uiPriority w:val="99"/>
    <w:semiHidden/>
    <w:unhideWhenUsed/>
    <w:rsid w:val="00C00BB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00BB3"/>
    <w:rPr>
      <w:sz w:val="20"/>
      <w:szCs w:val="20"/>
    </w:rPr>
  </w:style>
  <w:style w:type="character" w:styleId="EndnoteReference">
    <w:name w:val="endnote reference"/>
    <w:basedOn w:val="DefaultParagraphFont"/>
    <w:uiPriority w:val="99"/>
    <w:semiHidden/>
    <w:unhideWhenUsed/>
    <w:rsid w:val="00C00BB3"/>
    <w:rPr>
      <w:vertAlign w:val="superscript"/>
    </w:rPr>
  </w:style>
  <w:style w:type="character" w:customStyle="1" w:styleId="Heading1Char">
    <w:name w:val="Heading 1 Char"/>
    <w:basedOn w:val="DefaultParagraphFont"/>
    <w:link w:val="Heading1"/>
    <w:uiPriority w:val="9"/>
    <w:rsid w:val="00AE7D69"/>
    <w:rPr>
      <w:rFonts w:asciiTheme="majorHAnsi" w:eastAsiaTheme="majorEastAsia" w:hAnsiTheme="majorHAnsi" w:cstheme="majorBidi"/>
      <w:b/>
      <w:bCs/>
      <w:color w:val="365F91" w:themeColor="accent1" w:themeShade="BF"/>
      <w:sz w:val="28"/>
      <w:szCs w:val="28"/>
      <w:lang w:val="en-US" w:eastAsia="ja-JP"/>
    </w:rPr>
  </w:style>
  <w:style w:type="paragraph" w:styleId="Bibliography">
    <w:name w:val="Bibliography"/>
    <w:basedOn w:val="Normal"/>
    <w:next w:val="Normal"/>
    <w:uiPriority w:val="37"/>
    <w:unhideWhenUsed/>
    <w:rsid w:val="00AE7D69"/>
  </w:style>
  <w:style w:type="table" w:styleId="TableGrid">
    <w:name w:val="Table Grid"/>
    <w:basedOn w:val="TableNormal"/>
    <w:uiPriority w:val="59"/>
    <w:rsid w:val="00EF0D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33C86"/>
    <w:pPr>
      <w:tabs>
        <w:tab w:val="center" w:pos="4536"/>
        <w:tab w:val="right" w:pos="9072"/>
      </w:tabs>
      <w:spacing w:after="0" w:line="240" w:lineRule="auto"/>
    </w:pPr>
  </w:style>
  <w:style w:type="character" w:customStyle="1" w:styleId="HeaderChar">
    <w:name w:val="Header Char"/>
    <w:basedOn w:val="DefaultParagraphFont"/>
    <w:link w:val="Header"/>
    <w:uiPriority w:val="99"/>
    <w:rsid w:val="00B33C86"/>
  </w:style>
  <w:style w:type="paragraph" w:styleId="Footer">
    <w:name w:val="footer"/>
    <w:basedOn w:val="Normal"/>
    <w:link w:val="FooterChar"/>
    <w:uiPriority w:val="99"/>
    <w:unhideWhenUsed/>
    <w:rsid w:val="00B33C86"/>
    <w:pPr>
      <w:tabs>
        <w:tab w:val="center" w:pos="4536"/>
        <w:tab w:val="right" w:pos="9072"/>
      </w:tabs>
      <w:spacing w:after="0" w:line="240" w:lineRule="auto"/>
    </w:pPr>
  </w:style>
  <w:style w:type="character" w:customStyle="1" w:styleId="FooterChar">
    <w:name w:val="Footer Char"/>
    <w:basedOn w:val="DefaultParagraphFont"/>
    <w:link w:val="Footer"/>
    <w:uiPriority w:val="99"/>
    <w:rsid w:val="00B33C86"/>
  </w:style>
  <w:style w:type="paragraph" w:styleId="TOCHeading">
    <w:name w:val="TOC Heading"/>
    <w:basedOn w:val="Heading1"/>
    <w:next w:val="Normal"/>
    <w:uiPriority w:val="39"/>
    <w:unhideWhenUsed/>
    <w:qFormat/>
    <w:rsid w:val="00B33C86"/>
    <w:pPr>
      <w:outlineLvl w:val="9"/>
    </w:pPr>
    <w:rPr>
      <w:lang w:val="nl-NL" w:eastAsia="en-US"/>
    </w:rPr>
  </w:style>
  <w:style w:type="paragraph" w:styleId="TOC2">
    <w:name w:val="toc 2"/>
    <w:basedOn w:val="Normal"/>
    <w:next w:val="Normal"/>
    <w:autoRedefine/>
    <w:uiPriority w:val="39"/>
    <w:semiHidden/>
    <w:unhideWhenUsed/>
    <w:qFormat/>
    <w:rsid w:val="00B33C86"/>
    <w:pPr>
      <w:spacing w:after="100"/>
      <w:ind w:left="220"/>
    </w:pPr>
    <w:rPr>
      <w:rFonts w:eastAsiaTheme="minorEastAsia"/>
    </w:rPr>
  </w:style>
  <w:style w:type="paragraph" w:styleId="TOC1">
    <w:name w:val="toc 1"/>
    <w:basedOn w:val="Normal"/>
    <w:next w:val="Normal"/>
    <w:autoRedefine/>
    <w:uiPriority w:val="39"/>
    <w:unhideWhenUsed/>
    <w:qFormat/>
    <w:rsid w:val="00B33C86"/>
    <w:pPr>
      <w:spacing w:after="100"/>
    </w:pPr>
    <w:rPr>
      <w:rFonts w:eastAsiaTheme="minorEastAsia"/>
    </w:rPr>
  </w:style>
  <w:style w:type="paragraph" w:styleId="TOC3">
    <w:name w:val="toc 3"/>
    <w:basedOn w:val="Normal"/>
    <w:next w:val="Normal"/>
    <w:autoRedefine/>
    <w:uiPriority w:val="39"/>
    <w:semiHidden/>
    <w:unhideWhenUsed/>
    <w:qFormat/>
    <w:rsid w:val="00B33C86"/>
    <w:pPr>
      <w:spacing w:after="100"/>
      <w:ind w:left="440"/>
    </w:pPr>
    <w:rPr>
      <w:rFonts w:eastAsiaTheme="minorEastAsia"/>
    </w:rPr>
  </w:style>
  <w:style w:type="table" w:styleId="LightShading">
    <w:name w:val="Light Shading"/>
    <w:basedOn w:val="TableNormal"/>
    <w:uiPriority w:val="60"/>
    <w:rsid w:val="00A8477B"/>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52441">
      <w:bodyDiv w:val="1"/>
      <w:marLeft w:val="0"/>
      <w:marRight w:val="0"/>
      <w:marTop w:val="0"/>
      <w:marBottom w:val="0"/>
      <w:divBdr>
        <w:top w:val="none" w:sz="0" w:space="0" w:color="auto"/>
        <w:left w:val="none" w:sz="0" w:space="0" w:color="auto"/>
        <w:bottom w:val="none" w:sz="0" w:space="0" w:color="auto"/>
        <w:right w:val="none" w:sz="0" w:space="0" w:color="auto"/>
      </w:divBdr>
    </w:div>
    <w:div w:id="144276569">
      <w:bodyDiv w:val="1"/>
      <w:marLeft w:val="0"/>
      <w:marRight w:val="0"/>
      <w:marTop w:val="0"/>
      <w:marBottom w:val="0"/>
      <w:divBdr>
        <w:top w:val="none" w:sz="0" w:space="0" w:color="auto"/>
        <w:left w:val="none" w:sz="0" w:space="0" w:color="auto"/>
        <w:bottom w:val="none" w:sz="0" w:space="0" w:color="auto"/>
        <w:right w:val="none" w:sz="0" w:space="0" w:color="auto"/>
      </w:divBdr>
    </w:div>
    <w:div w:id="177889200">
      <w:bodyDiv w:val="1"/>
      <w:marLeft w:val="0"/>
      <w:marRight w:val="0"/>
      <w:marTop w:val="0"/>
      <w:marBottom w:val="0"/>
      <w:divBdr>
        <w:top w:val="none" w:sz="0" w:space="0" w:color="auto"/>
        <w:left w:val="none" w:sz="0" w:space="0" w:color="auto"/>
        <w:bottom w:val="none" w:sz="0" w:space="0" w:color="auto"/>
        <w:right w:val="none" w:sz="0" w:space="0" w:color="auto"/>
      </w:divBdr>
    </w:div>
    <w:div w:id="228852649">
      <w:bodyDiv w:val="1"/>
      <w:marLeft w:val="0"/>
      <w:marRight w:val="0"/>
      <w:marTop w:val="0"/>
      <w:marBottom w:val="0"/>
      <w:divBdr>
        <w:top w:val="none" w:sz="0" w:space="0" w:color="auto"/>
        <w:left w:val="none" w:sz="0" w:space="0" w:color="auto"/>
        <w:bottom w:val="none" w:sz="0" w:space="0" w:color="auto"/>
        <w:right w:val="none" w:sz="0" w:space="0" w:color="auto"/>
      </w:divBdr>
    </w:div>
    <w:div w:id="365447439">
      <w:bodyDiv w:val="1"/>
      <w:marLeft w:val="0"/>
      <w:marRight w:val="0"/>
      <w:marTop w:val="0"/>
      <w:marBottom w:val="0"/>
      <w:divBdr>
        <w:top w:val="none" w:sz="0" w:space="0" w:color="auto"/>
        <w:left w:val="none" w:sz="0" w:space="0" w:color="auto"/>
        <w:bottom w:val="none" w:sz="0" w:space="0" w:color="auto"/>
        <w:right w:val="none" w:sz="0" w:space="0" w:color="auto"/>
      </w:divBdr>
    </w:div>
    <w:div w:id="755246186">
      <w:bodyDiv w:val="1"/>
      <w:marLeft w:val="0"/>
      <w:marRight w:val="0"/>
      <w:marTop w:val="0"/>
      <w:marBottom w:val="0"/>
      <w:divBdr>
        <w:top w:val="none" w:sz="0" w:space="0" w:color="auto"/>
        <w:left w:val="none" w:sz="0" w:space="0" w:color="auto"/>
        <w:bottom w:val="none" w:sz="0" w:space="0" w:color="auto"/>
        <w:right w:val="none" w:sz="0" w:space="0" w:color="auto"/>
      </w:divBdr>
    </w:div>
    <w:div w:id="839125741">
      <w:bodyDiv w:val="1"/>
      <w:marLeft w:val="0"/>
      <w:marRight w:val="0"/>
      <w:marTop w:val="0"/>
      <w:marBottom w:val="0"/>
      <w:divBdr>
        <w:top w:val="none" w:sz="0" w:space="0" w:color="auto"/>
        <w:left w:val="none" w:sz="0" w:space="0" w:color="auto"/>
        <w:bottom w:val="none" w:sz="0" w:space="0" w:color="auto"/>
        <w:right w:val="none" w:sz="0" w:space="0" w:color="auto"/>
      </w:divBdr>
    </w:div>
    <w:div w:id="1138838769">
      <w:bodyDiv w:val="1"/>
      <w:marLeft w:val="0"/>
      <w:marRight w:val="0"/>
      <w:marTop w:val="0"/>
      <w:marBottom w:val="0"/>
      <w:divBdr>
        <w:top w:val="none" w:sz="0" w:space="0" w:color="auto"/>
        <w:left w:val="none" w:sz="0" w:space="0" w:color="auto"/>
        <w:bottom w:val="none" w:sz="0" w:space="0" w:color="auto"/>
        <w:right w:val="none" w:sz="0" w:space="0" w:color="auto"/>
      </w:divBdr>
    </w:div>
    <w:div w:id="1204056418">
      <w:bodyDiv w:val="1"/>
      <w:marLeft w:val="0"/>
      <w:marRight w:val="0"/>
      <w:marTop w:val="0"/>
      <w:marBottom w:val="0"/>
      <w:divBdr>
        <w:top w:val="none" w:sz="0" w:space="0" w:color="auto"/>
        <w:left w:val="none" w:sz="0" w:space="0" w:color="auto"/>
        <w:bottom w:val="none" w:sz="0" w:space="0" w:color="auto"/>
        <w:right w:val="none" w:sz="0" w:space="0" w:color="auto"/>
      </w:divBdr>
    </w:div>
    <w:div w:id="1518763476">
      <w:bodyDiv w:val="1"/>
      <w:marLeft w:val="0"/>
      <w:marRight w:val="0"/>
      <w:marTop w:val="0"/>
      <w:marBottom w:val="0"/>
      <w:divBdr>
        <w:top w:val="none" w:sz="0" w:space="0" w:color="auto"/>
        <w:left w:val="none" w:sz="0" w:space="0" w:color="auto"/>
        <w:bottom w:val="none" w:sz="0" w:space="0" w:color="auto"/>
        <w:right w:val="none" w:sz="0" w:space="0" w:color="auto"/>
      </w:divBdr>
    </w:div>
    <w:div w:id="1569801771">
      <w:bodyDiv w:val="1"/>
      <w:marLeft w:val="0"/>
      <w:marRight w:val="0"/>
      <w:marTop w:val="0"/>
      <w:marBottom w:val="0"/>
      <w:divBdr>
        <w:top w:val="none" w:sz="0" w:space="0" w:color="auto"/>
        <w:left w:val="none" w:sz="0" w:space="0" w:color="auto"/>
        <w:bottom w:val="none" w:sz="0" w:space="0" w:color="auto"/>
        <w:right w:val="none" w:sz="0" w:space="0" w:color="auto"/>
      </w:divBdr>
    </w:div>
    <w:div w:id="1571038551">
      <w:bodyDiv w:val="1"/>
      <w:marLeft w:val="0"/>
      <w:marRight w:val="0"/>
      <w:marTop w:val="0"/>
      <w:marBottom w:val="0"/>
      <w:divBdr>
        <w:top w:val="none" w:sz="0" w:space="0" w:color="auto"/>
        <w:left w:val="none" w:sz="0" w:space="0" w:color="auto"/>
        <w:bottom w:val="none" w:sz="0" w:space="0" w:color="auto"/>
        <w:right w:val="none" w:sz="0" w:space="0" w:color="auto"/>
      </w:divBdr>
    </w:div>
    <w:div w:id="1629432726">
      <w:bodyDiv w:val="1"/>
      <w:marLeft w:val="0"/>
      <w:marRight w:val="0"/>
      <w:marTop w:val="0"/>
      <w:marBottom w:val="0"/>
      <w:divBdr>
        <w:top w:val="none" w:sz="0" w:space="0" w:color="auto"/>
        <w:left w:val="none" w:sz="0" w:space="0" w:color="auto"/>
        <w:bottom w:val="none" w:sz="0" w:space="0" w:color="auto"/>
        <w:right w:val="none" w:sz="0" w:space="0" w:color="auto"/>
      </w:divBdr>
    </w:div>
    <w:div w:id="1895774145">
      <w:bodyDiv w:val="1"/>
      <w:marLeft w:val="0"/>
      <w:marRight w:val="0"/>
      <w:marTop w:val="0"/>
      <w:marBottom w:val="0"/>
      <w:divBdr>
        <w:top w:val="none" w:sz="0" w:space="0" w:color="auto"/>
        <w:left w:val="none" w:sz="0" w:space="0" w:color="auto"/>
        <w:bottom w:val="none" w:sz="0" w:space="0" w:color="auto"/>
        <w:right w:val="none" w:sz="0" w:space="0" w:color="auto"/>
      </w:divBdr>
    </w:div>
    <w:div w:id="2001158307">
      <w:bodyDiv w:val="1"/>
      <w:marLeft w:val="0"/>
      <w:marRight w:val="0"/>
      <w:marTop w:val="0"/>
      <w:marBottom w:val="0"/>
      <w:divBdr>
        <w:top w:val="none" w:sz="0" w:space="0" w:color="auto"/>
        <w:left w:val="none" w:sz="0" w:space="0" w:color="auto"/>
        <w:bottom w:val="none" w:sz="0" w:space="0" w:color="auto"/>
        <w:right w:val="none" w:sz="0" w:space="0" w:color="auto"/>
      </w:divBdr>
    </w:div>
    <w:div w:id="2142531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sz="1600">
                <a:latin typeface="Palatino Linotype" panose="02040502050505030304" pitchFamily="18" charset="0"/>
              </a:rPr>
              <a:t>Dekkingsgraad per land</a:t>
            </a:r>
          </a:p>
        </c:rich>
      </c:tx>
      <c:layout/>
      <c:overlay val="0"/>
    </c:title>
    <c:autoTitleDeleted val="0"/>
    <c:plotArea>
      <c:layout/>
      <c:barChart>
        <c:barDir val="col"/>
        <c:grouping val="clustered"/>
        <c:varyColors val="0"/>
        <c:ser>
          <c:idx val="0"/>
          <c:order val="0"/>
          <c:tx>
            <c:strRef>
              <c:f>Sheet1!$B$1</c:f>
              <c:strCache>
                <c:ptCount val="1"/>
                <c:pt idx="0">
                  <c:v>Frankrijk</c:v>
                </c:pt>
              </c:strCache>
            </c:strRef>
          </c:tx>
          <c:spPr>
            <a:solidFill>
              <a:srgbClr val="002060"/>
            </a:solidFill>
          </c:spPr>
          <c:invertIfNegative val="0"/>
          <c:cat>
            <c:strRef>
              <c:f>Sheet1!$A$2:$A$6</c:f>
              <c:strCache>
                <c:ptCount val="5"/>
                <c:pt idx="0">
                  <c:v>Uitgangssituatie</c:v>
                </c:pt>
                <c:pt idx="1">
                  <c:v>Verhogen P</c:v>
                </c:pt>
                <c:pt idx="2">
                  <c:v>Lagere n/m-ratio</c:v>
                </c:pt>
                <c:pt idx="3">
                  <c:v>Laag R begin</c:v>
                </c:pt>
                <c:pt idx="4">
                  <c:v>Laag R eind</c:v>
                </c:pt>
              </c:strCache>
            </c:strRef>
          </c:cat>
          <c:val>
            <c:numRef>
              <c:f>Sheet1!$B$2:$B$6</c:f>
              <c:numCache>
                <c:formatCode>General</c:formatCode>
                <c:ptCount val="5"/>
                <c:pt idx="0">
                  <c:v>0.72</c:v>
                </c:pt>
                <c:pt idx="1">
                  <c:v>1.05</c:v>
                </c:pt>
                <c:pt idx="2">
                  <c:v>0.59</c:v>
                </c:pt>
                <c:pt idx="3">
                  <c:v>0.68</c:v>
                </c:pt>
                <c:pt idx="4">
                  <c:v>0.51</c:v>
                </c:pt>
              </c:numCache>
            </c:numRef>
          </c:val>
        </c:ser>
        <c:ser>
          <c:idx val="1"/>
          <c:order val="1"/>
          <c:tx>
            <c:strRef>
              <c:f>Sheet1!$C$1</c:f>
              <c:strCache>
                <c:ptCount val="1"/>
                <c:pt idx="0">
                  <c:v>Nederland</c:v>
                </c:pt>
              </c:strCache>
            </c:strRef>
          </c:tx>
          <c:spPr>
            <a:solidFill>
              <a:schemeClr val="accent6">
                <a:lumMod val="75000"/>
              </a:schemeClr>
            </a:solidFill>
          </c:spPr>
          <c:invertIfNegative val="0"/>
          <c:cat>
            <c:strRef>
              <c:f>Sheet1!$A$2:$A$6</c:f>
              <c:strCache>
                <c:ptCount val="5"/>
                <c:pt idx="0">
                  <c:v>Uitgangssituatie</c:v>
                </c:pt>
                <c:pt idx="1">
                  <c:v>Verhogen P</c:v>
                </c:pt>
                <c:pt idx="2">
                  <c:v>Lagere n/m-ratio</c:v>
                </c:pt>
                <c:pt idx="3">
                  <c:v>Laag R begin</c:v>
                </c:pt>
                <c:pt idx="4">
                  <c:v>Laag R eind</c:v>
                </c:pt>
              </c:strCache>
            </c:strRef>
          </c:cat>
          <c:val>
            <c:numRef>
              <c:f>Sheet1!$C$2:$C$6</c:f>
              <c:numCache>
                <c:formatCode>General</c:formatCode>
                <c:ptCount val="5"/>
                <c:pt idx="0">
                  <c:v>1.27</c:v>
                </c:pt>
                <c:pt idx="1">
                  <c:v>2.4</c:v>
                </c:pt>
                <c:pt idx="2">
                  <c:v>1.05</c:v>
                </c:pt>
                <c:pt idx="3">
                  <c:v>1.19</c:v>
                </c:pt>
                <c:pt idx="4">
                  <c:v>0.9</c:v>
                </c:pt>
              </c:numCache>
            </c:numRef>
          </c:val>
        </c:ser>
        <c:ser>
          <c:idx val="2"/>
          <c:order val="2"/>
          <c:tx>
            <c:strRef>
              <c:f>Sheet1!$D$1</c:f>
              <c:strCache>
                <c:ptCount val="1"/>
                <c:pt idx="0">
                  <c:v>Verenigde Staten</c:v>
                </c:pt>
              </c:strCache>
            </c:strRef>
          </c:tx>
          <c:spPr>
            <a:solidFill>
              <a:srgbClr val="FF0000"/>
            </a:solidFill>
          </c:spPr>
          <c:invertIfNegative val="0"/>
          <c:cat>
            <c:strRef>
              <c:f>Sheet1!$A$2:$A$6</c:f>
              <c:strCache>
                <c:ptCount val="5"/>
                <c:pt idx="0">
                  <c:v>Uitgangssituatie</c:v>
                </c:pt>
                <c:pt idx="1">
                  <c:v>Verhogen P</c:v>
                </c:pt>
                <c:pt idx="2">
                  <c:v>Lagere n/m-ratio</c:v>
                </c:pt>
                <c:pt idx="3">
                  <c:v>Laag R begin</c:v>
                </c:pt>
                <c:pt idx="4">
                  <c:v>Laag R eind</c:v>
                </c:pt>
              </c:strCache>
            </c:strRef>
          </c:cat>
          <c:val>
            <c:numRef>
              <c:f>Sheet1!$D$2:$D$6</c:f>
              <c:numCache>
                <c:formatCode>General</c:formatCode>
                <c:ptCount val="5"/>
                <c:pt idx="0">
                  <c:v>1.18</c:v>
                </c:pt>
                <c:pt idx="1">
                  <c:v>2.41</c:v>
                </c:pt>
                <c:pt idx="2">
                  <c:v>0.97</c:v>
                </c:pt>
                <c:pt idx="3">
                  <c:v>1.1100000000000001</c:v>
                </c:pt>
                <c:pt idx="4">
                  <c:v>0.84</c:v>
                </c:pt>
              </c:numCache>
            </c:numRef>
          </c:val>
        </c:ser>
        <c:dLbls>
          <c:showLegendKey val="0"/>
          <c:showVal val="0"/>
          <c:showCatName val="0"/>
          <c:showSerName val="0"/>
          <c:showPercent val="0"/>
          <c:showBubbleSize val="0"/>
        </c:dLbls>
        <c:gapWidth val="150"/>
        <c:axId val="76743216"/>
        <c:axId val="76405392"/>
      </c:barChart>
      <c:catAx>
        <c:axId val="76743216"/>
        <c:scaling>
          <c:orientation val="minMax"/>
        </c:scaling>
        <c:delete val="0"/>
        <c:axPos val="b"/>
        <c:numFmt formatCode="General" sourceLinked="0"/>
        <c:majorTickMark val="out"/>
        <c:minorTickMark val="none"/>
        <c:tickLblPos val="nextTo"/>
        <c:txPr>
          <a:bodyPr/>
          <a:lstStyle/>
          <a:p>
            <a:pPr>
              <a:defRPr>
                <a:latin typeface="Palatino Linotype" panose="02040502050505030304" pitchFamily="18" charset="0"/>
              </a:defRPr>
            </a:pPr>
            <a:endParaRPr lang="nl-NL"/>
          </a:p>
        </c:txPr>
        <c:crossAx val="76405392"/>
        <c:crosses val="autoZero"/>
        <c:auto val="1"/>
        <c:lblAlgn val="ctr"/>
        <c:lblOffset val="100"/>
        <c:noMultiLvlLbl val="0"/>
      </c:catAx>
      <c:valAx>
        <c:axId val="76405392"/>
        <c:scaling>
          <c:orientation val="minMax"/>
        </c:scaling>
        <c:delete val="0"/>
        <c:axPos val="l"/>
        <c:majorGridlines/>
        <c:title>
          <c:tx>
            <c:rich>
              <a:bodyPr rot="-5400000" vert="horz"/>
              <a:lstStyle/>
              <a:p>
                <a:pPr>
                  <a:defRPr/>
                </a:pPr>
                <a:r>
                  <a:rPr lang="nl-NL">
                    <a:latin typeface="Palatino Linotype" panose="02040502050505030304" pitchFamily="18" charset="0"/>
                  </a:rPr>
                  <a:t>Dekkingsgraad</a:t>
                </a:r>
              </a:p>
            </c:rich>
          </c:tx>
          <c:layout/>
          <c:overlay val="0"/>
        </c:title>
        <c:numFmt formatCode="General" sourceLinked="1"/>
        <c:majorTickMark val="out"/>
        <c:minorTickMark val="none"/>
        <c:tickLblPos val="nextTo"/>
        <c:txPr>
          <a:bodyPr/>
          <a:lstStyle/>
          <a:p>
            <a:pPr>
              <a:defRPr>
                <a:latin typeface="Palatino Linotype" panose="02040502050505030304" pitchFamily="18" charset="0"/>
              </a:defRPr>
            </a:pPr>
            <a:endParaRPr lang="nl-NL"/>
          </a:p>
        </c:txPr>
        <c:crossAx val="76743216"/>
        <c:crosses val="autoZero"/>
        <c:crossBetween val="between"/>
      </c:valAx>
    </c:plotArea>
    <c:legend>
      <c:legendPos val="r"/>
      <c:layout/>
      <c:overlay val="0"/>
      <c:txPr>
        <a:bodyPr/>
        <a:lstStyle/>
        <a:p>
          <a:pPr>
            <a:defRPr>
              <a:latin typeface="Palatino Linotype" panose="02040502050505030304" pitchFamily="18" charset="0"/>
            </a:defRPr>
          </a:pPr>
          <a:endParaRPr lang="nl-NL"/>
        </a:p>
      </c:txPr>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Fin08</b:Tag>
    <b:SourceType>DocumentFromInternetSite</b:SourceType>
    <b:Guid>{3785B6A3-A56C-4C01-B48F-9C13CAD52B03}</b:Guid>
    <b:Author>
      <b:Author>
        <b:Corporate>Financiële Redactie</b:Corporate>
      </b:Author>
    </b:Author>
    <b:Title>Grote pensioenfondsen geraakt door crisis</b:Title>
    <b:InternetSiteTitle>nrc.nl -&gt; archief</b:InternetSiteTitle>
    <b:Year>2008</b:Year>
    <b:Month>10</b:Month>
    <b:Day>23</b:Day>
    <b:YearAccessed>2014</b:YearAccessed>
    <b:MonthAccessed>07</b:MonthAccessed>
    <b:URL>http://vorige.nrc.nl/article2035005.ece#rel_expand=1</b:URL>
    <b:RefOrder>1</b:RefOrder>
  </b:Source>
  <b:Source>
    <b:Tag>Dui10</b:Tag>
    <b:SourceType>DocumentFromInternetSite</b:SourceType>
    <b:Guid>{C0137810-EAC9-4A74-8C9A-E5AD6F741833}</b:Guid>
    <b:Author>
      <b:Author>
        <b:NameList>
          <b:Person>
            <b:Last>Duin</b:Last>
            <b:First>C</b:First>
            <b:Middle>van</b:Middle>
          </b:Person>
          <b:Person>
            <b:Last>J</b:Last>
            <b:First>Garssen</b:First>
          </b:Person>
        </b:NameList>
      </b:Author>
    </b:Author>
    <b:Title>Bevolkingsprognose 2010–2060: sterkere vergrijzing, langere levensduur</b:Title>
    <b:InternetSiteTitle>CBS</b:InternetSiteTitle>
    <b:Year>2010</b:Year>
    <b:Month>12</b:Month>
    <b:Day>17</b:Day>
    <b:YearAccessed>2014</b:YearAccessed>
    <b:MonthAccessed>7</b:MonthAccessed>
    <b:URL>http://www.cbs.nl/NR/rdonlyres/91E3EC1E-4FF2-4019-B47E-24DC24334180/0/2010bevolkingsprognose20102060sterkerevergrijzingart.pdf</b:URL>
    <b:RefOrder>2</b:RefOrder>
  </b:Source>
  <b:Source>
    <b:Tag>Wor14</b:Tag>
    <b:SourceType>InternetSite</b:SourceType>
    <b:Guid>{F8503BC1-7623-4F22-AF53-FDEE6DB23B58}</b:Guid>
    <b:Author>
      <b:Author>
        <b:Corporate>World Bank</b:Corporate>
      </b:Author>
    </b:Author>
    <b:Title>Life expectancy at birth, total (years)</b:Title>
    <b:InternetSiteTitle>The World Bank; Data</b:InternetSiteTitle>
    <b:Year>2014</b:Year>
    <b:YearAccessed>2014</b:YearAccessed>
    <b:MonthAccessed>7</b:MonthAccessed>
    <b:URL>http://data.worldbank.org/indicator/SP.DYN.LE00.IN</b:URL>
    <b:RefOrder>3</b:RefOrder>
  </b:Source>
  <b:Source>
    <b:Tag>Rij14</b:Tag>
    <b:SourceType>InternetSite</b:SourceType>
    <b:Guid>{06CB54AE-50AF-40ED-8431-216EDBCB4E5E}</b:Guid>
    <b:Author>
      <b:Author>
        <b:Corporate>Rijksoverheid</b:Corporate>
      </b:Author>
    </b:Author>
    <b:Title>Pensioen</b:Title>
    <b:InternetSiteTitle>Rijksoverheid</b:InternetSiteTitle>
    <b:YearAccessed>2014</b:YearAccessed>
    <b:MonthAccessed>7</b:MonthAccessed>
    <b:URL>http://www.rijksoverheid.nl/onderwerpen/pensioen</b:URL>
    <b:RefOrder>4</b:RefOrder>
  </b:Source>
  <b:Source>
    <b:Tag>Hol97</b:Tag>
    <b:SourceType>JournalArticle</b:SourceType>
    <b:Guid>{227C08C7-3FFC-4642-8D23-9E0FB8325BE7}</b:Guid>
    <b:Title>Pension reform, financial market development and economic growth: Preliminary evidence from Chile</b:Title>
    <b:Year>1997</b:Year>
    <b:Pages>149-178</b:Pages>
    <b:Author>
      <b:Author>
        <b:NameList>
          <b:Person>
            <b:Last>Holzmann</b:Last>
            <b:First>R</b:First>
          </b:Person>
        </b:NameList>
      </b:Author>
    </b:Author>
    <b:Publisher>International Monetary Fund</b:Publisher>
    <b:JournalName>Staff Papers</b:JournalName>
    <b:RefOrder>5</b:RefOrder>
  </b:Source>
  <b:Source>
    <b:Tag>Fin14</b:Tag>
    <b:SourceType>InternetSite</b:SourceType>
    <b:Guid>{7D504D6C-AEFB-402D-BD60-F8DCAB5CCE0C}</b:Guid>
    <b:Title>Lexicon</b:Title>
    <b:Year>2014</b:Year>
    <b:Author>
      <b:Author>
        <b:Corporate>Financial Times</b:Corporate>
      </b:Author>
    </b:Author>
    <b:InternetSiteTitle>Financial Times</b:InternetSiteTitle>
    <b:YearAccessed>2014</b:YearAccessed>
    <b:MonthAccessed>7</b:MonthAccessed>
    <b:URL>lexicon.ft.com/Term?term=coverage-ratio</b:URL>
    <b:RefOrder>6</b:RefOrder>
  </b:Source>
  <b:Source>
    <b:Tag>Int13</b:Tag>
    <b:SourceType>Report</b:SourceType>
    <b:Guid>{8B2987CD-6E16-4A96-9619-17406F875419}</b:Guid>
    <b:Author>
      <b:Author>
        <b:Corporate>International Organisation of Pension Supervisors</b:Corporate>
      </b:Author>
    </b:Author>
    <b:Title>Research by Country</b:Title>
    <b:Year>2013</b:Year>
    <b:Publisher>IOPS</b:Publisher>
    <b:RefOrder>7</b:RefOrder>
  </b:Source>
  <b:Source>
    <b:Tag>Org13</b:Tag>
    <b:SourceType>Report</b:SourceType>
    <b:Guid>{E03F8C41-BA7C-4CAC-B45D-8BE56222BB58}</b:Guid>
    <b:Author>
      <b:Author>
        <b:Corporate>Organisation for Economical Cooperation and Development</b:Corporate>
      </b:Author>
    </b:Author>
    <b:Title>Pension Markets in Focus</b:Title>
    <b:Year>2013</b:Year>
    <b:Publisher>OECD</b:Publisher>
    <b:City>Paris</b:City>
    <b:RefOrder>8</b:RefOrder>
  </b:Source>
  <b:Source>
    <b:Tag>Cen14</b:Tag>
    <b:SourceType>InternetSite</b:SourceType>
    <b:Guid>{DAA4DD3A-112D-4899-B0E2-7FA99BDF9534}</b:Guid>
    <b:Title>The World Factbook</b:Title>
    <b:Year>2014</b:Year>
    <b:Author>
      <b:Author>
        <b:Corporate>Central Intelligence Agency</b:Corporate>
      </b:Author>
    </b:Author>
    <b:InternetSiteTitle>CIA</b:InternetSiteTitle>
    <b:YearAccessed>2014</b:YearAccessed>
    <b:MonthAccessed>7</b:MonthAccessed>
    <b:URL>https://www.cia.gov/library/publications/the-world-factbook/</b:URL>
    <b:RefOrder>9</b:RefOrder>
  </b:Source>
  <b:Source>
    <b:Tag>ZZP14</b:Tag>
    <b:SourceType>InternetSite</b:SourceType>
    <b:Guid>{36C30D07-30A3-4535-AAD2-D78BA6BC022C}</b:Guid>
    <b:Author>
      <b:Author>
        <b:Corporate>ZZP-Nederland</b:Corporate>
      </b:Author>
    </b:Author>
    <b:Title>Pensioen voor ZZP’ers een feit</b:Title>
    <b:InternetSiteTitle>ZZP-Nederland</b:InternetSiteTitle>
    <b:Year>2014</b:Year>
    <b:Month>6</b:Month>
    <b:Day>19</b:Day>
    <b:YearAccessed>2014</b:YearAccessed>
    <b:MonthAccessed>7</b:MonthAccessed>
    <b:URL>http://www.zzp-nederland.nl/nieuws/63817-pensioen-voor-zzpers-een-feit</b:URL>
    <b:RefOrder>10</b:RefOrder>
  </b:Source>
  <b:Source>
    <b:Tag>Ins14</b:Tag>
    <b:SourceType>DocumentFromInternetSite</b:SourceType>
    <b:Guid>{36695646-C52B-4B4F-93BF-A95CE9CB43F7}</b:Guid>
    <b:Title>Montants des pensions moyennes brutes en 2012</b:Title>
    <b:InternetSiteTitle>Insee</b:InternetSiteTitle>
    <b:Year>2014</b:Year>
    <b:YearAccessed>2014</b:YearAccessed>
    <b:MonthAccessed>7</b:MonthAccessed>
    <b:URL>http://insee.fr/fr/themes/tableau.asp?reg_id=0&amp;ref_id=NATTEF04571</b:URL>
    <b:Author>
      <b:Author>
        <b:Corporate>Institut national de la statistique et des études économiques</b:Corporate>
      </b:Author>
    </b:Author>
    <b:RefOrder>11</b:RefOrder>
  </b:Source>
  <b:Source>
    <b:Tag>Ins08</b:Tag>
    <b:SourceType>DocumentFromInternetSite</b:SourceType>
    <b:Guid>{B89B1B33-DA1F-436C-9C68-187D722E0C44}</b:Guid>
    <b:Author>
      <b:Author>
        <b:Corporate>Instituto Nacional de Estadísticas Chile</b:Corporate>
      </b:Author>
    </b:Author>
    <b:Title>Población y Sociedad; aspectos demográficos</b:Title>
    <b:InternetSiteTitle>INE</b:InternetSiteTitle>
    <b:Year>2008</b:Year>
    <b:Month>5</b:Month>
    <b:Day>7</b:Day>
    <b:YearAccessed>2014</b:YearAccessed>
    <b:MonthAccessed>7</b:MonthAccessed>
    <b:URL>http://www.ine.cl/canales/chile_estadistico/demografia_y_vitales/demografia/pdf/poblacion_sociedad_enero09.pdf</b:URL>
    <b:RefOrder>12</b:RefOrder>
  </b:Source>
  <b:Source>
    <b:Tag>Uni14</b:Tag>
    <b:SourceType>InternetSite</b:SourceType>
    <b:Guid>{5E024569-0C4A-4A20-AA1B-9A80DD56162E}</b:Guid>
    <b:Title>United States Bureau of Labor Statistics</b:Title>
    <b:InternetSiteTitle>United States Bureau of Labor Statistics Website</b:InternetSiteTitle>
    <b:Year>2014</b:Year>
    <b:YearAccessed>2014</b:YearAccessed>
    <b:MonthAccessed>7</b:MonthAccessed>
    <b:URL>http://www.bls.gov/</b:URL>
    <b:Author>
      <b:Author>
        <b:Corporate>United States Department of Labor</b:Corporate>
      </b:Author>
    </b:Author>
    <b:RefOrder>13</b:RefOrder>
  </b:Source>
  <b:Source>
    <b:Tag>Pau04</b:Tag>
    <b:SourceType>ArticleInAPeriodical</b:SourceType>
    <b:Guid>{E16EBED4-DCB4-44C4-8DA1-2C56C87533D9}</b:Guid>
    <b:Title>Een Schitterend Ongeluk</b:Title>
    <b:Year>2006</b:Year>
    <b:Month>7</b:Month>
    <b:Pages>30-32</b:Pages>
    <b:Author>
      <b:Author>
        <b:NameList>
          <b:Person>
            <b:Last>Paulis</b:Last>
            <b:First>Alexander</b:First>
          </b:Person>
        </b:NameList>
      </b:Author>
    </b:Author>
    <b:PeriodicalTitle>De Actuaris</b:PeriodicalTitle>
    <b:RefOrder>14</b:RefOrder>
  </b:Source>
  <b:Source>
    <b:Tag>Pan02</b:Tag>
    <b:SourceType>Report</b:SourceType>
    <b:Guid>{CA41879C-44EB-4DA8-93CB-61C666A68C1B}</b:Guid>
    <b:Title>The Effects of Changing Social Security Administration’s Early Entitlement Age and the Normal Retirement Age</b:Title>
    <b:Year>2002</b:Year>
    <b:Author>
      <b:Author>
        <b:NameList>
          <b:Person>
            <b:Last>Panis</b:Last>
            <b:First>C.,</b:First>
            <b:Middle>Hurd, M., Loughran, D., Zissimopoulos, J., Haider, S., Clair, P. S., ... &amp; Pantoja, P.</b:Middle>
          </b:Person>
        </b:NameList>
      </b:Author>
    </b:Author>
    <b:Publisher>RAND</b:Publisher>
    <b:City>Santa Monica, Ca, USA</b:City>
    <b:RefOrder>15</b:RefOrder>
  </b:Source>
  <b:Source>
    <b:Tag>Wor06</b:Tag>
    <b:SourceType>Report</b:SourceType>
    <b:Guid>{ECE5E880-1875-46DF-BC70-02CEBE4DC7D4}</b:Guid>
    <b:Author>
      <b:Author>
        <b:Corporate>World Health Organization</b:Corporate>
      </b:Author>
    </b:Author>
    <b:Title>Working together for health</b:Title>
    <b:Year>2006</b:Year>
    <b:Publisher>WHO</b:Publisher>
    <b:City>Genève</b:City>
    <b:RefOrder>16</b:RefOrder>
  </b:Source>
</b:Sources>
</file>

<file path=customXml/itemProps1.xml><?xml version="1.0" encoding="utf-8"?>
<ds:datastoreItem xmlns:ds="http://schemas.openxmlformats.org/officeDocument/2006/customXml" ds:itemID="{19DD8CCC-ABB1-4DC2-B715-A9F393CD0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7079</Words>
  <Characters>38935</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Arun</dc:creator>
  <cp:lastModifiedBy>Tulay Varisli</cp:lastModifiedBy>
  <cp:revision>2</cp:revision>
  <cp:lastPrinted>2014-09-15T15:29:00Z</cp:lastPrinted>
  <dcterms:created xsi:type="dcterms:W3CDTF">2015-05-18T16:43:00Z</dcterms:created>
  <dcterms:modified xsi:type="dcterms:W3CDTF">2015-05-18T16:43:00Z</dcterms:modified>
</cp:coreProperties>
</file>