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E89" w:rsidRDefault="00354E89" w:rsidP="00354E89">
      <w:pPr>
        <w:jc w:val="center"/>
        <w:rPr>
          <w:b/>
          <w:sz w:val="28"/>
          <w:szCs w:val="28"/>
        </w:rPr>
      </w:pPr>
    </w:p>
    <w:p w:rsidR="00F70E7D" w:rsidRPr="005F0C9D" w:rsidRDefault="00F70E7D" w:rsidP="00F70E7D">
      <w:pPr>
        <w:jc w:val="center"/>
        <w:rPr>
          <w:b/>
          <w:sz w:val="72"/>
          <w:szCs w:val="72"/>
        </w:rPr>
      </w:pPr>
      <w:r w:rsidRPr="005F0C9D">
        <w:rPr>
          <w:b/>
          <w:sz w:val="72"/>
          <w:szCs w:val="72"/>
        </w:rPr>
        <w:t>Hoe ouder</w:t>
      </w:r>
      <w:r w:rsidR="00A62549" w:rsidRPr="005F0C9D">
        <w:rPr>
          <w:b/>
          <w:sz w:val="72"/>
          <w:szCs w:val="72"/>
        </w:rPr>
        <w:t>,</w:t>
      </w:r>
      <w:r w:rsidRPr="005F0C9D">
        <w:rPr>
          <w:b/>
          <w:sz w:val="72"/>
          <w:szCs w:val="72"/>
        </w:rPr>
        <w:t xml:space="preserve"> hoe vertrouwder?</w:t>
      </w:r>
    </w:p>
    <w:p w:rsidR="00354E89" w:rsidRDefault="00354E89" w:rsidP="00354E89">
      <w:pPr>
        <w:rPr>
          <w:b/>
          <w:sz w:val="28"/>
          <w:szCs w:val="28"/>
        </w:rPr>
      </w:pPr>
    </w:p>
    <w:p w:rsidR="00354E89" w:rsidRDefault="00354E89" w:rsidP="00354E89">
      <w:pPr>
        <w:rPr>
          <w:b/>
          <w:sz w:val="28"/>
          <w:szCs w:val="28"/>
        </w:rPr>
      </w:pPr>
    </w:p>
    <w:p w:rsidR="00354E89" w:rsidRDefault="00354E89" w:rsidP="00354E89">
      <w:pPr>
        <w:rPr>
          <w:b/>
          <w:sz w:val="28"/>
          <w:szCs w:val="28"/>
        </w:rPr>
      </w:pPr>
    </w:p>
    <w:p w:rsidR="00354E89" w:rsidRDefault="00354E89" w:rsidP="00354E89">
      <w:pPr>
        <w:rPr>
          <w:b/>
          <w:sz w:val="28"/>
          <w:szCs w:val="28"/>
        </w:rPr>
      </w:pPr>
    </w:p>
    <w:p w:rsidR="00354E89" w:rsidRDefault="00354E89" w:rsidP="00354E89">
      <w:pPr>
        <w:rPr>
          <w:b/>
          <w:sz w:val="28"/>
          <w:szCs w:val="28"/>
        </w:rPr>
      </w:pPr>
    </w:p>
    <w:p w:rsidR="00354E89" w:rsidRDefault="00354E89" w:rsidP="00354E89">
      <w:pPr>
        <w:rPr>
          <w:b/>
          <w:sz w:val="28"/>
          <w:szCs w:val="28"/>
        </w:rPr>
      </w:pPr>
    </w:p>
    <w:p w:rsidR="00F70E7D" w:rsidRDefault="00F70E7D" w:rsidP="00354E89">
      <w:pPr>
        <w:spacing w:line="360" w:lineRule="auto"/>
        <w:rPr>
          <w:b/>
          <w:sz w:val="28"/>
          <w:szCs w:val="28"/>
        </w:rPr>
      </w:pPr>
    </w:p>
    <w:p w:rsidR="00F70E7D" w:rsidRDefault="00F70E7D" w:rsidP="00354E89">
      <w:pPr>
        <w:spacing w:line="360" w:lineRule="auto"/>
        <w:rPr>
          <w:b/>
          <w:sz w:val="28"/>
          <w:szCs w:val="28"/>
        </w:rPr>
      </w:pPr>
    </w:p>
    <w:p w:rsidR="00F70E7D" w:rsidRDefault="00F70E7D" w:rsidP="00354E89">
      <w:pPr>
        <w:spacing w:line="360" w:lineRule="auto"/>
        <w:rPr>
          <w:b/>
          <w:sz w:val="28"/>
          <w:szCs w:val="28"/>
        </w:rPr>
      </w:pPr>
    </w:p>
    <w:p w:rsidR="00354E89" w:rsidRDefault="00354E89" w:rsidP="001E46A5">
      <w:pPr>
        <w:spacing w:line="240" w:lineRule="auto"/>
        <w:rPr>
          <w:b/>
          <w:sz w:val="28"/>
          <w:szCs w:val="28"/>
        </w:rPr>
      </w:pPr>
      <w:r>
        <w:rPr>
          <w:b/>
          <w:sz w:val="28"/>
          <w:szCs w:val="28"/>
        </w:rPr>
        <w:t>Erasmus Universiteit Rotterdam</w:t>
      </w:r>
    </w:p>
    <w:p w:rsidR="00354E89" w:rsidRDefault="00354E89" w:rsidP="001E46A5">
      <w:pPr>
        <w:spacing w:line="240" w:lineRule="auto"/>
        <w:rPr>
          <w:b/>
          <w:sz w:val="28"/>
          <w:szCs w:val="28"/>
        </w:rPr>
      </w:pPr>
      <w:r>
        <w:rPr>
          <w:b/>
          <w:sz w:val="28"/>
          <w:szCs w:val="28"/>
        </w:rPr>
        <w:t>Erasmus School of Economics</w:t>
      </w:r>
    </w:p>
    <w:p w:rsidR="00F70E7D" w:rsidRDefault="00F70E7D" w:rsidP="001E46A5">
      <w:pPr>
        <w:spacing w:line="240" w:lineRule="auto"/>
        <w:rPr>
          <w:b/>
          <w:sz w:val="28"/>
          <w:szCs w:val="28"/>
        </w:rPr>
      </w:pPr>
      <w:r>
        <w:rPr>
          <w:b/>
          <w:sz w:val="28"/>
          <w:szCs w:val="28"/>
        </w:rPr>
        <w:t>Economie en bedrijfseconomie</w:t>
      </w:r>
    </w:p>
    <w:p w:rsidR="00354E89" w:rsidRDefault="00F70E7D" w:rsidP="001E46A5">
      <w:pPr>
        <w:spacing w:line="240" w:lineRule="auto"/>
        <w:rPr>
          <w:b/>
          <w:sz w:val="28"/>
          <w:szCs w:val="28"/>
        </w:rPr>
      </w:pPr>
      <w:r>
        <w:rPr>
          <w:b/>
          <w:sz w:val="28"/>
          <w:szCs w:val="28"/>
        </w:rPr>
        <w:t>Bachelorscriptie</w:t>
      </w:r>
      <w:r w:rsidR="00354E89" w:rsidRPr="00354E89">
        <w:rPr>
          <w:b/>
          <w:sz w:val="28"/>
          <w:szCs w:val="28"/>
        </w:rPr>
        <w:t xml:space="preserve"> Marketing</w:t>
      </w:r>
    </w:p>
    <w:p w:rsidR="001E46A5" w:rsidRPr="00354E89" w:rsidRDefault="001E46A5" w:rsidP="001E46A5">
      <w:pPr>
        <w:spacing w:line="240" w:lineRule="auto"/>
        <w:rPr>
          <w:b/>
          <w:sz w:val="28"/>
          <w:szCs w:val="28"/>
        </w:rPr>
      </w:pPr>
    </w:p>
    <w:p w:rsidR="00354E89" w:rsidRPr="00354E89" w:rsidRDefault="00354E89" w:rsidP="001E46A5">
      <w:pPr>
        <w:spacing w:line="240" w:lineRule="auto"/>
        <w:rPr>
          <w:b/>
          <w:sz w:val="28"/>
          <w:szCs w:val="28"/>
        </w:rPr>
      </w:pPr>
      <w:r w:rsidRPr="00354E89">
        <w:rPr>
          <w:b/>
          <w:sz w:val="28"/>
          <w:szCs w:val="28"/>
        </w:rPr>
        <w:t>J</w:t>
      </w:r>
      <w:r>
        <w:rPr>
          <w:b/>
          <w:sz w:val="28"/>
          <w:szCs w:val="28"/>
        </w:rPr>
        <w:t xml:space="preserve">.T. </w:t>
      </w:r>
      <w:r w:rsidRPr="00354E89">
        <w:rPr>
          <w:b/>
          <w:sz w:val="28"/>
          <w:szCs w:val="28"/>
        </w:rPr>
        <w:t>Koster</w:t>
      </w:r>
    </w:p>
    <w:p w:rsidR="00354E89" w:rsidRPr="00354E89" w:rsidRDefault="00354E89" w:rsidP="001E46A5">
      <w:pPr>
        <w:spacing w:line="240" w:lineRule="auto"/>
        <w:rPr>
          <w:b/>
          <w:sz w:val="28"/>
          <w:szCs w:val="28"/>
        </w:rPr>
      </w:pPr>
      <w:r w:rsidRPr="00354E89">
        <w:rPr>
          <w:b/>
          <w:sz w:val="28"/>
          <w:szCs w:val="28"/>
        </w:rPr>
        <w:t>344567</w:t>
      </w:r>
    </w:p>
    <w:p w:rsidR="00F70E7D" w:rsidRDefault="00364E81" w:rsidP="001E46A5">
      <w:pPr>
        <w:spacing w:line="240" w:lineRule="auto"/>
      </w:pPr>
      <w:hyperlink r:id="rId7" w:history="1">
        <w:r w:rsidR="00F70E7D" w:rsidRPr="00DB1B2D">
          <w:rPr>
            <w:rStyle w:val="Hyperlink"/>
            <w:b/>
            <w:color w:val="auto"/>
            <w:sz w:val="28"/>
            <w:szCs w:val="28"/>
            <w:u w:val="none"/>
          </w:rPr>
          <w:t>Jeroenkoster91@hotmail.com</w:t>
        </w:r>
      </w:hyperlink>
    </w:p>
    <w:p w:rsidR="001E46A5" w:rsidRPr="00DB1B2D" w:rsidRDefault="001E46A5" w:rsidP="001E46A5">
      <w:pPr>
        <w:spacing w:line="240" w:lineRule="auto"/>
        <w:rPr>
          <w:b/>
          <w:sz w:val="28"/>
          <w:szCs w:val="28"/>
        </w:rPr>
      </w:pPr>
      <w:r w:rsidRPr="00354E89">
        <w:rPr>
          <w:b/>
          <w:sz w:val="28"/>
          <w:szCs w:val="28"/>
        </w:rPr>
        <w:t>Begeleider: G</w:t>
      </w:r>
      <w:r>
        <w:rPr>
          <w:b/>
          <w:sz w:val="28"/>
          <w:szCs w:val="28"/>
        </w:rPr>
        <w:t>.W.</w:t>
      </w:r>
      <w:r w:rsidRPr="00354E89">
        <w:rPr>
          <w:b/>
          <w:sz w:val="28"/>
          <w:szCs w:val="28"/>
        </w:rPr>
        <w:t xml:space="preserve"> Havranek</w:t>
      </w:r>
    </w:p>
    <w:p w:rsidR="001E46A5" w:rsidRDefault="001E46A5" w:rsidP="001E46A5">
      <w:pPr>
        <w:spacing w:line="240" w:lineRule="auto"/>
        <w:rPr>
          <w:b/>
          <w:sz w:val="28"/>
          <w:szCs w:val="28"/>
        </w:rPr>
      </w:pPr>
    </w:p>
    <w:p w:rsidR="00091894" w:rsidRDefault="001E46A5" w:rsidP="001E46A5">
      <w:pPr>
        <w:spacing w:line="240" w:lineRule="auto"/>
        <w:rPr>
          <w:b/>
          <w:sz w:val="28"/>
          <w:szCs w:val="28"/>
        </w:rPr>
      </w:pPr>
      <w:r>
        <w:rPr>
          <w:b/>
          <w:sz w:val="28"/>
          <w:szCs w:val="28"/>
        </w:rPr>
        <w:t>15</w:t>
      </w:r>
      <w:r w:rsidR="00F70E7D">
        <w:rPr>
          <w:b/>
          <w:sz w:val="28"/>
          <w:szCs w:val="28"/>
        </w:rPr>
        <w:t xml:space="preserve"> juni 2015</w:t>
      </w:r>
      <w:r w:rsidR="00091894">
        <w:rPr>
          <w:b/>
          <w:sz w:val="28"/>
          <w:szCs w:val="28"/>
        </w:rPr>
        <w:br w:type="page"/>
      </w:r>
    </w:p>
    <w:p w:rsidR="00091894" w:rsidRDefault="00091894">
      <w:pPr>
        <w:rPr>
          <w:b/>
          <w:sz w:val="28"/>
          <w:szCs w:val="28"/>
        </w:rPr>
      </w:pPr>
      <w:r>
        <w:rPr>
          <w:b/>
          <w:sz w:val="28"/>
          <w:szCs w:val="28"/>
        </w:rPr>
        <w:lastRenderedPageBreak/>
        <w:t>Samenvatting</w:t>
      </w:r>
    </w:p>
    <w:p w:rsidR="005E2F00" w:rsidRPr="005E2F00" w:rsidRDefault="005E2F00" w:rsidP="006F3731">
      <w:pPr>
        <w:spacing w:line="360" w:lineRule="auto"/>
        <w:jc w:val="both"/>
        <w:rPr>
          <w:sz w:val="24"/>
          <w:szCs w:val="24"/>
        </w:rPr>
      </w:pPr>
      <w:r w:rsidRPr="005E2F00">
        <w:rPr>
          <w:sz w:val="24"/>
          <w:szCs w:val="24"/>
        </w:rPr>
        <w:t xml:space="preserve">In deze scriptie is er onderzoek gedaan naar de uitkomsten van fase 1 van een trust game waarbij de leeftijd van de responder bekend is bij de proposer. Er is al eerder onderzoek gedaan door </w:t>
      </w:r>
      <w:sdt>
        <w:sdtPr>
          <w:rPr>
            <w:sz w:val="24"/>
            <w:szCs w:val="24"/>
          </w:rPr>
          <w:id w:val="3860422"/>
          <w:citation/>
        </w:sdtPr>
        <w:sdtContent>
          <w:r w:rsidR="00364E81" w:rsidRPr="005E2F00">
            <w:rPr>
              <w:sz w:val="24"/>
              <w:szCs w:val="24"/>
            </w:rPr>
            <w:fldChar w:fldCharType="begin"/>
          </w:r>
          <w:r w:rsidRPr="005E2F00">
            <w:rPr>
              <w:sz w:val="24"/>
              <w:szCs w:val="24"/>
            </w:rPr>
            <w:instrText xml:space="preserve"> CITATION Sut03 \l 1043 </w:instrText>
          </w:r>
          <w:r w:rsidR="00364E81" w:rsidRPr="005E2F00">
            <w:rPr>
              <w:sz w:val="24"/>
              <w:szCs w:val="24"/>
            </w:rPr>
            <w:fldChar w:fldCharType="separate"/>
          </w:r>
          <w:r w:rsidRPr="005E2F00">
            <w:rPr>
              <w:noProof/>
              <w:sz w:val="24"/>
              <w:szCs w:val="24"/>
            </w:rPr>
            <w:t>(Sutter &amp; Kocher, 2003)</w:t>
          </w:r>
          <w:r w:rsidR="00364E81" w:rsidRPr="005E2F00">
            <w:rPr>
              <w:sz w:val="24"/>
              <w:szCs w:val="24"/>
            </w:rPr>
            <w:fldChar w:fldCharType="end"/>
          </w:r>
        </w:sdtContent>
      </w:sdt>
      <w:r w:rsidRPr="005E2F00">
        <w:rPr>
          <w:sz w:val="24"/>
          <w:szCs w:val="24"/>
        </w:rPr>
        <w:t xml:space="preserve"> naar leeftijd en vertrouwen door middel van een trust game alleen was hier de leeftijd van de responder onbekend. </w:t>
      </w:r>
    </w:p>
    <w:p w:rsidR="00E20086" w:rsidRDefault="00A62549" w:rsidP="006F3731">
      <w:pPr>
        <w:spacing w:line="360" w:lineRule="auto"/>
        <w:jc w:val="both"/>
        <w:rPr>
          <w:sz w:val="24"/>
          <w:szCs w:val="24"/>
        </w:rPr>
      </w:pPr>
      <w:r>
        <w:rPr>
          <w:sz w:val="24"/>
          <w:szCs w:val="24"/>
        </w:rPr>
        <w:t>Het</w:t>
      </w:r>
      <w:r w:rsidR="005E2F00" w:rsidRPr="005E2F00">
        <w:rPr>
          <w:sz w:val="24"/>
          <w:szCs w:val="24"/>
        </w:rPr>
        <w:t xml:space="preserve"> </w:t>
      </w:r>
      <w:r w:rsidR="005E2F00">
        <w:rPr>
          <w:sz w:val="24"/>
          <w:szCs w:val="24"/>
        </w:rPr>
        <w:t>verband tussen de gegeven leeftijd van de responder en het vertrouwen wat men in bepaalde leeftijdsgroepen heeft is onderzocht aan de hand van een online enquête waarbij respondenten antwoord moesten geven op v</w:t>
      </w:r>
      <w:r w:rsidR="0092190B">
        <w:rPr>
          <w:sz w:val="24"/>
          <w:szCs w:val="24"/>
        </w:rPr>
        <w:t>ijf vragen. De eerste vraag gaat</w:t>
      </w:r>
      <w:r w:rsidR="005E2F00">
        <w:rPr>
          <w:sz w:val="24"/>
          <w:szCs w:val="24"/>
        </w:rPr>
        <w:t xml:space="preserve"> over de leeftijdsgro</w:t>
      </w:r>
      <w:r w:rsidR="0092190B">
        <w:rPr>
          <w:sz w:val="24"/>
          <w:szCs w:val="24"/>
        </w:rPr>
        <w:t>ep waar de respondent zelf in</w:t>
      </w:r>
      <w:r>
        <w:rPr>
          <w:sz w:val="24"/>
          <w:szCs w:val="24"/>
        </w:rPr>
        <w:t xml:space="preserve"> </w:t>
      </w:r>
      <w:r w:rsidR="0092190B">
        <w:rPr>
          <w:sz w:val="24"/>
          <w:szCs w:val="24"/>
        </w:rPr>
        <w:t>va</w:t>
      </w:r>
      <w:r w:rsidR="005E2F00">
        <w:rPr>
          <w:sz w:val="24"/>
          <w:szCs w:val="24"/>
        </w:rPr>
        <w:t>l</w:t>
      </w:r>
      <w:r w:rsidR="0092190B">
        <w:rPr>
          <w:sz w:val="24"/>
          <w:szCs w:val="24"/>
        </w:rPr>
        <w:t>t</w:t>
      </w:r>
      <w:r>
        <w:rPr>
          <w:sz w:val="24"/>
          <w:szCs w:val="24"/>
        </w:rPr>
        <w:t>. D</w:t>
      </w:r>
      <w:r w:rsidR="005E2F00">
        <w:rPr>
          <w:sz w:val="24"/>
          <w:szCs w:val="24"/>
        </w:rPr>
        <w:t xml:space="preserve">e andere vier vragen </w:t>
      </w:r>
      <w:r w:rsidR="0092190B">
        <w:rPr>
          <w:sz w:val="24"/>
          <w:szCs w:val="24"/>
        </w:rPr>
        <w:t xml:space="preserve">gaan over het bedrag dat men bereidt is te versturen naar responders in vier verschillende leeftijdsgroepen. De leeftijdsgroepen zijn ingedeeld als volgt: </w:t>
      </w:r>
    </w:p>
    <w:p w:rsidR="00E20086" w:rsidRDefault="0092190B" w:rsidP="006F3731">
      <w:pPr>
        <w:jc w:val="both"/>
        <w:rPr>
          <w:sz w:val="24"/>
          <w:szCs w:val="24"/>
        </w:rPr>
      </w:pPr>
      <w:r>
        <w:rPr>
          <w:sz w:val="24"/>
          <w:szCs w:val="24"/>
        </w:rPr>
        <w:t xml:space="preserve">leeftijdsgroep 1 = 15-25 jaar </w:t>
      </w:r>
    </w:p>
    <w:p w:rsidR="00E20086" w:rsidRDefault="0092190B" w:rsidP="006F3731">
      <w:pPr>
        <w:jc w:val="both"/>
        <w:rPr>
          <w:sz w:val="24"/>
          <w:szCs w:val="24"/>
        </w:rPr>
      </w:pPr>
      <w:r>
        <w:rPr>
          <w:sz w:val="24"/>
          <w:szCs w:val="24"/>
        </w:rPr>
        <w:t xml:space="preserve">leeftijdsgroep 2 = 26-40 jaar </w:t>
      </w:r>
    </w:p>
    <w:p w:rsidR="00E20086" w:rsidRDefault="0092190B" w:rsidP="006F3731">
      <w:pPr>
        <w:jc w:val="both"/>
        <w:rPr>
          <w:sz w:val="24"/>
          <w:szCs w:val="24"/>
        </w:rPr>
      </w:pPr>
      <w:r>
        <w:rPr>
          <w:sz w:val="24"/>
          <w:szCs w:val="24"/>
        </w:rPr>
        <w:t xml:space="preserve">leeftijdsgroep 3 = 41-65 jaar </w:t>
      </w:r>
    </w:p>
    <w:p w:rsidR="0092190B" w:rsidRDefault="0092190B" w:rsidP="006F3731">
      <w:pPr>
        <w:jc w:val="both"/>
        <w:rPr>
          <w:sz w:val="24"/>
          <w:szCs w:val="24"/>
        </w:rPr>
      </w:pPr>
      <w:r>
        <w:rPr>
          <w:sz w:val="24"/>
          <w:szCs w:val="24"/>
        </w:rPr>
        <w:t xml:space="preserve">leeftijdsgroep 4 = 65+ </w:t>
      </w:r>
    </w:p>
    <w:p w:rsidR="0092190B" w:rsidRDefault="00E20086" w:rsidP="006F3731">
      <w:pPr>
        <w:spacing w:line="360" w:lineRule="auto"/>
        <w:jc w:val="both"/>
        <w:rPr>
          <w:sz w:val="24"/>
          <w:szCs w:val="24"/>
        </w:rPr>
      </w:pPr>
      <w:r>
        <w:rPr>
          <w:sz w:val="24"/>
          <w:szCs w:val="24"/>
        </w:rPr>
        <w:t>Door de respondenten te vragen hoeveel ze bereidt zijn te versturen naar de responder kan er worden gekeken</w:t>
      </w:r>
      <w:r w:rsidR="0092190B">
        <w:rPr>
          <w:sz w:val="24"/>
          <w:szCs w:val="24"/>
        </w:rPr>
        <w:t xml:space="preserve"> welke leefti</w:t>
      </w:r>
      <w:r w:rsidR="00A62549">
        <w:rPr>
          <w:sz w:val="24"/>
          <w:szCs w:val="24"/>
        </w:rPr>
        <w:t>jdsgroep men het meest vertrouwt. Ook</w:t>
      </w:r>
      <w:r w:rsidR="0092190B">
        <w:rPr>
          <w:sz w:val="24"/>
          <w:szCs w:val="24"/>
        </w:rPr>
        <w:t xml:space="preserve"> kan</w:t>
      </w:r>
      <w:r w:rsidR="00A62549">
        <w:rPr>
          <w:sz w:val="24"/>
          <w:szCs w:val="24"/>
        </w:rPr>
        <w:t xml:space="preserve"> er</w:t>
      </w:r>
      <w:r w:rsidR="0092190B">
        <w:rPr>
          <w:sz w:val="24"/>
          <w:szCs w:val="24"/>
        </w:rPr>
        <w:t xml:space="preserve"> gekeken worden of het vertrouwen groeit wanneer men ouder wordt.</w:t>
      </w:r>
    </w:p>
    <w:p w:rsidR="00CE1BEB" w:rsidRDefault="0092190B" w:rsidP="006F3731">
      <w:pPr>
        <w:spacing w:line="360" w:lineRule="auto"/>
        <w:jc w:val="both"/>
        <w:rPr>
          <w:b/>
          <w:sz w:val="28"/>
          <w:szCs w:val="28"/>
        </w:rPr>
      </w:pPr>
      <w:r>
        <w:rPr>
          <w:sz w:val="24"/>
          <w:szCs w:val="24"/>
        </w:rPr>
        <w:t xml:space="preserve">Uit de resultaten blijkt dat de meest vertrouwende leeftijdsgroep de groep 65 plus is. </w:t>
      </w:r>
      <w:r w:rsidR="00A62549">
        <w:rPr>
          <w:sz w:val="24"/>
          <w:szCs w:val="24"/>
        </w:rPr>
        <w:t>Tevens blijkt dit</w:t>
      </w:r>
      <w:r>
        <w:rPr>
          <w:sz w:val="24"/>
          <w:szCs w:val="24"/>
        </w:rPr>
        <w:t xml:space="preserve"> de groep te zijn die andere </w:t>
      </w:r>
      <w:r w:rsidR="006F3731">
        <w:rPr>
          <w:sz w:val="24"/>
          <w:szCs w:val="24"/>
        </w:rPr>
        <w:t>leeftijds</w:t>
      </w:r>
      <w:r w:rsidR="00FA23EB">
        <w:rPr>
          <w:sz w:val="24"/>
          <w:szCs w:val="24"/>
        </w:rPr>
        <w:t>groepen het meest vertrouwen, wat in de lijn der verwachting lag</w:t>
      </w:r>
      <w:r>
        <w:rPr>
          <w:sz w:val="24"/>
          <w:szCs w:val="24"/>
        </w:rPr>
        <w:t>. Opvallend is wel dat het gemiddelde vertrouwen niet stijgt</w:t>
      </w:r>
      <w:r w:rsidR="00FA23EB">
        <w:rPr>
          <w:sz w:val="24"/>
          <w:szCs w:val="24"/>
        </w:rPr>
        <w:t xml:space="preserve"> naarmate de leeftijd toeneemt</w:t>
      </w:r>
      <w:r>
        <w:rPr>
          <w:sz w:val="24"/>
          <w:szCs w:val="24"/>
        </w:rPr>
        <w:t xml:space="preserve">. </w:t>
      </w:r>
      <w:r w:rsidR="006F3731">
        <w:rPr>
          <w:sz w:val="24"/>
          <w:szCs w:val="24"/>
        </w:rPr>
        <w:t xml:space="preserve">Dit </w:t>
      </w:r>
      <w:r w:rsidR="00FA23EB">
        <w:rPr>
          <w:sz w:val="24"/>
          <w:szCs w:val="24"/>
        </w:rPr>
        <w:t>zou kunnen komen doordat</w:t>
      </w:r>
      <w:r w:rsidR="006F3731">
        <w:rPr>
          <w:sz w:val="24"/>
          <w:szCs w:val="24"/>
        </w:rPr>
        <w:t xml:space="preserve"> leeftijdsgroep 1 een hoog gemiddeld vertrouwen heeft. Een mogelijke verklaring hiervoor is dat jongeren meer risico nemen dan ouderen. Dit zou zich dan uiten in het verschijnsel dat jongeren gemiddeld veel geld versturen naar </w:t>
      </w:r>
      <w:r w:rsidR="00FA23EB">
        <w:rPr>
          <w:sz w:val="24"/>
          <w:szCs w:val="24"/>
        </w:rPr>
        <w:t>de responder in de hoop dat zij</w:t>
      </w:r>
      <w:r w:rsidR="006F3731">
        <w:rPr>
          <w:sz w:val="24"/>
          <w:szCs w:val="24"/>
        </w:rPr>
        <w:t xml:space="preserve"> meer geld terug zullen krijgen. </w:t>
      </w:r>
      <w:r w:rsidR="00CE1BEB">
        <w:rPr>
          <w:b/>
          <w:sz w:val="28"/>
          <w:szCs w:val="28"/>
        </w:rPr>
        <w:br w:type="page"/>
      </w:r>
    </w:p>
    <w:sdt>
      <w:sdtPr>
        <w:rPr>
          <w:rFonts w:asciiTheme="minorHAnsi" w:eastAsiaTheme="minorHAnsi" w:hAnsiTheme="minorHAnsi" w:cstheme="minorBidi"/>
          <w:b w:val="0"/>
          <w:bCs w:val="0"/>
          <w:color w:val="auto"/>
          <w:sz w:val="24"/>
          <w:szCs w:val="24"/>
          <w:lang w:val="nl-NL"/>
        </w:rPr>
        <w:id w:val="5790016"/>
        <w:docPartObj>
          <w:docPartGallery w:val="Table of Contents"/>
          <w:docPartUnique/>
        </w:docPartObj>
      </w:sdtPr>
      <w:sdtContent>
        <w:p w:rsidR="00CE1BEB" w:rsidRPr="005E2F00" w:rsidRDefault="00CE1BEB" w:rsidP="00CE1BEB">
          <w:pPr>
            <w:pStyle w:val="TOCHeading"/>
            <w:spacing w:line="360" w:lineRule="auto"/>
            <w:rPr>
              <w:rFonts w:asciiTheme="minorHAnsi" w:hAnsiTheme="minorHAnsi"/>
              <w:color w:val="auto"/>
              <w:sz w:val="24"/>
              <w:szCs w:val="24"/>
              <w:lang w:val="nl-NL"/>
            </w:rPr>
          </w:pPr>
          <w:r w:rsidRPr="005E2F00">
            <w:rPr>
              <w:rFonts w:asciiTheme="minorHAnsi" w:hAnsiTheme="minorHAnsi"/>
              <w:color w:val="auto"/>
              <w:lang w:val="nl-NL"/>
            </w:rPr>
            <w:t>Inhoudsopgave</w:t>
          </w:r>
        </w:p>
        <w:p w:rsidR="00CE1BEB" w:rsidRPr="002B00D4" w:rsidRDefault="00364E81" w:rsidP="00CE1BEB">
          <w:pPr>
            <w:pStyle w:val="TOC1"/>
            <w:tabs>
              <w:tab w:val="right" w:leader="dot" w:pos="9062"/>
            </w:tabs>
            <w:spacing w:line="360" w:lineRule="auto"/>
            <w:rPr>
              <w:rFonts w:eastAsiaTheme="minorEastAsia"/>
              <w:b/>
              <w:noProof/>
              <w:lang w:eastAsia="nl-NL"/>
            </w:rPr>
          </w:pPr>
          <w:r w:rsidRPr="002B00D4">
            <w:rPr>
              <w:b/>
              <w:sz w:val="24"/>
              <w:szCs w:val="24"/>
            </w:rPr>
            <w:fldChar w:fldCharType="begin"/>
          </w:r>
          <w:r w:rsidR="00CE1BEB" w:rsidRPr="002B00D4">
            <w:rPr>
              <w:b/>
              <w:sz w:val="24"/>
              <w:szCs w:val="24"/>
            </w:rPr>
            <w:instrText xml:space="preserve"> TOC \o "1-3" \h \z \u </w:instrText>
          </w:r>
          <w:r w:rsidRPr="002B00D4">
            <w:rPr>
              <w:b/>
              <w:sz w:val="24"/>
              <w:szCs w:val="24"/>
            </w:rPr>
            <w:fldChar w:fldCharType="separate"/>
          </w:r>
          <w:hyperlink w:anchor="_Toc421978456" w:history="1">
            <w:r w:rsidR="00CE1BEB" w:rsidRPr="002B00D4">
              <w:rPr>
                <w:rStyle w:val="Hyperlink"/>
                <w:b/>
                <w:noProof/>
                <w:lang w:bidi="en-US"/>
              </w:rPr>
              <w:t>Inleiding</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_Toc421978456 \h </w:instrText>
            </w:r>
            <w:r w:rsidRPr="002B00D4">
              <w:rPr>
                <w:b/>
                <w:noProof/>
                <w:webHidden/>
              </w:rPr>
            </w:r>
            <w:r w:rsidRPr="002B00D4">
              <w:rPr>
                <w:b/>
                <w:noProof/>
                <w:webHidden/>
              </w:rPr>
              <w:fldChar w:fldCharType="separate"/>
            </w:r>
            <w:r w:rsidR="005F7ADB">
              <w:rPr>
                <w:b/>
                <w:noProof/>
                <w:webHidden/>
              </w:rPr>
              <w:t>4</w:t>
            </w:r>
            <w:r w:rsidRPr="002B00D4">
              <w:rPr>
                <w:b/>
                <w:noProof/>
                <w:webHidden/>
              </w:rPr>
              <w:fldChar w:fldCharType="end"/>
            </w:r>
          </w:hyperlink>
        </w:p>
        <w:p w:rsidR="00CE1BEB" w:rsidRPr="002B00D4" w:rsidRDefault="00364E81" w:rsidP="00CE1BEB">
          <w:pPr>
            <w:pStyle w:val="TOC1"/>
            <w:tabs>
              <w:tab w:val="right" w:leader="dot" w:pos="9062"/>
            </w:tabs>
            <w:spacing w:line="360" w:lineRule="auto"/>
            <w:rPr>
              <w:rFonts w:eastAsiaTheme="minorEastAsia"/>
              <w:b/>
              <w:noProof/>
              <w:lang w:eastAsia="nl-NL"/>
            </w:rPr>
          </w:pPr>
          <w:hyperlink w:anchor="_Toc421978457" w:history="1">
            <w:r w:rsidR="00CE1BEB" w:rsidRPr="002B00D4">
              <w:rPr>
                <w:rStyle w:val="Hyperlink"/>
                <w:b/>
                <w:noProof/>
                <w:lang w:bidi="en-US"/>
              </w:rPr>
              <w:t>Theoretisch kader</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_Toc421978457 \h </w:instrText>
            </w:r>
            <w:r w:rsidRPr="002B00D4">
              <w:rPr>
                <w:b/>
                <w:noProof/>
                <w:webHidden/>
              </w:rPr>
            </w:r>
            <w:r w:rsidRPr="002B00D4">
              <w:rPr>
                <w:b/>
                <w:noProof/>
                <w:webHidden/>
              </w:rPr>
              <w:fldChar w:fldCharType="separate"/>
            </w:r>
            <w:r w:rsidR="005F7ADB">
              <w:rPr>
                <w:b/>
                <w:noProof/>
                <w:webHidden/>
              </w:rPr>
              <w:t>7</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58" w:history="1">
            <w:r w:rsidR="00CE1BEB" w:rsidRPr="002B00D4">
              <w:rPr>
                <w:rStyle w:val="Hyperlink"/>
                <w:b/>
                <w:noProof/>
              </w:rPr>
              <w:t>Achtergrond en relevantie van de trust game</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_Toc421978458 \h </w:instrText>
            </w:r>
            <w:r w:rsidRPr="002B00D4">
              <w:rPr>
                <w:b/>
                <w:noProof/>
                <w:webHidden/>
              </w:rPr>
            </w:r>
            <w:r w:rsidRPr="002B00D4">
              <w:rPr>
                <w:b/>
                <w:noProof/>
                <w:webHidden/>
              </w:rPr>
              <w:fldChar w:fldCharType="separate"/>
            </w:r>
            <w:r w:rsidR="005F7ADB">
              <w:rPr>
                <w:b/>
                <w:noProof/>
                <w:webHidden/>
              </w:rPr>
              <w:t>7</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59" w:history="1">
            <w:r w:rsidR="00CE1BEB" w:rsidRPr="002B00D4">
              <w:rPr>
                <w:rStyle w:val="Hyperlink"/>
                <w:b/>
                <w:noProof/>
              </w:rPr>
              <w:t>Uitleg van de trust game</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_Toc421978459 \h </w:instrText>
            </w:r>
            <w:r w:rsidRPr="002B00D4">
              <w:rPr>
                <w:b/>
                <w:noProof/>
                <w:webHidden/>
              </w:rPr>
            </w:r>
            <w:r w:rsidRPr="002B00D4">
              <w:rPr>
                <w:b/>
                <w:noProof/>
                <w:webHidden/>
              </w:rPr>
              <w:fldChar w:fldCharType="separate"/>
            </w:r>
            <w:r w:rsidR="005F7ADB">
              <w:rPr>
                <w:b/>
                <w:noProof/>
                <w:webHidden/>
              </w:rPr>
              <w:t>8</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60" w:history="1">
            <w:r w:rsidR="00CE1BEB" w:rsidRPr="002B00D4">
              <w:rPr>
                <w:rStyle w:val="Hyperlink"/>
                <w:b/>
                <w:noProof/>
              </w:rPr>
              <w:t>Vertrouwen</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_Toc421978460 \h </w:instrText>
            </w:r>
            <w:r w:rsidRPr="002B00D4">
              <w:rPr>
                <w:b/>
                <w:noProof/>
                <w:webHidden/>
              </w:rPr>
            </w:r>
            <w:r w:rsidRPr="002B00D4">
              <w:rPr>
                <w:b/>
                <w:noProof/>
                <w:webHidden/>
              </w:rPr>
              <w:fldChar w:fldCharType="separate"/>
            </w:r>
            <w:r w:rsidR="005F7ADB">
              <w:rPr>
                <w:b/>
                <w:noProof/>
                <w:webHidden/>
              </w:rPr>
              <w:t>9</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61" w:history="1">
            <w:r w:rsidR="00CE1BEB" w:rsidRPr="002B00D4">
              <w:rPr>
                <w:rStyle w:val="Hyperlink"/>
                <w:b/>
                <w:noProof/>
              </w:rPr>
              <w:t>Reciprociteit</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_Toc421978461 \h </w:instrText>
            </w:r>
            <w:r w:rsidRPr="002B00D4">
              <w:rPr>
                <w:b/>
                <w:noProof/>
                <w:webHidden/>
              </w:rPr>
            </w:r>
            <w:r w:rsidRPr="002B00D4">
              <w:rPr>
                <w:b/>
                <w:noProof/>
                <w:webHidden/>
              </w:rPr>
              <w:fldChar w:fldCharType="separate"/>
            </w:r>
            <w:r w:rsidR="005F7ADB">
              <w:rPr>
                <w:b/>
                <w:noProof/>
                <w:webHidden/>
              </w:rPr>
              <w:t>10</w:t>
            </w:r>
            <w:r w:rsidRPr="002B00D4">
              <w:rPr>
                <w:b/>
                <w:noProof/>
                <w:webHidden/>
              </w:rPr>
              <w:fldChar w:fldCharType="end"/>
            </w:r>
          </w:hyperlink>
        </w:p>
        <w:p w:rsidR="00CE1BEB" w:rsidRPr="002B00D4" w:rsidRDefault="00364E81" w:rsidP="00CE1BEB">
          <w:pPr>
            <w:pStyle w:val="TOC1"/>
            <w:tabs>
              <w:tab w:val="right" w:leader="dot" w:pos="9062"/>
            </w:tabs>
            <w:spacing w:line="360" w:lineRule="auto"/>
            <w:rPr>
              <w:rFonts w:eastAsiaTheme="minorEastAsia"/>
              <w:b/>
              <w:noProof/>
              <w:lang w:eastAsia="nl-NL"/>
            </w:rPr>
          </w:pPr>
          <w:hyperlink w:anchor="_Toc421978462" w:history="1">
            <w:r w:rsidR="00CE1BEB" w:rsidRPr="002B00D4">
              <w:rPr>
                <w:rStyle w:val="Hyperlink"/>
                <w:b/>
                <w:noProof/>
                <w:lang w:bidi="en-US"/>
              </w:rPr>
              <w:t>Methodologie</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_Toc421978462 \h </w:instrText>
            </w:r>
            <w:r w:rsidRPr="002B00D4">
              <w:rPr>
                <w:b/>
                <w:noProof/>
                <w:webHidden/>
              </w:rPr>
            </w:r>
            <w:r w:rsidRPr="002B00D4">
              <w:rPr>
                <w:b/>
                <w:noProof/>
                <w:webHidden/>
              </w:rPr>
              <w:fldChar w:fldCharType="separate"/>
            </w:r>
            <w:r w:rsidR="005F7ADB">
              <w:rPr>
                <w:b/>
                <w:noProof/>
                <w:webHidden/>
              </w:rPr>
              <w:t>11</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63" w:history="1">
            <w:r w:rsidR="00CE1BEB" w:rsidRPr="002B00D4">
              <w:rPr>
                <w:rStyle w:val="Hyperlink"/>
                <w:b/>
                <w:noProof/>
              </w:rPr>
              <w:t>Onderzoeksontwerp</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_Toc421978463 \h </w:instrText>
            </w:r>
            <w:r w:rsidRPr="002B00D4">
              <w:rPr>
                <w:b/>
                <w:noProof/>
                <w:webHidden/>
              </w:rPr>
            </w:r>
            <w:r w:rsidRPr="002B00D4">
              <w:rPr>
                <w:b/>
                <w:noProof/>
                <w:webHidden/>
              </w:rPr>
              <w:fldChar w:fldCharType="separate"/>
            </w:r>
            <w:r w:rsidR="005F7ADB">
              <w:rPr>
                <w:b/>
                <w:noProof/>
                <w:webHidden/>
              </w:rPr>
              <w:t>11</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64" w:history="1">
            <w:r w:rsidR="00CE1BEB" w:rsidRPr="002B00D4">
              <w:rPr>
                <w:rStyle w:val="Hyperlink"/>
                <w:b/>
                <w:noProof/>
              </w:rPr>
              <w:t xml:space="preserve">De </w:t>
            </w:r>
            <w:r w:rsidR="008B5809">
              <w:rPr>
                <w:rStyle w:val="Hyperlink"/>
                <w:b/>
                <w:noProof/>
              </w:rPr>
              <w:t>enquête</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_Toc421978464 \h </w:instrText>
            </w:r>
            <w:r w:rsidRPr="002B00D4">
              <w:rPr>
                <w:b/>
                <w:noProof/>
                <w:webHidden/>
              </w:rPr>
            </w:r>
            <w:r w:rsidRPr="002B00D4">
              <w:rPr>
                <w:b/>
                <w:noProof/>
                <w:webHidden/>
              </w:rPr>
              <w:fldChar w:fldCharType="separate"/>
            </w:r>
            <w:r w:rsidR="005F7ADB">
              <w:rPr>
                <w:b/>
                <w:noProof/>
                <w:webHidden/>
              </w:rPr>
              <w:t>11</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65" w:history="1">
            <w:r w:rsidR="00CE1BEB" w:rsidRPr="002B00D4">
              <w:rPr>
                <w:rStyle w:val="Hyperlink"/>
                <w:b/>
                <w:noProof/>
              </w:rPr>
              <w:t>Respondenten</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_Toc421978465 \h </w:instrText>
            </w:r>
            <w:r w:rsidRPr="002B00D4">
              <w:rPr>
                <w:b/>
                <w:noProof/>
                <w:webHidden/>
              </w:rPr>
            </w:r>
            <w:r w:rsidRPr="002B00D4">
              <w:rPr>
                <w:b/>
                <w:noProof/>
                <w:webHidden/>
              </w:rPr>
              <w:fldChar w:fldCharType="separate"/>
            </w:r>
            <w:r w:rsidR="005F7ADB">
              <w:rPr>
                <w:b/>
                <w:noProof/>
                <w:webHidden/>
              </w:rPr>
              <w:t>12</w:t>
            </w:r>
            <w:r w:rsidRPr="002B00D4">
              <w:rPr>
                <w:b/>
                <w:noProof/>
                <w:webHidden/>
              </w:rPr>
              <w:fldChar w:fldCharType="end"/>
            </w:r>
          </w:hyperlink>
        </w:p>
        <w:p w:rsidR="00CE1BEB" w:rsidRPr="002B00D4" w:rsidRDefault="00364E81" w:rsidP="00CE1BEB">
          <w:pPr>
            <w:pStyle w:val="TOC1"/>
            <w:tabs>
              <w:tab w:val="right" w:leader="dot" w:pos="9062"/>
            </w:tabs>
            <w:spacing w:line="360" w:lineRule="auto"/>
            <w:rPr>
              <w:rFonts w:eastAsiaTheme="minorEastAsia"/>
              <w:b/>
              <w:noProof/>
              <w:lang w:eastAsia="nl-NL"/>
            </w:rPr>
          </w:pPr>
          <w:hyperlink w:anchor="_Toc421978466" w:history="1">
            <w:r w:rsidR="00CE1BEB" w:rsidRPr="002B00D4">
              <w:rPr>
                <w:rStyle w:val="Hyperlink"/>
                <w:b/>
                <w:noProof/>
                <w:lang w:bidi="en-US"/>
              </w:rPr>
              <w:t>Data en analyse</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_Toc421978466 \h </w:instrText>
            </w:r>
            <w:r w:rsidRPr="002B00D4">
              <w:rPr>
                <w:b/>
                <w:noProof/>
                <w:webHidden/>
              </w:rPr>
            </w:r>
            <w:r w:rsidRPr="002B00D4">
              <w:rPr>
                <w:b/>
                <w:noProof/>
                <w:webHidden/>
              </w:rPr>
              <w:fldChar w:fldCharType="separate"/>
            </w:r>
            <w:r w:rsidR="005F7ADB">
              <w:rPr>
                <w:b/>
                <w:noProof/>
                <w:webHidden/>
              </w:rPr>
              <w:t>13</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67" w:history="1">
            <w:r w:rsidR="008B5809">
              <w:rPr>
                <w:rStyle w:val="Hyperlink"/>
                <w:b/>
                <w:noProof/>
              </w:rPr>
              <w:t>Enquête</w:t>
            </w:r>
            <w:r w:rsidR="00CE1BEB" w:rsidRPr="002B00D4">
              <w:rPr>
                <w:rStyle w:val="Hyperlink"/>
                <w:b/>
                <w:noProof/>
              </w:rPr>
              <w:t>vraag 1</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_Toc421978467 \h </w:instrText>
            </w:r>
            <w:r w:rsidRPr="002B00D4">
              <w:rPr>
                <w:b/>
                <w:noProof/>
                <w:webHidden/>
              </w:rPr>
            </w:r>
            <w:r w:rsidRPr="002B00D4">
              <w:rPr>
                <w:b/>
                <w:noProof/>
                <w:webHidden/>
              </w:rPr>
              <w:fldChar w:fldCharType="separate"/>
            </w:r>
            <w:r w:rsidR="005F7ADB">
              <w:rPr>
                <w:b/>
                <w:noProof/>
                <w:webHidden/>
              </w:rPr>
              <w:t>13</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68" w:history="1">
            <w:r w:rsidR="008B5809">
              <w:rPr>
                <w:rStyle w:val="Hyperlink"/>
                <w:b/>
                <w:noProof/>
              </w:rPr>
              <w:t>Enquête</w:t>
            </w:r>
            <w:r w:rsidR="00CE1BEB" w:rsidRPr="002B00D4">
              <w:rPr>
                <w:rStyle w:val="Hyperlink"/>
                <w:b/>
                <w:noProof/>
              </w:rPr>
              <w:t>vraag 2</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_Toc421978468 \h </w:instrText>
            </w:r>
            <w:r w:rsidRPr="002B00D4">
              <w:rPr>
                <w:b/>
                <w:noProof/>
                <w:webHidden/>
              </w:rPr>
            </w:r>
            <w:r w:rsidRPr="002B00D4">
              <w:rPr>
                <w:b/>
                <w:noProof/>
                <w:webHidden/>
              </w:rPr>
              <w:fldChar w:fldCharType="separate"/>
            </w:r>
            <w:r w:rsidR="005F7ADB">
              <w:rPr>
                <w:b/>
                <w:noProof/>
                <w:webHidden/>
              </w:rPr>
              <w:t>13</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69" w:history="1">
            <w:r w:rsidR="008B5809">
              <w:rPr>
                <w:rStyle w:val="Hyperlink"/>
                <w:b/>
                <w:noProof/>
              </w:rPr>
              <w:t>Enquête</w:t>
            </w:r>
            <w:r w:rsidR="00CE1BEB" w:rsidRPr="002B00D4">
              <w:rPr>
                <w:rStyle w:val="Hyperlink"/>
                <w:b/>
                <w:noProof/>
              </w:rPr>
              <w:t>vraag 3</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_Toc421978469 \h </w:instrText>
            </w:r>
            <w:r w:rsidRPr="002B00D4">
              <w:rPr>
                <w:b/>
                <w:noProof/>
                <w:webHidden/>
              </w:rPr>
            </w:r>
            <w:r w:rsidRPr="002B00D4">
              <w:rPr>
                <w:b/>
                <w:noProof/>
                <w:webHidden/>
              </w:rPr>
              <w:fldChar w:fldCharType="separate"/>
            </w:r>
            <w:r w:rsidR="005F7ADB">
              <w:rPr>
                <w:b/>
                <w:noProof/>
                <w:webHidden/>
              </w:rPr>
              <w:t>14</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70" w:history="1">
            <w:r w:rsidR="008B5809">
              <w:rPr>
                <w:rStyle w:val="Hyperlink"/>
                <w:b/>
                <w:noProof/>
              </w:rPr>
              <w:t>Enquête</w:t>
            </w:r>
            <w:r w:rsidR="00CE1BEB" w:rsidRPr="002B00D4">
              <w:rPr>
                <w:rStyle w:val="Hyperlink"/>
                <w:b/>
                <w:noProof/>
              </w:rPr>
              <w:t>vraag 4</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_Toc421978470 \h </w:instrText>
            </w:r>
            <w:r w:rsidRPr="002B00D4">
              <w:rPr>
                <w:b/>
                <w:noProof/>
                <w:webHidden/>
              </w:rPr>
            </w:r>
            <w:r w:rsidRPr="002B00D4">
              <w:rPr>
                <w:b/>
                <w:noProof/>
                <w:webHidden/>
              </w:rPr>
              <w:fldChar w:fldCharType="separate"/>
            </w:r>
            <w:r w:rsidR="005F7ADB">
              <w:rPr>
                <w:b/>
                <w:noProof/>
                <w:webHidden/>
              </w:rPr>
              <w:t>15</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71" w:history="1">
            <w:r w:rsidR="008B5809">
              <w:rPr>
                <w:rStyle w:val="Hyperlink"/>
                <w:b/>
                <w:noProof/>
              </w:rPr>
              <w:t>Enquête</w:t>
            </w:r>
            <w:r w:rsidR="00CE1BEB" w:rsidRPr="002B00D4">
              <w:rPr>
                <w:rStyle w:val="Hyperlink"/>
                <w:b/>
                <w:noProof/>
              </w:rPr>
              <w:t>vraag 5</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_Toc421978471 \h </w:instrText>
            </w:r>
            <w:r w:rsidRPr="002B00D4">
              <w:rPr>
                <w:b/>
                <w:noProof/>
                <w:webHidden/>
              </w:rPr>
            </w:r>
            <w:r w:rsidRPr="002B00D4">
              <w:rPr>
                <w:b/>
                <w:noProof/>
                <w:webHidden/>
              </w:rPr>
              <w:fldChar w:fldCharType="separate"/>
            </w:r>
            <w:r w:rsidR="005F7ADB">
              <w:rPr>
                <w:b/>
                <w:noProof/>
                <w:webHidden/>
              </w:rPr>
              <w:t>16</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72" w:history="1">
            <w:r w:rsidR="00CE1BEB" w:rsidRPr="002B00D4">
              <w:rPr>
                <w:rStyle w:val="Hyperlink"/>
                <w:b/>
                <w:noProof/>
              </w:rPr>
              <w:t>Overige bevindingen</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_Toc421978472 \h </w:instrText>
            </w:r>
            <w:r w:rsidRPr="002B00D4">
              <w:rPr>
                <w:b/>
                <w:noProof/>
                <w:webHidden/>
              </w:rPr>
            </w:r>
            <w:r w:rsidRPr="002B00D4">
              <w:rPr>
                <w:b/>
                <w:noProof/>
                <w:webHidden/>
              </w:rPr>
              <w:fldChar w:fldCharType="separate"/>
            </w:r>
            <w:r w:rsidR="005F7ADB">
              <w:rPr>
                <w:b/>
                <w:noProof/>
                <w:webHidden/>
              </w:rPr>
              <w:t>17</w:t>
            </w:r>
            <w:r w:rsidRPr="002B00D4">
              <w:rPr>
                <w:b/>
                <w:noProof/>
                <w:webHidden/>
              </w:rPr>
              <w:fldChar w:fldCharType="end"/>
            </w:r>
          </w:hyperlink>
        </w:p>
        <w:p w:rsidR="00CE1BEB" w:rsidRPr="002B00D4" w:rsidRDefault="00364E81" w:rsidP="00CE1BEB">
          <w:pPr>
            <w:pStyle w:val="TOC1"/>
            <w:tabs>
              <w:tab w:val="right" w:leader="dot" w:pos="9062"/>
            </w:tabs>
            <w:spacing w:line="360" w:lineRule="auto"/>
            <w:rPr>
              <w:rFonts w:eastAsiaTheme="minorEastAsia"/>
              <w:b/>
              <w:noProof/>
              <w:lang w:eastAsia="nl-NL"/>
            </w:rPr>
          </w:pPr>
          <w:hyperlink w:anchor="_Toc421978473" w:history="1">
            <w:r w:rsidR="00CE1BEB" w:rsidRPr="002B00D4">
              <w:rPr>
                <w:rStyle w:val="Hyperlink"/>
                <w:b/>
                <w:noProof/>
                <w:lang w:bidi="en-US"/>
              </w:rPr>
              <w:t>Conclusie en discussie</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_Toc421978473 \h </w:instrText>
            </w:r>
            <w:r w:rsidRPr="002B00D4">
              <w:rPr>
                <w:b/>
                <w:noProof/>
                <w:webHidden/>
              </w:rPr>
            </w:r>
            <w:r w:rsidRPr="002B00D4">
              <w:rPr>
                <w:b/>
                <w:noProof/>
                <w:webHidden/>
              </w:rPr>
              <w:fldChar w:fldCharType="separate"/>
            </w:r>
            <w:r w:rsidR="005F7ADB">
              <w:rPr>
                <w:b/>
                <w:noProof/>
                <w:webHidden/>
              </w:rPr>
              <w:t>18</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74" w:history="1">
            <w:r w:rsidR="00CE1BEB" w:rsidRPr="002B00D4">
              <w:rPr>
                <w:rStyle w:val="Hyperlink"/>
                <w:b/>
                <w:noProof/>
              </w:rPr>
              <w:t>Beantwoording hypotheses</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_Toc421978474 \h </w:instrText>
            </w:r>
            <w:r w:rsidRPr="002B00D4">
              <w:rPr>
                <w:b/>
                <w:noProof/>
                <w:webHidden/>
              </w:rPr>
            </w:r>
            <w:r w:rsidRPr="002B00D4">
              <w:rPr>
                <w:b/>
                <w:noProof/>
                <w:webHidden/>
              </w:rPr>
              <w:fldChar w:fldCharType="separate"/>
            </w:r>
            <w:r w:rsidR="005F7ADB">
              <w:rPr>
                <w:b/>
                <w:noProof/>
                <w:webHidden/>
              </w:rPr>
              <w:t>18</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75" w:history="1">
            <w:r w:rsidR="00CE1BEB" w:rsidRPr="002B00D4">
              <w:rPr>
                <w:rStyle w:val="Hyperlink"/>
                <w:b/>
                <w:noProof/>
              </w:rPr>
              <w:t>Beantwoording onderzoeksvraag</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_Toc421978475 \h </w:instrText>
            </w:r>
            <w:r w:rsidRPr="002B00D4">
              <w:rPr>
                <w:b/>
                <w:noProof/>
                <w:webHidden/>
              </w:rPr>
            </w:r>
            <w:r w:rsidRPr="002B00D4">
              <w:rPr>
                <w:b/>
                <w:noProof/>
                <w:webHidden/>
              </w:rPr>
              <w:fldChar w:fldCharType="separate"/>
            </w:r>
            <w:r w:rsidR="005F7ADB">
              <w:rPr>
                <w:b/>
                <w:noProof/>
                <w:webHidden/>
              </w:rPr>
              <w:t>20</w:t>
            </w:r>
            <w:r w:rsidRPr="002B00D4">
              <w:rPr>
                <w:b/>
                <w:noProof/>
                <w:webHidden/>
              </w:rPr>
              <w:fldChar w:fldCharType="end"/>
            </w:r>
          </w:hyperlink>
        </w:p>
        <w:p w:rsidR="00CE1BEB" w:rsidRPr="002B00D4" w:rsidRDefault="00364E81" w:rsidP="00CE1BEB">
          <w:pPr>
            <w:pStyle w:val="TOC2"/>
            <w:tabs>
              <w:tab w:val="right" w:leader="dot" w:pos="9062"/>
            </w:tabs>
            <w:spacing w:line="360" w:lineRule="auto"/>
            <w:rPr>
              <w:rFonts w:eastAsiaTheme="minorEastAsia"/>
              <w:b/>
              <w:noProof/>
              <w:lang w:eastAsia="nl-NL"/>
            </w:rPr>
          </w:pPr>
          <w:hyperlink w:anchor="_Toc421978476" w:history="1">
            <w:r w:rsidR="00CE1BEB" w:rsidRPr="002B00D4">
              <w:rPr>
                <w:rStyle w:val="Hyperlink"/>
                <w:b/>
                <w:noProof/>
              </w:rPr>
              <w:t>Discussie</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_Toc421978476 \h </w:instrText>
            </w:r>
            <w:r w:rsidRPr="002B00D4">
              <w:rPr>
                <w:b/>
                <w:noProof/>
                <w:webHidden/>
              </w:rPr>
            </w:r>
            <w:r w:rsidRPr="002B00D4">
              <w:rPr>
                <w:b/>
                <w:noProof/>
                <w:webHidden/>
              </w:rPr>
              <w:fldChar w:fldCharType="separate"/>
            </w:r>
            <w:r w:rsidR="005F7ADB">
              <w:rPr>
                <w:b/>
                <w:noProof/>
                <w:webHidden/>
              </w:rPr>
              <w:t>21</w:t>
            </w:r>
            <w:r w:rsidRPr="002B00D4">
              <w:rPr>
                <w:b/>
                <w:noProof/>
                <w:webHidden/>
              </w:rPr>
              <w:fldChar w:fldCharType="end"/>
            </w:r>
          </w:hyperlink>
        </w:p>
        <w:p w:rsidR="00CE1BEB" w:rsidRPr="002B00D4" w:rsidRDefault="00364E81" w:rsidP="00CE1BEB">
          <w:pPr>
            <w:pStyle w:val="TOC1"/>
            <w:tabs>
              <w:tab w:val="right" w:leader="dot" w:pos="9062"/>
            </w:tabs>
            <w:spacing w:line="360" w:lineRule="auto"/>
            <w:rPr>
              <w:rFonts w:eastAsiaTheme="minorEastAsia"/>
              <w:b/>
              <w:noProof/>
              <w:lang w:eastAsia="nl-NL"/>
            </w:rPr>
          </w:pPr>
          <w:hyperlink w:anchor="_Toc421978477" w:history="1">
            <w:r w:rsidR="00CE1BEB" w:rsidRPr="002B00D4">
              <w:rPr>
                <w:rStyle w:val="Hyperlink"/>
                <w:b/>
                <w:noProof/>
                <w:lang w:bidi="en-US"/>
              </w:rPr>
              <w:t>Bibliografie</w:t>
            </w:r>
            <w:r w:rsidR="00CE1BEB" w:rsidRPr="002B00D4">
              <w:rPr>
                <w:b/>
                <w:noProof/>
                <w:webHidden/>
              </w:rPr>
              <w:tab/>
            </w:r>
            <w:r w:rsidRPr="002B00D4">
              <w:rPr>
                <w:b/>
                <w:noProof/>
                <w:webHidden/>
              </w:rPr>
              <w:fldChar w:fldCharType="begin"/>
            </w:r>
            <w:r w:rsidR="00CE1BEB" w:rsidRPr="002B00D4">
              <w:rPr>
                <w:b/>
                <w:noProof/>
                <w:webHidden/>
              </w:rPr>
              <w:instrText xml:space="preserve"> PAGEREF _Toc421978477 \h </w:instrText>
            </w:r>
            <w:r w:rsidRPr="002B00D4">
              <w:rPr>
                <w:b/>
                <w:noProof/>
                <w:webHidden/>
              </w:rPr>
            </w:r>
            <w:r w:rsidRPr="002B00D4">
              <w:rPr>
                <w:b/>
                <w:noProof/>
                <w:webHidden/>
              </w:rPr>
              <w:fldChar w:fldCharType="separate"/>
            </w:r>
            <w:r w:rsidR="005F7ADB">
              <w:rPr>
                <w:b/>
                <w:noProof/>
                <w:webHidden/>
              </w:rPr>
              <w:t>22</w:t>
            </w:r>
            <w:r w:rsidRPr="002B00D4">
              <w:rPr>
                <w:b/>
                <w:noProof/>
                <w:webHidden/>
              </w:rPr>
              <w:fldChar w:fldCharType="end"/>
            </w:r>
          </w:hyperlink>
        </w:p>
        <w:p w:rsidR="00CE1BEB" w:rsidRPr="00091894" w:rsidRDefault="00364E81" w:rsidP="00CE1BEB">
          <w:pPr>
            <w:spacing w:line="360" w:lineRule="auto"/>
            <w:rPr>
              <w:sz w:val="24"/>
              <w:szCs w:val="24"/>
            </w:rPr>
          </w:pPr>
          <w:r w:rsidRPr="002B00D4">
            <w:rPr>
              <w:b/>
              <w:sz w:val="24"/>
              <w:szCs w:val="24"/>
            </w:rPr>
            <w:fldChar w:fldCharType="end"/>
          </w:r>
        </w:p>
      </w:sdtContent>
    </w:sdt>
    <w:p w:rsidR="005F33C3" w:rsidRPr="00091894" w:rsidRDefault="005F33C3" w:rsidP="00CE1BEB">
      <w:pPr>
        <w:spacing w:line="360" w:lineRule="auto"/>
        <w:rPr>
          <w:sz w:val="24"/>
          <w:szCs w:val="24"/>
        </w:rPr>
      </w:pPr>
      <w:r w:rsidRPr="00091894">
        <w:rPr>
          <w:sz w:val="24"/>
          <w:szCs w:val="24"/>
        </w:rPr>
        <w:br w:type="page"/>
      </w:r>
    </w:p>
    <w:p w:rsidR="00E446C8" w:rsidRPr="00277696" w:rsidRDefault="00E446C8" w:rsidP="00637C98">
      <w:pPr>
        <w:pStyle w:val="Heading1"/>
        <w:spacing w:line="360" w:lineRule="auto"/>
        <w:rPr>
          <w:rFonts w:asciiTheme="minorHAnsi" w:hAnsiTheme="minorHAnsi"/>
          <w:color w:val="auto"/>
          <w:lang w:val="nl-NL"/>
        </w:rPr>
      </w:pPr>
      <w:bookmarkStart w:id="0" w:name="_Toc421978456"/>
      <w:r w:rsidRPr="00277696">
        <w:rPr>
          <w:rFonts w:asciiTheme="minorHAnsi" w:hAnsiTheme="minorHAnsi"/>
          <w:color w:val="auto"/>
          <w:lang w:val="nl-NL"/>
        </w:rPr>
        <w:lastRenderedPageBreak/>
        <w:t>Inleiding</w:t>
      </w:r>
      <w:bookmarkEnd w:id="0"/>
    </w:p>
    <w:p w:rsidR="00E446C8" w:rsidRPr="00674575" w:rsidRDefault="00E446C8" w:rsidP="00637C98">
      <w:pPr>
        <w:pStyle w:val="NoSpacing"/>
        <w:spacing w:line="360" w:lineRule="auto"/>
        <w:jc w:val="both"/>
        <w:rPr>
          <w:sz w:val="24"/>
          <w:szCs w:val="24"/>
        </w:rPr>
      </w:pPr>
      <w:r w:rsidRPr="00674575">
        <w:rPr>
          <w:sz w:val="24"/>
          <w:szCs w:val="24"/>
        </w:rPr>
        <w:t>Het vertrouwen in de medemens neemt toe. Uit een onderzoek van het Centraal Bureau voor de Statistiek blijkt dat het vertrouwen</w:t>
      </w:r>
      <w:r>
        <w:rPr>
          <w:sz w:val="24"/>
          <w:szCs w:val="24"/>
        </w:rPr>
        <w:t xml:space="preserve"> in de medemens</w:t>
      </w:r>
      <w:r w:rsidRPr="00674575">
        <w:rPr>
          <w:sz w:val="24"/>
          <w:szCs w:val="24"/>
        </w:rPr>
        <w:t xml:space="preserve"> in de periode 2002-2008 is toegenomen. De bevolking heeft meer vertrouwen in elkaar, meer vertrouwen in de politie, in de politiek en in het rechtsstelsel</w:t>
      </w:r>
      <w:sdt>
        <w:sdtPr>
          <w:rPr>
            <w:sz w:val="24"/>
            <w:szCs w:val="24"/>
          </w:rPr>
          <w:id w:val="6850301"/>
          <w:citation/>
        </w:sdtPr>
        <w:sdtContent>
          <w:r w:rsidR="00364E81" w:rsidRPr="00674575">
            <w:rPr>
              <w:sz w:val="24"/>
              <w:szCs w:val="24"/>
            </w:rPr>
            <w:fldChar w:fldCharType="begin"/>
          </w:r>
          <w:r w:rsidRPr="00674575">
            <w:rPr>
              <w:sz w:val="24"/>
              <w:szCs w:val="24"/>
            </w:rPr>
            <w:instrText xml:space="preserve"> CITATION ANP15 \l 1043 </w:instrText>
          </w:r>
          <w:r w:rsidR="00364E81" w:rsidRPr="00674575">
            <w:rPr>
              <w:sz w:val="24"/>
              <w:szCs w:val="24"/>
            </w:rPr>
            <w:fldChar w:fldCharType="separate"/>
          </w:r>
          <w:r>
            <w:rPr>
              <w:noProof/>
              <w:sz w:val="24"/>
              <w:szCs w:val="24"/>
            </w:rPr>
            <w:t xml:space="preserve"> </w:t>
          </w:r>
          <w:r w:rsidRPr="00460588">
            <w:rPr>
              <w:noProof/>
              <w:sz w:val="24"/>
              <w:szCs w:val="24"/>
            </w:rPr>
            <w:t>(ANP, 2015)</w:t>
          </w:r>
          <w:r w:rsidR="00364E81" w:rsidRPr="00674575">
            <w:rPr>
              <w:sz w:val="24"/>
              <w:szCs w:val="24"/>
            </w:rPr>
            <w:fldChar w:fldCharType="end"/>
          </w:r>
        </w:sdtContent>
      </w:sdt>
      <w:r w:rsidRPr="00674575">
        <w:rPr>
          <w:sz w:val="24"/>
          <w:szCs w:val="24"/>
        </w:rPr>
        <w:t>.</w:t>
      </w:r>
      <w:r>
        <w:rPr>
          <w:sz w:val="24"/>
          <w:szCs w:val="24"/>
        </w:rPr>
        <w:t xml:space="preserve"> Maar wat zorgt er n</w:t>
      </w:r>
      <w:r w:rsidRPr="00674575">
        <w:rPr>
          <w:sz w:val="24"/>
          <w:szCs w:val="24"/>
        </w:rPr>
        <w:t xml:space="preserve">u voor dat men vertrouwen heeft in iemand anders? </w:t>
      </w:r>
      <w:r>
        <w:rPr>
          <w:sz w:val="24"/>
          <w:szCs w:val="24"/>
        </w:rPr>
        <w:t xml:space="preserve">En wie vertrouw je nu eerder, een puber of een gepensioneerde opa? </w:t>
      </w:r>
    </w:p>
    <w:p w:rsidR="00E446C8" w:rsidRDefault="00E446C8" w:rsidP="00FA2EB5">
      <w:pPr>
        <w:pStyle w:val="NoSpacing"/>
        <w:spacing w:line="360" w:lineRule="auto"/>
        <w:jc w:val="both"/>
        <w:rPr>
          <w:sz w:val="24"/>
          <w:szCs w:val="24"/>
        </w:rPr>
      </w:pPr>
    </w:p>
    <w:p w:rsidR="00E446C8" w:rsidRPr="00674575" w:rsidRDefault="00E446C8" w:rsidP="00FA2EB5">
      <w:pPr>
        <w:pStyle w:val="NoSpacing"/>
        <w:spacing w:line="360" w:lineRule="auto"/>
        <w:jc w:val="both"/>
        <w:rPr>
          <w:sz w:val="24"/>
          <w:szCs w:val="24"/>
        </w:rPr>
      </w:pPr>
      <w:r w:rsidRPr="00674575">
        <w:rPr>
          <w:sz w:val="24"/>
          <w:szCs w:val="24"/>
        </w:rPr>
        <w:t>Om mijn bachelorstudie Economie en Bedrijfseconomie af te kunnen ronden, wil ik een scriptie gaan sc</w:t>
      </w:r>
      <w:r w:rsidR="00DB1B2D">
        <w:rPr>
          <w:sz w:val="24"/>
          <w:szCs w:val="24"/>
        </w:rPr>
        <w:t>hrijven. Mijn interesse voor het onderwerp van</w:t>
      </w:r>
      <w:r w:rsidRPr="00674575">
        <w:rPr>
          <w:sz w:val="24"/>
          <w:szCs w:val="24"/>
        </w:rPr>
        <w:t xml:space="preserve"> mijn scriptie ligt in de speltheorie. Speltheorie is een tak van de wiskunde die de strategische interactie tussen spelers best</w:t>
      </w:r>
      <w:r w:rsidR="00DB1B2D">
        <w:rPr>
          <w:sz w:val="24"/>
          <w:szCs w:val="24"/>
        </w:rPr>
        <w:t>udeerd in verschillende spellen</w:t>
      </w:r>
      <w:sdt>
        <w:sdtPr>
          <w:rPr>
            <w:sz w:val="24"/>
            <w:szCs w:val="24"/>
          </w:rPr>
          <w:id w:val="6088190"/>
          <w:citation/>
        </w:sdtPr>
        <w:sdtContent>
          <w:r w:rsidR="00364E81" w:rsidRPr="00674575">
            <w:rPr>
              <w:sz w:val="24"/>
              <w:szCs w:val="24"/>
            </w:rPr>
            <w:fldChar w:fldCharType="begin"/>
          </w:r>
          <w:r w:rsidRPr="00674575">
            <w:rPr>
              <w:sz w:val="24"/>
              <w:szCs w:val="24"/>
            </w:rPr>
            <w:instrText xml:space="preserve"> CITATION Gum \l 1043 </w:instrText>
          </w:r>
          <w:r w:rsidR="00364E81" w:rsidRPr="00674575">
            <w:rPr>
              <w:sz w:val="24"/>
              <w:szCs w:val="24"/>
            </w:rPr>
            <w:fldChar w:fldCharType="separate"/>
          </w:r>
          <w:r>
            <w:rPr>
              <w:noProof/>
              <w:sz w:val="24"/>
              <w:szCs w:val="24"/>
            </w:rPr>
            <w:t xml:space="preserve"> </w:t>
          </w:r>
          <w:r w:rsidRPr="00460588">
            <w:rPr>
              <w:noProof/>
              <w:sz w:val="24"/>
              <w:szCs w:val="24"/>
            </w:rPr>
            <w:t>(Gummerum, Hanoch, &amp; Keller)</w:t>
          </w:r>
          <w:r w:rsidR="00364E81" w:rsidRPr="00674575">
            <w:rPr>
              <w:sz w:val="24"/>
              <w:szCs w:val="24"/>
            </w:rPr>
            <w:fldChar w:fldCharType="end"/>
          </w:r>
        </w:sdtContent>
      </w:sdt>
      <w:r w:rsidRPr="00674575">
        <w:rPr>
          <w:sz w:val="24"/>
          <w:szCs w:val="24"/>
        </w:rPr>
        <w:t xml:space="preserve">. Het </w:t>
      </w:r>
      <w:r>
        <w:rPr>
          <w:sz w:val="24"/>
          <w:szCs w:val="24"/>
        </w:rPr>
        <w:t>onderwerp</w:t>
      </w:r>
      <w:r w:rsidRPr="00674575">
        <w:rPr>
          <w:sz w:val="24"/>
          <w:szCs w:val="24"/>
        </w:rPr>
        <w:t xml:space="preserve"> waar ik me op wil gaan focussen is de trust game. </w:t>
      </w:r>
    </w:p>
    <w:p w:rsidR="00E446C8" w:rsidRDefault="00E446C8" w:rsidP="00FA2EB5">
      <w:pPr>
        <w:pStyle w:val="NoSpacing"/>
        <w:spacing w:line="360" w:lineRule="auto"/>
        <w:jc w:val="both"/>
        <w:rPr>
          <w:sz w:val="24"/>
          <w:szCs w:val="24"/>
        </w:rPr>
      </w:pPr>
      <w:r w:rsidRPr="00674575">
        <w:rPr>
          <w:sz w:val="24"/>
          <w:szCs w:val="24"/>
        </w:rPr>
        <w:t>In een trust game</w:t>
      </w:r>
      <w:r>
        <w:rPr>
          <w:sz w:val="24"/>
          <w:szCs w:val="24"/>
        </w:rPr>
        <w:t xml:space="preserve"> kan gekeken worden naar de mate van vertrouwen die een speler heeft in een andere onbekende speler</w:t>
      </w:r>
      <w:r w:rsidRPr="00674575">
        <w:rPr>
          <w:sz w:val="24"/>
          <w:szCs w:val="24"/>
        </w:rPr>
        <w:t>. Tevens kan</w:t>
      </w:r>
      <w:r>
        <w:rPr>
          <w:sz w:val="24"/>
          <w:szCs w:val="24"/>
        </w:rPr>
        <w:t xml:space="preserve"> er</w:t>
      </w:r>
      <w:r w:rsidRPr="00674575">
        <w:rPr>
          <w:sz w:val="24"/>
          <w:szCs w:val="24"/>
        </w:rPr>
        <w:t xml:space="preserve"> gekeken worden naar de reciprociteit van een speler. Reciprociteit in de gedragseconomie wil zeggen dat men bij positieve acties van een persoon een positieve respons geeft en bij negatieve actie een negatieve respons geeft </w:t>
      </w:r>
      <w:sdt>
        <w:sdtPr>
          <w:rPr>
            <w:sz w:val="24"/>
            <w:szCs w:val="24"/>
          </w:rPr>
          <w:id w:val="3923082"/>
          <w:citation/>
        </w:sdtPr>
        <w:sdtContent>
          <w:r w:rsidR="00364E81" w:rsidRPr="00674575">
            <w:rPr>
              <w:sz w:val="24"/>
              <w:szCs w:val="24"/>
            </w:rPr>
            <w:fldChar w:fldCharType="begin"/>
          </w:r>
          <w:r w:rsidRPr="00674575">
            <w:rPr>
              <w:sz w:val="24"/>
              <w:szCs w:val="24"/>
            </w:rPr>
            <w:instrText xml:space="preserve"> CITATION Feh00 \l 1043 </w:instrText>
          </w:r>
          <w:r w:rsidR="00364E81" w:rsidRPr="00674575">
            <w:rPr>
              <w:sz w:val="24"/>
              <w:szCs w:val="24"/>
            </w:rPr>
            <w:fldChar w:fldCharType="separate"/>
          </w:r>
          <w:r w:rsidRPr="00460588">
            <w:rPr>
              <w:noProof/>
              <w:sz w:val="24"/>
              <w:szCs w:val="24"/>
            </w:rPr>
            <w:t>(Fehr &amp; Gatcher, 2000)</w:t>
          </w:r>
          <w:r w:rsidR="00364E81" w:rsidRPr="00674575">
            <w:rPr>
              <w:sz w:val="24"/>
              <w:szCs w:val="24"/>
            </w:rPr>
            <w:fldChar w:fldCharType="end"/>
          </w:r>
        </w:sdtContent>
      </w:sdt>
      <w:r w:rsidRPr="00674575">
        <w:rPr>
          <w:sz w:val="24"/>
          <w:szCs w:val="24"/>
        </w:rPr>
        <w:t>. Het lijkt mij interessant o</w:t>
      </w:r>
      <w:r w:rsidR="00DB1B2D">
        <w:rPr>
          <w:sz w:val="24"/>
          <w:szCs w:val="24"/>
        </w:rPr>
        <w:t>m te onderzoeken of leeftijd</w:t>
      </w:r>
      <w:r w:rsidRPr="00674575">
        <w:rPr>
          <w:sz w:val="24"/>
          <w:szCs w:val="24"/>
        </w:rPr>
        <w:t xml:space="preserve"> inv</w:t>
      </w:r>
      <w:r w:rsidR="00477CAD">
        <w:rPr>
          <w:sz w:val="24"/>
          <w:szCs w:val="24"/>
        </w:rPr>
        <w:t xml:space="preserve">loed heeft op het vertrouwen </w:t>
      </w:r>
      <w:r w:rsidRPr="00674575">
        <w:rPr>
          <w:sz w:val="24"/>
          <w:szCs w:val="24"/>
        </w:rPr>
        <w:t>in een trust game.</w:t>
      </w:r>
      <w:r>
        <w:rPr>
          <w:sz w:val="24"/>
          <w:szCs w:val="24"/>
        </w:rPr>
        <w:t xml:space="preserve"> De invloed van de factor leeftijd op een trust game is al onderzocht door </w:t>
      </w:r>
      <w:sdt>
        <w:sdtPr>
          <w:rPr>
            <w:sz w:val="24"/>
            <w:szCs w:val="24"/>
          </w:rPr>
          <w:id w:val="2159382"/>
          <w:citation/>
        </w:sdtPr>
        <w:sdtContent>
          <w:r w:rsidR="00364E81">
            <w:rPr>
              <w:sz w:val="24"/>
              <w:szCs w:val="24"/>
            </w:rPr>
            <w:fldChar w:fldCharType="begin"/>
          </w:r>
          <w:r>
            <w:rPr>
              <w:sz w:val="24"/>
              <w:szCs w:val="24"/>
            </w:rPr>
            <w:instrText xml:space="preserve"> CITATION Sut03 \l 1043 </w:instrText>
          </w:r>
          <w:r w:rsidR="00364E81">
            <w:rPr>
              <w:sz w:val="24"/>
              <w:szCs w:val="24"/>
            </w:rPr>
            <w:fldChar w:fldCharType="separate"/>
          </w:r>
          <w:r w:rsidRPr="00460588">
            <w:rPr>
              <w:noProof/>
              <w:sz w:val="24"/>
              <w:szCs w:val="24"/>
            </w:rPr>
            <w:t>(Sutter &amp; Kocher, 2003)</w:t>
          </w:r>
          <w:r w:rsidR="00364E81">
            <w:rPr>
              <w:sz w:val="24"/>
              <w:szCs w:val="24"/>
            </w:rPr>
            <w:fldChar w:fldCharType="end"/>
          </w:r>
        </w:sdtContent>
      </w:sdt>
      <w:r>
        <w:rPr>
          <w:sz w:val="24"/>
          <w:szCs w:val="24"/>
        </w:rPr>
        <w:t>. De conclusie van hun onderzoek is dat het vertrouwen in vreemden toeneemt naar mate men ouder wordt. In het onderzoek wat zij hebben uitgevoerd is de trust game op de normale wijze uitgevoerd en weten de spelers niets van elkaar. De spelers hebben geen idee met wie ze het spel spelen. Maar stel nu dat de spelers worden ingelicht over de leeftijd van de andere speler. Wat voor invloed zou dit hebben op de resultaten van de trust game? Vertrouwt men een puber eerder dan een 65 plusser? Vertrouwen personen van dezelfde leeftijdscategorie elkaar meer of minder in vergelijking tot andere l</w:t>
      </w:r>
      <w:r w:rsidRPr="00674575">
        <w:rPr>
          <w:sz w:val="24"/>
          <w:szCs w:val="24"/>
        </w:rPr>
        <w:t>eeftijdscategorieën</w:t>
      </w:r>
      <w:r>
        <w:rPr>
          <w:sz w:val="24"/>
          <w:szCs w:val="24"/>
        </w:rPr>
        <w:t>?</w:t>
      </w:r>
    </w:p>
    <w:p w:rsidR="00D06446" w:rsidRDefault="00DB1B2D" w:rsidP="00FA2EB5">
      <w:pPr>
        <w:pStyle w:val="NoSpacing"/>
        <w:spacing w:line="360" w:lineRule="auto"/>
        <w:jc w:val="both"/>
        <w:rPr>
          <w:sz w:val="24"/>
          <w:szCs w:val="24"/>
        </w:rPr>
      </w:pPr>
      <w:r>
        <w:rPr>
          <w:sz w:val="24"/>
          <w:szCs w:val="24"/>
        </w:rPr>
        <w:t>Dit lijken me</w:t>
      </w:r>
      <w:r w:rsidR="00E446C8">
        <w:rPr>
          <w:sz w:val="24"/>
          <w:szCs w:val="24"/>
        </w:rPr>
        <w:t xml:space="preserve"> interessant</w:t>
      </w:r>
      <w:r w:rsidR="00D06446">
        <w:rPr>
          <w:sz w:val="24"/>
          <w:szCs w:val="24"/>
        </w:rPr>
        <w:t>e vraagstukken om mee aan de slag te gaan</w:t>
      </w:r>
      <w:r w:rsidR="00E446C8">
        <w:rPr>
          <w:sz w:val="24"/>
          <w:szCs w:val="24"/>
        </w:rPr>
        <w:t>.</w:t>
      </w:r>
    </w:p>
    <w:p w:rsidR="00D06446" w:rsidRDefault="00D06446" w:rsidP="00FA2EB5">
      <w:pPr>
        <w:pStyle w:val="NoSpacing"/>
        <w:spacing w:line="360" w:lineRule="auto"/>
        <w:jc w:val="both"/>
        <w:rPr>
          <w:sz w:val="24"/>
          <w:szCs w:val="24"/>
        </w:rPr>
      </w:pPr>
    </w:p>
    <w:p w:rsidR="00D06446" w:rsidRDefault="00D06446" w:rsidP="00FA2EB5">
      <w:pPr>
        <w:pStyle w:val="NoSpacing"/>
        <w:spacing w:line="360" w:lineRule="auto"/>
        <w:jc w:val="both"/>
        <w:rPr>
          <w:sz w:val="24"/>
          <w:szCs w:val="24"/>
        </w:rPr>
      </w:pPr>
    </w:p>
    <w:p w:rsidR="00D06446" w:rsidRDefault="00D06446" w:rsidP="00FA2EB5">
      <w:pPr>
        <w:pStyle w:val="NoSpacing"/>
        <w:spacing w:line="360" w:lineRule="auto"/>
        <w:jc w:val="both"/>
        <w:rPr>
          <w:sz w:val="24"/>
          <w:szCs w:val="24"/>
        </w:rPr>
      </w:pPr>
    </w:p>
    <w:p w:rsidR="00D06446" w:rsidRDefault="00D06446" w:rsidP="00FA2EB5">
      <w:pPr>
        <w:pStyle w:val="NoSpacing"/>
        <w:spacing w:line="360" w:lineRule="auto"/>
        <w:jc w:val="both"/>
        <w:rPr>
          <w:sz w:val="24"/>
          <w:szCs w:val="24"/>
        </w:rPr>
      </w:pPr>
    </w:p>
    <w:p w:rsidR="00E446C8" w:rsidRPr="00D06446" w:rsidRDefault="00E446C8" w:rsidP="00D06446">
      <w:pPr>
        <w:pStyle w:val="NoSpacing"/>
        <w:spacing w:line="360" w:lineRule="auto"/>
        <w:jc w:val="both"/>
        <w:rPr>
          <w:sz w:val="24"/>
          <w:szCs w:val="24"/>
        </w:rPr>
      </w:pPr>
      <w:r w:rsidRPr="00D06446">
        <w:rPr>
          <w:sz w:val="24"/>
          <w:szCs w:val="24"/>
        </w:rPr>
        <w:lastRenderedPageBreak/>
        <w:t xml:space="preserve">En dus luidt de onderzoeksvraag die ik zou willen onderzoeken: </w:t>
      </w:r>
    </w:p>
    <w:p w:rsidR="00E41E85" w:rsidRPr="00D06446" w:rsidRDefault="00E41E85" w:rsidP="00D06446">
      <w:pPr>
        <w:pStyle w:val="NoSpacing"/>
        <w:spacing w:line="360" w:lineRule="auto"/>
        <w:jc w:val="both"/>
        <w:rPr>
          <w:sz w:val="24"/>
          <w:szCs w:val="24"/>
        </w:rPr>
      </w:pPr>
    </w:p>
    <w:p w:rsidR="00E446C8" w:rsidRPr="00D06446" w:rsidRDefault="00E446C8" w:rsidP="00D06446">
      <w:pPr>
        <w:pStyle w:val="NoSpacing"/>
        <w:spacing w:line="360" w:lineRule="auto"/>
        <w:jc w:val="both"/>
        <w:rPr>
          <w:b/>
          <w:sz w:val="24"/>
          <w:szCs w:val="24"/>
        </w:rPr>
      </w:pPr>
      <w:r w:rsidRPr="00D06446">
        <w:rPr>
          <w:b/>
          <w:sz w:val="24"/>
          <w:szCs w:val="24"/>
        </w:rPr>
        <w:t xml:space="preserve">‘Wat voor invloed heeft het weten van de leeftijd van je tegenstander in een trust game op de uitkomsten </w:t>
      </w:r>
      <w:r w:rsidR="00BE515D" w:rsidRPr="00D06446">
        <w:rPr>
          <w:b/>
          <w:sz w:val="24"/>
          <w:szCs w:val="24"/>
        </w:rPr>
        <w:t>van fase 1 in het spel</w:t>
      </w:r>
      <w:r w:rsidRPr="00D06446">
        <w:rPr>
          <w:b/>
          <w:sz w:val="24"/>
          <w:szCs w:val="24"/>
        </w:rPr>
        <w:t>? ‘</w:t>
      </w:r>
    </w:p>
    <w:p w:rsidR="00E41E85" w:rsidRPr="00D06446" w:rsidRDefault="00E41E85" w:rsidP="00D06446">
      <w:pPr>
        <w:pStyle w:val="NoSpacing"/>
        <w:spacing w:line="360" w:lineRule="auto"/>
        <w:jc w:val="both"/>
        <w:rPr>
          <w:b/>
          <w:sz w:val="24"/>
          <w:szCs w:val="24"/>
        </w:rPr>
      </w:pPr>
    </w:p>
    <w:p w:rsidR="003B284F" w:rsidRPr="00D06446" w:rsidRDefault="00E446C8" w:rsidP="00D06446">
      <w:pPr>
        <w:pStyle w:val="NoSpacing"/>
        <w:spacing w:line="360" w:lineRule="auto"/>
        <w:jc w:val="both"/>
        <w:rPr>
          <w:sz w:val="24"/>
          <w:szCs w:val="24"/>
        </w:rPr>
      </w:pPr>
      <w:r w:rsidRPr="00D06446">
        <w:rPr>
          <w:sz w:val="24"/>
          <w:szCs w:val="24"/>
        </w:rPr>
        <w:t xml:space="preserve">Het doel van dit onderzoek is om te kijken of men bepaalde leeftijdsgroepen meer </w:t>
      </w:r>
      <w:r w:rsidR="00A62549" w:rsidRPr="00D06446">
        <w:rPr>
          <w:sz w:val="24"/>
          <w:szCs w:val="24"/>
        </w:rPr>
        <w:t>vertrouwt</w:t>
      </w:r>
      <w:r w:rsidRPr="00D06446">
        <w:rPr>
          <w:sz w:val="24"/>
          <w:szCs w:val="24"/>
        </w:rPr>
        <w:t xml:space="preserve"> dan andere</w:t>
      </w:r>
      <w:r w:rsidR="003B284F" w:rsidRPr="00D06446">
        <w:rPr>
          <w:sz w:val="24"/>
          <w:szCs w:val="24"/>
        </w:rPr>
        <w:t>n</w:t>
      </w:r>
      <w:r w:rsidR="008750BC">
        <w:rPr>
          <w:sz w:val="24"/>
          <w:szCs w:val="24"/>
        </w:rPr>
        <w:t xml:space="preserve"> leeftijdsgroepen</w:t>
      </w:r>
      <w:r w:rsidR="003B284F" w:rsidRPr="00D06446">
        <w:rPr>
          <w:sz w:val="24"/>
          <w:szCs w:val="24"/>
        </w:rPr>
        <w:t xml:space="preserve"> en of bepaald</w:t>
      </w:r>
      <w:r w:rsidR="008750BC">
        <w:rPr>
          <w:sz w:val="24"/>
          <w:szCs w:val="24"/>
        </w:rPr>
        <w:t>e leeftijdsgroepen meer vertrouwen hebben in anderen</w:t>
      </w:r>
      <w:r w:rsidR="003B284F" w:rsidRPr="00D06446">
        <w:rPr>
          <w:sz w:val="24"/>
          <w:szCs w:val="24"/>
        </w:rPr>
        <w:t xml:space="preserve"> dan andere leeftijdsgroepen</w:t>
      </w:r>
      <w:r w:rsidRPr="00D06446">
        <w:rPr>
          <w:sz w:val="24"/>
          <w:szCs w:val="24"/>
        </w:rPr>
        <w:t>.</w:t>
      </w:r>
      <w:r w:rsidR="004A7932" w:rsidRPr="00D06446">
        <w:rPr>
          <w:sz w:val="24"/>
          <w:szCs w:val="24"/>
        </w:rPr>
        <w:t xml:space="preserve"> De leeftijdscategorieën die ik wil gaan gebruiken zijn: 15-25, 26-40, 41-65, 65+. Voor deze </w:t>
      </w:r>
      <w:r w:rsidR="008750BC">
        <w:rPr>
          <w:sz w:val="24"/>
          <w:szCs w:val="24"/>
        </w:rPr>
        <w:t>categorieën</w:t>
      </w:r>
      <w:r w:rsidR="004A7932" w:rsidRPr="00D06446">
        <w:rPr>
          <w:sz w:val="24"/>
          <w:szCs w:val="24"/>
        </w:rPr>
        <w:t xml:space="preserve"> heb ik gekozen omdat de eerste categorie, 15-25 jaar, personen omvat die tegen het eind van de puberteit en het begin van de adolescentie aanzitten. De tweede categorie, 26-40 jaar, omvat personen die in de vroege volwassenheid zitten. De derde categorie, 41-65 jaar,  omvat personen die in de midden volwassenheid zitten . En de laatste categorie, 65+, bevat bejaarde personen. Dit zijn vier verschi</w:t>
      </w:r>
      <w:r w:rsidR="00277696" w:rsidRPr="00D06446">
        <w:rPr>
          <w:sz w:val="24"/>
          <w:szCs w:val="24"/>
        </w:rPr>
        <w:t>llende fasen in het leven en het</w:t>
      </w:r>
      <w:r w:rsidR="004A7932" w:rsidRPr="00D06446">
        <w:rPr>
          <w:sz w:val="24"/>
          <w:szCs w:val="24"/>
        </w:rPr>
        <w:t xml:space="preserve"> lijkt me interessant om te kijken of deze verschillende fasen invloed zullen hebben op het vertrouwen</w:t>
      </w:r>
      <w:r w:rsidR="003B284F" w:rsidRPr="00D06446">
        <w:rPr>
          <w:sz w:val="24"/>
          <w:szCs w:val="24"/>
        </w:rPr>
        <w:t xml:space="preserve"> dat iemand heeft in een onbekende tegenspeler waarvan alleen de leeftijd bekend is.</w:t>
      </w:r>
      <w:r w:rsidRPr="00D06446">
        <w:rPr>
          <w:sz w:val="24"/>
          <w:szCs w:val="24"/>
        </w:rPr>
        <w:t xml:space="preserve"> </w:t>
      </w:r>
    </w:p>
    <w:p w:rsidR="002857D6" w:rsidRPr="00D06446" w:rsidRDefault="00E446C8" w:rsidP="00D06446">
      <w:pPr>
        <w:pStyle w:val="NoSpacing"/>
        <w:spacing w:line="360" w:lineRule="auto"/>
        <w:jc w:val="both"/>
        <w:rPr>
          <w:sz w:val="24"/>
          <w:szCs w:val="24"/>
        </w:rPr>
      </w:pPr>
      <w:r w:rsidRPr="00D06446">
        <w:rPr>
          <w:sz w:val="24"/>
          <w:szCs w:val="24"/>
        </w:rPr>
        <w:t xml:space="preserve">Uit een Amerikaans onderzoek dat is gepubliceerd in Social Psychological and Personality Science blijkt dat vertrouwen toeneemt met de leeftijd. Oudere mensen voelen zich gelukkiger en lijken beter te zijn in vertrouwen </w:t>
      </w:r>
      <w:sdt>
        <w:sdtPr>
          <w:rPr>
            <w:sz w:val="24"/>
            <w:szCs w:val="24"/>
          </w:rPr>
          <w:id w:val="5550079"/>
          <w:citation/>
        </w:sdtPr>
        <w:sdtContent>
          <w:r w:rsidR="00364E81" w:rsidRPr="00D06446">
            <w:rPr>
              <w:sz w:val="24"/>
              <w:szCs w:val="24"/>
            </w:rPr>
            <w:fldChar w:fldCharType="begin"/>
          </w:r>
          <w:r w:rsidRPr="00D06446">
            <w:rPr>
              <w:sz w:val="24"/>
              <w:szCs w:val="24"/>
            </w:rPr>
            <w:instrText xml:space="preserve"> CITATION Red15 \l 1043 </w:instrText>
          </w:r>
          <w:r w:rsidR="00364E81" w:rsidRPr="00D06446">
            <w:rPr>
              <w:sz w:val="24"/>
              <w:szCs w:val="24"/>
            </w:rPr>
            <w:fldChar w:fldCharType="separate"/>
          </w:r>
          <w:r w:rsidRPr="00D06446">
            <w:rPr>
              <w:noProof/>
              <w:sz w:val="24"/>
              <w:szCs w:val="24"/>
            </w:rPr>
            <w:t>(Gezondheidsnet, 2015)</w:t>
          </w:r>
          <w:r w:rsidR="00364E81" w:rsidRPr="00D06446">
            <w:rPr>
              <w:sz w:val="24"/>
              <w:szCs w:val="24"/>
            </w:rPr>
            <w:fldChar w:fldCharType="end"/>
          </w:r>
        </w:sdtContent>
      </w:sdt>
      <w:r w:rsidRPr="00D06446">
        <w:rPr>
          <w:sz w:val="24"/>
          <w:szCs w:val="24"/>
        </w:rPr>
        <w:t>.</w:t>
      </w:r>
      <w:r w:rsidR="002857D6" w:rsidRPr="00D06446">
        <w:rPr>
          <w:sz w:val="24"/>
          <w:szCs w:val="24"/>
        </w:rPr>
        <w:t xml:space="preserve"> Ook volgens een studie van </w:t>
      </w:r>
      <w:sdt>
        <w:sdtPr>
          <w:rPr>
            <w:sz w:val="24"/>
            <w:szCs w:val="24"/>
          </w:rPr>
          <w:id w:val="4397264"/>
          <w:citation/>
        </w:sdtPr>
        <w:sdtContent>
          <w:r w:rsidR="00364E81" w:rsidRPr="00D06446">
            <w:rPr>
              <w:sz w:val="24"/>
              <w:szCs w:val="24"/>
            </w:rPr>
            <w:fldChar w:fldCharType="begin"/>
          </w:r>
          <w:r w:rsidR="002857D6" w:rsidRPr="00D06446">
            <w:rPr>
              <w:sz w:val="24"/>
              <w:szCs w:val="24"/>
            </w:rPr>
            <w:instrText xml:space="preserve"> CITATION Cas12 \l 1043 </w:instrText>
          </w:r>
          <w:r w:rsidR="00364E81" w:rsidRPr="00D06446">
            <w:rPr>
              <w:sz w:val="24"/>
              <w:szCs w:val="24"/>
            </w:rPr>
            <w:fldChar w:fldCharType="separate"/>
          </w:r>
          <w:r w:rsidR="002857D6" w:rsidRPr="00D06446">
            <w:rPr>
              <w:noProof/>
              <w:sz w:val="24"/>
              <w:szCs w:val="24"/>
            </w:rPr>
            <w:t>(Castle, 2012)</w:t>
          </w:r>
          <w:r w:rsidR="00364E81" w:rsidRPr="00D06446">
            <w:rPr>
              <w:sz w:val="24"/>
              <w:szCs w:val="24"/>
            </w:rPr>
            <w:fldChar w:fldCharType="end"/>
          </w:r>
        </w:sdtContent>
      </w:sdt>
      <w:r w:rsidR="002857D6" w:rsidRPr="00D06446">
        <w:rPr>
          <w:sz w:val="24"/>
          <w:szCs w:val="24"/>
        </w:rPr>
        <w:t xml:space="preserve"> neemt het vertrouwen toe wanneer de leeftijd stijgt. Om te kijken of dit ook hier het geval is en dit te onderzoeken is de volgende hypothese opgesteld:</w:t>
      </w:r>
    </w:p>
    <w:p w:rsidR="00E446C8" w:rsidRPr="00D06446" w:rsidRDefault="00E446C8" w:rsidP="00D06446">
      <w:pPr>
        <w:pStyle w:val="NoSpacing"/>
        <w:spacing w:line="360" w:lineRule="auto"/>
        <w:jc w:val="both"/>
        <w:rPr>
          <w:i/>
          <w:sz w:val="24"/>
          <w:szCs w:val="24"/>
        </w:rPr>
      </w:pPr>
    </w:p>
    <w:p w:rsidR="00E446C8" w:rsidRPr="00D06446" w:rsidRDefault="00E446C8" w:rsidP="00D06446">
      <w:pPr>
        <w:pStyle w:val="NoSpacing"/>
        <w:spacing w:line="360" w:lineRule="auto"/>
        <w:jc w:val="both"/>
        <w:rPr>
          <w:i/>
          <w:sz w:val="24"/>
          <w:szCs w:val="24"/>
        </w:rPr>
      </w:pPr>
      <w:r w:rsidRPr="00D06446">
        <w:rPr>
          <w:i/>
          <w:sz w:val="24"/>
          <w:szCs w:val="24"/>
        </w:rPr>
        <w:t>‘De oudste leeftijdsgroep, de 65 plussers, zullen gemiddeld het meeste vertrouwen hebben in andere leeftijdsgroepen’</w:t>
      </w:r>
    </w:p>
    <w:p w:rsidR="00E446C8" w:rsidRPr="00D06446" w:rsidRDefault="00E446C8" w:rsidP="00D06446">
      <w:pPr>
        <w:pStyle w:val="NoSpacing"/>
        <w:spacing w:line="360" w:lineRule="auto"/>
        <w:jc w:val="both"/>
        <w:rPr>
          <w:i/>
          <w:sz w:val="24"/>
          <w:szCs w:val="24"/>
        </w:rPr>
      </w:pPr>
    </w:p>
    <w:p w:rsidR="00E446C8" w:rsidRPr="00D06446" w:rsidRDefault="00E446C8" w:rsidP="00D06446">
      <w:pPr>
        <w:pStyle w:val="NoSpacing"/>
        <w:spacing w:line="360" w:lineRule="auto"/>
        <w:jc w:val="both"/>
        <w:rPr>
          <w:sz w:val="24"/>
          <w:szCs w:val="24"/>
        </w:rPr>
      </w:pPr>
      <w:r w:rsidRPr="00D06446">
        <w:rPr>
          <w:sz w:val="24"/>
          <w:szCs w:val="24"/>
        </w:rPr>
        <w:t>Dit zou als resultaat moeten geven dat de x-waarde in fase 1 van het spel gemiddeld genomen het groots</w:t>
      </w:r>
      <w:r w:rsidR="00D06446">
        <w:rPr>
          <w:sz w:val="24"/>
          <w:szCs w:val="24"/>
        </w:rPr>
        <w:t>te is bij de groep 65 plussers a</w:t>
      </w:r>
      <w:r w:rsidRPr="00D06446">
        <w:rPr>
          <w:sz w:val="24"/>
          <w:szCs w:val="24"/>
        </w:rPr>
        <w:t xml:space="preserve">angezien dit zou laten zien dat de 65 plussers in dat geval het meeste vertrouwen hebben in andere spelers. </w:t>
      </w:r>
    </w:p>
    <w:p w:rsidR="00E446C8" w:rsidRPr="00D06446" w:rsidRDefault="00E446C8" w:rsidP="00D06446">
      <w:pPr>
        <w:pStyle w:val="NoSpacing"/>
        <w:spacing w:line="360" w:lineRule="auto"/>
        <w:jc w:val="both"/>
        <w:rPr>
          <w:sz w:val="24"/>
          <w:szCs w:val="24"/>
        </w:rPr>
      </w:pPr>
    </w:p>
    <w:p w:rsidR="00637C98" w:rsidRPr="00D06446" w:rsidRDefault="00E446C8" w:rsidP="00D06446">
      <w:pPr>
        <w:pStyle w:val="NoSpacing"/>
        <w:spacing w:line="360" w:lineRule="auto"/>
        <w:jc w:val="both"/>
        <w:rPr>
          <w:sz w:val="24"/>
          <w:szCs w:val="24"/>
        </w:rPr>
      </w:pPr>
      <w:r w:rsidRPr="00D06446">
        <w:rPr>
          <w:sz w:val="24"/>
          <w:szCs w:val="24"/>
        </w:rPr>
        <w:t xml:space="preserve">De volgende hypothese die ik wil onderzoeken gaat over welke leeftijdsgroep </w:t>
      </w:r>
      <w:r w:rsidR="00277696" w:rsidRPr="00D06446">
        <w:rPr>
          <w:sz w:val="24"/>
          <w:szCs w:val="24"/>
        </w:rPr>
        <w:t>men in een trust game nu</w:t>
      </w:r>
      <w:r w:rsidRPr="00D06446">
        <w:rPr>
          <w:sz w:val="24"/>
          <w:szCs w:val="24"/>
        </w:rPr>
        <w:t xml:space="preserve"> het meest vertrouwd. Is dit de jonge leeftijdsgroep van 15-25 jaar, zijn dit de </w:t>
      </w:r>
      <w:r w:rsidRPr="00D06446">
        <w:rPr>
          <w:sz w:val="24"/>
          <w:szCs w:val="24"/>
        </w:rPr>
        <w:lastRenderedPageBreak/>
        <w:t xml:space="preserve">vroege volwassenen van 26-40 jaar, de midden volwassenen 41-65 jaar, of juist de bejaarde 65 plussers? </w:t>
      </w:r>
      <w:r w:rsidR="00A62549" w:rsidRPr="00D06446">
        <w:rPr>
          <w:sz w:val="24"/>
          <w:szCs w:val="24"/>
        </w:rPr>
        <w:t>Vertrouwt</w:t>
      </w:r>
      <w:r w:rsidRPr="00D06446">
        <w:rPr>
          <w:sz w:val="24"/>
          <w:szCs w:val="24"/>
        </w:rPr>
        <w:t xml:space="preserve"> men eerder een jongeman of een oude opa?</w:t>
      </w:r>
      <w:r w:rsidR="000F47BA" w:rsidRPr="00D06446">
        <w:rPr>
          <w:sz w:val="24"/>
          <w:szCs w:val="24"/>
        </w:rPr>
        <w:t xml:space="preserve"> </w:t>
      </w:r>
    </w:p>
    <w:p w:rsidR="00637C98" w:rsidRPr="00D06446" w:rsidRDefault="00637C98" w:rsidP="00D06446">
      <w:pPr>
        <w:pStyle w:val="NoSpacing"/>
        <w:spacing w:line="360" w:lineRule="auto"/>
        <w:jc w:val="both"/>
        <w:rPr>
          <w:sz w:val="24"/>
          <w:szCs w:val="24"/>
        </w:rPr>
      </w:pPr>
    </w:p>
    <w:p w:rsidR="00E446C8" w:rsidRPr="00D06446" w:rsidRDefault="00D06446" w:rsidP="00D06446">
      <w:pPr>
        <w:pStyle w:val="NoSpacing"/>
        <w:spacing w:line="360" w:lineRule="auto"/>
        <w:jc w:val="both"/>
        <w:rPr>
          <w:sz w:val="24"/>
          <w:szCs w:val="24"/>
        </w:rPr>
      </w:pPr>
      <w:r>
        <w:rPr>
          <w:sz w:val="24"/>
          <w:szCs w:val="24"/>
        </w:rPr>
        <w:t>Om</w:t>
      </w:r>
      <w:r w:rsidR="000F47BA" w:rsidRPr="00D06446">
        <w:rPr>
          <w:sz w:val="24"/>
          <w:szCs w:val="24"/>
        </w:rPr>
        <w:t xml:space="preserve"> te o</w:t>
      </w:r>
      <w:r>
        <w:rPr>
          <w:sz w:val="24"/>
          <w:szCs w:val="24"/>
        </w:rPr>
        <w:t>nderzoeken wie men nu</w:t>
      </w:r>
      <w:r w:rsidR="000F47BA" w:rsidRPr="00D06446">
        <w:rPr>
          <w:sz w:val="24"/>
          <w:szCs w:val="24"/>
        </w:rPr>
        <w:t xml:space="preserve"> het meeste vertrouwd is de volgende hypothese opgesteld</w:t>
      </w:r>
      <w:r w:rsidR="00E446C8" w:rsidRPr="00D06446">
        <w:rPr>
          <w:sz w:val="24"/>
          <w:szCs w:val="24"/>
        </w:rPr>
        <w:t>:</w:t>
      </w:r>
    </w:p>
    <w:p w:rsidR="00E446C8" w:rsidRPr="00D06446" w:rsidRDefault="00E446C8" w:rsidP="00D06446">
      <w:pPr>
        <w:pStyle w:val="NoSpacing"/>
        <w:spacing w:line="360" w:lineRule="auto"/>
        <w:jc w:val="both"/>
        <w:rPr>
          <w:sz w:val="24"/>
          <w:szCs w:val="24"/>
        </w:rPr>
      </w:pPr>
    </w:p>
    <w:p w:rsidR="00E446C8" w:rsidRPr="00D06446" w:rsidRDefault="00E446C8" w:rsidP="00D06446">
      <w:pPr>
        <w:pStyle w:val="NoSpacing"/>
        <w:spacing w:line="360" w:lineRule="auto"/>
        <w:jc w:val="both"/>
        <w:rPr>
          <w:i/>
          <w:sz w:val="24"/>
          <w:szCs w:val="24"/>
        </w:rPr>
      </w:pPr>
      <w:r w:rsidRPr="00D06446">
        <w:rPr>
          <w:i/>
          <w:sz w:val="24"/>
          <w:szCs w:val="24"/>
        </w:rPr>
        <w:t xml:space="preserve">‘Van alle leeftijdsgroepen </w:t>
      </w:r>
      <w:r w:rsidR="00A62549" w:rsidRPr="00D06446">
        <w:rPr>
          <w:i/>
          <w:sz w:val="24"/>
          <w:szCs w:val="24"/>
        </w:rPr>
        <w:t>vertrouwt</w:t>
      </w:r>
      <w:r w:rsidRPr="00D06446">
        <w:rPr>
          <w:i/>
          <w:sz w:val="24"/>
          <w:szCs w:val="24"/>
        </w:rPr>
        <w:t xml:space="preserve"> men de 65 plussers gemiddeld het meest’</w:t>
      </w:r>
    </w:p>
    <w:p w:rsidR="00E446C8" w:rsidRPr="00D06446" w:rsidRDefault="00E446C8" w:rsidP="00D06446">
      <w:pPr>
        <w:pStyle w:val="NoSpacing"/>
        <w:spacing w:line="360" w:lineRule="auto"/>
        <w:jc w:val="both"/>
        <w:rPr>
          <w:sz w:val="24"/>
          <w:szCs w:val="24"/>
        </w:rPr>
      </w:pPr>
    </w:p>
    <w:p w:rsidR="00E95C82" w:rsidRDefault="00E446C8" w:rsidP="00D06446">
      <w:pPr>
        <w:pStyle w:val="NoSpacing"/>
        <w:spacing w:line="360" w:lineRule="auto"/>
        <w:jc w:val="both"/>
        <w:rPr>
          <w:sz w:val="24"/>
          <w:szCs w:val="24"/>
        </w:rPr>
      </w:pPr>
      <w:r w:rsidRPr="00D06446">
        <w:rPr>
          <w:sz w:val="24"/>
          <w:szCs w:val="24"/>
        </w:rPr>
        <w:t xml:space="preserve">Als deze hypothese </w:t>
      </w:r>
      <w:r w:rsidR="00D06446">
        <w:rPr>
          <w:sz w:val="24"/>
          <w:szCs w:val="24"/>
        </w:rPr>
        <w:t>juist blijkt te zijn</w:t>
      </w:r>
      <w:r w:rsidRPr="00D06446">
        <w:rPr>
          <w:sz w:val="24"/>
          <w:szCs w:val="24"/>
        </w:rPr>
        <w:t xml:space="preserve"> zal het gemiddelde bedrag wat men als proposer afstaat het hoogst zijn aan de groep 65 plussers. </w:t>
      </w:r>
    </w:p>
    <w:p w:rsidR="00D06446" w:rsidRPr="00D06446" w:rsidRDefault="00D06446" w:rsidP="00D06446">
      <w:pPr>
        <w:pStyle w:val="NoSpacing"/>
        <w:spacing w:line="360" w:lineRule="auto"/>
        <w:jc w:val="both"/>
        <w:rPr>
          <w:sz w:val="24"/>
          <w:szCs w:val="24"/>
        </w:rPr>
      </w:pPr>
    </w:p>
    <w:p w:rsidR="002E6262" w:rsidRPr="00D06446" w:rsidRDefault="002E6262" w:rsidP="00D06446">
      <w:pPr>
        <w:spacing w:line="360" w:lineRule="auto"/>
        <w:jc w:val="both"/>
        <w:rPr>
          <w:sz w:val="24"/>
          <w:szCs w:val="24"/>
        </w:rPr>
      </w:pPr>
      <w:r w:rsidRPr="00D06446">
        <w:rPr>
          <w:sz w:val="24"/>
          <w:szCs w:val="24"/>
        </w:rPr>
        <w:t>Een derde hypothese die mij interessant lijkt om te onderzoeken is de volgende:</w:t>
      </w:r>
    </w:p>
    <w:p w:rsidR="002857D6" w:rsidRPr="00D06446" w:rsidRDefault="002E6262" w:rsidP="00D06446">
      <w:pPr>
        <w:spacing w:line="360" w:lineRule="auto"/>
        <w:jc w:val="both"/>
        <w:rPr>
          <w:i/>
          <w:sz w:val="24"/>
          <w:szCs w:val="24"/>
        </w:rPr>
      </w:pPr>
      <w:r w:rsidRPr="00D06446">
        <w:rPr>
          <w:i/>
          <w:sz w:val="24"/>
          <w:szCs w:val="24"/>
        </w:rPr>
        <w:t>‘De leeftijdsgroepen 26-</w:t>
      </w:r>
      <w:r w:rsidR="00B8733C" w:rsidRPr="00D06446">
        <w:rPr>
          <w:i/>
          <w:sz w:val="24"/>
          <w:szCs w:val="24"/>
        </w:rPr>
        <w:t>40 jaar en 41-65 jaar zullen</w:t>
      </w:r>
      <w:r w:rsidRPr="00D06446">
        <w:rPr>
          <w:i/>
          <w:sz w:val="24"/>
          <w:szCs w:val="24"/>
        </w:rPr>
        <w:t xml:space="preserve"> significant verschillen in het vertrouwen dat zij hebben in de responder’</w:t>
      </w:r>
    </w:p>
    <w:p w:rsidR="005733CA" w:rsidRPr="002E6262" w:rsidRDefault="00D2514C" w:rsidP="00D06446">
      <w:pPr>
        <w:spacing w:line="360" w:lineRule="auto"/>
        <w:jc w:val="both"/>
        <w:rPr>
          <w:i/>
        </w:rPr>
      </w:pPr>
      <w:r w:rsidRPr="00D06446">
        <w:rPr>
          <w:sz w:val="24"/>
          <w:szCs w:val="24"/>
        </w:rPr>
        <w:t>Deze hypothese is opgesteld omdat de volwassenheid meerdere fasen kent. Volgens Erik Erikson is er dan ook een verschil tussen de vroege volwassenheid en midden volwassenheid van de mens. Volge</w:t>
      </w:r>
      <w:r w:rsidR="00B8733C" w:rsidRPr="00D06446">
        <w:rPr>
          <w:sz w:val="24"/>
          <w:szCs w:val="24"/>
        </w:rPr>
        <w:t>ns Erikson zit men in een verschillende</w:t>
      </w:r>
      <w:r w:rsidRPr="00D06446">
        <w:rPr>
          <w:sz w:val="24"/>
          <w:szCs w:val="24"/>
        </w:rPr>
        <w:t xml:space="preserve"> psychosociale fase</w:t>
      </w:r>
      <w:r w:rsidR="00B8733C" w:rsidRPr="00D06446">
        <w:rPr>
          <w:sz w:val="24"/>
          <w:szCs w:val="24"/>
        </w:rPr>
        <w:t xml:space="preserve">n. Dat maakt het interessant om te onderzoeken of deze mensen </w:t>
      </w:r>
      <w:r w:rsidR="008750BC">
        <w:rPr>
          <w:sz w:val="24"/>
          <w:szCs w:val="24"/>
        </w:rPr>
        <w:t>beïnvloed</w:t>
      </w:r>
      <w:r w:rsidR="00B8733C" w:rsidRPr="00D06446">
        <w:rPr>
          <w:sz w:val="24"/>
          <w:szCs w:val="24"/>
        </w:rPr>
        <w:t xml:space="preserve"> worden door de verschillende fasen ook al zijn beide leeftijdsgroepen ‘volwassen’ </w:t>
      </w:r>
      <w:sdt>
        <w:sdtPr>
          <w:rPr>
            <w:sz w:val="24"/>
            <w:szCs w:val="24"/>
          </w:rPr>
          <w:id w:val="4397265"/>
          <w:citation/>
        </w:sdtPr>
        <w:sdtContent>
          <w:r w:rsidR="00364E81" w:rsidRPr="00D06446">
            <w:rPr>
              <w:sz w:val="24"/>
              <w:szCs w:val="24"/>
            </w:rPr>
            <w:fldChar w:fldCharType="begin"/>
          </w:r>
          <w:r w:rsidR="00B05AF1" w:rsidRPr="00D06446">
            <w:rPr>
              <w:sz w:val="24"/>
              <w:szCs w:val="24"/>
            </w:rPr>
            <w:instrText xml:space="preserve"> CITATION Eri77 \l 1043 </w:instrText>
          </w:r>
          <w:r w:rsidR="00364E81" w:rsidRPr="00D06446">
            <w:rPr>
              <w:sz w:val="24"/>
              <w:szCs w:val="24"/>
            </w:rPr>
            <w:fldChar w:fldCharType="separate"/>
          </w:r>
          <w:r w:rsidR="00B8733C" w:rsidRPr="00D06446">
            <w:rPr>
              <w:noProof/>
              <w:sz w:val="24"/>
              <w:szCs w:val="24"/>
            </w:rPr>
            <w:t>(Erikson, 1977)</w:t>
          </w:r>
          <w:r w:rsidR="00364E81" w:rsidRPr="00D06446">
            <w:rPr>
              <w:sz w:val="24"/>
              <w:szCs w:val="24"/>
            </w:rPr>
            <w:fldChar w:fldCharType="end"/>
          </w:r>
        </w:sdtContent>
      </w:sdt>
      <w:r w:rsidR="00B8733C" w:rsidRPr="00D06446">
        <w:rPr>
          <w:sz w:val="24"/>
          <w:szCs w:val="24"/>
        </w:rPr>
        <w:t>.</w:t>
      </w:r>
      <w:r w:rsidR="005733CA" w:rsidRPr="002E6262">
        <w:rPr>
          <w:i/>
        </w:rPr>
        <w:br w:type="page"/>
      </w:r>
    </w:p>
    <w:p w:rsidR="005733CA" w:rsidRPr="00277696" w:rsidRDefault="005733CA" w:rsidP="00637C98">
      <w:pPr>
        <w:pStyle w:val="Heading1"/>
        <w:spacing w:line="360" w:lineRule="auto"/>
        <w:rPr>
          <w:rFonts w:asciiTheme="minorHAnsi" w:hAnsiTheme="minorHAnsi"/>
          <w:color w:val="auto"/>
          <w:lang w:val="nl-NL"/>
        </w:rPr>
      </w:pPr>
      <w:bookmarkStart w:id="1" w:name="_Toc421978457"/>
      <w:r w:rsidRPr="00277696">
        <w:rPr>
          <w:rFonts w:asciiTheme="minorHAnsi" w:hAnsiTheme="minorHAnsi"/>
          <w:color w:val="auto"/>
          <w:lang w:val="nl-NL"/>
        </w:rPr>
        <w:lastRenderedPageBreak/>
        <w:t>Theoretisch kader</w:t>
      </w:r>
      <w:bookmarkEnd w:id="1"/>
    </w:p>
    <w:p w:rsidR="005733CA" w:rsidRPr="00637C98" w:rsidRDefault="005733CA" w:rsidP="00637C98">
      <w:pPr>
        <w:pStyle w:val="Heading2"/>
        <w:spacing w:line="360" w:lineRule="auto"/>
        <w:rPr>
          <w:rFonts w:asciiTheme="minorHAnsi" w:hAnsiTheme="minorHAnsi"/>
          <w:color w:val="auto"/>
          <w:sz w:val="24"/>
          <w:szCs w:val="24"/>
        </w:rPr>
      </w:pPr>
      <w:bookmarkStart w:id="2" w:name="_Toc421978458"/>
      <w:r w:rsidRPr="00637C98">
        <w:rPr>
          <w:rFonts w:asciiTheme="minorHAnsi" w:hAnsiTheme="minorHAnsi"/>
          <w:color w:val="auto"/>
          <w:sz w:val="24"/>
          <w:szCs w:val="24"/>
        </w:rPr>
        <w:t>Achtergrond</w:t>
      </w:r>
      <w:r w:rsidR="00166183" w:rsidRPr="00637C98">
        <w:rPr>
          <w:rFonts w:asciiTheme="minorHAnsi" w:hAnsiTheme="minorHAnsi"/>
          <w:color w:val="auto"/>
          <w:sz w:val="24"/>
          <w:szCs w:val="24"/>
        </w:rPr>
        <w:t xml:space="preserve"> en relevantie</w:t>
      </w:r>
      <w:r w:rsidRPr="00637C98">
        <w:rPr>
          <w:rFonts w:asciiTheme="minorHAnsi" w:hAnsiTheme="minorHAnsi"/>
          <w:color w:val="auto"/>
          <w:sz w:val="24"/>
          <w:szCs w:val="24"/>
        </w:rPr>
        <w:t xml:space="preserve"> van de trust game</w:t>
      </w:r>
      <w:bookmarkEnd w:id="2"/>
    </w:p>
    <w:p w:rsidR="005733CA" w:rsidRDefault="0072798A" w:rsidP="00637C98">
      <w:pPr>
        <w:pStyle w:val="NoSpacing"/>
        <w:spacing w:line="360" w:lineRule="auto"/>
        <w:jc w:val="both"/>
        <w:rPr>
          <w:sz w:val="24"/>
          <w:szCs w:val="24"/>
        </w:rPr>
      </w:pPr>
      <w:r>
        <w:rPr>
          <w:sz w:val="24"/>
          <w:szCs w:val="24"/>
        </w:rPr>
        <w:t>Trust oftewel vertrouwen is de basis van alle transacties die niet gepaard gaan met een compleet contract dat alle mogelijke uitkomsten van de transactie omvat. Dit komt omdat de meeste transacties kosten en baten in de toekomst bevatten en daarbij is er altijd een element van onzekerheid</w:t>
      </w:r>
      <w:r w:rsidR="00CB6CF5">
        <w:rPr>
          <w:sz w:val="24"/>
          <w:szCs w:val="24"/>
        </w:rPr>
        <w:t xml:space="preserve"> aanwezig</w:t>
      </w:r>
      <w:r>
        <w:rPr>
          <w:sz w:val="24"/>
          <w:szCs w:val="24"/>
        </w:rPr>
        <w:t xml:space="preserve">. Wanneer we bijvoorbeeld iets kopen, gaan we er vanuit dat het product </w:t>
      </w:r>
      <w:r w:rsidR="00CB6CF5">
        <w:rPr>
          <w:sz w:val="24"/>
          <w:szCs w:val="24"/>
        </w:rPr>
        <w:t xml:space="preserve">de baten bied die wij ervan verwachten. Zo zal de verkoper verwachten dat hij volledig betaald zal worden. Andere transacties zoals het huren van een huis, het aannemen van een werknemer of geld lenen omvatten zelfde soort aannames. Er is vertrouwen bij nodig. </w:t>
      </w:r>
      <w:r w:rsidR="00D5708A">
        <w:rPr>
          <w:sz w:val="24"/>
          <w:szCs w:val="24"/>
        </w:rPr>
        <w:t xml:space="preserve">Zelfs bij het geven aan goede doelen moet men er maar op vertrouwen dat het geld goed </w:t>
      </w:r>
      <w:r w:rsidR="008750BC">
        <w:rPr>
          <w:sz w:val="24"/>
          <w:szCs w:val="24"/>
        </w:rPr>
        <w:t>terecht</w:t>
      </w:r>
      <w:r w:rsidR="00D5708A">
        <w:rPr>
          <w:sz w:val="24"/>
          <w:szCs w:val="24"/>
        </w:rPr>
        <w:t xml:space="preserve"> komt. Economen beschouwen vertrouwen als een manier om </w:t>
      </w:r>
      <w:r w:rsidR="00277696">
        <w:rPr>
          <w:sz w:val="24"/>
          <w:szCs w:val="24"/>
        </w:rPr>
        <w:t>transactiekosten te verminderen. Want wanneer men bij alle transacties telkens contracten en andere vormen van verplichtingen moet opstellen brengt dit veel kosten met zich</w:t>
      </w:r>
      <w:r w:rsidR="008750BC">
        <w:rPr>
          <w:sz w:val="24"/>
          <w:szCs w:val="24"/>
        </w:rPr>
        <w:t xml:space="preserve"> </w:t>
      </w:r>
      <w:r w:rsidR="00277696">
        <w:rPr>
          <w:sz w:val="24"/>
          <w:szCs w:val="24"/>
        </w:rPr>
        <w:t>mee</w:t>
      </w:r>
      <w:r w:rsidR="009507CE">
        <w:rPr>
          <w:sz w:val="24"/>
          <w:szCs w:val="24"/>
        </w:rPr>
        <w:t>.</w:t>
      </w:r>
      <w:sdt>
        <w:sdtPr>
          <w:rPr>
            <w:sz w:val="24"/>
            <w:szCs w:val="24"/>
          </w:rPr>
          <w:id w:val="5224880"/>
          <w:citation/>
        </w:sdtPr>
        <w:sdtContent>
          <w:r w:rsidR="00364E81">
            <w:rPr>
              <w:sz w:val="24"/>
              <w:szCs w:val="24"/>
            </w:rPr>
            <w:fldChar w:fldCharType="begin"/>
          </w:r>
          <w:r w:rsidR="00D5708A">
            <w:rPr>
              <w:sz w:val="24"/>
              <w:szCs w:val="24"/>
            </w:rPr>
            <w:instrText xml:space="preserve"> CITATION Wil12 \l 1043 </w:instrText>
          </w:r>
          <w:r w:rsidR="00364E81">
            <w:rPr>
              <w:sz w:val="24"/>
              <w:szCs w:val="24"/>
            </w:rPr>
            <w:fldChar w:fldCharType="separate"/>
          </w:r>
          <w:r w:rsidR="00D5708A">
            <w:rPr>
              <w:noProof/>
              <w:sz w:val="24"/>
              <w:szCs w:val="24"/>
            </w:rPr>
            <w:t xml:space="preserve"> </w:t>
          </w:r>
          <w:r w:rsidR="00D5708A" w:rsidRPr="00D5708A">
            <w:rPr>
              <w:noProof/>
              <w:sz w:val="24"/>
              <w:szCs w:val="24"/>
            </w:rPr>
            <w:t>(Wilkinson &amp; Klaes, 2012)</w:t>
          </w:r>
          <w:r w:rsidR="00364E81">
            <w:rPr>
              <w:sz w:val="24"/>
              <w:szCs w:val="24"/>
            </w:rPr>
            <w:fldChar w:fldCharType="end"/>
          </w:r>
        </w:sdtContent>
      </w:sdt>
      <w:r w:rsidR="00D5708A">
        <w:rPr>
          <w:sz w:val="24"/>
          <w:szCs w:val="24"/>
        </w:rPr>
        <w:t xml:space="preserve">. </w:t>
      </w:r>
      <w:r w:rsidR="009507CE">
        <w:rPr>
          <w:sz w:val="24"/>
          <w:szCs w:val="24"/>
        </w:rPr>
        <w:t>Vertrouwen is dus essentieel bij sociaal kapitaal. Sociaal kapitaal kan men omschrijven als alle hulpmiddelen die aanwezig zijn in een gemeenschap om de gezins- en sociale organisatie vorm te geven. Hierbij moet men bijvoorbeeld denke</w:t>
      </w:r>
      <w:r w:rsidR="00166183">
        <w:rPr>
          <w:sz w:val="24"/>
          <w:szCs w:val="24"/>
        </w:rPr>
        <w:t>n aan vertrouwen, reciprociteit en</w:t>
      </w:r>
      <w:r w:rsidR="009507CE">
        <w:rPr>
          <w:sz w:val="24"/>
          <w:szCs w:val="24"/>
        </w:rPr>
        <w:t xml:space="preserve"> gedeelde normen</w:t>
      </w:r>
      <w:sdt>
        <w:sdtPr>
          <w:rPr>
            <w:sz w:val="24"/>
            <w:szCs w:val="24"/>
          </w:rPr>
          <w:id w:val="5224881"/>
          <w:citation/>
        </w:sdtPr>
        <w:sdtContent>
          <w:r w:rsidR="00364E81">
            <w:rPr>
              <w:sz w:val="24"/>
              <w:szCs w:val="24"/>
            </w:rPr>
            <w:fldChar w:fldCharType="begin"/>
          </w:r>
          <w:r w:rsidR="00166183">
            <w:rPr>
              <w:sz w:val="24"/>
              <w:szCs w:val="24"/>
            </w:rPr>
            <w:instrText xml:space="preserve"> CITATION Bec74 \l 1043 </w:instrText>
          </w:r>
          <w:r w:rsidR="00364E81">
            <w:rPr>
              <w:sz w:val="24"/>
              <w:szCs w:val="24"/>
            </w:rPr>
            <w:fldChar w:fldCharType="separate"/>
          </w:r>
          <w:r w:rsidR="00166183">
            <w:rPr>
              <w:noProof/>
              <w:sz w:val="24"/>
              <w:szCs w:val="24"/>
            </w:rPr>
            <w:t xml:space="preserve"> </w:t>
          </w:r>
          <w:r w:rsidR="00166183" w:rsidRPr="00166183">
            <w:rPr>
              <w:noProof/>
              <w:sz w:val="24"/>
              <w:szCs w:val="24"/>
            </w:rPr>
            <w:t>(Becker, 1974)</w:t>
          </w:r>
          <w:r w:rsidR="00364E81">
            <w:rPr>
              <w:sz w:val="24"/>
              <w:szCs w:val="24"/>
            </w:rPr>
            <w:fldChar w:fldCharType="end"/>
          </w:r>
        </w:sdtContent>
      </w:sdt>
      <w:r w:rsidR="009507CE">
        <w:rPr>
          <w:sz w:val="24"/>
          <w:szCs w:val="24"/>
        </w:rPr>
        <w:t>.</w:t>
      </w:r>
    </w:p>
    <w:p w:rsidR="000F3578" w:rsidRDefault="000F3578" w:rsidP="00637C98">
      <w:pPr>
        <w:pStyle w:val="NoSpacing"/>
        <w:spacing w:line="360" w:lineRule="auto"/>
        <w:jc w:val="both"/>
        <w:rPr>
          <w:sz w:val="24"/>
          <w:szCs w:val="24"/>
        </w:rPr>
      </w:pPr>
    </w:p>
    <w:p w:rsidR="000F3578" w:rsidRDefault="000F3578" w:rsidP="00637C98">
      <w:pPr>
        <w:pStyle w:val="NoSpacing"/>
        <w:spacing w:line="360" w:lineRule="auto"/>
        <w:jc w:val="both"/>
        <w:rPr>
          <w:sz w:val="24"/>
          <w:szCs w:val="24"/>
        </w:rPr>
      </w:pPr>
      <w:r>
        <w:rPr>
          <w:sz w:val="24"/>
          <w:szCs w:val="24"/>
        </w:rPr>
        <w:t xml:space="preserve">Speltheorie bestudeert situaties van interactieve besluitvorming </w:t>
      </w:r>
      <w:sdt>
        <w:sdtPr>
          <w:rPr>
            <w:sz w:val="24"/>
            <w:szCs w:val="24"/>
          </w:rPr>
          <w:id w:val="14701410"/>
          <w:citation/>
        </w:sdtPr>
        <w:sdtContent>
          <w:r w:rsidR="00364E81">
            <w:rPr>
              <w:sz w:val="24"/>
              <w:szCs w:val="24"/>
            </w:rPr>
            <w:fldChar w:fldCharType="begin"/>
          </w:r>
          <w:r>
            <w:rPr>
              <w:sz w:val="24"/>
              <w:szCs w:val="24"/>
            </w:rPr>
            <w:instrText xml:space="preserve"> CITATION Gum \l 1043 </w:instrText>
          </w:r>
          <w:r w:rsidR="00364E81">
            <w:rPr>
              <w:sz w:val="24"/>
              <w:szCs w:val="24"/>
            </w:rPr>
            <w:fldChar w:fldCharType="separate"/>
          </w:r>
          <w:r w:rsidRPr="000F3578">
            <w:rPr>
              <w:noProof/>
              <w:sz w:val="24"/>
              <w:szCs w:val="24"/>
            </w:rPr>
            <w:t>(Gummerum, Hanoch, &amp; Keller)</w:t>
          </w:r>
          <w:r w:rsidR="00364E81">
            <w:rPr>
              <w:sz w:val="24"/>
              <w:szCs w:val="24"/>
            </w:rPr>
            <w:fldChar w:fldCharType="end"/>
          </w:r>
        </w:sdtContent>
      </w:sdt>
      <w:r>
        <w:rPr>
          <w:sz w:val="24"/>
          <w:szCs w:val="24"/>
        </w:rPr>
        <w:t xml:space="preserve">. Speltheorie onderzoekt voornamelijk wat voor strategie of keuzes mensen maken wanneer zij volledig rationeel zijn. Het beschrijft dus niet hoe mensen in werkelijkheid zullen reageren en dat maakt het een normatief spel. Er wordt echter steeds meer gekeken naar </w:t>
      </w:r>
      <w:r w:rsidR="00E36335">
        <w:rPr>
          <w:sz w:val="24"/>
          <w:szCs w:val="24"/>
        </w:rPr>
        <w:t>het werkelijke gedrag wat spelers vertonen. Dit wordt ook wel gedragsmatige speltheorie genoemd</w:t>
      </w:r>
      <w:sdt>
        <w:sdtPr>
          <w:rPr>
            <w:sz w:val="24"/>
            <w:szCs w:val="24"/>
          </w:rPr>
          <w:id w:val="14701411"/>
          <w:citation/>
        </w:sdtPr>
        <w:sdtContent>
          <w:r w:rsidR="00364E81">
            <w:rPr>
              <w:sz w:val="24"/>
              <w:szCs w:val="24"/>
            </w:rPr>
            <w:fldChar w:fldCharType="begin"/>
          </w:r>
          <w:r w:rsidR="00D56809">
            <w:rPr>
              <w:sz w:val="24"/>
              <w:szCs w:val="24"/>
            </w:rPr>
            <w:instrText xml:space="preserve"> CITATION Cam03 \l 1043 </w:instrText>
          </w:r>
          <w:r w:rsidR="00364E81">
            <w:rPr>
              <w:sz w:val="24"/>
              <w:szCs w:val="24"/>
            </w:rPr>
            <w:fldChar w:fldCharType="separate"/>
          </w:r>
          <w:r w:rsidR="00D56809">
            <w:rPr>
              <w:noProof/>
              <w:sz w:val="24"/>
              <w:szCs w:val="24"/>
            </w:rPr>
            <w:t xml:space="preserve"> </w:t>
          </w:r>
          <w:r w:rsidR="00D56809" w:rsidRPr="00D56809">
            <w:rPr>
              <w:noProof/>
              <w:sz w:val="24"/>
              <w:szCs w:val="24"/>
            </w:rPr>
            <w:t>(Camerer, 2003)</w:t>
          </w:r>
          <w:r w:rsidR="00364E81">
            <w:rPr>
              <w:sz w:val="24"/>
              <w:szCs w:val="24"/>
            </w:rPr>
            <w:fldChar w:fldCharType="end"/>
          </w:r>
        </w:sdtContent>
      </w:sdt>
      <w:r w:rsidR="00D56809">
        <w:rPr>
          <w:sz w:val="24"/>
          <w:szCs w:val="24"/>
        </w:rPr>
        <w:t>.</w:t>
      </w:r>
      <w:r w:rsidR="00E36335">
        <w:rPr>
          <w:sz w:val="24"/>
          <w:szCs w:val="24"/>
        </w:rPr>
        <w:t xml:space="preserve"> Deze theorie houdt rekening met menselijke fouten, emoties</w:t>
      </w:r>
      <w:r w:rsidR="00D56809">
        <w:rPr>
          <w:sz w:val="24"/>
          <w:szCs w:val="24"/>
        </w:rPr>
        <w:t xml:space="preserve">, beperkte vooruitziendheid en het aanleren van gedrag. Zo wordt er dus rekening mee gehouden dat de spelers niet volledig rationeel zijn. </w:t>
      </w:r>
    </w:p>
    <w:p w:rsidR="00827CE9" w:rsidRDefault="00ED1C15" w:rsidP="00637C98">
      <w:pPr>
        <w:pStyle w:val="NoSpacing"/>
        <w:spacing w:line="360" w:lineRule="auto"/>
        <w:jc w:val="both"/>
        <w:rPr>
          <w:sz w:val="24"/>
          <w:szCs w:val="24"/>
        </w:rPr>
      </w:pPr>
      <w:r>
        <w:rPr>
          <w:sz w:val="24"/>
          <w:szCs w:val="24"/>
        </w:rPr>
        <w:t xml:space="preserve">In de speltheorie zijn </w:t>
      </w:r>
      <w:r w:rsidR="00895A59">
        <w:rPr>
          <w:sz w:val="24"/>
          <w:szCs w:val="24"/>
        </w:rPr>
        <w:t>de volgende spellen het meest bekend: de trust game, de ultimate bargaining game, het prisoners’ dilemma en de dictator game.</w:t>
      </w:r>
    </w:p>
    <w:p w:rsidR="00A84CC4" w:rsidRDefault="00827CE9" w:rsidP="00637C98">
      <w:pPr>
        <w:pStyle w:val="NoSpacing"/>
        <w:spacing w:line="360" w:lineRule="auto"/>
        <w:jc w:val="both"/>
        <w:rPr>
          <w:sz w:val="24"/>
          <w:szCs w:val="24"/>
        </w:rPr>
      </w:pPr>
      <w:r>
        <w:rPr>
          <w:sz w:val="24"/>
          <w:szCs w:val="24"/>
        </w:rPr>
        <w:t xml:space="preserve">Door de investment game van </w:t>
      </w:r>
      <w:sdt>
        <w:sdtPr>
          <w:rPr>
            <w:sz w:val="24"/>
            <w:szCs w:val="24"/>
          </w:rPr>
          <w:id w:val="5224891"/>
          <w:citation/>
        </w:sdtPr>
        <w:sdtContent>
          <w:r w:rsidR="00364E81">
            <w:rPr>
              <w:sz w:val="24"/>
              <w:szCs w:val="24"/>
            </w:rPr>
            <w:fldChar w:fldCharType="begin"/>
          </w:r>
          <w:r>
            <w:rPr>
              <w:sz w:val="24"/>
              <w:szCs w:val="24"/>
            </w:rPr>
            <w:instrText xml:space="preserve"> CITATION Ber95 \l 1043 </w:instrText>
          </w:r>
          <w:r w:rsidR="00364E81">
            <w:rPr>
              <w:sz w:val="24"/>
              <w:szCs w:val="24"/>
            </w:rPr>
            <w:fldChar w:fldCharType="separate"/>
          </w:r>
          <w:r w:rsidRPr="00827CE9">
            <w:rPr>
              <w:noProof/>
              <w:sz w:val="24"/>
              <w:szCs w:val="24"/>
            </w:rPr>
            <w:t>(Berg, Dickhaut, &amp; McCabe, 1995)</w:t>
          </w:r>
          <w:r w:rsidR="00364E81">
            <w:rPr>
              <w:sz w:val="24"/>
              <w:szCs w:val="24"/>
            </w:rPr>
            <w:fldChar w:fldCharType="end"/>
          </w:r>
        </w:sdtContent>
      </w:sdt>
      <w:r>
        <w:rPr>
          <w:sz w:val="24"/>
          <w:szCs w:val="24"/>
        </w:rPr>
        <w:t xml:space="preserve"> is de trust game bekend geworden. De investment game is weer gebaseerd op de trust game van </w:t>
      </w:r>
      <w:sdt>
        <w:sdtPr>
          <w:rPr>
            <w:sz w:val="24"/>
            <w:szCs w:val="24"/>
          </w:rPr>
          <w:id w:val="5224892"/>
          <w:citation/>
        </w:sdtPr>
        <w:sdtContent>
          <w:r w:rsidR="00364E81">
            <w:rPr>
              <w:sz w:val="24"/>
              <w:szCs w:val="24"/>
            </w:rPr>
            <w:fldChar w:fldCharType="begin"/>
          </w:r>
          <w:r>
            <w:rPr>
              <w:sz w:val="24"/>
              <w:szCs w:val="24"/>
            </w:rPr>
            <w:instrText xml:space="preserve"> CITATION Kre90 \l 1043 </w:instrText>
          </w:r>
          <w:r w:rsidR="00364E81">
            <w:rPr>
              <w:sz w:val="24"/>
              <w:szCs w:val="24"/>
            </w:rPr>
            <w:fldChar w:fldCharType="separate"/>
          </w:r>
          <w:r w:rsidRPr="00827CE9">
            <w:rPr>
              <w:noProof/>
              <w:sz w:val="24"/>
              <w:szCs w:val="24"/>
            </w:rPr>
            <w:t>(Kreps, 1990)</w:t>
          </w:r>
          <w:r w:rsidR="00364E81">
            <w:rPr>
              <w:sz w:val="24"/>
              <w:szCs w:val="24"/>
            </w:rPr>
            <w:fldChar w:fldCharType="end"/>
          </w:r>
        </w:sdtContent>
      </w:sdt>
      <w:r w:rsidR="00886928">
        <w:rPr>
          <w:sz w:val="24"/>
          <w:szCs w:val="24"/>
        </w:rPr>
        <w:t xml:space="preserve">, Het </w:t>
      </w:r>
      <w:r w:rsidR="00886928">
        <w:rPr>
          <w:sz w:val="24"/>
          <w:szCs w:val="24"/>
        </w:rPr>
        <w:lastRenderedPageBreak/>
        <w:t xml:space="preserve">centipede game in </w:t>
      </w:r>
      <w:sdt>
        <w:sdtPr>
          <w:rPr>
            <w:sz w:val="24"/>
            <w:szCs w:val="24"/>
          </w:rPr>
          <w:id w:val="5224893"/>
          <w:citation/>
        </w:sdtPr>
        <w:sdtContent>
          <w:r w:rsidR="00364E81">
            <w:rPr>
              <w:sz w:val="24"/>
              <w:szCs w:val="24"/>
            </w:rPr>
            <w:fldChar w:fldCharType="begin"/>
          </w:r>
          <w:r w:rsidR="00886928">
            <w:rPr>
              <w:sz w:val="24"/>
              <w:szCs w:val="24"/>
            </w:rPr>
            <w:instrText xml:space="preserve"> CITATION Ros82 \l 1043 </w:instrText>
          </w:r>
          <w:r w:rsidR="00364E81">
            <w:rPr>
              <w:sz w:val="24"/>
              <w:szCs w:val="24"/>
            </w:rPr>
            <w:fldChar w:fldCharType="separate"/>
          </w:r>
          <w:r w:rsidR="00886928" w:rsidRPr="00886928">
            <w:rPr>
              <w:noProof/>
              <w:sz w:val="24"/>
              <w:szCs w:val="24"/>
            </w:rPr>
            <w:t>(Rosenthal, 1982)</w:t>
          </w:r>
          <w:r w:rsidR="00364E81">
            <w:rPr>
              <w:sz w:val="24"/>
              <w:szCs w:val="24"/>
            </w:rPr>
            <w:fldChar w:fldCharType="end"/>
          </w:r>
        </w:sdtContent>
      </w:sdt>
      <w:r w:rsidR="00886928">
        <w:rPr>
          <w:sz w:val="24"/>
          <w:szCs w:val="24"/>
        </w:rPr>
        <w:t xml:space="preserve"> en de peasant-dictator game bestudeerd door </w:t>
      </w:r>
      <w:sdt>
        <w:sdtPr>
          <w:rPr>
            <w:sz w:val="24"/>
            <w:szCs w:val="24"/>
          </w:rPr>
          <w:id w:val="5224894"/>
          <w:citation/>
        </w:sdtPr>
        <w:sdtContent>
          <w:r w:rsidR="00364E81">
            <w:rPr>
              <w:sz w:val="24"/>
              <w:szCs w:val="24"/>
            </w:rPr>
            <w:fldChar w:fldCharType="begin"/>
          </w:r>
          <w:r w:rsidR="005B2B93">
            <w:rPr>
              <w:sz w:val="24"/>
              <w:szCs w:val="24"/>
            </w:rPr>
            <w:instrText xml:space="preserve"> CITATION Van93 \l 1043 </w:instrText>
          </w:r>
          <w:r w:rsidR="00364E81">
            <w:rPr>
              <w:sz w:val="24"/>
              <w:szCs w:val="24"/>
            </w:rPr>
            <w:fldChar w:fldCharType="separate"/>
          </w:r>
          <w:r w:rsidR="005B2B93" w:rsidRPr="005B2B93">
            <w:rPr>
              <w:noProof/>
              <w:sz w:val="24"/>
              <w:szCs w:val="24"/>
            </w:rPr>
            <w:t>(Van Huyck, Battalio, &amp; Walters, 1993)</w:t>
          </w:r>
          <w:r w:rsidR="00364E81">
            <w:rPr>
              <w:sz w:val="24"/>
              <w:szCs w:val="24"/>
            </w:rPr>
            <w:fldChar w:fldCharType="end"/>
          </w:r>
        </w:sdtContent>
      </w:sdt>
      <w:r w:rsidR="005B2B93">
        <w:rPr>
          <w:sz w:val="24"/>
          <w:szCs w:val="24"/>
        </w:rPr>
        <w:t xml:space="preserve">. </w:t>
      </w:r>
    </w:p>
    <w:p w:rsidR="00ED1C15" w:rsidRDefault="00ED1C15" w:rsidP="00637C98">
      <w:pPr>
        <w:spacing w:line="360" w:lineRule="auto"/>
        <w:rPr>
          <w:b/>
          <w:sz w:val="24"/>
          <w:szCs w:val="24"/>
        </w:rPr>
      </w:pPr>
    </w:p>
    <w:p w:rsidR="00166183" w:rsidRPr="00637C98" w:rsidRDefault="00166183" w:rsidP="00637C98">
      <w:pPr>
        <w:pStyle w:val="Heading2"/>
        <w:spacing w:line="360" w:lineRule="auto"/>
        <w:rPr>
          <w:rFonts w:asciiTheme="minorHAnsi" w:hAnsiTheme="minorHAnsi"/>
          <w:color w:val="auto"/>
          <w:sz w:val="24"/>
          <w:szCs w:val="24"/>
        </w:rPr>
      </w:pPr>
      <w:bookmarkStart w:id="3" w:name="_Toc421978459"/>
      <w:r w:rsidRPr="00637C98">
        <w:rPr>
          <w:rFonts w:asciiTheme="minorHAnsi" w:hAnsiTheme="minorHAnsi"/>
          <w:color w:val="auto"/>
          <w:sz w:val="24"/>
          <w:szCs w:val="24"/>
        </w:rPr>
        <w:t>Uitleg van de trust game</w:t>
      </w:r>
      <w:bookmarkEnd w:id="3"/>
    </w:p>
    <w:p w:rsidR="00166183" w:rsidRPr="00674575" w:rsidRDefault="00166183" w:rsidP="00637C98">
      <w:pPr>
        <w:pStyle w:val="NoSpacing"/>
        <w:spacing w:line="360" w:lineRule="auto"/>
        <w:jc w:val="both"/>
        <w:rPr>
          <w:sz w:val="24"/>
          <w:szCs w:val="24"/>
        </w:rPr>
      </w:pPr>
      <w:r w:rsidRPr="00674575">
        <w:rPr>
          <w:sz w:val="24"/>
          <w:szCs w:val="24"/>
        </w:rPr>
        <w:t>Een trust game word</w:t>
      </w:r>
      <w:r w:rsidR="008750BC">
        <w:rPr>
          <w:sz w:val="24"/>
          <w:szCs w:val="24"/>
        </w:rPr>
        <w:t>t gespeeld door twee spelers. Eé</w:t>
      </w:r>
      <w:r w:rsidRPr="00674575">
        <w:rPr>
          <w:sz w:val="24"/>
          <w:szCs w:val="24"/>
        </w:rPr>
        <w:t xml:space="preserve">n speler fungeert als de trustor, ook wel proposer genoemd. En de andere speler heeft de rol van trustee, ook wel responder genoemd. Het spel bestaat verder uit 2 fases. In fase 1 van het spel krijgt de proposer een bepaald bedrag, X, tot zijn beschikking en kan een deel hiervan, Y, als investering doorsturen naar de responder. </w:t>
      </w:r>
    </w:p>
    <w:p w:rsidR="00166183" w:rsidRPr="00674575" w:rsidRDefault="00166183" w:rsidP="00637C98">
      <w:pPr>
        <w:pStyle w:val="NoSpacing"/>
        <w:spacing w:line="360" w:lineRule="auto"/>
        <w:jc w:val="both"/>
        <w:rPr>
          <w:rFonts w:ascii="Calibri" w:hAnsi="Calibri" w:cs="Calibri"/>
          <w:sz w:val="24"/>
          <w:szCs w:val="24"/>
        </w:rPr>
      </w:pPr>
      <w:r w:rsidRPr="00674575">
        <w:rPr>
          <w:sz w:val="24"/>
          <w:szCs w:val="24"/>
        </w:rPr>
        <w:t xml:space="preserve">Hierbij geld: 0 </w:t>
      </w:r>
      <w:r w:rsidRPr="00674575">
        <w:rPr>
          <w:rFonts w:ascii="Cambria Math" w:hAnsi="Cambria Math" w:cs="Cambria Math"/>
          <w:sz w:val="24"/>
          <w:szCs w:val="24"/>
        </w:rPr>
        <w:t>≦</w:t>
      </w:r>
      <w:r w:rsidRPr="00674575">
        <w:rPr>
          <w:rFonts w:ascii="Calibri" w:hAnsi="Calibri" w:cs="Calibri"/>
          <w:sz w:val="24"/>
          <w:szCs w:val="24"/>
        </w:rPr>
        <w:t xml:space="preserve"> y </w:t>
      </w:r>
      <w:r w:rsidRPr="00674575">
        <w:rPr>
          <w:rFonts w:ascii="Cambria Math" w:hAnsi="Cambria Math" w:cs="Cambria Math"/>
          <w:sz w:val="24"/>
          <w:szCs w:val="24"/>
        </w:rPr>
        <w:t>≦</w:t>
      </w:r>
      <w:r w:rsidRPr="00674575">
        <w:rPr>
          <w:rFonts w:ascii="Calibri" w:hAnsi="Calibri" w:cs="Calibri"/>
          <w:sz w:val="24"/>
          <w:szCs w:val="24"/>
        </w:rPr>
        <w:t xml:space="preserve"> x. De responder is onbekend voor de proposer, maar de proposer weet wel dat het bedrag wat hij stuur naar de responder verdrievoudigd wordt. De responder krijgt dus 3Y tot zijn beschikking en de proposer heeft nu een bedrag van X-Y. In fase 2 van het spel kan de responder een deel van het bedrag dat hij ontvangen heeft en wat tevens verdrievoudigd is terugsturen. Dit deel wordt aangeduid met de letter Z. De uiteindelijke payoff die de spelers krijgen is dus: X-Y+Z voor de proposer en 3Y-Z voor de responder</w:t>
      </w:r>
      <w:sdt>
        <w:sdtPr>
          <w:rPr>
            <w:rFonts w:ascii="Calibri" w:hAnsi="Calibri" w:cs="Calibri"/>
            <w:sz w:val="24"/>
            <w:szCs w:val="24"/>
          </w:rPr>
          <w:id w:val="6088191"/>
          <w:citation/>
        </w:sdtPr>
        <w:sdtContent>
          <w:r w:rsidR="00364E81" w:rsidRPr="00674575">
            <w:rPr>
              <w:rFonts w:ascii="Calibri" w:hAnsi="Calibri" w:cs="Calibri"/>
              <w:sz w:val="24"/>
              <w:szCs w:val="24"/>
            </w:rPr>
            <w:fldChar w:fldCharType="begin"/>
          </w:r>
          <w:r w:rsidRPr="00674575">
            <w:rPr>
              <w:rFonts w:ascii="Calibri" w:hAnsi="Calibri" w:cs="Calibri"/>
              <w:sz w:val="24"/>
              <w:szCs w:val="24"/>
            </w:rPr>
            <w:instrText xml:space="preserve"> CITATION Ber95 \l 1043 </w:instrText>
          </w:r>
          <w:r w:rsidR="00364E81" w:rsidRPr="00674575">
            <w:rPr>
              <w:rFonts w:ascii="Calibri" w:hAnsi="Calibri" w:cs="Calibri"/>
              <w:sz w:val="24"/>
              <w:szCs w:val="24"/>
            </w:rPr>
            <w:fldChar w:fldCharType="separate"/>
          </w:r>
          <w:r>
            <w:rPr>
              <w:rFonts w:ascii="Calibri" w:hAnsi="Calibri" w:cs="Calibri"/>
              <w:noProof/>
              <w:sz w:val="24"/>
              <w:szCs w:val="24"/>
            </w:rPr>
            <w:t xml:space="preserve"> </w:t>
          </w:r>
          <w:r w:rsidRPr="00460588">
            <w:rPr>
              <w:rFonts w:ascii="Calibri" w:hAnsi="Calibri" w:cs="Calibri"/>
              <w:noProof/>
              <w:sz w:val="24"/>
              <w:szCs w:val="24"/>
            </w:rPr>
            <w:t>(Berg, Dickhaut, &amp; McCabe, 1995)</w:t>
          </w:r>
          <w:r w:rsidR="00364E81" w:rsidRPr="00674575">
            <w:rPr>
              <w:rFonts w:ascii="Calibri" w:hAnsi="Calibri" w:cs="Calibri"/>
              <w:sz w:val="24"/>
              <w:szCs w:val="24"/>
            </w:rPr>
            <w:fldChar w:fldCharType="end"/>
          </w:r>
        </w:sdtContent>
      </w:sdt>
      <w:r w:rsidRPr="00674575">
        <w:rPr>
          <w:rFonts w:ascii="Calibri" w:hAnsi="Calibri" w:cs="Calibri"/>
          <w:sz w:val="24"/>
          <w:szCs w:val="24"/>
        </w:rPr>
        <w:t>. Om een verduidelijking van dit proces te geven heb ik het volgende schema gemaakt:</w:t>
      </w:r>
    </w:p>
    <w:p w:rsidR="00166183" w:rsidRPr="00674575" w:rsidRDefault="00166183" w:rsidP="00637C98">
      <w:pPr>
        <w:pStyle w:val="NoSpacing"/>
        <w:spacing w:line="360" w:lineRule="auto"/>
        <w:jc w:val="both"/>
        <w:rPr>
          <w:rFonts w:ascii="Calibri" w:hAnsi="Calibri" w:cs="Calibri"/>
          <w:sz w:val="24"/>
          <w:szCs w:val="24"/>
        </w:rPr>
      </w:pPr>
      <w:r w:rsidRPr="00674575">
        <w:rPr>
          <w:rFonts w:ascii="Calibri" w:hAnsi="Calibri" w:cs="Calibri"/>
          <w:noProof/>
          <w:sz w:val="24"/>
          <w:szCs w:val="24"/>
          <w:lang w:eastAsia="nl-NL"/>
        </w:rPr>
        <w:drawing>
          <wp:inline distT="0" distB="0" distL="0" distR="0">
            <wp:extent cx="5753100" cy="10191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753100" cy="1019175"/>
                    </a:xfrm>
                    <a:prstGeom prst="rect">
                      <a:avLst/>
                    </a:prstGeom>
                    <a:noFill/>
                    <a:ln w="9525">
                      <a:noFill/>
                      <a:miter lim="800000"/>
                      <a:headEnd/>
                      <a:tailEnd/>
                    </a:ln>
                  </pic:spPr>
                </pic:pic>
              </a:graphicData>
            </a:graphic>
          </wp:inline>
        </w:drawing>
      </w:r>
    </w:p>
    <w:p w:rsidR="00166183" w:rsidRPr="00674575" w:rsidRDefault="00166183" w:rsidP="00637C98">
      <w:pPr>
        <w:pStyle w:val="NoSpacing"/>
        <w:spacing w:line="360" w:lineRule="auto"/>
        <w:jc w:val="both"/>
        <w:rPr>
          <w:sz w:val="24"/>
          <w:szCs w:val="24"/>
        </w:rPr>
      </w:pPr>
    </w:p>
    <w:p w:rsidR="00166183" w:rsidRPr="005F0C9D" w:rsidRDefault="00166183" w:rsidP="00637C98">
      <w:pPr>
        <w:pStyle w:val="NoSpacing"/>
        <w:spacing w:line="360" w:lineRule="auto"/>
        <w:jc w:val="both"/>
        <w:rPr>
          <w:sz w:val="24"/>
          <w:szCs w:val="24"/>
        </w:rPr>
      </w:pPr>
      <w:r w:rsidRPr="005F0C9D">
        <w:rPr>
          <w:sz w:val="24"/>
          <w:szCs w:val="24"/>
        </w:rPr>
        <w:t xml:space="preserve">Opvallend bij dit spel is dat het nash-evenwicht in werkelijkheid zelden wordt bereikt </w:t>
      </w:r>
      <w:sdt>
        <w:sdtPr>
          <w:rPr>
            <w:sz w:val="24"/>
            <w:szCs w:val="24"/>
          </w:rPr>
          <w:id w:val="6850302"/>
          <w:citation/>
        </w:sdtPr>
        <w:sdtContent>
          <w:r w:rsidR="00364E81" w:rsidRPr="005F0C9D">
            <w:rPr>
              <w:sz w:val="24"/>
              <w:szCs w:val="24"/>
            </w:rPr>
            <w:fldChar w:fldCharType="begin"/>
          </w:r>
          <w:r w:rsidRPr="005F0C9D">
            <w:rPr>
              <w:sz w:val="24"/>
              <w:szCs w:val="24"/>
            </w:rPr>
            <w:instrText xml:space="preserve"> CITATION Cro99 \l 1043 </w:instrText>
          </w:r>
          <w:r w:rsidR="00364E81" w:rsidRPr="005F0C9D">
            <w:rPr>
              <w:sz w:val="24"/>
              <w:szCs w:val="24"/>
            </w:rPr>
            <w:fldChar w:fldCharType="separate"/>
          </w:r>
          <w:r w:rsidRPr="005F0C9D">
            <w:rPr>
              <w:noProof/>
              <w:sz w:val="24"/>
              <w:szCs w:val="24"/>
            </w:rPr>
            <w:t>(Croson &amp; Buchan, 1999)</w:t>
          </w:r>
          <w:r w:rsidR="00364E81" w:rsidRPr="005F0C9D">
            <w:rPr>
              <w:sz w:val="24"/>
              <w:szCs w:val="24"/>
            </w:rPr>
            <w:fldChar w:fldCharType="end"/>
          </w:r>
        </w:sdtContent>
      </w:sdt>
      <w:r w:rsidRPr="005F0C9D">
        <w:rPr>
          <w:sz w:val="24"/>
          <w:szCs w:val="24"/>
        </w:rPr>
        <w:t>. In een Nash-evenwicht wordt elke speler geacht de </w:t>
      </w:r>
      <w:hyperlink r:id="rId9" w:tooltip="Evenwichtsstrategie (de pagina bestaat niet)" w:history="1">
        <w:r w:rsidRPr="005F0C9D">
          <w:rPr>
            <w:sz w:val="24"/>
            <w:szCs w:val="24"/>
          </w:rPr>
          <w:t>evenwichtsstrategieën</w:t>
        </w:r>
      </w:hyperlink>
      <w:r w:rsidRPr="005F0C9D">
        <w:rPr>
          <w:sz w:val="24"/>
          <w:szCs w:val="24"/>
        </w:rPr>
        <w:t> van de andere spelers te kennen en heeft geen van de spelers er voordeel bij om zijn of haar strategie eenzijdig te wijzigen</w:t>
      </w:r>
      <w:sdt>
        <w:sdtPr>
          <w:rPr>
            <w:sz w:val="24"/>
            <w:szCs w:val="24"/>
          </w:rPr>
          <w:id w:val="6088189"/>
          <w:citation/>
        </w:sdtPr>
        <w:sdtContent>
          <w:r w:rsidR="00364E81" w:rsidRPr="005F0C9D">
            <w:rPr>
              <w:sz w:val="24"/>
              <w:szCs w:val="24"/>
            </w:rPr>
            <w:fldChar w:fldCharType="begin"/>
          </w:r>
          <w:r w:rsidRPr="005F0C9D">
            <w:rPr>
              <w:sz w:val="24"/>
              <w:szCs w:val="24"/>
            </w:rPr>
            <w:instrText xml:space="preserve"> CITATION Osb94 \l 1043 </w:instrText>
          </w:r>
          <w:r w:rsidR="00364E81" w:rsidRPr="005F0C9D">
            <w:rPr>
              <w:sz w:val="24"/>
              <w:szCs w:val="24"/>
            </w:rPr>
            <w:fldChar w:fldCharType="separate"/>
          </w:r>
          <w:r w:rsidRPr="005F0C9D">
            <w:rPr>
              <w:noProof/>
              <w:sz w:val="24"/>
              <w:szCs w:val="24"/>
            </w:rPr>
            <w:t xml:space="preserve"> (Osborne, 1994)</w:t>
          </w:r>
          <w:r w:rsidR="00364E81" w:rsidRPr="005F0C9D">
            <w:rPr>
              <w:sz w:val="24"/>
              <w:szCs w:val="24"/>
            </w:rPr>
            <w:fldChar w:fldCharType="end"/>
          </w:r>
        </w:sdtContent>
      </w:sdt>
      <w:r w:rsidRPr="005F0C9D">
        <w:rPr>
          <w:sz w:val="24"/>
          <w:szCs w:val="24"/>
        </w:rPr>
        <w:t>. Men kiest voor het hoogste nut wat men kan krijgen. En bij een trust game zou de responder niets terugsturen als hij volledig rationeel zou zijn. Aangezien zijn nut dan omlaag zou gaan. Er van uitgaand dat de proposer dit weet, zal de proposer op zijn beurt niets naar de r</w:t>
      </w:r>
      <w:r w:rsidR="00277696" w:rsidRPr="005F0C9D">
        <w:rPr>
          <w:sz w:val="24"/>
          <w:szCs w:val="24"/>
        </w:rPr>
        <w:t>esponder sturen omdat hij er niet</w:t>
      </w:r>
      <w:r w:rsidRPr="005F0C9D">
        <w:rPr>
          <w:sz w:val="24"/>
          <w:szCs w:val="24"/>
        </w:rPr>
        <w:t>s voor terugkrijgt.</w:t>
      </w:r>
    </w:p>
    <w:p w:rsidR="00166183" w:rsidRDefault="00446DF9" w:rsidP="00637C98">
      <w:pPr>
        <w:pStyle w:val="NoSpacing"/>
        <w:spacing w:line="360" w:lineRule="auto"/>
        <w:jc w:val="both"/>
        <w:rPr>
          <w:sz w:val="24"/>
          <w:szCs w:val="24"/>
        </w:rPr>
      </w:pPr>
      <w:r>
        <w:rPr>
          <w:sz w:val="24"/>
          <w:szCs w:val="24"/>
        </w:rPr>
        <w:lastRenderedPageBreak/>
        <w:t xml:space="preserve">In werkelijkheid zijn mensen niet volledig rationeel. </w:t>
      </w:r>
      <w:r w:rsidR="00E04725">
        <w:rPr>
          <w:sz w:val="24"/>
          <w:szCs w:val="24"/>
        </w:rPr>
        <w:t>En dit blijkt ook uit resultaten van trust games die voortkomen uit empirische onderzoeken</w:t>
      </w:r>
      <w:r w:rsidR="0083083F">
        <w:rPr>
          <w:sz w:val="24"/>
          <w:szCs w:val="24"/>
        </w:rPr>
        <w:t xml:space="preserve">. </w:t>
      </w:r>
      <w:r w:rsidR="00A96D18">
        <w:rPr>
          <w:sz w:val="24"/>
          <w:szCs w:val="24"/>
        </w:rPr>
        <w:t>Veel proposers versturen namelijk geld naar de responders en veel responders versturen ook weer geld terug naar de proposers. Tevens blijkt dat Y en Z vaak sterk met elkaar gecorreleerd zijn. Dit kan duiden op reciprociteit, het belonen van vriendelijkheid en vertrouwen door middel van een bedrag terug te sturen.</w:t>
      </w:r>
      <w:r w:rsidR="00D24AEF">
        <w:rPr>
          <w:sz w:val="24"/>
          <w:szCs w:val="24"/>
        </w:rPr>
        <w:t xml:space="preserve"> Uit een onderzoek van </w:t>
      </w:r>
      <w:sdt>
        <w:sdtPr>
          <w:rPr>
            <w:sz w:val="24"/>
            <w:szCs w:val="24"/>
          </w:rPr>
          <w:id w:val="6891202"/>
          <w:citation/>
        </w:sdtPr>
        <w:sdtContent>
          <w:r w:rsidR="00364E81">
            <w:rPr>
              <w:sz w:val="24"/>
              <w:szCs w:val="24"/>
            </w:rPr>
            <w:fldChar w:fldCharType="begin"/>
          </w:r>
          <w:r w:rsidR="00D24AEF">
            <w:rPr>
              <w:sz w:val="24"/>
              <w:szCs w:val="24"/>
            </w:rPr>
            <w:instrText xml:space="preserve"> CITATION Ber95 \l 1043 </w:instrText>
          </w:r>
          <w:r w:rsidR="00364E81">
            <w:rPr>
              <w:sz w:val="24"/>
              <w:szCs w:val="24"/>
            </w:rPr>
            <w:fldChar w:fldCharType="separate"/>
          </w:r>
          <w:r w:rsidR="00D24AEF" w:rsidRPr="00D24AEF">
            <w:rPr>
              <w:noProof/>
              <w:sz w:val="24"/>
              <w:szCs w:val="24"/>
            </w:rPr>
            <w:t>(Berg, Dickhaut, &amp; McCabe, 1995)</w:t>
          </w:r>
          <w:r w:rsidR="00364E81">
            <w:rPr>
              <w:sz w:val="24"/>
              <w:szCs w:val="24"/>
            </w:rPr>
            <w:fldChar w:fldCharType="end"/>
          </w:r>
        </w:sdtContent>
      </w:sdt>
      <w:r w:rsidR="00D24AEF">
        <w:rPr>
          <w:sz w:val="24"/>
          <w:szCs w:val="24"/>
        </w:rPr>
        <w:t xml:space="preserve"> </w:t>
      </w:r>
      <w:r w:rsidR="00310A0E">
        <w:rPr>
          <w:sz w:val="24"/>
          <w:szCs w:val="24"/>
        </w:rPr>
        <w:t>waarbij</w:t>
      </w:r>
      <w:r w:rsidR="00D24AEF">
        <w:rPr>
          <w:sz w:val="24"/>
          <w:szCs w:val="24"/>
        </w:rPr>
        <w:t xml:space="preserve"> het </w:t>
      </w:r>
      <w:r w:rsidR="006B5E3E" w:rsidRPr="006B5E3E">
        <w:rPr>
          <w:sz w:val="24"/>
          <w:szCs w:val="24"/>
        </w:rPr>
        <w:t>initiële</w:t>
      </w:r>
      <w:r w:rsidR="00D24AEF">
        <w:rPr>
          <w:sz w:val="24"/>
          <w:szCs w:val="24"/>
        </w:rPr>
        <w:t xml:space="preserve"> bedrag 10 dollar was en de return rate 2 was (het bedrag werd dus verdubbeld wanneer het na</w:t>
      </w:r>
      <w:r w:rsidR="00310A0E">
        <w:rPr>
          <w:sz w:val="24"/>
          <w:szCs w:val="24"/>
        </w:rPr>
        <w:t xml:space="preserve">ar de responder gestuurd werd) blijkt dat de gemiddelde proposer 50% investeerde van hun 10 dollar; 16% van de proposers investeerde het gehele bedrag, en maar 6% investeerde niets (dus geen vertrouwen). </w:t>
      </w:r>
      <w:r w:rsidR="00F14B22">
        <w:rPr>
          <w:sz w:val="24"/>
          <w:szCs w:val="24"/>
        </w:rPr>
        <w:t xml:space="preserve">Het gemiddelde bedrag dat teruggestuurd werd was 95% van het </w:t>
      </w:r>
      <w:r w:rsidR="008750BC">
        <w:rPr>
          <w:sz w:val="24"/>
          <w:szCs w:val="24"/>
        </w:rPr>
        <w:t>geïnvesteerde</w:t>
      </w:r>
      <w:r w:rsidR="00F14B22">
        <w:rPr>
          <w:sz w:val="24"/>
          <w:szCs w:val="24"/>
        </w:rPr>
        <w:t xml:space="preserve"> bedrag. Deze resultaten zijn bevestigd door latere studies en onderzoeken.  </w:t>
      </w:r>
    </w:p>
    <w:p w:rsidR="00FB62B5" w:rsidRDefault="00FB62B5" w:rsidP="00637C98">
      <w:pPr>
        <w:pStyle w:val="NoSpacing"/>
        <w:spacing w:line="360" w:lineRule="auto"/>
        <w:jc w:val="both"/>
        <w:rPr>
          <w:sz w:val="24"/>
          <w:szCs w:val="24"/>
        </w:rPr>
      </w:pPr>
    </w:p>
    <w:p w:rsidR="00FB62B5" w:rsidRPr="00637C98" w:rsidRDefault="00FB62B5" w:rsidP="00637C98">
      <w:pPr>
        <w:pStyle w:val="Heading2"/>
        <w:spacing w:line="360" w:lineRule="auto"/>
        <w:rPr>
          <w:rFonts w:asciiTheme="minorHAnsi" w:hAnsiTheme="minorHAnsi"/>
          <w:color w:val="auto"/>
          <w:sz w:val="24"/>
          <w:szCs w:val="24"/>
        </w:rPr>
      </w:pPr>
      <w:bookmarkStart w:id="4" w:name="_Toc421978460"/>
      <w:r w:rsidRPr="00637C98">
        <w:rPr>
          <w:rFonts w:asciiTheme="minorHAnsi" w:hAnsiTheme="minorHAnsi"/>
          <w:color w:val="auto"/>
          <w:sz w:val="24"/>
          <w:szCs w:val="24"/>
        </w:rPr>
        <w:t>Vertrouwen</w:t>
      </w:r>
      <w:bookmarkEnd w:id="4"/>
    </w:p>
    <w:p w:rsidR="00FB62B5" w:rsidRDefault="00FB62B5" w:rsidP="00637C98">
      <w:pPr>
        <w:pStyle w:val="NoSpacing"/>
        <w:spacing w:line="360" w:lineRule="auto"/>
        <w:jc w:val="both"/>
        <w:rPr>
          <w:sz w:val="24"/>
          <w:szCs w:val="24"/>
        </w:rPr>
      </w:pPr>
      <w:r>
        <w:rPr>
          <w:sz w:val="24"/>
          <w:szCs w:val="24"/>
        </w:rPr>
        <w:t xml:space="preserve">Een trust game bestaat dus uit twee fasen waarbij in de eerste fase van het spel geld gegeven kan worden aan de andere speler. Dit is risicovol maar het vergroot wel de ‘taart’(Dit wil </w:t>
      </w:r>
      <w:r w:rsidR="00DE5C21">
        <w:rPr>
          <w:sz w:val="24"/>
          <w:szCs w:val="24"/>
        </w:rPr>
        <w:t xml:space="preserve">zeggen dat het </w:t>
      </w:r>
      <w:r w:rsidR="006B5E3E" w:rsidRPr="006B5E3E">
        <w:rPr>
          <w:sz w:val="24"/>
          <w:szCs w:val="24"/>
        </w:rPr>
        <w:t>initiële</w:t>
      </w:r>
      <w:r w:rsidR="00DE5C21">
        <w:rPr>
          <w:sz w:val="24"/>
          <w:szCs w:val="24"/>
        </w:rPr>
        <w:t xml:space="preserve"> bedrag d</w:t>
      </w:r>
      <w:r>
        <w:rPr>
          <w:sz w:val="24"/>
          <w:szCs w:val="24"/>
        </w:rPr>
        <w:t xml:space="preserve">at in het spel </w:t>
      </w:r>
      <w:r w:rsidR="005138FA" w:rsidRPr="005138FA">
        <w:rPr>
          <w:sz w:val="24"/>
          <w:szCs w:val="24"/>
        </w:rPr>
        <w:t>geïntroduceerd</w:t>
      </w:r>
      <w:r>
        <w:rPr>
          <w:sz w:val="24"/>
          <w:szCs w:val="24"/>
        </w:rPr>
        <w:t xml:space="preserve"> is vergroot word</w:t>
      </w:r>
      <w:r w:rsidR="005138FA">
        <w:rPr>
          <w:sz w:val="24"/>
          <w:szCs w:val="24"/>
        </w:rPr>
        <w:t>t</w:t>
      </w:r>
      <w:r>
        <w:rPr>
          <w:sz w:val="24"/>
          <w:szCs w:val="24"/>
        </w:rPr>
        <w:t xml:space="preserve">). En hiervan kan dan weer een deel worden teruggestuurd. </w:t>
      </w:r>
      <w:r w:rsidR="00C52E79">
        <w:rPr>
          <w:sz w:val="24"/>
          <w:szCs w:val="24"/>
        </w:rPr>
        <w:t>Aan de volgende acties kunnen we zien of er vertrouwen is in het spel: de proposer kan geld sturen naar de responder met</w:t>
      </w:r>
      <w:r w:rsidR="00277696">
        <w:rPr>
          <w:sz w:val="24"/>
          <w:szCs w:val="24"/>
        </w:rPr>
        <w:t xml:space="preserve"> het risico dat de responder niet</w:t>
      </w:r>
      <w:r w:rsidR="00C52E79">
        <w:rPr>
          <w:sz w:val="24"/>
          <w:szCs w:val="24"/>
        </w:rPr>
        <w:t>s terug zal sturen en dit de proposer dus slechter af zou maken dan in de beginsituatie van het spel het geval zou zijn. De proposer vertrouwt de responder dus in zekere mate wanneer hij een bepaald bedrag verstuurd. Vervolgens heeft de responder de keuze om een deel van het geld dat hij gekregen heeft terug te sturen. Dit is in zijn nadeel aangezien hij, door te kiezen om iets terug te sturen, zelf minder overhoud. Maar hierdoor eindigt het spel wel met een hogere welvaart voor beide spelers dan wanneer de proposer in de eerste fase niets gestuurd zou hebben</w:t>
      </w:r>
      <w:sdt>
        <w:sdtPr>
          <w:rPr>
            <w:sz w:val="24"/>
            <w:szCs w:val="24"/>
          </w:rPr>
          <w:id w:val="17486917"/>
          <w:citation/>
        </w:sdtPr>
        <w:sdtContent>
          <w:r w:rsidR="00364E81">
            <w:rPr>
              <w:sz w:val="24"/>
              <w:szCs w:val="24"/>
            </w:rPr>
            <w:fldChar w:fldCharType="begin"/>
          </w:r>
          <w:r w:rsidR="00C52E79">
            <w:rPr>
              <w:sz w:val="24"/>
              <w:szCs w:val="24"/>
            </w:rPr>
            <w:instrText xml:space="preserve"> CITATION Ber95 \l 1043 </w:instrText>
          </w:r>
          <w:r w:rsidR="00364E81">
            <w:rPr>
              <w:sz w:val="24"/>
              <w:szCs w:val="24"/>
            </w:rPr>
            <w:fldChar w:fldCharType="separate"/>
          </w:r>
          <w:r w:rsidR="00C52E79">
            <w:rPr>
              <w:noProof/>
              <w:sz w:val="24"/>
              <w:szCs w:val="24"/>
            </w:rPr>
            <w:t xml:space="preserve"> </w:t>
          </w:r>
          <w:r w:rsidR="00C52E79" w:rsidRPr="00C52E79">
            <w:rPr>
              <w:noProof/>
              <w:sz w:val="24"/>
              <w:szCs w:val="24"/>
            </w:rPr>
            <w:t>(Berg, Dickhaut, &amp; McCabe, 1995)</w:t>
          </w:r>
          <w:r w:rsidR="00364E81">
            <w:rPr>
              <w:sz w:val="24"/>
              <w:szCs w:val="24"/>
            </w:rPr>
            <w:fldChar w:fldCharType="end"/>
          </w:r>
        </w:sdtContent>
      </w:sdt>
      <w:r w:rsidR="00C52E79">
        <w:rPr>
          <w:sz w:val="24"/>
          <w:szCs w:val="24"/>
        </w:rPr>
        <w:t xml:space="preserve">.  </w:t>
      </w:r>
    </w:p>
    <w:p w:rsidR="001C08D3" w:rsidRDefault="001C08D3" w:rsidP="00637C98">
      <w:pPr>
        <w:pStyle w:val="NoSpacing"/>
        <w:spacing w:line="360" w:lineRule="auto"/>
        <w:jc w:val="both"/>
        <w:rPr>
          <w:sz w:val="24"/>
          <w:szCs w:val="24"/>
        </w:rPr>
      </w:pPr>
    </w:p>
    <w:p w:rsidR="00277696" w:rsidRDefault="00277696" w:rsidP="00637C98">
      <w:pPr>
        <w:pStyle w:val="Heading2"/>
        <w:spacing w:line="360" w:lineRule="auto"/>
        <w:rPr>
          <w:rFonts w:asciiTheme="minorHAnsi" w:hAnsiTheme="minorHAnsi"/>
          <w:color w:val="auto"/>
          <w:sz w:val="24"/>
          <w:szCs w:val="24"/>
        </w:rPr>
      </w:pPr>
      <w:bookmarkStart w:id="5" w:name="_Toc421978461"/>
    </w:p>
    <w:p w:rsidR="001C08D3" w:rsidRPr="00637C98" w:rsidRDefault="001C08D3" w:rsidP="00637C98">
      <w:pPr>
        <w:pStyle w:val="Heading2"/>
        <w:spacing w:line="360" w:lineRule="auto"/>
        <w:rPr>
          <w:rFonts w:asciiTheme="minorHAnsi" w:hAnsiTheme="minorHAnsi"/>
          <w:color w:val="auto"/>
          <w:sz w:val="24"/>
          <w:szCs w:val="24"/>
        </w:rPr>
      </w:pPr>
      <w:r w:rsidRPr="00637C98">
        <w:rPr>
          <w:rFonts w:asciiTheme="minorHAnsi" w:hAnsiTheme="minorHAnsi"/>
          <w:color w:val="auto"/>
          <w:sz w:val="24"/>
          <w:szCs w:val="24"/>
        </w:rPr>
        <w:t>Reciprociteit</w:t>
      </w:r>
      <w:bookmarkEnd w:id="5"/>
    </w:p>
    <w:p w:rsidR="001C08D3" w:rsidRDefault="001C08D3" w:rsidP="00637C98">
      <w:pPr>
        <w:pStyle w:val="NoSpacing"/>
        <w:spacing w:line="360" w:lineRule="auto"/>
        <w:jc w:val="both"/>
        <w:rPr>
          <w:sz w:val="24"/>
          <w:szCs w:val="24"/>
        </w:rPr>
      </w:pPr>
      <w:r>
        <w:rPr>
          <w:sz w:val="24"/>
          <w:szCs w:val="24"/>
        </w:rPr>
        <w:t>Reciprociteit</w:t>
      </w:r>
      <w:r w:rsidR="002D6B0A">
        <w:rPr>
          <w:sz w:val="24"/>
          <w:szCs w:val="24"/>
        </w:rPr>
        <w:t>, ook wel wederkerigheid genoemd,</w:t>
      </w:r>
      <w:r>
        <w:rPr>
          <w:sz w:val="24"/>
          <w:szCs w:val="24"/>
        </w:rPr>
        <w:t xml:space="preserve"> is één van de normen die </w:t>
      </w:r>
      <w:r w:rsidR="002D6B0A">
        <w:rPr>
          <w:sz w:val="24"/>
          <w:szCs w:val="24"/>
        </w:rPr>
        <w:t xml:space="preserve">het gedrag van de mens </w:t>
      </w:r>
      <w:r w:rsidR="008750BC">
        <w:rPr>
          <w:sz w:val="24"/>
          <w:szCs w:val="24"/>
        </w:rPr>
        <w:t>beïnvloed</w:t>
      </w:r>
      <w:sdt>
        <w:sdtPr>
          <w:rPr>
            <w:sz w:val="24"/>
            <w:szCs w:val="24"/>
          </w:rPr>
          <w:id w:val="6891173"/>
          <w:citation/>
        </w:sdtPr>
        <w:sdtContent>
          <w:r w:rsidR="00364E81">
            <w:rPr>
              <w:sz w:val="24"/>
              <w:szCs w:val="24"/>
            </w:rPr>
            <w:fldChar w:fldCharType="begin"/>
          </w:r>
          <w:r w:rsidR="002D6B0A">
            <w:rPr>
              <w:sz w:val="24"/>
              <w:szCs w:val="24"/>
            </w:rPr>
            <w:instrText xml:space="preserve"> CITATION Cor13 \l 1043 </w:instrText>
          </w:r>
          <w:r w:rsidR="00364E81">
            <w:rPr>
              <w:sz w:val="24"/>
              <w:szCs w:val="24"/>
            </w:rPr>
            <w:fldChar w:fldCharType="separate"/>
          </w:r>
          <w:r w:rsidR="002D6B0A">
            <w:rPr>
              <w:noProof/>
              <w:sz w:val="24"/>
              <w:szCs w:val="24"/>
            </w:rPr>
            <w:t xml:space="preserve"> </w:t>
          </w:r>
          <w:r w:rsidR="002D6B0A" w:rsidRPr="002D6B0A">
            <w:rPr>
              <w:noProof/>
              <w:sz w:val="24"/>
              <w:szCs w:val="24"/>
            </w:rPr>
            <w:t>(Corra, 2013)</w:t>
          </w:r>
          <w:r w:rsidR="00364E81">
            <w:rPr>
              <w:sz w:val="24"/>
              <w:szCs w:val="24"/>
            </w:rPr>
            <w:fldChar w:fldCharType="end"/>
          </w:r>
        </w:sdtContent>
      </w:sdt>
      <w:r w:rsidR="002D6B0A">
        <w:rPr>
          <w:sz w:val="24"/>
          <w:szCs w:val="24"/>
        </w:rPr>
        <w:t xml:space="preserve">. Reciprociteit komt voort uit biologische evolutie, maar is </w:t>
      </w:r>
      <w:r w:rsidR="001924D0">
        <w:rPr>
          <w:sz w:val="24"/>
          <w:szCs w:val="24"/>
        </w:rPr>
        <w:t>ook een gevolg van leerprocessen, ervaringen en cultuur</w:t>
      </w:r>
      <w:sdt>
        <w:sdtPr>
          <w:rPr>
            <w:sz w:val="24"/>
            <w:szCs w:val="24"/>
          </w:rPr>
          <w:id w:val="6891174"/>
          <w:citation/>
        </w:sdtPr>
        <w:sdtContent>
          <w:r w:rsidR="00364E81">
            <w:rPr>
              <w:sz w:val="24"/>
              <w:szCs w:val="24"/>
            </w:rPr>
            <w:fldChar w:fldCharType="begin"/>
          </w:r>
          <w:r w:rsidR="001924D0">
            <w:rPr>
              <w:sz w:val="24"/>
              <w:szCs w:val="24"/>
            </w:rPr>
            <w:instrText xml:space="preserve"> CITATION Ost03 \l 1043 </w:instrText>
          </w:r>
          <w:r w:rsidR="00364E81">
            <w:rPr>
              <w:sz w:val="24"/>
              <w:szCs w:val="24"/>
            </w:rPr>
            <w:fldChar w:fldCharType="separate"/>
          </w:r>
          <w:r w:rsidR="001924D0">
            <w:rPr>
              <w:noProof/>
              <w:sz w:val="24"/>
              <w:szCs w:val="24"/>
            </w:rPr>
            <w:t xml:space="preserve"> </w:t>
          </w:r>
          <w:r w:rsidR="001924D0" w:rsidRPr="001924D0">
            <w:rPr>
              <w:noProof/>
              <w:sz w:val="24"/>
              <w:szCs w:val="24"/>
            </w:rPr>
            <w:t>(Ostrom &amp; Walker, 2003)</w:t>
          </w:r>
          <w:r w:rsidR="00364E81">
            <w:rPr>
              <w:sz w:val="24"/>
              <w:szCs w:val="24"/>
            </w:rPr>
            <w:fldChar w:fldCharType="end"/>
          </w:r>
        </w:sdtContent>
      </w:sdt>
      <w:r w:rsidR="001924D0">
        <w:rPr>
          <w:sz w:val="24"/>
          <w:szCs w:val="24"/>
        </w:rPr>
        <w:t xml:space="preserve">. </w:t>
      </w:r>
      <w:r w:rsidR="00FF0727">
        <w:rPr>
          <w:sz w:val="24"/>
          <w:szCs w:val="24"/>
        </w:rPr>
        <w:t>R</w:t>
      </w:r>
      <w:r w:rsidR="001924D0">
        <w:rPr>
          <w:sz w:val="24"/>
          <w:szCs w:val="24"/>
        </w:rPr>
        <w:t xml:space="preserve">eciprociteit </w:t>
      </w:r>
      <w:r w:rsidR="00FF0727">
        <w:rPr>
          <w:sz w:val="24"/>
          <w:szCs w:val="24"/>
        </w:rPr>
        <w:t xml:space="preserve">is </w:t>
      </w:r>
      <w:r w:rsidR="00654CD5">
        <w:rPr>
          <w:sz w:val="24"/>
          <w:szCs w:val="24"/>
        </w:rPr>
        <w:t xml:space="preserve">een reactie op een voorgaande </w:t>
      </w:r>
      <w:r w:rsidR="001924D0">
        <w:rPr>
          <w:sz w:val="24"/>
          <w:szCs w:val="24"/>
        </w:rPr>
        <w:t>actie</w:t>
      </w:r>
      <w:r w:rsidR="00FF0727">
        <w:rPr>
          <w:sz w:val="24"/>
          <w:szCs w:val="24"/>
        </w:rPr>
        <w:t xml:space="preserve"> zoals </w:t>
      </w:r>
      <w:sdt>
        <w:sdtPr>
          <w:rPr>
            <w:sz w:val="24"/>
            <w:szCs w:val="24"/>
          </w:rPr>
          <w:id w:val="3860417"/>
          <w:citation/>
        </w:sdtPr>
        <w:sdtContent>
          <w:r w:rsidR="00364E81">
            <w:rPr>
              <w:sz w:val="24"/>
              <w:szCs w:val="24"/>
            </w:rPr>
            <w:fldChar w:fldCharType="begin"/>
          </w:r>
          <w:r w:rsidR="00FF0727">
            <w:rPr>
              <w:sz w:val="24"/>
              <w:szCs w:val="24"/>
            </w:rPr>
            <w:instrText xml:space="preserve"> CITATION Feh00 \l 1043 </w:instrText>
          </w:r>
          <w:r w:rsidR="00364E81">
            <w:rPr>
              <w:sz w:val="24"/>
              <w:szCs w:val="24"/>
            </w:rPr>
            <w:fldChar w:fldCharType="separate"/>
          </w:r>
          <w:r w:rsidR="00FF0727" w:rsidRPr="00FF0727">
            <w:rPr>
              <w:noProof/>
              <w:sz w:val="24"/>
              <w:szCs w:val="24"/>
            </w:rPr>
            <w:t>(Fehr &amp; Gatcher, 2000)</w:t>
          </w:r>
          <w:r w:rsidR="00364E81">
            <w:rPr>
              <w:sz w:val="24"/>
              <w:szCs w:val="24"/>
            </w:rPr>
            <w:fldChar w:fldCharType="end"/>
          </w:r>
        </w:sdtContent>
      </w:sdt>
      <w:r w:rsidR="00FF0727">
        <w:rPr>
          <w:sz w:val="24"/>
          <w:szCs w:val="24"/>
        </w:rPr>
        <w:t xml:space="preserve"> al beschreven</w:t>
      </w:r>
      <w:r w:rsidR="001924D0">
        <w:rPr>
          <w:sz w:val="24"/>
          <w:szCs w:val="24"/>
        </w:rPr>
        <w:t xml:space="preserve">. Wanneer deze voorgaande actie positief is, </w:t>
      </w:r>
      <w:r w:rsidR="00654CD5">
        <w:rPr>
          <w:sz w:val="24"/>
          <w:szCs w:val="24"/>
        </w:rPr>
        <w:t xml:space="preserve">kan deze actie worden beloond met een positieve reactie (positieve reciprociteit). En wanneer deze voorgaande actie negatief is, kan de respons een vergelding zijn en dus een negatieve reactie geven(negatieve reciprociteit). In de trust game is reciprociteit in fase 2 van het spel op te merken. In de eerste fase heeft de proposer mogelijk een bedrag verstuurd naar de responder. De responder kan vervolgens het risico wat de proposer neemt door hem een bedrag te versturen belonen door hem ook weer iets terug te sturen. De proposer vertrouwt immers de responder het bedrag toe. Als de responder een bedrag </w:t>
      </w:r>
      <w:r w:rsidR="008750BC">
        <w:rPr>
          <w:sz w:val="24"/>
          <w:szCs w:val="24"/>
        </w:rPr>
        <w:t>terugstuurt</w:t>
      </w:r>
      <w:r w:rsidR="00654CD5">
        <w:rPr>
          <w:sz w:val="24"/>
          <w:szCs w:val="24"/>
        </w:rPr>
        <w:t xml:space="preserve"> naar de proposer beloond hij hiermee de proposer voor zijn vertrouwen. Zelf is de responder slechter af aangezien hij zijn eigen bedrag verminderd. Maar de </w:t>
      </w:r>
      <w:r w:rsidR="008750BC">
        <w:rPr>
          <w:sz w:val="24"/>
          <w:szCs w:val="24"/>
        </w:rPr>
        <w:t>gezamenlijke</w:t>
      </w:r>
      <w:r w:rsidR="00654CD5">
        <w:rPr>
          <w:sz w:val="24"/>
          <w:szCs w:val="24"/>
        </w:rPr>
        <w:t xml:space="preserve"> winst kan hierdoor wel worden vergroot.</w:t>
      </w:r>
    </w:p>
    <w:p w:rsidR="00DA0F21" w:rsidRDefault="00654CD5" w:rsidP="00A84CC4">
      <w:pPr>
        <w:pStyle w:val="NoSpacing"/>
        <w:spacing w:line="360" w:lineRule="auto"/>
        <w:jc w:val="both"/>
        <w:rPr>
          <w:sz w:val="24"/>
          <w:szCs w:val="24"/>
        </w:rPr>
      </w:pPr>
      <w:r>
        <w:rPr>
          <w:sz w:val="24"/>
          <w:szCs w:val="24"/>
        </w:rPr>
        <w:t xml:space="preserve">Rationeel gezien zou de responder niets terug moeten sturen. Uit empirische onderzoeken </w:t>
      </w:r>
      <w:r w:rsidR="00DE5C21">
        <w:rPr>
          <w:sz w:val="24"/>
          <w:szCs w:val="24"/>
        </w:rPr>
        <w:t xml:space="preserve">zoals die van </w:t>
      </w:r>
      <w:sdt>
        <w:sdtPr>
          <w:rPr>
            <w:sz w:val="24"/>
            <w:szCs w:val="24"/>
          </w:rPr>
          <w:id w:val="6891315"/>
          <w:citation/>
        </w:sdtPr>
        <w:sdtContent>
          <w:r w:rsidR="00364E81">
            <w:rPr>
              <w:sz w:val="24"/>
              <w:szCs w:val="24"/>
            </w:rPr>
            <w:fldChar w:fldCharType="begin"/>
          </w:r>
          <w:r w:rsidR="00DE5C21">
            <w:rPr>
              <w:sz w:val="24"/>
              <w:szCs w:val="24"/>
            </w:rPr>
            <w:instrText xml:space="preserve"> CITATION Ber95 \l 1043 </w:instrText>
          </w:r>
          <w:r w:rsidR="00364E81">
            <w:rPr>
              <w:sz w:val="24"/>
              <w:szCs w:val="24"/>
            </w:rPr>
            <w:fldChar w:fldCharType="separate"/>
          </w:r>
          <w:r w:rsidR="00DE5C21" w:rsidRPr="00DE5C21">
            <w:rPr>
              <w:noProof/>
              <w:sz w:val="24"/>
              <w:szCs w:val="24"/>
            </w:rPr>
            <w:t>(Berg, Dickhaut, &amp; McCabe, 1995)</w:t>
          </w:r>
          <w:r w:rsidR="00364E81">
            <w:rPr>
              <w:sz w:val="24"/>
              <w:szCs w:val="24"/>
            </w:rPr>
            <w:fldChar w:fldCharType="end"/>
          </w:r>
        </w:sdtContent>
      </w:sdt>
      <w:r w:rsidR="00DE5C21">
        <w:rPr>
          <w:sz w:val="24"/>
          <w:szCs w:val="24"/>
        </w:rPr>
        <w:t xml:space="preserve"> </w:t>
      </w:r>
      <w:r>
        <w:rPr>
          <w:sz w:val="24"/>
          <w:szCs w:val="24"/>
        </w:rPr>
        <w:t xml:space="preserve">blijkt dat er echter vaak wel een bedrag terug gestuurd wordt en dit duidt op reciprociteit. </w:t>
      </w:r>
    </w:p>
    <w:p w:rsidR="00DA0F21" w:rsidRDefault="00DA0F21">
      <w:pPr>
        <w:rPr>
          <w:sz w:val="24"/>
          <w:szCs w:val="24"/>
        </w:rPr>
      </w:pPr>
      <w:r>
        <w:rPr>
          <w:sz w:val="24"/>
          <w:szCs w:val="24"/>
        </w:rPr>
        <w:br w:type="page"/>
      </w:r>
    </w:p>
    <w:p w:rsidR="00AD587C" w:rsidRPr="00277696" w:rsidRDefault="00AD587C" w:rsidP="00637C98">
      <w:pPr>
        <w:pStyle w:val="Heading1"/>
        <w:spacing w:line="360" w:lineRule="auto"/>
        <w:rPr>
          <w:rFonts w:asciiTheme="minorHAnsi" w:hAnsiTheme="minorHAnsi"/>
          <w:color w:val="auto"/>
          <w:lang w:val="nl-NL"/>
        </w:rPr>
      </w:pPr>
      <w:bookmarkStart w:id="6" w:name="_Toc421978462"/>
      <w:r w:rsidRPr="00277696">
        <w:rPr>
          <w:rFonts w:asciiTheme="minorHAnsi" w:hAnsiTheme="minorHAnsi"/>
          <w:color w:val="auto"/>
          <w:lang w:val="nl-NL"/>
        </w:rPr>
        <w:lastRenderedPageBreak/>
        <w:t>Methodologie</w:t>
      </w:r>
      <w:bookmarkEnd w:id="6"/>
    </w:p>
    <w:p w:rsidR="00510A92" w:rsidRDefault="00396CFC" w:rsidP="00637C98">
      <w:pPr>
        <w:pStyle w:val="NoSpacing"/>
        <w:spacing w:line="360" w:lineRule="auto"/>
        <w:jc w:val="both"/>
        <w:rPr>
          <w:sz w:val="24"/>
          <w:szCs w:val="24"/>
        </w:rPr>
      </w:pPr>
      <w:r>
        <w:rPr>
          <w:sz w:val="24"/>
          <w:szCs w:val="24"/>
        </w:rPr>
        <w:t>In dit hoofdstuk zal verteld worden welke onderzoeksmethoden gebruikt zijn en welke middelen er gebruikt zijn om de respondenten uit de verschillende leeftijdsgroepen te benaderen. Ook zal er verteld worden hoe deze methoden,  middelen en respondenten bijdragen aan het beantwoorden van de onderzoeksvraag.</w:t>
      </w:r>
    </w:p>
    <w:p w:rsidR="00985FC8" w:rsidRDefault="00985FC8" w:rsidP="00637C98">
      <w:pPr>
        <w:pStyle w:val="NoSpacing"/>
        <w:spacing w:line="360" w:lineRule="auto"/>
        <w:jc w:val="both"/>
        <w:rPr>
          <w:sz w:val="24"/>
          <w:szCs w:val="24"/>
        </w:rPr>
      </w:pPr>
    </w:p>
    <w:p w:rsidR="00985FC8" w:rsidRPr="00637C98" w:rsidRDefault="00985FC8" w:rsidP="00637C98">
      <w:pPr>
        <w:pStyle w:val="Heading2"/>
        <w:spacing w:line="360" w:lineRule="auto"/>
        <w:rPr>
          <w:rFonts w:asciiTheme="minorHAnsi" w:hAnsiTheme="minorHAnsi"/>
          <w:color w:val="auto"/>
          <w:sz w:val="24"/>
          <w:szCs w:val="24"/>
        </w:rPr>
      </w:pPr>
      <w:bookmarkStart w:id="7" w:name="_Toc421978463"/>
      <w:r w:rsidRPr="00637C98">
        <w:rPr>
          <w:rFonts w:asciiTheme="minorHAnsi" w:hAnsiTheme="minorHAnsi"/>
          <w:color w:val="auto"/>
          <w:sz w:val="24"/>
          <w:szCs w:val="24"/>
        </w:rPr>
        <w:t>Onderzoeks</w:t>
      </w:r>
      <w:r w:rsidR="00DB1AB8" w:rsidRPr="00637C98">
        <w:rPr>
          <w:rFonts w:asciiTheme="minorHAnsi" w:hAnsiTheme="minorHAnsi"/>
          <w:color w:val="auto"/>
          <w:sz w:val="24"/>
          <w:szCs w:val="24"/>
        </w:rPr>
        <w:t>ontwerp</w:t>
      </w:r>
      <w:bookmarkEnd w:id="7"/>
    </w:p>
    <w:p w:rsidR="00985FC8" w:rsidRDefault="00985FC8" w:rsidP="00637C98">
      <w:pPr>
        <w:pStyle w:val="NoSpacing"/>
        <w:spacing w:line="360" w:lineRule="auto"/>
        <w:jc w:val="both"/>
        <w:rPr>
          <w:sz w:val="24"/>
          <w:szCs w:val="24"/>
        </w:rPr>
      </w:pPr>
      <w:r>
        <w:rPr>
          <w:sz w:val="24"/>
          <w:szCs w:val="24"/>
        </w:rPr>
        <w:t>Dit onderzoek naar de uitkomsten van een t</w:t>
      </w:r>
      <w:r w:rsidR="00DB1AB8">
        <w:rPr>
          <w:sz w:val="24"/>
          <w:szCs w:val="24"/>
        </w:rPr>
        <w:t>rust game gegeven de leeftijd betreft</w:t>
      </w:r>
      <w:r>
        <w:rPr>
          <w:sz w:val="24"/>
          <w:szCs w:val="24"/>
        </w:rPr>
        <w:t xml:space="preserve"> een beschrijvend onderzoek. </w:t>
      </w:r>
      <w:r w:rsidR="00DB1AB8">
        <w:rPr>
          <w:sz w:val="24"/>
          <w:szCs w:val="24"/>
        </w:rPr>
        <w:t xml:space="preserve">Het is een empirisch kwantitatief onderzoek. Er is gekozen om een surveyonderzoek te doen en gebruik te maken van een </w:t>
      </w:r>
      <w:r w:rsidR="008B5809">
        <w:rPr>
          <w:sz w:val="24"/>
          <w:szCs w:val="24"/>
        </w:rPr>
        <w:t>enquête</w:t>
      </w:r>
      <w:r w:rsidR="00DB1AB8">
        <w:rPr>
          <w:sz w:val="24"/>
          <w:szCs w:val="24"/>
        </w:rPr>
        <w:t xml:space="preserve">. Dit is gedaan omdat er te weinig tijd en geld beschikbaar was om daadwerkelijke experimenten gaan uit te voeren. </w:t>
      </w:r>
    </w:p>
    <w:p w:rsidR="00396CFC" w:rsidRDefault="00396CFC" w:rsidP="00637C98">
      <w:pPr>
        <w:pStyle w:val="NoSpacing"/>
        <w:spacing w:line="360" w:lineRule="auto"/>
        <w:jc w:val="both"/>
        <w:rPr>
          <w:sz w:val="24"/>
          <w:szCs w:val="24"/>
        </w:rPr>
      </w:pPr>
    </w:p>
    <w:p w:rsidR="00396CFC" w:rsidRPr="002A5209" w:rsidRDefault="00396CFC" w:rsidP="00637C98">
      <w:pPr>
        <w:pStyle w:val="Heading2"/>
        <w:spacing w:line="360" w:lineRule="auto"/>
        <w:rPr>
          <w:rFonts w:asciiTheme="minorHAnsi" w:hAnsiTheme="minorHAnsi"/>
          <w:color w:val="auto"/>
          <w:sz w:val="24"/>
          <w:szCs w:val="24"/>
        </w:rPr>
      </w:pPr>
      <w:bookmarkStart w:id="8" w:name="_Toc421978464"/>
      <w:r w:rsidRPr="00637C98">
        <w:rPr>
          <w:rFonts w:asciiTheme="minorHAnsi" w:hAnsiTheme="minorHAnsi"/>
          <w:color w:val="auto"/>
          <w:sz w:val="24"/>
          <w:szCs w:val="24"/>
        </w:rPr>
        <w:t xml:space="preserve">De </w:t>
      </w:r>
      <w:bookmarkEnd w:id="8"/>
      <w:r w:rsidR="002A5209" w:rsidRPr="002A5209">
        <w:rPr>
          <w:color w:val="auto"/>
          <w:sz w:val="24"/>
          <w:szCs w:val="24"/>
        </w:rPr>
        <w:t>enquête</w:t>
      </w:r>
    </w:p>
    <w:p w:rsidR="00396CFC" w:rsidRDefault="00F15C85" w:rsidP="00637C98">
      <w:pPr>
        <w:pStyle w:val="NoSpacing"/>
        <w:spacing w:line="360" w:lineRule="auto"/>
        <w:jc w:val="both"/>
        <w:rPr>
          <w:sz w:val="24"/>
          <w:szCs w:val="24"/>
        </w:rPr>
      </w:pPr>
      <w:r>
        <w:rPr>
          <w:sz w:val="24"/>
          <w:szCs w:val="24"/>
        </w:rPr>
        <w:t xml:space="preserve">Om de verbanden tussen vertrouwen en verschillende leeftijdsgroepen te onderzoeken is er gekozen om een </w:t>
      </w:r>
      <w:r w:rsidR="002A5209">
        <w:rPr>
          <w:sz w:val="24"/>
          <w:szCs w:val="24"/>
        </w:rPr>
        <w:t>enquête</w:t>
      </w:r>
      <w:r>
        <w:rPr>
          <w:sz w:val="24"/>
          <w:szCs w:val="24"/>
        </w:rPr>
        <w:t xml:space="preserve"> op te stellen met behulp van een online </w:t>
      </w:r>
      <w:r w:rsidR="008B5809">
        <w:rPr>
          <w:sz w:val="24"/>
          <w:szCs w:val="24"/>
        </w:rPr>
        <w:t>enquête</w:t>
      </w:r>
      <w:r>
        <w:rPr>
          <w:sz w:val="24"/>
          <w:szCs w:val="24"/>
        </w:rPr>
        <w:t xml:space="preserve">tool genaamd Thesistools. In de </w:t>
      </w:r>
      <w:r w:rsidR="002A5209">
        <w:rPr>
          <w:sz w:val="24"/>
          <w:szCs w:val="24"/>
        </w:rPr>
        <w:t>enquête</w:t>
      </w:r>
      <w:r>
        <w:rPr>
          <w:sz w:val="24"/>
          <w:szCs w:val="24"/>
        </w:rPr>
        <w:t xml:space="preserve"> wordt gevraagd in welke leefti</w:t>
      </w:r>
      <w:r w:rsidR="00DD4C31">
        <w:rPr>
          <w:sz w:val="24"/>
          <w:szCs w:val="24"/>
        </w:rPr>
        <w:t xml:space="preserve">jdsgroep de respondenten vallen. De leeftijdsgroepen waar onderzoek naar gedaan wordt zijn 15-25 jaar, 26-40 jaar, 41-65 jaar en 65 jaar en ouder. </w:t>
      </w:r>
      <w:r w:rsidR="00FF0727">
        <w:rPr>
          <w:sz w:val="24"/>
          <w:szCs w:val="24"/>
        </w:rPr>
        <w:t>Zoals al gezegd in de inleiding zijn deze leeftijdsgroepen gekozen omdat men door verschillende fasen in het leven gaat. Eerst de puber/adolescent dan de jong volwassenen, de middenvolwassenen en de bejaarden</w:t>
      </w:r>
      <w:r w:rsidR="00DD4C31">
        <w:rPr>
          <w:sz w:val="24"/>
          <w:szCs w:val="24"/>
        </w:rPr>
        <w:t>. Na de vraag aan de respondent betreffende de leeftijdsgroep waarin hij/zij valt</w:t>
      </w:r>
      <w:r w:rsidR="00573ECA">
        <w:rPr>
          <w:sz w:val="24"/>
          <w:szCs w:val="24"/>
        </w:rPr>
        <w:t xml:space="preserve"> wordt er uitgelegd hoe een trust game werkt. Er is geprobeerd om de uitleg van het spel zo duidelijk en begrijpelijk mogelijk te maken zodat alle mensen in de verschillende leeftijdsgroepen het spel snappen. Ter verduidelijking van de uitleg is er nog een voorbeeld bij gegeven. </w:t>
      </w:r>
    </w:p>
    <w:p w:rsidR="004A7932" w:rsidRDefault="00A164E4" w:rsidP="00637C98">
      <w:pPr>
        <w:pStyle w:val="NoSpacing"/>
        <w:spacing w:line="360" w:lineRule="auto"/>
        <w:jc w:val="both"/>
        <w:rPr>
          <w:color w:val="FF0000"/>
          <w:sz w:val="24"/>
          <w:szCs w:val="24"/>
        </w:rPr>
      </w:pPr>
      <w:r>
        <w:rPr>
          <w:sz w:val="24"/>
          <w:szCs w:val="24"/>
        </w:rPr>
        <w:t>Vervolgens moeten d</w:t>
      </w:r>
      <w:r w:rsidR="008750BC">
        <w:rPr>
          <w:sz w:val="24"/>
          <w:szCs w:val="24"/>
        </w:rPr>
        <w:t>e respondenten een hypothetisch</w:t>
      </w:r>
      <w:r>
        <w:rPr>
          <w:sz w:val="24"/>
          <w:szCs w:val="24"/>
        </w:rPr>
        <w:t>e trust game spelen waarbij zij zich moeten veronderstellen dat ze een bedrag van 10 euro krijgen. Zij zijn de proposer in het spel en spelen alleen fase 1 van het spel. Er wordt dus uitsluitend gekeken naar hoeveel euro zij van de 10 euro die ze ‘gekregen’ hebben bereidt zijn om te versturen naar de responder. Zij weten verder niets van de responder behalve in welke leeftijdsgroep deze valt.</w:t>
      </w:r>
      <w:r w:rsidR="00906DCC">
        <w:rPr>
          <w:sz w:val="24"/>
          <w:szCs w:val="24"/>
        </w:rPr>
        <w:t xml:space="preserve"> Er is gekozen om de trust game hypothetisch te doen omdat er simpelweg te weinig tijd en geld beschikbaar is om daadwerkelijk een experiment, in dit geval een trust game,  uit te voeren  </w:t>
      </w:r>
      <w:r w:rsidR="00906DCC">
        <w:rPr>
          <w:sz w:val="24"/>
          <w:szCs w:val="24"/>
        </w:rPr>
        <w:lastRenderedPageBreak/>
        <w:t xml:space="preserve">met zoveel verschillende personen. </w:t>
      </w:r>
      <w:r>
        <w:rPr>
          <w:sz w:val="24"/>
          <w:szCs w:val="24"/>
        </w:rPr>
        <w:t xml:space="preserve"> Aan de hand van de verkregen data kan er dan worden gekeken of er verschillen zijn in de bedragen die respondenten versturen naar de verschillende leeftijdsgroepen.</w:t>
      </w:r>
      <w:r w:rsidR="00906DCC">
        <w:rPr>
          <w:sz w:val="24"/>
          <w:szCs w:val="24"/>
        </w:rPr>
        <w:t xml:space="preserve"> Gemiddelde kunnen </w:t>
      </w:r>
      <w:r w:rsidR="004A7932">
        <w:rPr>
          <w:sz w:val="24"/>
          <w:szCs w:val="24"/>
        </w:rPr>
        <w:t xml:space="preserve">dan </w:t>
      </w:r>
      <w:r w:rsidR="00906DCC">
        <w:rPr>
          <w:sz w:val="24"/>
          <w:szCs w:val="24"/>
        </w:rPr>
        <w:t>vergeleken worden en</w:t>
      </w:r>
      <w:r w:rsidR="004A7932">
        <w:rPr>
          <w:sz w:val="24"/>
          <w:szCs w:val="24"/>
        </w:rPr>
        <w:t xml:space="preserve"> diverse statistische toetsen kunnen worden uitgevoerd</w:t>
      </w:r>
      <w:r w:rsidR="0012587D">
        <w:rPr>
          <w:sz w:val="24"/>
          <w:szCs w:val="24"/>
        </w:rPr>
        <w:t xml:space="preserve"> met </w:t>
      </w:r>
      <w:r w:rsidR="002A5209">
        <w:rPr>
          <w:sz w:val="24"/>
          <w:szCs w:val="24"/>
        </w:rPr>
        <w:t>het statistische programma SPSS</w:t>
      </w:r>
      <w:r w:rsidR="004A7932">
        <w:rPr>
          <w:sz w:val="24"/>
          <w:szCs w:val="24"/>
        </w:rPr>
        <w:t>.</w:t>
      </w:r>
      <w:r w:rsidR="00906DCC">
        <w:rPr>
          <w:sz w:val="24"/>
          <w:szCs w:val="24"/>
        </w:rPr>
        <w:t xml:space="preserve"> </w:t>
      </w:r>
      <w:r>
        <w:rPr>
          <w:sz w:val="24"/>
          <w:szCs w:val="24"/>
        </w:rPr>
        <w:t xml:space="preserve"> Op basis hiervan kunnen dan conclusies getrokken worden. De </w:t>
      </w:r>
      <w:r w:rsidR="008B5809">
        <w:rPr>
          <w:sz w:val="24"/>
          <w:szCs w:val="24"/>
        </w:rPr>
        <w:t>enquête</w:t>
      </w:r>
      <w:r>
        <w:rPr>
          <w:sz w:val="24"/>
          <w:szCs w:val="24"/>
        </w:rPr>
        <w:t xml:space="preserve"> is te zien in de a</w:t>
      </w:r>
      <w:r w:rsidRPr="008253EA">
        <w:rPr>
          <w:sz w:val="24"/>
          <w:szCs w:val="24"/>
        </w:rPr>
        <w:t>ppendix</w:t>
      </w:r>
      <w:r w:rsidR="008253EA">
        <w:rPr>
          <w:sz w:val="24"/>
          <w:szCs w:val="24"/>
        </w:rPr>
        <w:t xml:space="preserve"> f</w:t>
      </w:r>
      <w:r w:rsidR="008253EA" w:rsidRPr="008253EA">
        <w:rPr>
          <w:sz w:val="24"/>
          <w:szCs w:val="24"/>
        </w:rPr>
        <w:t>iguur</w:t>
      </w:r>
      <w:r w:rsidR="008253EA">
        <w:rPr>
          <w:sz w:val="24"/>
          <w:szCs w:val="24"/>
        </w:rPr>
        <w:t xml:space="preserve"> </w:t>
      </w:r>
      <w:r w:rsidR="008253EA" w:rsidRPr="008253EA">
        <w:rPr>
          <w:sz w:val="24"/>
          <w:szCs w:val="24"/>
        </w:rPr>
        <w:t>6</w:t>
      </w:r>
      <w:r w:rsidR="008253EA">
        <w:rPr>
          <w:sz w:val="24"/>
          <w:szCs w:val="24"/>
        </w:rPr>
        <w:t>.</w:t>
      </w:r>
    </w:p>
    <w:p w:rsidR="00A164E4" w:rsidRDefault="00A164E4" w:rsidP="00637C98">
      <w:pPr>
        <w:pStyle w:val="NoSpacing"/>
        <w:spacing w:line="360" w:lineRule="auto"/>
        <w:jc w:val="both"/>
        <w:rPr>
          <w:sz w:val="24"/>
          <w:szCs w:val="24"/>
        </w:rPr>
      </w:pPr>
    </w:p>
    <w:p w:rsidR="00906DCC" w:rsidRDefault="00906DCC" w:rsidP="00637C98">
      <w:pPr>
        <w:pStyle w:val="NoSpacing"/>
        <w:spacing w:line="360" w:lineRule="auto"/>
        <w:jc w:val="both"/>
        <w:rPr>
          <w:b/>
          <w:sz w:val="24"/>
          <w:szCs w:val="24"/>
        </w:rPr>
      </w:pPr>
    </w:p>
    <w:p w:rsidR="00533943" w:rsidRPr="00637C98" w:rsidRDefault="00533943" w:rsidP="00637C98">
      <w:pPr>
        <w:pStyle w:val="Heading2"/>
        <w:spacing w:line="360" w:lineRule="auto"/>
        <w:rPr>
          <w:rFonts w:asciiTheme="minorHAnsi" w:hAnsiTheme="minorHAnsi"/>
          <w:color w:val="auto"/>
          <w:sz w:val="24"/>
          <w:szCs w:val="24"/>
        </w:rPr>
      </w:pPr>
      <w:bookmarkStart w:id="9" w:name="_Toc421978465"/>
      <w:r w:rsidRPr="00637C98">
        <w:rPr>
          <w:rFonts w:asciiTheme="minorHAnsi" w:hAnsiTheme="minorHAnsi"/>
          <w:color w:val="auto"/>
          <w:sz w:val="24"/>
          <w:szCs w:val="24"/>
        </w:rPr>
        <w:t>Respondenten</w:t>
      </w:r>
      <w:bookmarkEnd w:id="9"/>
    </w:p>
    <w:p w:rsidR="00533943" w:rsidRDefault="008253EA" w:rsidP="00637C98">
      <w:pPr>
        <w:pStyle w:val="NoSpacing"/>
        <w:spacing w:line="360" w:lineRule="auto"/>
        <w:jc w:val="both"/>
        <w:rPr>
          <w:sz w:val="24"/>
          <w:szCs w:val="24"/>
        </w:rPr>
      </w:pPr>
      <w:r>
        <w:rPr>
          <w:sz w:val="24"/>
          <w:szCs w:val="24"/>
        </w:rPr>
        <w:t>D</w:t>
      </w:r>
      <w:r w:rsidR="004931CD">
        <w:rPr>
          <w:sz w:val="24"/>
          <w:szCs w:val="24"/>
        </w:rPr>
        <w:t>e respondenten die voor dit onderzoek gekozen zijn komen uit vier</w:t>
      </w:r>
      <w:r w:rsidR="002A5209">
        <w:rPr>
          <w:sz w:val="24"/>
          <w:szCs w:val="24"/>
        </w:rPr>
        <w:t xml:space="preserve"> verschillende leeftijdsgroepen</w:t>
      </w:r>
      <w:r w:rsidR="004931CD">
        <w:rPr>
          <w:sz w:val="24"/>
          <w:szCs w:val="24"/>
        </w:rPr>
        <w:t xml:space="preserve">. Een deel van de respondenten is benaderd via Facebook. Vooral van de jongere leeftijdsgroep van 15-25 </w:t>
      </w:r>
      <w:r w:rsidR="002A5209">
        <w:rPr>
          <w:sz w:val="24"/>
          <w:szCs w:val="24"/>
        </w:rPr>
        <w:t>jaar is er veel respons gekomen</w:t>
      </w:r>
      <w:r w:rsidR="004931CD">
        <w:rPr>
          <w:sz w:val="24"/>
          <w:szCs w:val="24"/>
        </w:rPr>
        <w:t xml:space="preserve"> via Facebook. De overige respondenten zijn benadert via de familie en via collega</w:t>
      </w:r>
      <w:r w:rsidR="0029560B">
        <w:rPr>
          <w:sz w:val="24"/>
          <w:szCs w:val="24"/>
        </w:rPr>
        <w:t>’</w:t>
      </w:r>
      <w:r w:rsidR="004931CD">
        <w:rPr>
          <w:sz w:val="24"/>
          <w:szCs w:val="24"/>
        </w:rPr>
        <w:t>s</w:t>
      </w:r>
      <w:r w:rsidR="0029560B">
        <w:rPr>
          <w:sz w:val="24"/>
          <w:szCs w:val="24"/>
        </w:rPr>
        <w:t xml:space="preserve"> en kennissen. In de figuur hieronder is te zien hoe de respondenten verdeeld zijn. Van </w:t>
      </w:r>
      <w:r w:rsidR="0012587D">
        <w:rPr>
          <w:sz w:val="24"/>
          <w:szCs w:val="24"/>
        </w:rPr>
        <w:t>d</w:t>
      </w:r>
      <w:r w:rsidR="0029560B">
        <w:rPr>
          <w:sz w:val="24"/>
          <w:szCs w:val="24"/>
        </w:rPr>
        <w:t>e</w:t>
      </w:r>
      <w:r w:rsidR="008750BC">
        <w:rPr>
          <w:sz w:val="24"/>
          <w:szCs w:val="24"/>
        </w:rPr>
        <w:t xml:space="preserve"> 96 respondenten behoort het me</w:t>
      </w:r>
      <w:r w:rsidR="0029560B">
        <w:rPr>
          <w:sz w:val="24"/>
          <w:szCs w:val="24"/>
        </w:rPr>
        <w:t xml:space="preserve">rendeel tot de eerste leeftijdsgroep. Dit is te verklaren doordat ik zelf tot deze leeftijdsgroep behoor en daardoor ook veel mensen uit deze categorie ken. Te zien is dat de leeftijdsgroep 65+ het minst aantal respondenten heeft. Dit is te wijten aan het feit dat er weinig mensen in mijn omgeving 65+ zijn. </w:t>
      </w:r>
    </w:p>
    <w:p w:rsidR="0029560B" w:rsidRDefault="0029560B" w:rsidP="00701D82">
      <w:pPr>
        <w:pStyle w:val="NoSpacing"/>
        <w:spacing w:line="360" w:lineRule="auto"/>
        <w:jc w:val="center"/>
        <w:rPr>
          <w:sz w:val="24"/>
          <w:szCs w:val="24"/>
        </w:rPr>
      </w:pPr>
      <w:r>
        <w:rPr>
          <w:noProof/>
          <w:sz w:val="24"/>
          <w:szCs w:val="24"/>
          <w:lang w:eastAsia="nl-NL"/>
        </w:rPr>
        <w:drawing>
          <wp:inline distT="0" distB="0" distL="0" distR="0">
            <wp:extent cx="5759450" cy="2185035"/>
            <wp:effectExtent l="19050" t="0" r="0" b="0"/>
            <wp:docPr id="2" name="Picture 1" descr="C:\Users\Jeroen\Desktop\scriptie\Respondent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roen\Desktop\scriptie\Respondenten.jpg"/>
                    <pic:cNvPicPr>
                      <a:picLocks noChangeAspect="1" noChangeArrowheads="1"/>
                    </pic:cNvPicPr>
                  </pic:nvPicPr>
                  <pic:blipFill>
                    <a:blip r:embed="rId10" cstate="print"/>
                    <a:srcRect/>
                    <a:stretch>
                      <a:fillRect/>
                    </a:stretch>
                  </pic:blipFill>
                  <pic:spPr bwMode="auto">
                    <a:xfrm>
                      <a:off x="0" y="0"/>
                      <a:ext cx="5759450" cy="2185035"/>
                    </a:xfrm>
                    <a:prstGeom prst="rect">
                      <a:avLst/>
                    </a:prstGeom>
                    <a:noFill/>
                    <a:ln w="9525">
                      <a:noFill/>
                      <a:miter lim="800000"/>
                      <a:headEnd/>
                      <a:tailEnd/>
                    </a:ln>
                  </pic:spPr>
                </pic:pic>
              </a:graphicData>
            </a:graphic>
          </wp:inline>
        </w:drawing>
      </w:r>
    </w:p>
    <w:p w:rsidR="0029560B" w:rsidRPr="00701D82" w:rsidRDefault="0029560B" w:rsidP="00637C98">
      <w:pPr>
        <w:pStyle w:val="NoSpacing"/>
        <w:spacing w:line="360" w:lineRule="auto"/>
        <w:jc w:val="center"/>
        <w:rPr>
          <w:b/>
          <w:sz w:val="20"/>
          <w:szCs w:val="20"/>
        </w:rPr>
      </w:pPr>
      <w:r w:rsidRPr="00701D82">
        <w:rPr>
          <w:b/>
          <w:sz w:val="20"/>
          <w:szCs w:val="20"/>
        </w:rPr>
        <w:t>Figuur 1</w:t>
      </w:r>
    </w:p>
    <w:p w:rsidR="00331286" w:rsidRDefault="00331286">
      <w:pPr>
        <w:rPr>
          <w:sz w:val="24"/>
          <w:szCs w:val="24"/>
        </w:rPr>
      </w:pPr>
      <w:r>
        <w:rPr>
          <w:sz w:val="24"/>
          <w:szCs w:val="24"/>
        </w:rPr>
        <w:br w:type="page"/>
      </w:r>
    </w:p>
    <w:p w:rsidR="0029560B" w:rsidRPr="00277696" w:rsidRDefault="00331286" w:rsidP="00637C98">
      <w:pPr>
        <w:pStyle w:val="Heading1"/>
        <w:spacing w:line="360" w:lineRule="auto"/>
        <w:rPr>
          <w:rFonts w:asciiTheme="minorHAnsi" w:hAnsiTheme="minorHAnsi"/>
          <w:color w:val="auto"/>
          <w:lang w:val="nl-NL"/>
        </w:rPr>
      </w:pPr>
      <w:bookmarkStart w:id="10" w:name="_Toc421978466"/>
      <w:r w:rsidRPr="00277696">
        <w:rPr>
          <w:rFonts w:asciiTheme="minorHAnsi" w:hAnsiTheme="minorHAnsi"/>
          <w:color w:val="auto"/>
          <w:lang w:val="nl-NL"/>
        </w:rPr>
        <w:lastRenderedPageBreak/>
        <w:t>Data en analyse</w:t>
      </w:r>
      <w:bookmarkEnd w:id="10"/>
    </w:p>
    <w:p w:rsidR="00331286" w:rsidRDefault="00331286" w:rsidP="00637C98">
      <w:pPr>
        <w:pStyle w:val="NoSpacing"/>
        <w:spacing w:line="360" w:lineRule="auto"/>
        <w:jc w:val="both"/>
        <w:rPr>
          <w:sz w:val="24"/>
          <w:szCs w:val="24"/>
        </w:rPr>
      </w:pPr>
      <w:r>
        <w:rPr>
          <w:sz w:val="24"/>
          <w:szCs w:val="24"/>
        </w:rPr>
        <w:t>In dit hoofdstuk zal de data die verkreg</w:t>
      </w:r>
      <w:r w:rsidR="002A5209">
        <w:rPr>
          <w:sz w:val="24"/>
          <w:szCs w:val="24"/>
        </w:rPr>
        <w:t>en is uit</w:t>
      </w:r>
      <w:r>
        <w:rPr>
          <w:sz w:val="24"/>
          <w:szCs w:val="24"/>
        </w:rPr>
        <w:t xml:space="preserve"> de </w:t>
      </w:r>
      <w:r w:rsidR="002A5209">
        <w:rPr>
          <w:sz w:val="24"/>
          <w:szCs w:val="24"/>
        </w:rPr>
        <w:t>enquête</w:t>
      </w:r>
      <w:r>
        <w:rPr>
          <w:sz w:val="24"/>
          <w:szCs w:val="24"/>
        </w:rPr>
        <w:t xml:space="preserve"> gepresenteerd en geanalyseerd worden. De verschillende</w:t>
      </w:r>
      <w:r w:rsidR="00B07C38">
        <w:rPr>
          <w:sz w:val="24"/>
          <w:szCs w:val="24"/>
        </w:rPr>
        <w:t xml:space="preserve"> vragen met de desbetreffende resultaten zullen worden behandeld. Tevens zal er worden gekeken naar de verschillende leeftijdsgroepen die verschillende danwel gelijke antwoorden geven bij de </w:t>
      </w:r>
      <w:r w:rsidR="008B5809">
        <w:rPr>
          <w:sz w:val="24"/>
          <w:szCs w:val="24"/>
        </w:rPr>
        <w:t>enquête</w:t>
      </w:r>
      <w:r w:rsidR="00B07C38">
        <w:rPr>
          <w:sz w:val="24"/>
          <w:szCs w:val="24"/>
        </w:rPr>
        <w:t xml:space="preserve">vragen. </w:t>
      </w:r>
      <w:r w:rsidR="00B6468C">
        <w:rPr>
          <w:sz w:val="24"/>
          <w:szCs w:val="24"/>
        </w:rPr>
        <w:t xml:space="preserve">In deze scriptie wordt een significantieniveau van 5% aangehouden. </w:t>
      </w:r>
    </w:p>
    <w:p w:rsidR="00B07C38" w:rsidRDefault="00B07C38" w:rsidP="00637C98">
      <w:pPr>
        <w:pStyle w:val="NoSpacing"/>
        <w:spacing w:line="360" w:lineRule="auto"/>
        <w:jc w:val="both"/>
        <w:rPr>
          <w:sz w:val="24"/>
          <w:szCs w:val="24"/>
        </w:rPr>
      </w:pPr>
    </w:p>
    <w:p w:rsidR="00B07C38" w:rsidRPr="00637C98" w:rsidRDefault="008B5809" w:rsidP="00637C98">
      <w:pPr>
        <w:pStyle w:val="Heading2"/>
        <w:spacing w:line="360" w:lineRule="auto"/>
        <w:rPr>
          <w:rFonts w:asciiTheme="minorHAnsi" w:hAnsiTheme="minorHAnsi"/>
          <w:color w:val="auto"/>
          <w:sz w:val="24"/>
          <w:szCs w:val="24"/>
        </w:rPr>
      </w:pPr>
      <w:bookmarkStart w:id="11" w:name="_Toc421978467"/>
      <w:r>
        <w:rPr>
          <w:rFonts w:asciiTheme="minorHAnsi" w:hAnsiTheme="minorHAnsi"/>
          <w:color w:val="auto"/>
          <w:sz w:val="24"/>
          <w:szCs w:val="24"/>
        </w:rPr>
        <w:t>Enquête</w:t>
      </w:r>
      <w:r w:rsidR="004F30D0" w:rsidRPr="00637C98">
        <w:rPr>
          <w:rFonts w:asciiTheme="minorHAnsi" w:hAnsiTheme="minorHAnsi"/>
          <w:color w:val="auto"/>
          <w:sz w:val="24"/>
          <w:szCs w:val="24"/>
        </w:rPr>
        <w:t>vraag 1</w:t>
      </w:r>
      <w:bookmarkEnd w:id="11"/>
    </w:p>
    <w:p w:rsidR="004F30D0" w:rsidRDefault="004F30D0" w:rsidP="00637C98">
      <w:pPr>
        <w:pStyle w:val="NoSpacing"/>
        <w:spacing w:line="360" w:lineRule="auto"/>
        <w:jc w:val="both"/>
        <w:rPr>
          <w:sz w:val="24"/>
          <w:szCs w:val="24"/>
        </w:rPr>
      </w:pPr>
      <w:r>
        <w:rPr>
          <w:sz w:val="24"/>
          <w:szCs w:val="24"/>
        </w:rPr>
        <w:t xml:space="preserve">In de eerste vraag van de </w:t>
      </w:r>
      <w:r w:rsidR="008B5809">
        <w:rPr>
          <w:sz w:val="24"/>
          <w:szCs w:val="24"/>
        </w:rPr>
        <w:t>enquête</w:t>
      </w:r>
      <w:r>
        <w:rPr>
          <w:sz w:val="24"/>
          <w:szCs w:val="24"/>
        </w:rPr>
        <w:t xml:space="preserve"> werd gevraagd in welke leeftijdsgroep men behoord. U kunt de verdeling van de respondenten terugzien in figuur 1. </w:t>
      </w:r>
    </w:p>
    <w:p w:rsidR="0090421C" w:rsidRDefault="0090421C" w:rsidP="00637C98">
      <w:pPr>
        <w:pStyle w:val="NoSpacing"/>
        <w:spacing w:line="360" w:lineRule="auto"/>
        <w:jc w:val="both"/>
        <w:rPr>
          <w:sz w:val="24"/>
          <w:szCs w:val="24"/>
        </w:rPr>
      </w:pPr>
    </w:p>
    <w:p w:rsidR="0090421C" w:rsidRPr="00637C98" w:rsidRDefault="008B5809" w:rsidP="00637C98">
      <w:pPr>
        <w:pStyle w:val="Heading2"/>
        <w:spacing w:line="360" w:lineRule="auto"/>
        <w:rPr>
          <w:rFonts w:asciiTheme="minorHAnsi" w:hAnsiTheme="minorHAnsi"/>
          <w:color w:val="auto"/>
          <w:sz w:val="24"/>
          <w:szCs w:val="24"/>
        </w:rPr>
      </w:pPr>
      <w:bookmarkStart w:id="12" w:name="_Toc421978468"/>
      <w:r>
        <w:rPr>
          <w:rFonts w:asciiTheme="minorHAnsi" w:hAnsiTheme="minorHAnsi"/>
          <w:color w:val="auto"/>
          <w:sz w:val="24"/>
          <w:szCs w:val="24"/>
        </w:rPr>
        <w:t>Enquête</w:t>
      </w:r>
      <w:r w:rsidR="0090421C" w:rsidRPr="00637C98">
        <w:rPr>
          <w:rFonts w:asciiTheme="minorHAnsi" w:hAnsiTheme="minorHAnsi"/>
          <w:color w:val="auto"/>
          <w:sz w:val="24"/>
          <w:szCs w:val="24"/>
        </w:rPr>
        <w:t>vraag 2</w:t>
      </w:r>
      <w:bookmarkEnd w:id="12"/>
    </w:p>
    <w:p w:rsidR="0090421C" w:rsidRDefault="0090421C" w:rsidP="00637C98">
      <w:pPr>
        <w:pStyle w:val="NoSpacing"/>
        <w:spacing w:line="360" w:lineRule="auto"/>
        <w:jc w:val="both"/>
        <w:rPr>
          <w:sz w:val="24"/>
          <w:szCs w:val="24"/>
        </w:rPr>
      </w:pPr>
      <w:r>
        <w:rPr>
          <w:sz w:val="24"/>
          <w:szCs w:val="24"/>
        </w:rPr>
        <w:t>Op de vraag hoeveel de verschillende leeftijdsgroepen bereidt zijn te versturen naar de responder wanneer deze in de leeftijdsgroep 15-25 valt zijn er versc</w:t>
      </w:r>
      <w:r w:rsidR="00D10ED3">
        <w:rPr>
          <w:sz w:val="24"/>
          <w:szCs w:val="24"/>
        </w:rPr>
        <w:t xml:space="preserve">hillende gemiddelden uitgekomen. </w:t>
      </w:r>
    </w:p>
    <w:p w:rsidR="00353AB4" w:rsidRDefault="00790B40" w:rsidP="00637C98">
      <w:pPr>
        <w:pStyle w:val="NoSpacing"/>
        <w:spacing w:line="360" w:lineRule="auto"/>
        <w:jc w:val="center"/>
        <w:rPr>
          <w:sz w:val="24"/>
          <w:szCs w:val="24"/>
        </w:rPr>
      </w:pPr>
      <w:r>
        <w:rPr>
          <w:noProof/>
          <w:sz w:val="24"/>
          <w:szCs w:val="24"/>
          <w:lang w:eastAsia="nl-NL"/>
        </w:rPr>
        <w:drawing>
          <wp:inline distT="0" distB="0" distL="0" distR="0">
            <wp:extent cx="3147060" cy="1710055"/>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3147060" cy="1710055"/>
                    </a:xfrm>
                    <a:prstGeom prst="rect">
                      <a:avLst/>
                    </a:prstGeom>
                    <a:noFill/>
                    <a:ln w="9525">
                      <a:noFill/>
                      <a:miter lim="800000"/>
                      <a:headEnd/>
                      <a:tailEnd/>
                    </a:ln>
                  </pic:spPr>
                </pic:pic>
              </a:graphicData>
            </a:graphic>
          </wp:inline>
        </w:drawing>
      </w:r>
    </w:p>
    <w:p w:rsidR="00701D82" w:rsidRPr="00701D82" w:rsidRDefault="00701D82" w:rsidP="00637C98">
      <w:pPr>
        <w:pStyle w:val="NoSpacing"/>
        <w:spacing w:line="360" w:lineRule="auto"/>
        <w:jc w:val="center"/>
        <w:rPr>
          <w:b/>
          <w:sz w:val="20"/>
          <w:szCs w:val="20"/>
        </w:rPr>
      </w:pPr>
      <w:r w:rsidRPr="00701D82">
        <w:rPr>
          <w:b/>
          <w:sz w:val="20"/>
          <w:szCs w:val="20"/>
        </w:rPr>
        <w:t>Figuur 2</w:t>
      </w:r>
    </w:p>
    <w:p w:rsidR="00790B40" w:rsidRDefault="00790B40" w:rsidP="00637C98">
      <w:pPr>
        <w:pStyle w:val="NoSpacing"/>
        <w:spacing w:line="360" w:lineRule="auto"/>
        <w:jc w:val="both"/>
        <w:rPr>
          <w:sz w:val="24"/>
          <w:szCs w:val="24"/>
        </w:rPr>
      </w:pPr>
      <w:r>
        <w:rPr>
          <w:sz w:val="24"/>
          <w:szCs w:val="24"/>
        </w:rPr>
        <w:t xml:space="preserve">Zoals te zien is in de figuur heeft leeftijdsgroep 2, de respondenten van 26-40 jaar, het minste vertrouwen in de eerste leeftijdsgroep van 15-25 jaar. Dit komt omdat zij gemiddeld het laagste bedrag versturen naar de responder namelijk 2.61. </w:t>
      </w:r>
    </w:p>
    <w:p w:rsidR="00B6468C" w:rsidRDefault="00B6468C" w:rsidP="00637C98">
      <w:pPr>
        <w:pStyle w:val="NoSpacing"/>
        <w:spacing w:line="360" w:lineRule="auto"/>
        <w:jc w:val="both"/>
        <w:rPr>
          <w:sz w:val="24"/>
          <w:szCs w:val="24"/>
        </w:rPr>
      </w:pPr>
      <w:r>
        <w:rPr>
          <w:sz w:val="24"/>
          <w:szCs w:val="24"/>
        </w:rPr>
        <w:t xml:space="preserve">Ook is te zien dat de 65 plussers, leeftijdsgroep 4, het meeste vertrouwen hebben in de groep van 15-25 jaar. Zij zijn namelijk bereidt gemiddeld 4.40 euro van de 10 euro te versturen naar de responder in de trust game. </w:t>
      </w:r>
    </w:p>
    <w:p w:rsidR="006571CC" w:rsidRDefault="006571CC" w:rsidP="00637C98">
      <w:pPr>
        <w:pStyle w:val="NoSpacing"/>
        <w:spacing w:line="360" w:lineRule="auto"/>
        <w:jc w:val="both"/>
        <w:rPr>
          <w:sz w:val="24"/>
          <w:szCs w:val="24"/>
        </w:rPr>
      </w:pPr>
      <w:r>
        <w:rPr>
          <w:sz w:val="24"/>
          <w:szCs w:val="24"/>
        </w:rPr>
        <w:t xml:space="preserve">Om te kijken of de gemiddelden significant van elkaar verschillen is er gekozen om een ANOVA toets uit te voeren. De ANOVA heeft als H0: </w:t>
      </w:r>
      <w:r w:rsidR="00982DBA">
        <w:rPr>
          <w:sz w:val="24"/>
          <w:szCs w:val="24"/>
        </w:rPr>
        <w:t xml:space="preserve">Er is geen </w:t>
      </w:r>
      <w:r w:rsidR="00A4540E">
        <w:rPr>
          <w:sz w:val="24"/>
          <w:szCs w:val="24"/>
        </w:rPr>
        <w:t xml:space="preserve">significant </w:t>
      </w:r>
      <w:r w:rsidR="00982DBA">
        <w:rPr>
          <w:sz w:val="24"/>
          <w:szCs w:val="24"/>
        </w:rPr>
        <w:t xml:space="preserve">verschil tussen </w:t>
      </w:r>
      <w:r w:rsidR="00A4540E">
        <w:rPr>
          <w:sz w:val="24"/>
          <w:szCs w:val="24"/>
        </w:rPr>
        <w:t xml:space="preserve">het </w:t>
      </w:r>
      <w:r w:rsidR="00A4540E">
        <w:rPr>
          <w:sz w:val="24"/>
          <w:szCs w:val="24"/>
        </w:rPr>
        <w:lastRenderedPageBreak/>
        <w:t>gemiddelde bedrag dat leeftijdsgroep 1,</w:t>
      </w:r>
      <w:r w:rsidR="00421E9C">
        <w:rPr>
          <w:sz w:val="24"/>
          <w:szCs w:val="24"/>
        </w:rPr>
        <w:t xml:space="preserve"> </w:t>
      </w:r>
      <w:r w:rsidR="00A4540E">
        <w:rPr>
          <w:sz w:val="24"/>
          <w:szCs w:val="24"/>
        </w:rPr>
        <w:t>2,</w:t>
      </w:r>
      <w:r w:rsidR="00421E9C">
        <w:rPr>
          <w:sz w:val="24"/>
          <w:szCs w:val="24"/>
        </w:rPr>
        <w:t xml:space="preserve"> </w:t>
      </w:r>
      <w:r w:rsidR="00A4540E">
        <w:rPr>
          <w:sz w:val="24"/>
          <w:szCs w:val="24"/>
        </w:rPr>
        <w:t xml:space="preserve">3 en 4 versturen naar leeftijdsgroep 1 (15-25 jaar). </w:t>
      </w:r>
    </w:p>
    <w:p w:rsidR="00704058" w:rsidRDefault="00704058" w:rsidP="00637C98">
      <w:pPr>
        <w:pStyle w:val="NoSpacing"/>
        <w:spacing w:line="360" w:lineRule="auto"/>
        <w:jc w:val="both"/>
        <w:rPr>
          <w:sz w:val="24"/>
          <w:szCs w:val="24"/>
        </w:rPr>
      </w:pPr>
      <w:r>
        <w:rPr>
          <w:sz w:val="24"/>
          <w:szCs w:val="24"/>
        </w:rPr>
        <w:t xml:space="preserve">De uitkomsten van de ANOVA toets zijn te </w:t>
      </w:r>
      <w:r w:rsidRPr="008253EA">
        <w:rPr>
          <w:sz w:val="24"/>
          <w:szCs w:val="24"/>
        </w:rPr>
        <w:t xml:space="preserve">zien in </w:t>
      </w:r>
      <w:r w:rsidR="008253EA" w:rsidRPr="008253EA">
        <w:rPr>
          <w:sz w:val="24"/>
          <w:szCs w:val="24"/>
        </w:rPr>
        <w:t>tabel 9</w:t>
      </w:r>
      <w:r w:rsidRPr="008253EA">
        <w:rPr>
          <w:sz w:val="24"/>
          <w:szCs w:val="24"/>
        </w:rPr>
        <w:t>. Te zien</w:t>
      </w:r>
      <w:r>
        <w:rPr>
          <w:sz w:val="24"/>
          <w:szCs w:val="24"/>
        </w:rPr>
        <w:t xml:space="preserve"> is dat h0 verworpen moet worden omdat het significantieniveau 0.037 is en 0.037&lt;0.05. </w:t>
      </w:r>
    </w:p>
    <w:p w:rsidR="00704058" w:rsidRDefault="00704058" w:rsidP="00637C98">
      <w:pPr>
        <w:pStyle w:val="NoSpacing"/>
        <w:spacing w:line="360" w:lineRule="auto"/>
        <w:jc w:val="both"/>
        <w:rPr>
          <w:sz w:val="24"/>
          <w:szCs w:val="24"/>
        </w:rPr>
      </w:pPr>
      <w:r>
        <w:rPr>
          <w:sz w:val="24"/>
          <w:szCs w:val="24"/>
        </w:rPr>
        <w:t>Er is dus een significant verschil in het gemiddelde bedrag dat de verschillende leeftijdsgroepen versturen naar leeftijdsgroep 1. We weten nu dat er een verschil is maar weten niet welke gemiddelde bedragen significant van elkaar verschillen. Om dit te kunnen toetsen is er een post-hoc test uitgevoerd. Deze laat zien waar het verschil zit. Er is gekozen om een Tukey post-hoc test te doen omdat de varianties gelijk zijn</w:t>
      </w:r>
      <w:r w:rsidR="002A5209">
        <w:rPr>
          <w:sz w:val="24"/>
          <w:szCs w:val="24"/>
        </w:rPr>
        <w:t>. Dit blijkt uit de L</w:t>
      </w:r>
      <w:r>
        <w:rPr>
          <w:sz w:val="24"/>
          <w:szCs w:val="24"/>
        </w:rPr>
        <w:t>evene’s test</w:t>
      </w:r>
      <w:r w:rsidR="008253EA">
        <w:rPr>
          <w:sz w:val="24"/>
          <w:szCs w:val="24"/>
        </w:rPr>
        <w:t xml:space="preserve"> die gedaan is. Deze heeft als H</w:t>
      </w:r>
      <w:r>
        <w:rPr>
          <w:sz w:val="24"/>
          <w:szCs w:val="24"/>
        </w:rPr>
        <w:t xml:space="preserve">0 dat de varianties van de </w:t>
      </w:r>
      <w:r w:rsidR="007B73E5">
        <w:rPr>
          <w:sz w:val="24"/>
          <w:szCs w:val="24"/>
        </w:rPr>
        <w:t>gemiddeld verstuurde bedragen niet</w:t>
      </w:r>
      <w:r w:rsidR="008253EA">
        <w:rPr>
          <w:sz w:val="24"/>
          <w:szCs w:val="24"/>
        </w:rPr>
        <w:t xml:space="preserve"> significant verschillen. Deze H</w:t>
      </w:r>
      <w:r w:rsidR="007B73E5">
        <w:rPr>
          <w:sz w:val="24"/>
          <w:szCs w:val="24"/>
        </w:rPr>
        <w:t>0 kan niet word</w:t>
      </w:r>
      <w:r w:rsidR="00421E9C">
        <w:rPr>
          <w:sz w:val="24"/>
          <w:szCs w:val="24"/>
        </w:rPr>
        <w:t>en verworpen omdat de p-waarde</w:t>
      </w:r>
      <w:r w:rsidR="007B73E5">
        <w:rPr>
          <w:sz w:val="24"/>
          <w:szCs w:val="24"/>
        </w:rPr>
        <w:t xml:space="preserve"> 0.540</w:t>
      </w:r>
      <w:r w:rsidR="00421E9C">
        <w:rPr>
          <w:sz w:val="24"/>
          <w:szCs w:val="24"/>
        </w:rPr>
        <w:t xml:space="preserve"> is en dit is kleiner dan </w:t>
      </w:r>
      <w:r w:rsidR="007B73E5">
        <w:rPr>
          <w:sz w:val="24"/>
          <w:szCs w:val="24"/>
        </w:rPr>
        <w:t xml:space="preserve">0.05 zoals te zien is </w:t>
      </w:r>
      <w:r w:rsidR="007B73E5" w:rsidRPr="008253EA">
        <w:rPr>
          <w:sz w:val="24"/>
          <w:szCs w:val="24"/>
        </w:rPr>
        <w:t xml:space="preserve">in </w:t>
      </w:r>
      <w:r w:rsidR="008253EA" w:rsidRPr="008253EA">
        <w:rPr>
          <w:sz w:val="24"/>
          <w:szCs w:val="24"/>
        </w:rPr>
        <w:t>tabel 12</w:t>
      </w:r>
      <w:r w:rsidR="007B73E5" w:rsidRPr="008253EA">
        <w:rPr>
          <w:sz w:val="24"/>
          <w:szCs w:val="24"/>
        </w:rPr>
        <w:t>. Er zijn</w:t>
      </w:r>
      <w:r w:rsidR="007B73E5">
        <w:rPr>
          <w:sz w:val="24"/>
          <w:szCs w:val="24"/>
        </w:rPr>
        <w:t xml:space="preserve"> dus gelijke varianties en omdat de </w:t>
      </w:r>
      <w:r w:rsidR="008B5809">
        <w:rPr>
          <w:sz w:val="24"/>
          <w:szCs w:val="24"/>
        </w:rPr>
        <w:t>Tukey</w:t>
      </w:r>
      <w:r w:rsidR="007B73E5">
        <w:rPr>
          <w:sz w:val="24"/>
          <w:szCs w:val="24"/>
        </w:rPr>
        <w:t xml:space="preserve"> post-hoc test er vanuit gaat dat de varianties gelijk zijn is er voor deze test gekozen. </w:t>
      </w:r>
    </w:p>
    <w:p w:rsidR="007B73E5" w:rsidRDefault="008253EA" w:rsidP="00637C98">
      <w:pPr>
        <w:pStyle w:val="NoSpacing"/>
        <w:spacing w:line="360" w:lineRule="auto"/>
        <w:jc w:val="both"/>
        <w:rPr>
          <w:sz w:val="24"/>
          <w:szCs w:val="24"/>
        </w:rPr>
      </w:pPr>
      <w:r>
        <w:rPr>
          <w:sz w:val="24"/>
          <w:szCs w:val="24"/>
        </w:rPr>
        <w:t>De nul</w:t>
      </w:r>
      <w:r w:rsidR="007B73E5">
        <w:rPr>
          <w:sz w:val="24"/>
          <w:szCs w:val="24"/>
        </w:rPr>
        <w:t xml:space="preserve">hypothese van de </w:t>
      </w:r>
      <w:r w:rsidR="008B5809">
        <w:rPr>
          <w:sz w:val="24"/>
          <w:szCs w:val="24"/>
        </w:rPr>
        <w:t>Tukey</w:t>
      </w:r>
      <w:r w:rsidR="007B73E5">
        <w:rPr>
          <w:sz w:val="24"/>
          <w:szCs w:val="24"/>
        </w:rPr>
        <w:t xml:space="preserve"> test is dat er geen significante verschillen tussen de verschillende leeftijdsgroepen wat betreft het gemiddeld verstuurde bedrag. </w:t>
      </w:r>
      <w:r w:rsidR="00190F64">
        <w:rPr>
          <w:sz w:val="24"/>
          <w:szCs w:val="24"/>
        </w:rPr>
        <w:t xml:space="preserve">De </w:t>
      </w:r>
      <w:r w:rsidR="008B5809">
        <w:rPr>
          <w:sz w:val="24"/>
          <w:szCs w:val="24"/>
        </w:rPr>
        <w:t>Tukey</w:t>
      </w:r>
      <w:r w:rsidR="00190F64">
        <w:rPr>
          <w:sz w:val="24"/>
          <w:szCs w:val="24"/>
        </w:rPr>
        <w:t xml:space="preserve"> test vergelijkt telkens 2 leeftijdsgroepen en kijkt of er een signi</w:t>
      </w:r>
      <w:r w:rsidR="002A5209">
        <w:rPr>
          <w:sz w:val="24"/>
          <w:szCs w:val="24"/>
        </w:rPr>
        <w:t>ficant verschil is. Zo kijkt de test</w:t>
      </w:r>
      <w:r w:rsidR="00190F64">
        <w:rPr>
          <w:sz w:val="24"/>
          <w:szCs w:val="24"/>
        </w:rPr>
        <w:t xml:space="preserve"> eerst of er een significant verschil is tussen leeftijdsgroep 1 en 2, 1 en 3, 1 en 4 etcetera. </w:t>
      </w:r>
    </w:p>
    <w:p w:rsidR="00034607" w:rsidRDefault="002A5209" w:rsidP="00637C98">
      <w:pPr>
        <w:pStyle w:val="NoSpacing"/>
        <w:spacing w:line="360" w:lineRule="auto"/>
        <w:jc w:val="both"/>
        <w:rPr>
          <w:sz w:val="24"/>
          <w:szCs w:val="24"/>
        </w:rPr>
      </w:pPr>
      <w:r>
        <w:rPr>
          <w:sz w:val="24"/>
          <w:szCs w:val="24"/>
        </w:rPr>
        <w:t>E</w:t>
      </w:r>
      <w:r w:rsidR="007B73E5">
        <w:rPr>
          <w:sz w:val="24"/>
          <w:szCs w:val="24"/>
        </w:rPr>
        <w:t>r</w:t>
      </w:r>
      <w:r>
        <w:rPr>
          <w:sz w:val="24"/>
          <w:szCs w:val="24"/>
        </w:rPr>
        <w:t xml:space="preserve"> is</w:t>
      </w:r>
      <w:r w:rsidR="007B73E5">
        <w:rPr>
          <w:sz w:val="24"/>
          <w:szCs w:val="24"/>
        </w:rPr>
        <w:t xml:space="preserve"> alleen een significant verschil </w:t>
      </w:r>
      <w:r>
        <w:rPr>
          <w:sz w:val="24"/>
          <w:szCs w:val="24"/>
        </w:rPr>
        <w:t>te zien</w:t>
      </w:r>
      <w:r w:rsidR="007B73E5">
        <w:rPr>
          <w:sz w:val="24"/>
          <w:szCs w:val="24"/>
        </w:rPr>
        <w:t xml:space="preserve"> tussen de leeftijdsgroepen 2 en 4 met het gemiddelde bedrag dat zij </w:t>
      </w:r>
      <w:r>
        <w:rPr>
          <w:sz w:val="24"/>
          <w:szCs w:val="24"/>
        </w:rPr>
        <w:t xml:space="preserve">versturen. Dit is te zien in </w:t>
      </w:r>
      <w:r w:rsidR="008253EA" w:rsidRPr="008253EA">
        <w:rPr>
          <w:sz w:val="24"/>
          <w:szCs w:val="24"/>
        </w:rPr>
        <w:t>tabel 11.</w:t>
      </w:r>
      <w:r w:rsidR="007B73E5" w:rsidRPr="008253EA">
        <w:rPr>
          <w:sz w:val="24"/>
          <w:szCs w:val="24"/>
        </w:rPr>
        <w:t xml:space="preserve"> Dit is ook het meest</w:t>
      </w:r>
      <w:r w:rsidR="007B73E5">
        <w:rPr>
          <w:sz w:val="24"/>
          <w:szCs w:val="24"/>
        </w:rPr>
        <w:t xml:space="preserve"> logisch als we terugkijken naar de gemiddelden zien we namelijk ook dat groep 2 en 4 het meest van elkaar verschillen.</w:t>
      </w:r>
    </w:p>
    <w:p w:rsidR="00034607" w:rsidRDefault="002E6262" w:rsidP="00637C98">
      <w:pPr>
        <w:pStyle w:val="NoSpacing"/>
        <w:spacing w:line="360" w:lineRule="auto"/>
        <w:jc w:val="both"/>
        <w:rPr>
          <w:sz w:val="24"/>
          <w:szCs w:val="24"/>
        </w:rPr>
      </w:pPr>
      <w:r>
        <w:rPr>
          <w:sz w:val="24"/>
          <w:szCs w:val="24"/>
        </w:rPr>
        <w:t xml:space="preserve">Hieruit blijkt dus dat leeftijdsgroep 4, de 65 plussers,  significant meer vertrouwen heeft in de leeftijdsgroep 1, 15-25 jaar. Dit omdat de bedragen dus significant verschillen en we bij de gemiddelden zien dat het gemiddeld verstuurde bedrag van leeftijdsgroep 4 hoger is dan het gemiddeld verstuurde bedrag van leeftijdsgroep 2. </w:t>
      </w:r>
    </w:p>
    <w:p w:rsidR="003614A6" w:rsidRDefault="003614A6" w:rsidP="00637C98">
      <w:pPr>
        <w:pStyle w:val="NoSpacing"/>
        <w:spacing w:line="360" w:lineRule="auto"/>
        <w:jc w:val="both"/>
        <w:rPr>
          <w:sz w:val="24"/>
          <w:szCs w:val="24"/>
        </w:rPr>
      </w:pPr>
    </w:p>
    <w:p w:rsidR="003614A6" w:rsidRPr="00637C98" w:rsidRDefault="008B5809" w:rsidP="00637C98">
      <w:pPr>
        <w:pStyle w:val="Heading2"/>
        <w:spacing w:line="360" w:lineRule="auto"/>
        <w:rPr>
          <w:rFonts w:asciiTheme="minorHAnsi" w:hAnsiTheme="minorHAnsi"/>
          <w:color w:val="auto"/>
          <w:sz w:val="24"/>
          <w:szCs w:val="24"/>
        </w:rPr>
      </w:pPr>
      <w:bookmarkStart w:id="13" w:name="_Toc421978469"/>
      <w:r>
        <w:rPr>
          <w:rFonts w:asciiTheme="minorHAnsi" w:hAnsiTheme="minorHAnsi"/>
          <w:color w:val="auto"/>
          <w:sz w:val="24"/>
          <w:szCs w:val="24"/>
        </w:rPr>
        <w:t>Enquête</w:t>
      </w:r>
      <w:r w:rsidR="003614A6" w:rsidRPr="00637C98">
        <w:rPr>
          <w:rFonts w:asciiTheme="minorHAnsi" w:hAnsiTheme="minorHAnsi"/>
          <w:color w:val="auto"/>
          <w:sz w:val="24"/>
          <w:szCs w:val="24"/>
        </w:rPr>
        <w:t>vraag 3</w:t>
      </w:r>
      <w:bookmarkEnd w:id="13"/>
    </w:p>
    <w:p w:rsidR="003614A6" w:rsidRDefault="003614A6" w:rsidP="00637C98">
      <w:pPr>
        <w:pStyle w:val="NoSpacing"/>
        <w:spacing w:line="360" w:lineRule="auto"/>
        <w:jc w:val="both"/>
        <w:rPr>
          <w:sz w:val="24"/>
          <w:szCs w:val="24"/>
        </w:rPr>
      </w:pPr>
      <w:r>
        <w:rPr>
          <w:sz w:val="24"/>
          <w:szCs w:val="24"/>
        </w:rPr>
        <w:t xml:space="preserve">In deze vraag wordt er gekeken naar het vertrouwen dat de verschillende leeftijdsgroepen in leeftijdsgroep 2, 26-40 jaar, hebben. Hier is ook gekeken naar de gemiddelde bedragen die </w:t>
      </w:r>
      <w:r>
        <w:rPr>
          <w:sz w:val="24"/>
          <w:szCs w:val="24"/>
        </w:rPr>
        <w:lastRenderedPageBreak/>
        <w:t xml:space="preserve">de verschillende leeftijdsgroepen naar leeftijdsgroep 2 hebben verstuurd. De gemiddelden zijn hieronder weergegeven. </w:t>
      </w:r>
    </w:p>
    <w:p w:rsidR="003614A6" w:rsidRDefault="003614A6" w:rsidP="00637C98">
      <w:pPr>
        <w:pStyle w:val="NoSpacing"/>
        <w:spacing w:line="360" w:lineRule="auto"/>
        <w:jc w:val="center"/>
        <w:rPr>
          <w:sz w:val="24"/>
          <w:szCs w:val="24"/>
        </w:rPr>
      </w:pPr>
      <w:r>
        <w:rPr>
          <w:noProof/>
          <w:sz w:val="24"/>
          <w:szCs w:val="24"/>
          <w:lang w:eastAsia="nl-NL"/>
        </w:rPr>
        <w:drawing>
          <wp:inline distT="0" distB="0" distL="0" distR="0">
            <wp:extent cx="3147060" cy="171005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3147060" cy="1710055"/>
                    </a:xfrm>
                    <a:prstGeom prst="rect">
                      <a:avLst/>
                    </a:prstGeom>
                    <a:noFill/>
                    <a:ln w="9525">
                      <a:noFill/>
                      <a:miter lim="800000"/>
                      <a:headEnd/>
                      <a:tailEnd/>
                    </a:ln>
                  </pic:spPr>
                </pic:pic>
              </a:graphicData>
            </a:graphic>
          </wp:inline>
        </w:drawing>
      </w:r>
    </w:p>
    <w:p w:rsidR="00701D82" w:rsidRPr="00701D82" w:rsidRDefault="00701D82" w:rsidP="00637C98">
      <w:pPr>
        <w:pStyle w:val="NoSpacing"/>
        <w:spacing w:line="360" w:lineRule="auto"/>
        <w:jc w:val="center"/>
        <w:rPr>
          <w:b/>
          <w:sz w:val="20"/>
          <w:szCs w:val="20"/>
        </w:rPr>
      </w:pPr>
      <w:r w:rsidRPr="00701D82">
        <w:rPr>
          <w:b/>
          <w:sz w:val="20"/>
          <w:szCs w:val="20"/>
        </w:rPr>
        <w:t>Figuur 3</w:t>
      </w:r>
    </w:p>
    <w:p w:rsidR="00B6468C" w:rsidRDefault="003614A6" w:rsidP="00637C98">
      <w:pPr>
        <w:pStyle w:val="NoSpacing"/>
        <w:spacing w:line="360" w:lineRule="auto"/>
        <w:jc w:val="both"/>
        <w:rPr>
          <w:sz w:val="24"/>
          <w:szCs w:val="24"/>
        </w:rPr>
      </w:pPr>
      <w:r>
        <w:rPr>
          <w:sz w:val="24"/>
          <w:szCs w:val="24"/>
        </w:rPr>
        <w:t xml:space="preserve">Te </w:t>
      </w:r>
      <w:r w:rsidR="003B7CFE">
        <w:rPr>
          <w:sz w:val="24"/>
          <w:szCs w:val="24"/>
        </w:rPr>
        <w:t xml:space="preserve">zien is dat de gemiddelden niet bijzonder veel van elkaar verschillen. Wederom heeft leeftijdsgroep 4 het meeste vertrouwen en leeftijdsgroep 2 het minste vertrouwen. Om te kijken of de verschillen in gemiddelde bedragen significant zijn is er weer een ANOVA toets uitgevoerd. </w:t>
      </w:r>
      <w:r w:rsidR="00E14724">
        <w:rPr>
          <w:sz w:val="24"/>
          <w:szCs w:val="24"/>
        </w:rPr>
        <w:t xml:space="preserve">Deze is te zien </w:t>
      </w:r>
      <w:r w:rsidR="008253EA">
        <w:rPr>
          <w:sz w:val="24"/>
          <w:szCs w:val="24"/>
        </w:rPr>
        <w:t>in tabel 13</w:t>
      </w:r>
      <w:r w:rsidR="00E14724">
        <w:rPr>
          <w:sz w:val="24"/>
          <w:szCs w:val="24"/>
        </w:rPr>
        <w:t xml:space="preserve">. De H0 van de ANOVA kan niet worden verworpen. Dit betekent dat er dus geen significant verschil is in het gemiddelde bedrag dat de verschillende leeftijdsgroepen versturen naar leeftijdsgroep 2. De post-hoc test van </w:t>
      </w:r>
      <w:r w:rsidR="008B5809">
        <w:rPr>
          <w:sz w:val="24"/>
          <w:szCs w:val="24"/>
        </w:rPr>
        <w:t>Tukey</w:t>
      </w:r>
      <w:r w:rsidR="00E14724">
        <w:rPr>
          <w:sz w:val="24"/>
          <w:szCs w:val="24"/>
        </w:rPr>
        <w:t xml:space="preserve"> bevestigd dit</w:t>
      </w:r>
      <w:r w:rsidR="008253EA">
        <w:rPr>
          <w:sz w:val="24"/>
          <w:szCs w:val="24"/>
        </w:rPr>
        <w:t xml:space="preserve"> (tabel 16)</w:t>
      </w:r>
      <w:r w:rsidR="00E14724">
        <w:rPr>
          <w:sz w:val="24"/>
          <w:szCs w:val="24"/>
        </w:rPr>
        <w:t xml:space="preserve">. </w:t>
      </w:r>
    </w:p>
    <w:p w:rsidR="00EA0F84" w:rsidRDefault="00EA0F84" w:rsidP="00637C98">
      <w:pPr>
        <w:pStyle w:val="NoSpacing"/>
        <w:spacing w:line="360" w:lineRule="auto"/>
        <w:jc w:val="both"/>
        <w:rPr>
          <w:sz w:val="24"/>
          <w:szCs w:val="24"/>
        </w:rPr>
      </w:pPr>
    </w:p>
    <w:p w:rsidR="00EA0F84" w:rsidRPr="00637C98" w:rsidRDefault="008B5809" w:rsidP="00637C98">
      <w:pPr>
        <w:pStyle w:val="Heading2"/>
        <w:spacing w:line="360" w:lineRule="auto"/>
        <w:rPr>
          <w:rFonts w:asciiTheme="minorHAnsi" w:hAnsiTheme="minorHAnsi"/>
          <w:color w:val="auto"/>
          <w:sz w:val="24"/>
          <w:szCs w:val="24"/>
        </w:rPr>
      </w:pPr>
      <w:bookmarkStart w:id="14" w:name="_Toc421978470"/>
      <w:r>
        <w:rPr>
          <w:rFonts w:asciiTheme="minorHAnsi" w:hAnsiTheme="minorHAnsi"/>
          <w:color w:val="auto"/>
          <w:sz w:val="24"/>
          <w:szCs w:val="24"/>
        </w:rPr>
        <w:t>Enquête</w:t>
      </w:r>
      <w:r w:rsidR="00EA0F84" w:rsidRPr="00637C98">
        <w:rPr>
          <w:rFonts w:asciiTheme="minorHAnsi" w:hAnsiTheme="minorHAnsi"/>
          <w:color w:val="auto"/>
          <w:sz w:val="24"/>
          <w:szCs w:val="24"/>
        </w:rPr>
        <w:t>vraag 4</w:t>
      </w:r>
      <w:bookmarkEnd w:id="14"/>
    </w:p>
    <w:p w:rsidR="00190F64" w:rsidRDefault="00EA0F84" w:rsidP="00637C98">
      <w:pPr>
        <w:pStyle w:val="NoSpacing"/>
        <w:spacing w:line="360" w:lineRule="auto"/>
        <w:jc w:val="both"/>
        <w:rPr>
          <w:sz w:val="24"/>
          <w:szCs w:val="24"/>
        </w:rPr>
      </w:pPr>
      <w:r>
        <w:rPr>
          <w:sz w:val="24"/>
          <w:szCs w:val="24"/>
        </w:rPr>
        <w:t xml:space="preserve">De vierde vraag van de </w:t>
      </w:r>
      <w:r w:rsidR="008B5809">
        <w:rPr>
          <w:sz w:val="24"/>
          <w:szCs w:val="24"/>
        </w:rPr>
        <w:t>enquête</w:t>
      </w:r>
      <w:r>
        <w:rPr>
          <w:sz w:val="24"/>
          <w:szCs w:val="24"/>
        </w:rPr>
        <w:t xml:space="preserve"> gaat over het bedrag dat men af zou willen staan aan iemand uit de leeftijdsgroep 3, 41-65 jaar. </w:t>
      </w:r>
      <w:r w:rsidR="000E3DB3">
        <w:rPr>
          <w:sz w:val="24"/>
          <w:szCs w:val="24"/>
        </w:rPr>
        <w:t xml:space="preserve">De gemiddelden zijn hieronder te zien. </w:t>
      </w:r>
    </w:p>
    <w:p w:rsidR="00EA0F84" w:rsidRDefault="00EA0F84" w:rsidP="00637C98">
      <w:pPr>
        <w:pStyle w:val="NoSpacing"/>
        <w:spacing w:line="360" w:lineRule="auto"/>
        <w:jc w:val="center"/>
        <w:rPr>
          <w:sz w:val="24"/>
          <w:szCs w:val="24"/>
        </w:rPr>
      </w:pPr>
      <w:r>
        <w:rPr>
          <w:noProof/>
          <w:sz w:val="24"/>
          <w:szCs w:val="24"/>
          <w:lang w:eastAsia="nl-NL"/>
        </w:rPr>
        <w:drawing>
          <wp:inline distT="0" distB="0" distL="0" distR="0">
            <wp:extent cx="3147060" cy="1710055"/>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3147060" cy="1710055"/>
                    </a:xfrm>
                    <a:prstGeom prst="rect">
                      <a:avLst/>
                    </a:prstGeom>
                    <a:noFill/>
                    <a:ln w="9525">
                      <a:noFill/>
                      <a:miter lim="800000"/>
                      <a:headEnd/>
                      <a:tailEnd/>
                    </a:ln>
                  </pic:spPr>
                </pic:pic>
              </a:graphicData>
            </a:graphic>
          </wp:inline>
        </w:drawing>
      </w:r>
    </w:p>
    <w:p w:rsidR="00701D82" w:rsidRPr="00701D82" w:rsidRDefault="00701D82" w:rsidP="00637C98">
      <w:pPr>
        <w:pStyle w:val="NoSpacing"/>
        <w:spacing w:line="360" w:lineRule="auto"/>
        <w:jc w:val="center"/>
        <w:rPr>
          <w:b/>
          <w:sz w:val="20"/>
          <w:szCs w:val="20"/>
        </w:rPr>
      </w:pPr>
      <w:r w:rsidRPr="00701D82">
        <w:rPr>
          <w:b/>
          <w:sz w:val="20"/>
          <w:szCs w:val="20"/>
        </w:rPr>
        <w:t>Figuur 4</w:t>
      </w:r>
    </w:p>
    <w:p w:rsidR="000E3DB3" w:rsidRDefault="000E3DB3" w:rsidP="00637C98">
      <w:pPr>
        <w:pStyle w:val="NoSpacing"/>
        <w:spacing w:line="360" w:lineRule="auto"/>
        <w:jc w:val="both"/>
        <w:rPr>
          <w:sz w:val="24"/>
          <w:szCs w:val="24"/>
        </w:rPr>
      </w:pPr>
      <w:r>
        <w:rPr>
          <w:sz w:val="24"/>
          <w:szCs w:val="24"/>
        </w:rPr>
        <w:t xml:space="preserve">Aan de gemiddelden is te zien dat leeftijdsgroep 4, de 65 plussers, het meeste vertrouwen hebben in leeftijdsgroep 3, 41-65 jaar. Leeftijdsgroep 2, 26-40 jaar, heeft weer het minste vertrouwen met een gemiddelde van 3,91 wat men bereidt is te versturen naar de responder uit leeftijdsgroep 3. </w:t>
      </w:r>
    </w:p>
    <w:p w:rsidR="000E3DB3" w:rsidRDefault="000E3DB3" w:rsidP="005F0C9D">
      <w:pPr>
        <w:pStyle w:val="NoSpacing"/>
        <w:spacing w:line="360" w:lineRule="auto"/>
        <w:jc w:val="both"/>
        <w:rPr>
          <w:sz w:val="24"/>
          <w:szCs w:val="24"/>
        </w:rPr>
      </w:pPr>
      <w:r>
        <w:rPr>
          <w:sz w:val="24"/>
          <w:szCs w:val="24"/>
        </w:rPr>
        <w:lastRenderedPageBreak/>
        <w:t>De ANOVA toets is uitgev</w:t>
      </w:r>
      <w:r w:rsidR="00970304">
        <w:rPr>
          <w:sz w:val="24"/>
          <w:szCs w:val="24"/>
        </w:rPr>
        <w:t>oerd en is te zien in tabel 17</w:t>
      </w:r>
      <w:r>
        <w:rPr>
          <w:sz w:val="24"/>
          <w:szCs w:val="24"/>
        </w:rPr>
        <w:t>. Te zien is dat de nulhypothese n</w:t>
      </w:r>
      <w:r w:rsidR="000F08A8">
        <w:rPr>
          <w:sz w:val="24"/>
          <w:szCs w:val="24"/>
        </w:rPr>
        <w:t>iet verworpen kan worden omdat het significantieniveau 0,248 is en dit hoger is dan 0.05. De gemiddelden verschillen dus niet significant van elkaar.</w:t>
      </w:r>
    </w:p>
    <w:p w:rsidR="000F08A8" w:rsidRDefault="000F08A8" w:rsidP="005F0C9D">
      <w:pPr>
        <w:pStyle w:val="NoSpacing"/>
        <w:spacing w:line="360" w:lineRule="auto"/>
        <w:jc w:val="both"/>
        <w:rPr>
          <w:sz w:val="24"/>
          <w:szCs w:val="24"/>
        </w:rPr>
      </w:pPr>
    </w:p>
    <w:p w:rsidR="000F08A8" w:rsidRPr="00637C98" w:rsidRDefault="008B5809" w:rsidP="005F0C9D">
      <w:pPr>
        <w:pStyle w:val="Heading2"/>
        <w:spacing w:line="360" w:lineRule="auto"/>
        <w:jc w:val="both"/>
        <w:rPr>
          <w:rFonts w:asciiTheme="minorHAnsi" w:hAnsiTheme="minorHAnsi"/>
          <w:color w:val="auto"/>
          <w:sz w:val="24"/>
          <w:szCs w:val="24"/>
        </w:rPr>
      </w:pPr>
      <w:bookmarkStart w:id="15" w:name="_Toc421978471"/>
      <w:r>
        <w:rPr>
          <w:rFonts w:asciiTheme="minorHAnsi" w:hAnsiTheme="minorHAnsi"/>
          <w:color w:val="auto"/>
          <w:sz w:val="24"/>
          <w:szCs w:val="24"/>
        </w:rPr>
        <w:t>Enquête</w:t>
      </w:r>
      <w:r w:rsidR="000F08A8" w:rsidRPr="00637C98">
        <w:rPr>
          <w:rFonts w:asciiTheme="minorHAnsi" w:hAnsiTheme="minorHAnsi"/>
          <w:color w:val="auto"/>
          <w:sz w:val="24"/>
          <w:szCs w:val="24"/>
        </w:rPr>
        <w:t>vraag 5</w:t>
      </w:r>
      <w:bookmarkEnd w:id="15"/>
    </w:p>
    <w:p w:rsidR="000F08A8" w:rsidRDefault="000F08A8" w:rsidP="005F0C9D">
      <w:pPr>
        <w:pStyle w:val="NoSpacing"/>
        <w:spacing w:line="360" w:lineRule="auto"/>
        <w:jc w:val="both"/>
        <w:rPr>
          <w:sz w:val="24"/>
          <w:szCs w:val="24"/>
        </w:rPr>
      </w:pPr>
      <w:r>
        <w:rPr>
          <w:sz w:val="24"/>
          <w:szCs w:val="24"/>
        </w:rPr>
        <w:t xml:space="preserve">In de vijfde en laatste vraag van de </w:t>
      </w:r>
      <w:r w:rsidR="008B5809">
        <w:rPr>
          <w:sz w:val="24"/>
          <w:szCs w:val="24"/>
        </w:rPr>
        <w:t>enquête</w:t>
      </w:r>
      <w:r>
        <w:rPr>
          <w:sz w:val="24"/>
          <w:szCs w:val="24"/>
        </w:rPr>
        <w:t xml:space="preserve"> wordt er gekeken naar wat men bereidt is om af te staan aan de responder die in de leeftijdsgroep 65 plus valt. De gemiddelde bedragen van de verschillende leeftijdsgroepen zijn ook hier uitgerekend:</w:t>
      </w:r>
    </w:p>
    <w:p w:rsidR="000F08A8" w:rsidRDefault="000F08A8" w:rsidP="005F33C3">
      <w:pPr>
        <w:pStyle w:val="NoSpacing"/>
        <w:spacing w:line="360" w:lineRule="auto"/>
        <w:jc w:val="center"/>
        <w:rPr>
          <w:sz w:val="24"/>
          <w:szCs w:val="24"/>
        </w:rPr>
      </w:pPr>
      <w:r>
        <w:rPr>
          <w:noProof/>
          <w:sz w:val="24"/>
          <w:szCs w:val="24"/>
          <w:lang w:eastAsia="nl-NL"/>
        </w:rPr>
        <w:drawing>
          <wp:inline distT="0" distB="0" distL="0" distR="0">
            <wp:extent cx="3148330" cy="1716405"/>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srcRect/>
                    <a:stretch>
                      <a:fillRect/>
                    </a:stretch>
                  </pic:blipFill>
                  <pic:spPr bwMode="auto">
                    <a:xfrm>
                      <a:off x="0" y="0"/>
                      <a:ext cx="3148330" cy="1716405"/>
                    </a:xfrm>
                    <a:prstGeom prst="rect">
                      <a:avLst/>
                    </a:prstGeom>
                    <a:noFill/>
                    <a:ln w="9525">
                      <a:noFill/>
                      <a:miter lim="800000"/>
                      <a:headEnd/>
                      <a:tailEnd/>
                    </a:ln>
                  </pic:spPr>
                </pic:pic>
              </a:graphicData>
            </a:graphic>
          </wp:inline>
        </w:drawing>
      </w:r>
    </w:p>
    <w:p w:rsidR="00701D82" w:rsidRPr="00701D82" w:rsidRDefault="00701D82" w:rsidP="005F33C3">
      <w:pPr>
        <w:pStyle w:val="NoSpacing"/>
        <w:spacing w:line="360" w:lineRule="auto"/>
        <w:jc w:val="center"/>
        <w:rPr>
          <w:b/>
          <w:sz w:val="20"/>
          <w:szCs w:val="20"/>
        </w:rPr>
      </w:pPr>
      <w:r w:rsidRPr="00701D82">
        <w:rPr>
          <w:b/>
          <w:sz w:val="20"/>
          <w:szCs w:val="20"/>
        </w:rPr>
        <w:t>Figuur 5</w:t>
      </w:r>
    </w:p>
    <w:p w:rsidR="00135F43" w:rsidRDefault="000F08A8" w:rsidP="005F33C3">
      <w:pPr>
        <w:pStyle w:val="NoSpacing"/>
        <w:spacing w:line="360" w:lineRule="auto"/>
        <w:jc w:val="both"/>
        <w:rPr>
          <w:sz w:val="24"/>
          <w:szCs w:val="24"/>
        </w:rPr>
      </w:pPr>
      <w:r>
        <w:rPr>
          <w:sz w:val="24"/>
          <w:szCs w:val="24"/>
        </w:rPr>
        <w:t xml:space="preserve">Opvallend is dat hier vrij hoge gemiddelden zijn waar te nemen in vergelijking tot de gemiddelden van de vorige vragen. Te zien is dat leeftijdsgroep 2 alweer gemiddeld het minste wilt afstaan aan leeftijdsgroep 4, de 65 plussers. </w:t>
      </w:r>
      <w:r w:rsidR="00DF0568">
        <w:rPr>
          <w:sz w:val="24"/>
          <w:szCs w:val="24"/>
        </w:rPr>
        <w:t xml:space="preserve">En leeftijdsgroep 1, 15-25 jaar, is gemiddeld bereidt het meeste af te staan namelijk gemiddeld 6,47 euro. De ANOVA toets is ook hier uitgevoerd en de uitkomsten hiervan zijn te zien in de appendix </w:t>
      </w:r>
      <w:r w:rsidR="00970304">
        <w:rPr>
          <w:sz w:val="24"/>
          <w:szCs w:val="24"/>
        </w:rPr>
        <w:t>tabel 21</w:t>
      </w:r>
      <w:r w:rsidR="00DF0568">
        <w:rPr>
          <w:sz w:val="24"/>
          <w:szCs w:val="24"/>
        </w:rPr>
        <w:t xml:space="preserve">. Te zien is dat de nulhypothese van de ANOVA, er zijn geen significante verschillen tussen de gemiddelden die men verstuurd naar leeftijdsgroep 4, verworpen kan worden. Want het significantieniveau is 0.004 en dit is kleiner dan 0.05. Er is dus een significant verschil. Nu moeten we nog kijken waar het verschil zit. Dit </w:t>
      </w:r>
      <w:r w:rsidR="00421E9C">
        <w:rPr>
          <w:sz w:val="24"/>
          <w:szCs w:val="24"/>
        </w:rPr>
        <w:t>gebeurt</w:t>
      </w:r>
      <w:r w:rsidR="00DF0568">
        <w:rPr>
          <w:sz w:val="24"/>
          <w:szCs w:val="24"/>
        </w:rPr>
        <w:t xml:space="preserve"> weer aan de hand van een post-hoc test. Er is gekozen om een andere test te doen dan de </w:t>
      </w:r>
      <w:r w:rsidR="008B5809">
        <w:rPr>
          <w:sz w:val="24"/>
          <w:szCs w:val="24"/>
        </w:rPr>
        <w:t>Tukey</w:t>
      </w:r>
      <w:r w:rsidR="00DF0568">
        <w:rPr>
          <w:sz w:val="24"/>
          <w:szCs w:val="24"/>
        </w:rPr>
        <w:t xml:space="preserve"> test, namelijk de Games-Howell test. Dit komt omdat de </w:t>
      </w:r>
      <w:r w:rsidR="008B5809">
        <w:rPr>
          <w:sz w:val="24"/>
          <w:szCs w:val="24"/>
        </w:rPr>
        <w:t>Tukey</w:t>
      </w:r>
      <w:r w:rsidR="00DF0568">
        <w:rPr>
          <w:sz w:val="24"/>
          <w:szCs w:val="24"/>
        </w:rPr>
        <w:t xml:space="preserve"> test er vanuit gaat dat de varianties gelijk zijn. Uit de Levene te</w:t>
      </w:r>
      <w:r w:rsidR="009A4473">
        <w:rPr>
          <w:sz w:val="24"/>
          <w:szCs w:val="24"/>
        </w:rPr>
        <w:t>st</w:t>
      </w:r>
      <w:r w:rsidR="00970304">
        <w:rPr>
          <w:sz w:val="24"/>
          <w:szCs w:val="24"/>
        </w:rPr>
        <w:t>, te zien in tabel 23,</w:t>
      </w:r>
      <w:r w:rsidR="009A4473">
        <w:rPr>
          <w:sz w:val="24"/>
          <w:szCs w:val="24"/>
        </w:rPr>
        <w:t xml:space="preserve"> waarbij de</w:t>
      </w:r>
      <w:r w:rsidR="00DF0568">
        <w:rPr>
          <w:sz w:val="24"/>
          <w:szCs w:val="24"/>
        </w:rPr>
        <w:t xml:space="preserve"> H0 </w:t>
      </w:r>
      <w:r w:rsidR="009A4473">
        <w:rPr>
          <w:sz w:val="24"/>
          <w:szCs w:val="24"/>
        </w:rPr>
        <w:t>is</w:t>
      </w:r>
      <w:r w:rsidR="00DF0568">
        <w:rPr>
          <w:sz w:val="24"/>
          <w:szCs w:val="24"/>
        </w:rPr>
        <w:t xml:space="preserve"> dat de varianties gelijk zijn</w:t>
      </w:r>
      <w:r w:rsidR="00970304">
        <w:rPr>
          <w:sz w:val="24"/>
          <w:szCs w:val="24"/>
        </w:rPr>
        <w:t xml:space="preserve"> blijkt dat de p-waarde</w:t>
      </w:r>
      <w:r w:rsidR="009A4473">
        <w:rPr>
          <w:sz w:val="24"/>
          <w:szCs w:val="24"/>
        </w:rPr>
        <w:t xml:space="preserve"> 0,031 is. Dit is kleiner dan 0.05 en dus wordt de nulhypothese verworpen. De varianties zijn ongelijk. Bij de Games-Howell post-hoc test is een van de aannames dat de varianties ongelijk zijn en daarom is er dus gekozen voor deze test.</w:t>
      </w:r>
      <w:r w:rsidR="00421E9C">
        <w:rPr>
          <w:sz w:val="24"/>
          <w:szCs w:val="24"/>
        </w:rPr>
        <w:t xml:space="preserve"> </w:t>
      </w:r>
      <w:r w:rsidR="00970304">
        <w:rPr>
          <w:sz w:val="24"/>
          <w:szCs w:val="24"/>
        </w:rPr>
        <w:t>De test is te zien in tabel 24.</w:t>
      </w:r>
    </w:p>
    <w:p w:rsidR="009A4473" w:rsidRDefault="009A4473" w:rsidP="005F33C3">
      <w:pPr>
        <w:pStyle w:val="NoSpacing"/>
        <w:spacing w:line="360" w:lineRule="auto"/>
        <w:jc w:val="both"/>
        <w:rPr>
          <w:sz w:val="24"/>
          <w:szCs w:val="24"/>
        </w:rPr>
      </w:pPr>
      <w:r>
        <w:rPr>
          <w:sz w:val="24"/>
          <w:szCs w:val="24"/>
        </w:rPr>
        <w:lastRenderedPageBreak/>
        <w:t xml:space="preserve">Als er gekeken wordt waar het verschil precies zit kunnen </w:t>
      </w:r>
      <w:r w:rsidR="000538E1">
        <w:rPr>
          <w:sz w:val="24"/>
          <w:szCs w:val="24"/>
        </w:rPr>
        <w:t xml:space="preserve">we kijken naar de nulhypotheses die wel of niet verworpen moeten worden. Als we kijken of er een significant verschil is tussen leeftijdsgroep 1 en 2, 15-25 jaar en 26-40 jaar, zien we dat de nulhypothese: </w:t>
      </w:r>
      <w:r w:rsidR="001D0EA0">
        <w:rPr>
          <w:sz w:val="24"/>
          <w:szCs w:val="24"/>
        </w:rPr>
        <w:t>‘</w:t>
      </w:r>
      <w:r w:rsidR="000538E1">
        <w:rPr>
          <w:sz w:val="24"/>
          <w:szCs w:val="24"/>
        </w:rPr>
        <w:t>er is geen significant verschil tussen het bedrag dat leeftijdsgroep 1 en 2 versturen naar leeftijdsgroep 4</w:t>
      </w:r>
      <w:r w:rsidR="001D0EA0">
        <w:rPr>
          <w:sz w:val="24"/>
          <w:szCs w:val="24"/>
        </w:rPr>
        <w:t>’ ver</w:t>
      </w:r>
      <w:r w:rsidR="00421E9C">
        <w:rPr>
          <w:sz w:val="24"/>
          <w:szCs w:val="24"/>
        </w:rPr>
        <w:t xml:space="preserve">worpen moet worden omdat de p-waarde 0,022 en dit kleiner is dan </w:t>
      </w:r>
      <w:r w:rsidR="001D0EA0">
        <w:rPr>
          <w:sz w:val="24"/>
          <w:szCs w:val="24"/>
        </w:rPr>
        <w:t xml:space="preserve">0.05. </w:t>
      </w:r>
    </w:p>
    <w:p w:rsidR="001D0EA0" w:rsidRDefault="001D0EA0" w:rsidP="005F33C3">
      <w:pPr>
        <w:pStyle w:val="NoSpacing"/>
        <w:spacing w:line="360" w:lineRule="auto"/>
        <w:jc w:val="both"/>
        <w:rPr>
          <w:sz w:val="24"/>
          <w:szCs w:val="24"/>
        </w:rPr>
      </w:pPr>
      <w:r>
        <w:rPr>
          <w:sz w:val="24"/>
          <w:szCs w:val="24"/>
        </w:rPr>
        <w:t>Als we kijken naar het verschil tussen leeftijdsgroep 1 en 3 zien we weer dat de nulhypothese ve</w:t>
      </w:r>
      <w:r w:rsidR="00421E9C">
        <w:rPr>
          <w:sz w:val="24"/>
          <w:szCs w:val="24"/>
        </w:rPr>
        <w:t>rworpen moet worden. Want de p-waarde i</w:t>
      </w:r>
      <w:r>
        <w:rPr>
          <w:sz w:val="24"/>
          <w:szCs w:val="24"/>
        </w:rPr>
        <w:t xml:space="preserve">s 0.017&lt;0.05. Dus ook hier is er een significant verschil tussen de gemiddeld verstuurde bedragen van de leeftijdsgroepen. Uit de test blijkt verder dat er geen significant verschil is tussen leeftijdsgroep 1 en 4 wat betreft het bedrag dat zij versturen naar leeftijdsgroep 4. </w:t>
      </w:r>
    </w:p>
    <w:p w:rsidR="001D0EA0" w:rsidRDefault="001D0EA0" w:rsidP="005F33C3">
      <w:pPr>
        <w:pStyle w:val="NoSpacing"/>
        <w:spacing w:line="360" w:lineRule="auto"/>
        <w:jc w:val="both"/>
        <w:rPr>
          <w:sz w:val="24"/>
          <w:szCs w:val="24"/>
        </w:rPr>
      </w:pPr>
      <w:r>
        <w:rPr>
          <w:sz w:val="24"/>
          <w:szCs w:val="24"/>
        </w:rPr>
        <w:t xml:space="preserve">Er zijn verder ook geen significante verschillen meer tussen de groepen en de bedragen die zijn verstuurd naar leeftijdsgroep 4. De enige significante verschillen zijn dus tussen leeftijdsgroep 1 en 2 en leeftijdsgroep 1 en 3. Als we </w:t>
      </w:r>
      <w:r w:rsidR="00563D90">
        <w:rPr>
          <w:sz w:val="24"/>
          <w:szCs w:val="24"/>
        </w:rPr>
        <w:t xml:space="preserve">kijken naar de gemiddelden in </w:t>
      </w:r>
      <w:r>
        <w:rPr>
          <w:sz w:val="24"/>
          <w:szCs w:val="24"/>
        </w:rPr>
        <w:t xml:space="preserve">figuur </w:t>
      </w:r>
      <w:r w:rsidR="00563D90">
        <w:rPr>
          <w:sz w:val="24"/>
          <w:szCs w:val="24"/>
        </w:rPr>
        <w:t xml:space="preserve">5 </w:t>
      </w:r>
      <w:r>
        <w:rPr>
          <w:sz w:val="24"/>
          <w:szCs w:val="24"/>
        </w:rPr>
        <w:t xml:space="preserve">kunnen we dus concluderen dat leeftijdsgroep 1 een significant hoger gemiddeld bedrag </w:t>
      </w:r>
      <w:r w:rsidR="0014157F">
        <w:rPr>
          <w:sz w:val="24"/>
          <w:szCs w:val="24"/>
        </w:rPr>
        <w:t>verstuurt</w:t>
      </w:r>
      <w:r>
        <w:rPr>
          <w:sz w:val="24"/>
          <w:szCs w:val="24"/>
        </w:rPr>
        <w:t xml:space="preserve"> dan leeftijdsgroep 2 en 3 naar leeftijdsgroep 4.  </w:t>
      </w:r>
      <w:r w:rsidR="00D47B90">
        <w:rPr>
          <w:sz w:val="24"/>
          <w:szCs w:val="24"/>
        </w:rPr>
        <w:t xml:space="preserve">En dus heeft leeftijdsgroep 1 significant meer vertrouwen in leeftijdsgroep 4 dan leeftijdsgroep 2 en 3. </w:t>
      </w:r>
    </w:p>
    <w:p w:rsidR="00D47B90" w:rsidRDefault="00D47B90" w:rsidP="005F33C3">
      <w:pPr>
        <w:pStyle w:val="NoSpacing"/>
        <w:spacing w:line="360" w:lineRule="auto"/>
        <w:jc w:val="both"/>
        <w:rPr>
          <w:sz w:val="24"/>
          <w:szCs w:val="24"/>
        </w:rPr>
      </w:pPr>
    </w:p>
    <w:p w:rsidR="00D47B90" w:rsidRPr="00637C98" w:rsidRDefault="00701D82" w:rsidP="00637C98">
      <w:pPr>
        <w:pStyle w:val="Heading2"/>
        <w:spacing w:line="360" w:lineRule="auto"/>
        <w:rPr>
          <w:rFonts w:asciiTheme="minorHAnsi" w:hAnsiTheme="minorHAnsi"/>
          <w:color w:val="auto"/>
          <w:sz w:val="24"/>
          <w:szCs w:val="24"/>
        </w:rPr>
      </w:pPr>
      <w:bookmarkStart w:id="16" w:name="_Toc421978472"/>
      <w:r w:rsidRPr="00637C98">
        <w:rPr>
          <w:rFonts w:asciiTheme="minorHAnsi" w:hAnsiTheme="minorHAnsi"/>
          <w:color w:val="auto"/>
          <w:sz w:val="24"/>
          <w:szCs w:val="24"/>
        </w:rPr>
        <w:t>Overige bevindingen</w:t>
      </w:r>
      <w:bookmarkEnd w:id="16"/>
    </w:p>
    <w:p w:rsidR="00701D82" w:rsidRDefault="007F52D3" w:rsidP="00637C98">
      <w:pPr>
        <w:pStyle w:val="NoSpacing"/>
        <w:spacing w:line="360" w:lineRule="auto"/>
        <w:jc w:val="both"/>
        <w:rPr>
          <w:sz w:val="24"/>
          <w:szCs w:val="24"/>
        </w:rPr>
      </w:pPr>
      <w:r>
        <w:rPr>
          <w:sz w:val="24"/>
          <w:szCs w:val="24"/>
        </w:rPr>
        <w:t xml:space="preserve">Wat opvalt is dat in figuur 2 tot en met </w:t>
      </w:r>
      <w:r w:rsidR="009E2C87">
        <w:rPr>
          <w:sz w:val="24"/>
          <w:szCs w:val="24"/>
        </w:rPr>
        <w:t xml:space="preserve">figuur </w:t>
      </w:r>
      <w:r>
        <w:rPr>
          <w:sz w:val="24"/>
          <w:szCs w:val="24"/>
        </w:rPr>
        <w:t xml:space="preserve">5 het totale gemiddelde </w:t>
      </w:r>
      <w:r w:rsidR="0014157F">
        <w:rPr>
          <w:sz w:val="24"/>
          <w:szCs w:val="24"/>
        </w:rPr>
        <w:t>toeneemt</w:t>
      </w:r>
      <w:r>
        <w:rPr>
          <w:sz w:val="24"/>
          <w:szCs w:val="24"/>
        </w:rPr>
        <w:t>. Het totale gemiddelde van figuur 2 is 3,33 en dit loopt op tot in figuur 5 waar het totale gemiddelde 5,35 is.</w:t>
      </w:r>
      <w:r w:rsidR="009E2C87">
        <w:rPr>
          <w:sz w:val="24"/>
          <w:szCs w:val="24"/>
        </w:rPr>
        <w:t xml:space="preserve"> </w:t>
      </w:r>
      <w:r w:rsidR="002123B5">
        <w:rPr>
          <w:sz w:val="24"/>
          <w:szCs w:val="24"/>
        </w:rPr>
        <w:t xml:space="preserve">Men geeft dus in totaal gemiddeld het meest aan de leeftijdsgroep 4, de 65 plussers, en het minst aan leeftijdsgroep 1, 15-25 jaar. </w:t>
      </w:r>
    </w:p>
    <w:p w:rsidR="00C10236" w:rsidRDefault="005D6551" w:rsidP="005F33C3">
      <w:pPr>
        <w:pStyle w:val="NoSpacing"/>
        <w:spacing w:line="360" w:lineRule="auto"/>
        <w:jc w:val="both"/>
        <w:rPr>
          <w:sz w:val="24"/>
          <w:szCs w:val="24"/>
        </w:rPr>
      </w:pPr>
      <w:r>
        <w:rPr>
          <w:sz w:val="24"/>
          <w:szCs w:val="24"/>
        </w:rPr>
        <w:t xml:space="preserve">Per leeftijdsgroep is er ook nog gekeken naar het gemiddelde bedrag dat per groep is verstuurd naar alle andere groepen. In de appendix </w:t>
      </w:r>
      <w:r w:rsidR="00563D90">
        <w:rPr>
          <w:sz w:val="24"/>
          <w:szCs w:val="24"/>
        </w:rPr>
        <w:t xml:space="preserve">tabel 2 </w:t>
      </w:r>
      <w:r>
        <w:rPr>
          <w:sz w:val="24"/>
          <w:szCs w:val="24"/>
        </w:rPr>
        <w:t xml:space="preserve">is te zien dat leeftijdsgroep 1, de 15-25 jarigen, een gemiddeld bedrag </w:t>
      </w:r>
      <w:r w:rsidR="0014157F">
        <w:rPr>
          <w:sz w:val="24"/>
          <w:szCs w:val="24"/>
        </w:rPr>
        <w:t>verstuurt</w:t>
      </w:r>
      <w:r>
        <w:rPr>
          <w:sz w:val="24"/>
          <w:szCs w:val="24"/>
        </w:rPr>
        <w:t xml:space="preserve"> van 4,7708. Dit is een gemiddelde van alle bedragen die er verstuurd zijn naar groep 1,</w:t>
      </w:r>
      <w:r w:rsidR="00421E9C">
        <w:rPr>
          <w:sz w:val="24"/>
          <w:szCs w:val="24"/>
        </w:rPr>
        <w:t xml:space="preserve"> </w:t>
      </w:r>
      <w:r>
        <w:rPr>
          <w:sz w:val="24"/>
          <w:szCs w:val="24"/>
        </w:rPr>
        <w:t>2,</w:t>
      </w:r>
      <w:r w:rsidR="00421E9C">
        <w:rPr>
          <w:sz w:val="24"/>
          <w:szCs w:val="24"/>
        </w:rPr>
        <w:t xml:space="preserve"> </w:t>
      </w:r>
      <w:r>
        <w:rPr>
          <w:sz w:val="24"/>
          <w:szCs w:val="24"/>
        </w:rPr>
        <w:t>3 en 4. Voor leeftijdsgroep 2, 26-40 jaar, is dit gemiddelde 3,5978</w:t>
      </w:r>
      <w:r w:rsidR="00563D90">
        <w:rPr>
          <w:sz w:val="24"/>
          <w:szCs w:val="24"/>
        </w:rPr>
        <w:t xml:space="preserve"> (tabel 4)</w:t>
      </w:r>
      <w:r>
        <w:rPr>
          <w:sz w:val="24"/>
          <w:szCs w:val="24"/>
        </w:rPr>
        <w:t xml:space="preserve">. Voor leeftijdsgroep 3, 41-60 jaar, is het gemiddelde </w:t>
      </w:r>
      <w:r w:rsidR="00135F43">
        <w:rPr>
          <w:sz w:val="24"/>
          <w:szCs w:val="24"/>
        </w:rPr>
        <w:t>4,1949</w:t>
      </w:r>
      <w:r w:rsidR="00563D90">
        <w:rPr>
          <w:sz w:val="24"/>
          <w:szCs w:val="24"/>
        </w:rPr>
        <w:t xml:space="preserve"> (tabel 6)</w:t>
      </w:r>
      <w:r w:rsidR="00135F43">
        <w:rPr>
          <w:sz w:val="24"/>
          <w:szCs w:val="24"/>
        </w:rPr>
        <w:t>. En voor leeftijdsgroep 4, 65 plus, is het gemiddelde 5,0667</w:t>
      </w:r>
      <w:r w:rsidR="00563D90">
        <w:rPr>
          <w:sz w:val="24"/>
          <w:szCs w:val="24"/>
        </w:rPr>
        <w:t xml:space="preserve"> (tabel 8)</w:t>
      </w:r>
      <w:r w:rsidR="00135F43">
        <w:rPr>
          <w:sz w:val="24"/>
          <w:szCs w:val="24"/>
        </w:rPr>
        <w:t xml:space="preserve">. </w:t>
      </w:r>
      <w:r>
        <w:rPr>
          <w:sz w:val="24"/>
          <w:szCs w:val="24"/>
        </w:rPr>
        <w:t xml:space="preserve"> </w:t>
      </w:r>
    </w:p>
    <w:p w:rsidR="00C10236" w:rsidRDefault="00C10236" w:rsidP="005F33C3">
      <w:pPr>
        <w:jc w:val="both"/>
        <w:rPr>
          <w:sz w:val="24"/>
          <w:szCs w:val="24"/>
        </w:rPr>
      </w:pPr>
      <w:r>
        <w:rPr>
          <w:sz w:val="24"/>
          <w:szCs w:val="24"/>
        </w:rPr>
        <w:br w:type="page"/>
      </w:r>
    </w:p>
    <w:p w:rsidR="005D6551" w:rsidRPr="00277696" w:rsidRDefault="00C10236" w:rsidP="00637C98">
      <w:pPr>
        <w:pStyle w:val="Heading1"/>
        <w:spacing w:line="360" w:lineRule="auto"/>
        <w:rPr>
          <w:rFonts w:asciiTheme="minorHAnsi" w:hAnsiTheme="minorHAnsi"/>
          <w:color w:val="auto"/>
          <w:lang w:val="nl-NL"/>
        </w:rPr>
      </w:pPr>
      <w:bookmarkStart w:id="17" w:name="_Toc421978473"/>
      <w:r w:rsidRPr="00277696">
        <w:rPr>
          <w:rFonts w:asciiTheme="minorHAnsi" w:hAnsiTheme="minorHAnsi"/>
          <w:color w:val="auto"/>
          <w:lang w:val="nl-NL"/>
        </w:rPr>
        <w:lastRenderedPageBreak/>
        <w:t>Conclusie en discussie</w:t>
      </w:r>
      <w:bookmarkEnd w:id="17"/>
    </w:p>
    <w:p w:rsidR="00CF6041" w:rsidRDefault="00C10236" w:rsidP="005F0C9D">
      <w:pPr>
        <w:pStyle w:val="NoSpacing"/>
        <w:spacing w:line="360" w:lineRule="auto"/>
        <w:jc w:val="both"/>
        <w:rPr>
          <w:sz w:val="24"/>
          <w:szCs w:val="24"/>
        </w:rPr>
      </w:pPr>
      <w:r>
        <w:rPr>
          <w:sz w:val="24"/>
          <w:szCs w:val="24"/>
        </w:rPr>
        <w:t>In de vorige hoofdstukken zijn er hypothese</w:t>
      </w:r>
      <w:r w:rsidR="00CF6041">
        <w:rPr>
          <w:sz w:val="24"/>
          <w:szCs w:val="24"/>
        </w:rPr>
        <w:t>s</w:t>
      </w:r>
      <w:r>
        <w:rPr>
          <w:sz w:val="24"/>
          <w:szCs w:val="24"/>
        </w:rPr>
        <w:t xml:space="preserve"> geformuleerd en is er een onderzoeksvraag opgesteld. De relevante theorie is besproken en er is vervolgens data gepresenteerd en geanalyseerd. In dit hoofdstuk zal er geprobeerd worden antwoord te geven op de hypotheses en op de onderzoeksvraag. Vervolgens zal er gekeken worden naar de kwaliteit van het onderzoek en zullen er verbeterpunten worden genoemd die bij kunnen dragen aan </w:t>
      </w:r>
      <w:r w:rsidR="00563D90">
        <w:rPr>
          <w:sz w:val="24"/>
          <w:szCs w:val="24"/>
        </w:rPr>
        <w:t xml:space="preserve">mogelijk </w:t>
      </w:r>
      <w:r>
        <w:rPr>
          <w:sz w:val="24"/>
          <w:szCs w:val="24"/>
        </w:rPr>
        <w:t xml:space="preserve">vervolgonderzoek. </w:t>
      </w:r>
    </w:p>
    <w:p w:rsidR="00CF6041" w:rsidRDefault="00CF6041" w:rsidP="005F0C9D">
      <w:pPr>
        <w:pStyle w:val="NoSpacing"/>
        <w:spacing w:line="360" w:lineRule="auto"/>
        <w:jc w:val="both"/>
        <w:rPr>
          <w:sz w:val="24"/>
          <w:szCs w:val="24"/>
        </w:rPr>
      </w:pPr>
    </w:p>
    <w:p w:rsidR="00C10236" w:rsidRPr="00637C98" w:rsidRDefault="00CF6041" w:rsidP="005F0C9D">
      <w:pPr>
        <w:pStyle w:val="Heading2"/>
        <w:spacing w:line="360" w:lineRule="auto"/>
        <w:jc w:val="both"/>
        <w:rPr>
          <w:rFonts w:asciiTheme="minorHAnsi" w:hAnsiTheme="minorHAnsi"/>
          <w:color w:val="auto"/>
          <w:sz w:val="24"/>
          <w:szCs w:val="24"/>
        </w:rPr>
      </w:pPr>
      <w:bookmarkStart w:id="18" w:name="_Toc421978474"/>
      <w:r w:rsidRPr="00637C98">
        <w:rPr>
          <w:rFonts w:asciiTheme="minorHAnsi" w:hAnsiTheme="minorHAnsi"/>
          <w:color w:val="auto"/>
          <w:sz w:val="24"/>
          <w:szCs w:val="24"/>
        </w:rPr>
        <w:t>Beantwoording hypotheses</w:t>
      </w:r>
      <w:bookmarkEnd w:id="18"/>
      <w:r w:rsidR="00C10236" w:rsidRPr="00637C98">
        <w:rPr>
          <w:rFonts w:asciiTheme="minorHAnsi" w:hAnsiTheme="minorHAnsi"/>
          <w:color w:val="auto"/>
          <w:sz w:val="24"/>
          <w:szCs w:val="24"/>
        </w:rPr>
        <w:t xml:space="preserve"> </w:t>
      </w:r>
    </w:p>
    <w:p w:rsidR="00440179" w:rsidRPr="005F0C9D" w:rsidRDefault="00440179" w:rsidP="005F0C9D">
      <w:pPr>
        <w:pStyle w:val="NoSpacing"/>
        <w:spacing w:line="360" w:lineRule="auto"/>
        <w:jc w:val="both"/>
        <w:rPr>
          <w:sz w:val="24"/>
          <w:szCs w:val="24"/>
        </w:rPr>
      </w:pPr>
      <w:r w:rsidRPr="005F0C9D">
        <w:rPr>
          <w:sz w:val="24"/>
          <w:szCs w:val="24"/>
        </w:rPr>
        <w:t>De eerste hypothese luidt:</w:t>
      </w:r>
    </w:p>
    <w:p w:rsidR="00440179" w:rsidRPr="005F0C9D" w:rsidRDefault="00440179" w:rsidP="005F0C9D">
      <w:pPr>
        <w:pStyle w:val="NoSpacing"/>
        <w:spacing w:line="360" w:lineRule="auto"/>
        <w:jc w:val="both"/>
        <w:rPr>
          <w:i/>
          <w:sz w:val="24"/>
          <w:szCs w:val="24"/>
        </w:rPr>
      </w:pPr>
      <w:r w:rsidRPr="005F0C9D">
        <w:rPr>
          <w:i/>
          <w:sz w:val="24"/>
          <w:szCs w:val="24"/>
        </w:rPr>
        <w:t>‘De oudste leeftijdsgroep, de 65 plussers, zullen gemiddeld het meeste vertrouwen hebben in</w:t>
      </w:r>
      <w:r w:rsidR="006B5E3E" w:rsidRPr="005F0C9D">
        <w:rPr>
          <w:i/>
          <w:sz w:val="24"/>
          <w:szCs w:val="24"/>
        </w:rPr>
        <w:t xml:space="preserve"> alle</w:t>
      </w:r>
      <w:r w:rsidRPr="005F0C9D">
        <w:rPr>
          <w:i/>
          <w:sz w:val="24"/>
          <w:szCs w:val="24"/>
        </w:rPr>
        <w:t xml:space="preserve"> andere leeftijdsgroepen’</w:t>
      </w:r>
    </w:p>
    <w:p w:rsidR="006B5E3E" w:rsidRPr="005F0C9D" w:rsidRDefault="00440179" w:rsidP="005F0C9D">
      <w:pPr>
        <w:pStyle w:val="NoSpacing"/>
        <w:spacing w:line="360" w:lineRule="auto"/>
        <w:jc w:val="both"/>
        <w:rPr>
          <w:sz w:val="24"/>
          <w:szCs w:val="24"/>
        </w:rPr>
      </w:pPr>
      <w:r w:rsidRPr="005F0C9D">
        <w:rPr>
          <w:sz w:val="24"/>
          <w:szCs w:val="24"/>
        </w:rPr>
        <w:t xml:space="preserve">Als we gaan kijken naar de gemiddelden die de leeftijdsgroepen hebben zien we dat de 65 plussers in </w:t>
      </w:r>
      <w:r w:rsidR="006B5E3E" w:rsidRPr="005F0C9D">
        <w:rPr>
          <w:sz w:val="24"/>
          <w:szCs w:val="24"/>
        </w:rPr>
        <w:t>de leeftijds</w:t>
      </w:r>
      <w:r w:rsidRPr="005F0C9D">
        <w:rPr>
          <w:sz w:val="24"/>
          <w:szCs w:val="24"/>
        </w:rPr>
        <w:t>groep 1,2 en 3 het meeste vertrouwen hebben aangezien zij bij die drie groepen gemiddeld de hoogste bedragen verstuurden. Bij het vertrouwen in leeftijdsgroep 4 hebben de 65 plussers echter niet het hoogst gescoord. Hier is het de leeftijdsgroep 1 die het meeste vertrouwen heeft in leeftijdsgroep 4, 65 plus.</w:t>
      </w:r>
      <w:r w:rsidR="006B5E3E" w:rsidRPr="005F0C9D">
        <w:rPr>
          <w:sz w:val="24"/>
          <w:szCs w:val="24"/>
        </w:rPr>
        <w:t xml:space="preserve"> Desalniettemin hebben de 65 plussers gemiddeld het meeste vertrouwen in alle leeftijdsgroepen. Dit is te zien in de appendix</w:t>
      </w:r>
      <w:r w:rsidR="00563D90" w:rsidRPr="005F0C9D">
        <w:rPr>
          <w:sz w:val="24"/>
          <w:szCs w:val="24"/>
        </w:rPr>
        <w:t xml:space="preserve"> (tabel 2,4,6,8)</w:t>
      </w:r>
      <w:r w:rsidR="006B5E3E" w:rsidRPr="005F0C9D">
        <w:rPr>
          <w:sz w:val="24"/>
          <w:szCs w:val="24"/>
        </w:rPr>
        <w:t xml:space="preserve"> waar een gemiddelde genomen is van het totale vertrouwen dat de groepen hebben. Met een waarde van 5.0667 zijn de 65 plussers het meest vertrouwend aangezien zij gemiddeld het grootste deel van hun initiële 10 euro versturen naar de proposer. Daarom wordt deze hypothese aangenomen.</w:t>
      </w:r>
    </w:p>
    <w:p w:rsidR="00B54923" w:rsidRPr="005F0C9D" w:rsidRDefault="00B54923" w:rsidP="005F0C9D">
      <w:pPr>
        <w:pStyle w:val="NoSpacing"/>
        <w:spacing w:line="360" w:lineRule="auto"/>
        <w:jc w:val="both"/>
        <w:rPr>
          <w:sz w:val="24"/>
          <w:szCs w:val="24"/>
        </w:rPr>
      </w:pPr>
    </w:p>
    <w:p w:rsidR="00B54923" w:rsidRPr="005F0C9D" w:rsidRDefault="00B54923" w:rsidP="005F0C9D">
      <w:pPr>
        <w:pStyle w:val="NoSpacing"/>
        <w:spacing w:line="360" w:lineRule="auto"/>
        <w:jc w:val="both"/>
        <w:rPr>
          <w:sz w:val="24"/>
          <w:szCs w:val="24"/>
        </w:rPr>
      </w:pPr>
      <w:r w:rsidRPr="005F0C9D">
        <w:rPr>
          <w:sz w:val="24"/>
          <w:szCs w:val="24"/>
        </w:rPr>
        <w:t xml:space="preserve">De tweede hypothese </w:t>
      </w:r>
      <w:r w:rsidR="00563D90" w:rsidRPr="005F0C9D">
        <w:rPr>
          <w:sz w:val="24"/>
          <w:szCs w:val="24"/>
        </w:rPr>
        <w:t>luidt</w:t>
      </w:r>
      <w:r w:rsidRPr="005F0C9D">
        <w:rPr>
          <w:sz w:val="24"/>
          <w:szCs w:val="24"/>
        </w:rPr>
        <w:t xml:space="preserve">: </w:t>
      </w:r>
    </w:p>
    <w:p w:rsidR="00B54923" w:rsidRPr="005F0C9D" w:rsidRDefault="00B54923" w:rsidP="005F0C9D">
      <w:pPr>
        <w:pStyle w:val="NoSpacing"/>
        <w:spacing w:line="360" w:lineRule="auto"/>
        <w:jc w:val="both"/>
        <w:rPr>
          <w:i/>
          <w:sz w:val="24"/>
          <w:szCs w:val="24"/>
        </w:rPr>
      </w:pPr>
      <w:r w:rsidRPr="005F0C9D">
        <w:rPr>
          <w:i/>
          <w:sz w:val="24"/>
          <w:szCs w:val="24"/>
        </w:rPr>
        <w:t xml:space="preserve">‘Van alle leeftijdsgroepen </w:t>
      </w:r>
      <w:r w:rsidR="00A62549" w:rsidRPr="005F0C9D">
        <w:rPr>
          <w:i/>
          <w:sz w:val="24"/>
          <w:szCs w:val="24"/>
        </w:rPr>
        <w:t>vertrouwt</w:t>
      </w:r>
      <w:r w:rsidRPr="005F0C9D">
        <w:rPr>
          <w:i/>
          <w:sz w:val="24"/>
          <w:szCs w:val="24"/>
        </w:rPr>
        <w:t xml:space="preserve"> men de 65 plussers gemiddeld het meest’</w:t>
      </w:r>
    </w:p>
    <w:p w:rsidR="00B54923" w:rsidRPr="005F0C9D" w:rsidRDefault="000F47BA" w:rsidP="005F0C9D">
      <w:pPr>
        <w:pStyle w:val="NoSpacing"/>
        <w:spacing w:line="360" w:lineRule="auto"/>
        <w:jc w:val="both"/>
        <w:rPr>
          <w:sz w:val="24"/>
          <w:szCs w:val="24"/>
        </w:rPr>
      </w:pPr>
      <w:r w:rsidRPr="005F0C9D">
        <w:rPr>
          <w:sz w:val="24"/>
          <w:szCs w:val="24"/>
        </w:rPr>
        <w:t>Om het antwoord op deze hypothese te vinden kunnen we kijken naar figuur 2 tot en met 5. Waar het om gaat in de figuren is om het de ‘Total mean’ onderaan de figuur. Hier is te zien hoeveel er gemiddeld van alle l</w:t>
      </w:r>
      <w:r w:rsidR="0014157F" w:rsidRPr="005F0C9D">
        <w:rPr>
          <w:sz w:val="24"/>
          <w:szCs w:val="24"/>
        </w:rPr>
        <w:t>eeftijdsgroepen wordt afgestaan</w:t>
      </w:r>
      <w:r w:rsidRPr="005F0C9D">
        <w:rPr>
          <w:sz w:val="24"/>
          <w:szCs w:val="24"/>
        </w:rPr>
        <w:t xml:space="preserve"> aan de desbetreffende leeftijdsgroep. Zo is te zien dat aan leeftijdsgroep 1, de 15-25 jarigen, het gemiddelde bedrag van alle leeftijdsgroepen tezamen 3,33 euro is. Wanneer we naar figuur 3 kijken is er te zien dat men aan groep 2, de 26-40 jarigen, gemiddeld 4,12 euro wordt verstuurd. Hetzelfde</w:t>
      </w:r>
      <w:r>
        <w:rPr>
          <w:sz w:val="24"/>
          <w:szCs w:val="24"/>
        </w:rPr>
        <w:t xml:space="preserve"> </w:t>
      </w:r>
      <w:r w:rsidRPr="005F0C9D">
        <w:rPr>
          <w:sz w:val="24"/>
          <w:szCs w:val="24"/>
        </w:rPr>
        <w:lastRenderedPageBreak/>
        <w:t xml:space="preserve">doen we bij figuur 4 waar het vertrouwen in leeftijdsgroep 3, de 41-65 jarigen, wordt weergegeven. Te zien is dat het gemiddelde bedrag hier 4,79 euro is. En tot slot voor de 65 plussers is het gemiddelde bedrag te zien in figuur 5. Dit is 5,35 euro. Gemiddeld wordt er dus het meeste geld verstuurd door alle andere leeftijdsgroepen naar leeftijdsgroep 4, de 65 plussers. Dit impliceert dat men gemiddeld deze leeftijdsgroep het meeste vertrouwd aangezien het hoogste bedrag naar deze groep wordt verzonden. En daarom kan de hypothese die is opgesteld worden aangenomen. Men </w:t>
      </w:r>
      <w:r w:rsidR="00A62549" w:rsidRPr="005F0C9D">
        <w:rPr>
          <w:sz w:val="24"/>
          <w:szCs w:val="24"/>
        </w:rPr>
        <w:t>vertrouwt</w:t>
      </w:r>
      <w:r w:rsidRPr="005F0C9D">
        <w:rPr>
          <w:sz w:val="24"/>
          <w:szCs w:val="24"/>
        </w:rPr>
        <w:t xml:space="preserve"> gemiddeld de leeftijdsgroep 65 plus het meest.</w:t>
      </w:r>
    </w:p>
    <w:p w:rsidR="000F47BA" w:rsidRPr="005F0C9D" w:rsidRDefault="000F47BA" w:rsidP="005F33C3">
      <w:pPr>
        <w:pStyle w:val="NoSpacing"/>
        <w:spacing w:line="360" w:lineRule="auto"/>
        <w:jc w:val="both"/>
        <w:rPr>
          <w:sz w:val="24"/>
          <w:szCs w:val="24"/>
        </w:rPr>
      </w:pPr>
    </w:p>
    <w:p w:rsidR="000F47BA" w:rsidRPr="005F0C9D" w:rsidRDefault="00563D90" w:rsidP="005F33C3">
      <w:pPr>
        <w:pStyle w:val="NoSpacing"/>
        <w:spacing w:line="360" w:lineRule="auto"/>
        <w:jc w:val="both"/>
        <w:rPr>
          <w:sz w:val="24"/>
          <w:szCs w:val="24"/>
        </w:rPr>
      </w:pPr>
      <w:r w:rsidRPr="005F0C9D">
        <w:rPr>
          <w:sz w:val="24"/>
          <w:szCs w:val="24"/>
        </w:rPr>
        <w:t>De derde hypothese luidt</w:t>
      </w:r>
      <w:r w:rsidR="00B8733C" w:rsidRPr="005F0C9D">
        <w:rPr>
          <w:sz w:val="24"/>
          <w:szCs w:val="24"/>
        </w:rPr>
        <w:t>:</w:t>
      </w:r>
    </w:p>
    <w:p w:rsidR="00B8733C" w:rsidRPr="005F0C9D" w:rsidRDefault="00B8733C" w:rsidP="005F33C3">
      <w:pPr>
        <w:pStyle w:val="NoSpacing"/>
        <w:spacing w:line="360" w:lineRule="auto"/>
        <w:jc w:val="both"/>
        <w:rPr>
          <w:i/>
          <w:sz w:val="24"/>
          <w:szCs w:val="24"/>
        </w:rPr>
      </w:pPr>
      <w:r w:rsidRPr="005F0C9D">
        <w:rPr>
          <w:i/>
          <w:sz w:val="24"/>
          <w:szCs w:val="24"/>
        </w:rPr>
        <w:t>‘De leeftijdsgroepen 26-40 jaar en 41-65 jaar zullen significant verschillen in het vertrouwen dat zij hebben in de responder’</w:t>
      </w:r>
    </w:p>
    <w:p w:rsidR="00B8733C" w:rsidRPr="005F0C9D" w:rsidRDefault="00B8733C" w:rsidP="005F33C3">
      <w:pPr>
        <w:pStyle w:val="NoSpacing"/>
        <w:spacing w:line="360" w:lineRule="auto"/>
        <w:jc w:val="both"/>
        <w:rPr>
          <w:sz w:val="24"/>
          <w:szCs w:val="24"/>
        </w:rPr>
      </w:pPr>
      <w:r w:rsidRPr="005F0C9D">
        <w:rPr>
          <w:sz w:val="24"/>
          <w:szCs w:val="24"/>
        </w:rPr>
        <w:t xml:space="preserve">Om te kijken of dit klopt kunnen we kijken naar de ANOVA toetsen die zijn uitgevoerd met betrekking tot het vertrouwen wat de leeftijdsgroep 2, 26-40 jaar, en leeftijdsgroep 3, 41-65 jaar, hebben in de andere groepen. De ANOVA toetsen kijken naar de verschillen indien die er zijn tussen de gemiddelden bedragen die zijn verstuurd naar een leeftijdsgroep. De H0 van de ANOVA is: </w:t>
      </w:r>
      <w:r w:rsidR="00A64FCA" w:rsidRPr="005F0C9D">
        <w:rPr>
          <w:sz w:val="24"/>
          <w:szCs w:val="24"/>
        </w:rPr>
        <w:t xml:space="preserve">Er is geen significant verschil tussen de groepen wat betreft het gemiddelde bedrag dat zij versturen naar de responder in leeftijdsgroep 1, 2, 3 of 4. Voor elk van deze leeftijdsgroepen is een ANOVA uitgevoerd en zo kan men kijken of er een significant verschil zit in de gemiddelden. In de appendix </w:t>
      </w:r>
      <w:r w:rsidR="00C065C4" w:rsidRPr="005F0C9D">
        <w:rPr>
          <w:sz w:val="24"/>
          <w:szCs w:val="24"/>
        </w:rPr>
        <w:t>tabel 9</w:t>
      </w:r>
      <w:r w:rsidR="00A64FCA" w:rsidRPr="005F0C9D">
        <w:rPr>
          <w:sz w:val="24"/>
          <w:szCs w:val="24"/>
        </w:rPr>
        <w:t xml:space="preserve"> zien we de ANOVA van het vertrouwen dat men heeft in leeftijdsgroep 1, 15-25. De H0 moet worden verworpen aangezien de p-waarde 0.037&lt;0.05. Er is dus een signifi</w:t>
      </w:r>
      <w:r w:rsidR="00C065C4" w:rsidRPr="005F0C9D">
        <w:rPr>
          <w:sz w:val="24"/>
          <w:szCs w:val="24"/>
        </w:rPr>
        <w:t xml:space="preserve">cant verschil. Met de post-hoc </w:t>
      </w:r>
      <w:r w:rsidR="008B5809" w:rsidRPr="005F0C9D">
        <w:rPr>
          <w:sz w:val="24"/>
          <w:szCs w:val="24"/>
        </w:rPr>
        <w:t>Tukey</w:t>
      </w:r>
      <w:r w:rsidR="00A64FCA" w:rsidRPr="005F0C9D">
        <w:rPr>
          <w:sz w:val="24"/>
          <w:szCs w:val="24"/>
        </w:rPr>
        <w:t xml:space="preserve"> toets kan gekeken worden</w:t>
      </w:r>
      <w:r w:rsidR="00C065C4" w:rsidRPr="005F0C9D">
        <w:rPr>
          <w:sz w:val="24"/>
          <w:szCs w:val="24"/>
        </w:rPr>
        <w:t xml:space="preserve"> waar het verschil zit. Interessant om te onderzoeken is</w:t>
      </w:r>
      <w:r w:rsidR="00A64FCA" w:rsidRPr="005F0C9D">
        <w:rPr>
          <w:sz w:val="24"/>
          <w:szCs w:val="24"/>
        </w:rPr>
        <w:t xml:space="preserve"> of er een significant verschil is tussen de leeftijdsgroep 2 en 3 wat betreft het vertrouwen in leeftijds</w:t>
      </w:r>
      <w:r w:rsidR="00C065C4" w:rsidRPr="005F0C9D">
        <w:rPr>
          <w:sz w:val="24"/>
          <w:szCs w:val="24"/>
        </w:rPr>
        <w:t xml:space="preserve">groep 1. De H0 van de post-hoc </w:t>
      </w:r>
      <w:r w:rsidR="008B5809" w:rsidRPr="005F0C9D">
        <w:rPr>
          <w:sz w:val="24"/>
          <w:szCs w:val="24"/>
        </w:rPr>
        <w:t>Tukey</w:t>
      </w:r>
      <w:r w:rsidR="00A64FCA" w:rsidRPr="005F0C9D">
        <w:rPr>
          <w:sz w:val="24"/>
          <w:szCs w:val="24"/>
        </w:rPr>
        <w:t xml:space="preserve"> test is voor de leeftijdsgroep 2 en 3 is: Er is geen significant verschil tussen de leeftijdsgroepen 2 en 3 in het gemiddeld bedrag dat zij versturen naar de responder in leeftijdsgroep 1. Deze H0 kan niet worden verworpen omdat de p-waarde 0.68</w:t>
      </w:r>
      <w:r w:rsidR="000157B2" w:rsidRPr="005F0C9D">
        <w:rPr>
          <w:sz w:val="24"/>
          <w:szCs w:val="24"/>
        </w:rPr>
        <w:t xml:space="preserve">7 is en dit groter is dan 0.05. Er is dus geen significant verschil in het vertrouwen wat de leeftijdsgroepen 26-40 jaar en 41-65 jaar hebben in leeftijdsgroep 1, 15-25 jaar. Dit is ook gedaan voor alle andere leeftijdsgroepen. Voor de ANOVA die kijkt of het vertrouwen in de leeftijdsgroep 2, 25-40, significant verschilt kan de H0 niet worden verworpen. Dit omdat de p-waarde 0,469 is dit is groter dan 0,05 waardoor de H0: ‘er is geen significant verschil </w:t>
      </w:r>
      <w:r w:rsidR="000157B2" w:rsidRPr="005F0C9D">
        <w:rPr>
          <w:sz w:val="24"/>
          <w:szCs w:val="24"/>
        </w:rPr>
        <w:lastRenderedPageBreak/>
        <w:t xml:space="preserve">tussen de leeftijdsgroepen wat betreft het gemiddelde bedrag dat zij versturen naar de responder in leeftijdsgroep 2’ niet verworpen kan worden. </w:t>
      </w:r>
    </w:p>
    <w:p w:rsidR="000157B2" w:rsidRDefault="000157B2" w:rsidP="005F33C3">
      <w:pPr>
        <w:pStyle w:val="NoSpacing"/>
        <w:spacing w:line="360" w:lineRule="auto"/>
        <w:jc w:val="both"/>
        <w:rPr>
          <w:sz w:val="24"/>
          <w:szCs w:val="24"/>
        </w:rPr>
      </w:pPr>
      <w:r>
        <w:rPr>
          <w:sz w:val="24"/>
          <w:szCs w:val="24"/>
        </w:rPr>
        <w:t xml:space="preserve">De H0 van de ANOVA voor het vertrouwen in leeftijdsgroep 3 kan ook niet verworpen worden aangezien de p-waarde hier 0,248  is en dit hoger is dan 0,05. Hier zijn dus ook geen significante verschillen in de gemiddelden van de bedragen die de verschillende leeftijdsgroepen versturen naar de responder in leeftijdsgroep 3, 41-65 jaar. </w:t>
      </w:r>
    </w:p>
    <w:p w:rsidR="000157B2" w:rsidRPr="00503391" w:rsidRDefault="000157B2" w:rsidP="005F33C3">
      <w:pPr>
        <w:pStyle w:val="NoSpacing"/>
        <w:spacing w:line="360" w:lineRule="auto"/>
        <w:jc w:val="both"/>
        <w:rPr>
          <w:sz w:val="24"/>
          <w:szCs w:val="24"/>
        </w:rPr>
      </w:pPr>
      <w:r>
        <w:rPr>
          <w:sz w:val="24"/>
          <w:szCs w:val="24"/>
        </w:rPr>
        <w:t xml:space="preserve">Tot slot kijken we nog naar de ANOVA van de gemiddelde bedragen die verstuurd zijn naar leeftijdsgroep 4, 65 plus. Deze H0 kan wel worden verworpen want </w:t>
      </w:r>
      <w:r w:rsidR="0014157F">
        <w:rPr>
          <w:sz w:val="24"/>
          <w:szCs w:val="24"/>
        </w:rPr>
        <w:t xml:space="preserve">de p-waarde is 0,04 en dit is kleiner dan </w:t>
      </w:r>
      <w:r>
        <w:rPr>
          <w:sz w:val="24"/>
          <w:szCs w:val="24"/>
        </w:rPr>
        <w:t xml:space="preserve">0,05. Nu moet er dus weer gekeken worden waar dit significante verschil zit en dat </w:t>
      </w:r>
      <w:r w:rsidR="00421E9C">
        <w:rPr>
          <w:sz w:val="24"/>
          <w:szCs w:val="24"/>
        </w:rPr>
        <w:t>gebeurt</w:t>
      </w:r>
      <w:r>
        <w:rPr>
          <w:sz w:val="24"/>
          <w:szCs w:val="24"/>
        </w:rPr>
        <w:t xml:space="preserve"> aan de hand van de post-hoc test. In dit geval de Games-Howell omdat de varianties ongelijk waren </w:t>
      </w:r>
      <w:r w:rsidRPr="00503391">
        <w:rPr>
          <w:sz w:val="24"/>
          <w:szCs w:val="24"/>
        </w:rPr>
        <w:t>wat uit de Levene’s test bleek. Te zien is in de Games-Howell test dat de H0: ‘er is geen significant verschil tussen het gemiddelde bedrag dat leeftijdsgroep 2 en 3 versturen naar leeftijdsgroep 4’ kan worden verworpen. Dit omdat 0,997&gt;0,05.</w:t>
      </w:r>
    </w:p>
    <w:p w:rsidR="000157B2" w:rsidRPr="00503391" w:rsidRDefault="000157B2" w:rsidP="005F33C3">
      <w:pPr>
        <w:pStyle w:val="NoSpacing"/>
        <w:spacing w:line="360" w:lineRule="auto"/>
        <w:jc w:val="both"/>
        <w:rPr>
          <w:sz w:val="24"/>
          <w:szCs w:val="24"/>
        </w:rPr>
      </w:pPr>
      <w:r w:rsidRPr="00503391">
        <w:rPr>
          <w:sz w:val="24"/>
          <w:szCs w:val="24"/>
        </w:rPr>
        <w:t xml:space="preserve">Er kan dus tot de conclusie gekomen worden dat de gemiddelde bedragen die leeftijdsgroepen 2 en 3 naar de verschillende leeftijdsgroepen verstuurde niet significant van elkaar verschillen. De hypothese </w:t>
      </w:r>
      <w:r w:rsidR="00ED2459" w:rsidRPr="00503391">
        <w:rPr>
          <w:sz w:val="24"/>
          <w:szCs w:val="24"/>
        </w:rPr>
        <w:t xml:space="preserve">moet dus verworpen worden. </w:t>
      </w:r>
    </w:p>
    <w:p w:rsidR="00B23F7B" w:rsidRDefault="00B23F7B" w:rsidP="005F33C3">
      <w:pPr>
        <w:pStyle w:val="NoSpacing"/>
        <w:spacing w:line="360" w:lineRule="auto"/>
        <w:jc w:val="both"/>
      </w:pPr>
    </w:p>
    <w:p w:rsidR="00B23F7B" w:rsidRPr="00637C98" w:rsidRDefault="00B23F7B" w:rsidP="00637C98">
      <w:pPr>
        <w:pStyle w:val="Heading2"/>
        <w:spacing w:line="360" w:lineRule="auto"/>
        <w:rPr>
          <w:rFonts w:asciiTheme="minorHAnsi" w:hAnsiTheme="minorHAnsi"/>
          <w:color w:val="auto"/>
          <w:sz w:val="24"/>
          <w:szCs w:val="24"/>
        </w:rPr>
      </w:pPr>
      <w:bookmarkStart w:id="19" w:name="_Toc421978475"/>
      <w:r w:rsidRPr="00637C98">
        <w:rPr>
          <w:rFonts w:asciiTheme="minorHAnsi" w:hAnsiTheme="minorHAnsi"/>
          <w:color w:val="auto"/>
          <w:sz w:val="24"/>
          <w:szCs w:val="24"/>
        </w:rPr>
        <w:t>Beantwoording onderzoeksvraag</w:t>
      </w:r>
      <w:bookmarkEnd w:id="19"/>
    </w:p>
    <w:p w:rsidR="00B23F7B" w:rsidRPr="00503391" w:rsidRDefault="00964332" w:rsidP="00637C98">
      <w:pPr>
        <w:pStyle w:val="NoSpacing"/>
        <w:spacing w:line="360" w:lineRule="auto"/>
        <w:jc w:val="both"/>
        <w:rPr>
          <w:sz w:val="24"/>
          <w:szCs w:val="24"/>
        </w:rPr>
      </w:pPr>
      <w:r w:rsidRPr="00503391">
        <w:rPr>
          <w:sz w:val="24"/>
          <w:szCs w:val="24"/>
        </w:rPr>
        <w:t xml:space="preserve">De conclusie van het onderzoek van </w:t>
      </w:r>
      <w:sdt>
        <w:sdtPr>
          <w:rPr>
            <w:sz w:val="24"/>
            <w:szCs w:val="24"/>
          </w:rPr>
          <w:id w:val="4345736"/>
          <w:citation/>
        </w:sdtPr>
        <w:sdtContent>
          <w:r w:rsidR="00364E81" w:rsidRPr="00503391">
            <w:rPr>
              <w:sz w:val="24"/>
              <w:szCs w:val="24"/>
            </w:rPr>
            <w:fldChar w:fldCharType="begin"/>
          </w:r>
          <w:r w:rsidR="0099318D" w:rsidRPr="00503391">
            <w:rPr>
              <w:sz w:val="24"/>
              <w:szCs w:val="24"/>
            </w:rPr>
            <w:instrText xml:space="preserve"> CITATION Sut03 \l 1043 </w:instrText>
          </w:r>
          <w:r w:rsidR="00364E81" w:rsidRPr="00503391">
            <w:rPr>
              <w:sz w:val="24"/>
              <w:szCs w:val="24"/>
            </w:rPr>
            <w:fldChar w:fldCharType="separate"/>
          </w:r>
          <w:r w:rsidRPr="00503391">
            <w:rPr>
              <w:noProof/>
              <w:sz w:val="24"/>
              <w:szCs w:val="24"/>
            </w:rPr>
            <w:t>(Sutter &amp; Kocher, 2003)</w:t>
          </w:r>
          <w:r w:rsidR="00364E81" w:rsidRPr="00503391">
            <w:rPr>
              <w:sz w:val="24"/>
              <w:szCs w:val="24"/>
            </w:rPr>
            <w:fldChar w:fldCharType="end"/>
          </w:r>
        </w:sdtContent>
      </w:sdt>
      <w:r w:rsidRPr="00503391">
        <w:rPr>
          <w:sz w:val="24"/>
          <w:szCs w:val="24"/>
        </w:rPr>
        <w:t xml:space="preserve"> zegt dat vertrouwen toeneemt wanneer de leeftijd ook toeneemt. Zij lieten de respondenten een normale trust game spelen waarbij de leeftijd niet gegeven was. In dit onderzoek is de leeftijd wel bekend gemaakt bij de respondenten. </w:t>
      </w:r>
      <w:r w:rsidR="002A71FC" w:rsidRPr="00503391">
        <w:rPr>
          <w:sz w:val="24"/>
          <w:szCs w:val="24"/>
        </w:rPr>
        <w:t xml:space="preserve">Opvallend in dit onderzoek is dat de het gemiddelde bedrag, oftewel vertrouwen, niet stijgt wanneer de leeftijdsgroepen oplopen. De eerste leeftijdsgroep van 15-25 jaar heeft een gemiddeld vertrouwen in alle andere groepen van 4,7708. Vervolgens heeft de tweede leeftijdsgroep van 26-40 jaar een gemiddeld vertrouwen in alle andere groepen van 3,5978. Het vertrouwen daalt hier dus. Vervolgens stijgt het vertrouwen weer want in de derde leeftijdsgroep 41-65 jaar is het gemiddelde vertrouwen 4,1848. </w:t>
      </w:r>
      <w:r w:rsidR="00E43C7B" w:rsidRPr="00503391">
        <w:rPr>
          <w:sz w:val="24"/>
          <w:szCs w:val="24"/>
        </w:rPr>
        <w:t xml:space="preserve">Wanneer we naar de laatste leeftijdsgroep gaan, 65 plus, zien we dat het gemiddelde weer omhoog gaat. Het gemiddeld vertrouwen van deze groep is namelijk 5,0667. De resultaten van dit onderzoek komen dus niet overeen met het onderzoek van </w:t>
      </w:r>
      <w:sdt>
        <w:sdtPr>
          <w:rPr>
            <w:sz w:val="24"/>
            <w:szCs w:val="24"/>
          </w:rPr>
          <w:id w:val="4345737"/>
          <w:citation/>
        </w:sdtPr>
        <w:sdtContent>
          <w:r w:rsidR="00364E81" w:rsidRPr="00503391">
            <w:rPr>
              <w:sz w:val="24"/>
              <w:szCs w:val="24"/>
            </w:rPr>
            <w:fldChar w:fldCharType="begin"/>
          </w:r>
          <w:r w:rsidR="0099318D" w:rsidRPr="00503391">
            <w:rPr>
              <w:sz w:val="24"/>
              <w:szCs w:val="24"/>
            </w:rPr>
            <w:instrText xml:space="preserve"> CITATION Sut03 \l 1043 </w:instrText>
          </w:r>
          <w:r w:rsidR="00364E81" w:rsidRPr="00503391">
            <w:rPr>
              <w:sz w:val="24"/>
              <w:szCs w:val="24"/>
            </w:rPr>
            <w:fldChar w:fldCharType="separate"/>
          </w:r>
          <w:r w:rsidR="00E43C7B" w:rsidRPr="00503391">
            <w:rPr>
              <w:noProof/>
              <w:sz w:val="24"/>
              <w:szCs w:val="24"/>
            </w:rPr>
            <w:t>(Sutter &amp; Kocher, 2003)</w:t>
          </w:r>
          <w:r w:rsidR="00364E81" w:rsidRPr="00503391">
            <w:rPr>
              <w:sz w:val="24"/>
              <w:szCs w:val="24"/>
            </w:rPr>
            <w:fldChar w:fldCharType="end"/>
          </w:r>
        </w:sdtContent>
      </w:sdt>
      <w:r w:rsidR="00E43C7B" w:rsidRPr="00503391">
        <w:rPr>
          <w:sz w:val="24"/>
          <w:szCs w:val="24"/>
        </w:rPr>
        <w:t xml:space="preserve">. Dit komt voornamelijk door het hoge gemiddelde vertrouwen wat </w:t>
      </w:r>
      <w:r w:rsidR="00E43C7B" w:rsidRPr="00503391">
        <w:rPr>
          <w:sz w:val="24"/>
          <w:szCs w:val="24"/>
        </w:rPr>
        <w:lastRenderedPageBreak/>
        <w:t>de eerste leeftijdsgroep, de 15-25 jarige, heeft in andere groepen. Een verk</w:t>
      </w:r>
      <w:r w:rsidR="00097A1B" w:rsidRPr="00503391">
        <w:rPr>
          <w:sz w:val="24"/>
          <w:szCs w:val="24"/>
        </w:rPr>
        <w:t xml:space="preserve">laring hiervoor zou kunnen zijn dat adolescenten, in dit geval de 15-25 jarigen, meer risico nemen dan volwassenen en ouderen. </w:t>
      </w:r>
      <w:r w:rsidR="00D67D75" w:rsidRPr="00503391">
        <w:rPr>
          <w:sz w:val="24"/>
          <w:szCs w:val="24"/>
        </w:rPr>
        <w:t xml:space="preserve">Dit wordt bevestigd door een artikel van </w:t>
      </w:r>
      <w:sdt>
        <w:sdtPr>
          <w:rPr>
            <w:sz w:val="24"/>
            <w:szCs w:val="24"/>
          </w:rPr>
          <w:id w:val="5789931"/>
          <w:citation/>
        </w:sdtPr>
        <w:sdtContent>
          <w:r w:rsidR="00364E81" w:rsidRPr="00503391">
            <w:rPr>
              <w:sz w:val="24"/>
              <w:szCs w:val="24"/>
            </w:rPr>
            <w:fldChar w:fldCharType="begin"/>
          </w:r>
          <w:r w:rsidR="0099318D" w:rsidRPr="00503391">
            <w:rPr>
              <w:sz w:val="24"/>
              <w:szCs w:val="24"/>
            </w:rPr>
            <w:instrText xml:space="preserve"> CITATION Rey06 \l 1043 </w:instrText>
          </w:r>
          <w:r w:rsidR="00364E81" w:rsidRPr="00503391">
            <w:rPr>
              <w:sz w:val="24"/>
              <w:szCs w:val="24"/>
            </w:rPr>
            <w:fldChar w:fldCharType="separate"/>
          </w:r>
          <w:r w:rsidR="00D67D75" w:rsidRPr="00503391">
            <w:rPr>
              <w:noProof/>
              <w:sz w:val="24"/>
              <w:szCs w:val="24"/>
            </w:rPr>
            <w:t>(Reyna &amp; Farley, 2006)</w:t>
          </w:r>
          <w:r w:rsidR="00364E81" w:rsidRPr="00503391">
            <w:rPr>
              <w:sz w:val="24"/>
              <w:szCs w:val="24"/>
            </w:rPr>
            <w:fldChar w:fldCharType="end"/>
          </w:r>
        </w:sdtContent>
      </w:sdt>
      <w:r w:rsidR="003E6DF6" w:rsidRPr="00503391">
        <w:rPr>
          <w:sz w:val="24"/>
          <w:szCs w:val="24"/>
        </w:rPr>
        <w:t xml:space="preserve">. </w:t>
      </w:r>
      <w:r w:rsidR="00097A1B" w:rsidRPr="00503391">
        <w:rPr>
          <w:sz w:val="24"/>
          <w:szCs w:val="24"/>
        </w:rPr>
        <w:t xml:space="preserve">Wanneer men in een trust game dus meer risico neemt door een groter bedrag te versturen naar de responder is de kans op een hoger bedrag dat je terugkrijgt ook groter. </w:t>
      </w:r>
      <w:r w:rsidR="003E6DF6" w:rsidRPr="00503391">
        <w:rPr>
          <w:sz w:val="24"/>
          <w:szCs w:val="24"/>
        </w:rPr>
        <w:t xml:space="preserve">Dit zou een mogelijke verklaring kunnen zijn voor het feit dat het gemiddelde bedrag oftewel vertrouwen dat men verstuurd naar de responder hoog is bij de leeftijdsgroep 15-25 waar de adolescenten in vallen. </w:t>
      </w:r>
      <w:r w:rsidR="00F53449" w:rsidRPr="00503391">
        <w:rPr>
          <w:sz w:val="24"/>
          <w:szCs w:val="24"/>
        </w:rPr>
        <w:t xml:space="preserve">Natuurlijk zou dit bij het onderzoek van </w:t>
      </w:r>
      <w:sdt>
        <w:sdtPr>
          <w:rPr>
            <w:sz w:val="24"/>
            <w:szCs w:val="24"/>
          </w:rPr>
          <w:id w:val="5789932"/>
          <w:citation/>
        </w:sdtPr>
        <w:sdtContent>
          <w:r w:rsidR="00364E81" w:rsidRPr="00503391">
            <w:rPr>
              <w:sz w:val="24"/>
              <w:szCs w:val="24"/>
            </w:rPr>
            <w:fldChar w:fldCharType="begin"/>
          </w:r>
          <w:r w:rsidR="0099318D" w:rsidRPr="00503391">
            <w:rPr>
              <w:sz w:val="24"/>
              <w:szCs w:val="24"/>
            </w:rPr>
            <w:instrText xml:space="preserve"> CITATION Sut03 \l 1043 </w:instrText>
          </w:r>
          <w:r w:rsidR="00364E81" w:rsidRPr="00503391">
            <w:rPr>
              <w:sz w:val="24"/>
              <w:szCs w:val="24"/>
            </w:rPr>
            <w:fldChar w:fldCharType="separate"/>
          </w:r>
          <w:r w:rsidR="00F53449" w:rsidRPr="00503391">
            <w:rPr>
              <w:noProof/>
              <w:sz w:val="24"/>
              <w:szCs w:val="24"/>
            </w:rPr>
            <w:t>(Sutter &amp; Kocher, 2003)</w:t>
          </w:r>
          <w:r w:rsidR="00364E81" w:rsidRPr="00503391">
            <w:rPr>
              <w:sz w:val="24"/>
              <w:szCs w:val="24"/>
            </w:rPr>
            <w:fldChar w:fldCharType="end"/>
          </w:r>
        </w:sdtContent>
      </w:sdt>
      <w:r w:rsidR="00F53449" w:rsidRPr="00503391">
        <w:rPr>
          <w:sz w:val="24"/>
          <w:szCs w:val="24"/>
        </w:rPr>
        <w:t xml:space="preserve"> ,waar de trust game wordt gespeeld zonder het weten van de leeftijd, dan ook zo moeten zijn. Maar dit is niet het geval. Daarom zou het kunnen dat wanneer men de leeftijd van de responder weet, men bereidt is om meer risico te nemen door meer geld te versturen.</w:t>
      </w:r>
    </w:p>
    <w:p w:rsidR="00BE515D" w:rsidRPr="00503391" w:rsidRDefault="00BE515D" w:rsidP="005F33C3">
      <w:pPr>
        <w:pStyle w:val="NoSpacing"/>
        <w:spacing w:line="360" w:lineRule="auto"/>
        <w:jc w:val="both"/>
        <w:rPr>
          <w:sz w:val="24"/>
          <w:szCs w:val="24"/>
        </w:rPr>
      </w:pPr>
      <w:r w:rsidRPr="00503391">
        <w:rPr>
          <w:sz w:val="24"/>
          <w:szCs w:val="24"/>
        </w:rPr>
        <w:t xml:space="preserve">Verder kunnen we concluderen </w:t>
      </w:r>
      <w:r w:rsidR="00181E1A" w:rsidRPr="00503391">
        <w:rPr>
          <w:sz w:val="24"/>
          <w:szCs w:val="24"/>
        </w:rPr>
        <w:t>dat men hoe oude</w:t>
      </w:r>
      <w:r w:rsidR="00A62549">
        <w:rPr>
          <w:sz w:val="24"/>
          <w:szCs w:val="24"/>
        </w:rPr>
        <w:t>r de leeftijd is hoe meer men d</w:t>
      </w:r>
      <w:r w:rsidR="00181E1A" w:rsidRPr="00503391">
        <w:rPr>
          <w:sz w:val="24"/>
          <w:szCs w:val="24"/>
        </w:rPr>
        <w:t xml:space="preserve">egene vertrouwd. De oudste groep de 65 plussers </w:t>
      </w:r>
      <w:r w:rsidR="00A62549">
        <w:rPr>
          <w:sz w:val="24"/>
          <w:szCs w:val="24"/>
        </w:rPr>
        <w:t>vertrouwt</w:t>
      </w:r>
      <w:r w:rsidR="00181E1A" w:rsidRPr="00503391">
        <w:rPr>
          <w:sz w:val="24"/>
          <w:szCs w:val="24"/>
        </w:rPr>
        <w:t xml:space="preserve"> men het meest. En dit vertrouwen loopt af naarmate de leeftijd daalt. Dus de 65 plussers vertrouwen niet alleen het meest maar ze zijn ook de groep die het meest vertrouwd wordt.</w:t>
      </w:r>
    </w:p>
    <w:p w:rsidR="00181E1A" w:rsidRDefault="00181E1A" w:rsidP="005F33C3">
      <w:pPr>
        <w:pStyle w:val="NoSpacing"/>
        <w:spacing w:line="360" w:lineRule="auto"/>
        <w:jc w:val="both"/>
        <w:rPr>
          <w:sz w:val="24"/>
          <w:szCs w:val="24"/>
        </w:rPr>
      </w:pPr>
    </w:p>
    <w:p w:rsidR="00177DFB" w:rsidRPr="00637C98" w:rsidRDefault="00177DFB" w:rsidP="00637C98">
      <w:pPr>
        <w:pStyle w:val="Heading2"/>
        <w:spacing w:line="360" w:lineRule="auto"/>
        <w:rPr>
          <w:rFonts w:asciiTheme="minorHAnsi" w:hAnsiTheme="minorHAnsi"/>
          <w:color w:val="auto"/>
          <w:sz w:val="24"/>
          <w:szCs w:val="24"/>
        </w:rPr>
      </w:pPr>
      <w:bookmarkStart w:id="20" w:name="_Toc421978476"/>
      <w:r w:rsidRPr="00637C98">
        <w:rPr>
          <w:rFonts w:asciiTheme="minorHAnsi" w:hAnsiTheme="minorHAnsi"/>
          <w:color w:val="auto"/>
          <w:sz w:val="24"/>
          <w:szCs w:val="24"/>
        </w:rPr>
        <w:t>Discussie</w:t>
      </w:r>
      <w:bookmarkEnd w:id="20"/>
    </w:p>
    <w:p w:rsidR="00177DFB" w:rsidRDefault="00177DFB" w:rsidP="00637C98">
      <w:pPr>
        <w:pStyle w:val="NoSpacing"/>
        <w:spacing w:line="360" w:lineRule="auto"/>
        <w:jc w:val="both"/>
        <w:rPr>
          <w:sz w:val="24"/>
          <w:szCs w:val="24"/>
        </w:rPr>
      </w:pPr>
      <w:r>
        <w:rPr>
          <w:sz w:val="24"/>
          <w:szCs w:val="24"/>
        </w:rPr>
        <w:t xml:space="preserve">Het onderzoek uitgevoerd in deze scriptie is deels gebaseerd op het onderzoek van </w:t>
      </w:r>
      <w:sdt>
        <w:sdtPr>
          <w:rPr>
            <w:sz w:val="24"/>
            <w:szCs w:val="24"/>
          </w:rPr>
          <w:id w:val="5789933"/>
          <w:citation/>
        </w:sdtPr>
        <w:sdtContent>
          <w:r w:rsidR="00364E81">
            <w:rPr>
              <w:sz w:val="24"/>
              <w:szCs w:val="24"/>
            </w:rPr>
            <w:fldChar w:fldCharType="begin"/>
          </w:r>
          <w:r>
            <w:rPr>
              <w:sz w:val="24"/>
              <w:szCs w:val="24"/>
            </w:rPr>
            <w:instrText xml:space="preserve"> CITATION Sut03 \l 1043 </w:instrText>
          </w:r>
          <w:r w:rsidR="00364E81">
            <w:rPr>
              <w:sz w:val="24"/>
              <w:szCs w:val="24"/>
            </w:rPr>
            <w:fldChar w:fldCharType="separate"/>
          </w:r>
          <w:r w:rsidRPr="00177DFB">
            <w:rPr>
              <w:noProof/>
              <w:sz w:val="24"/>
              <w:szCs w:val="24"/>
            </w:rPr>
            <w:t>(Sutter &amp; Kocher, 2003)</w:t>
          </w:r>
          <w:r w:rsidR="00364E81">
            <w:rPr>
              <w:sz w:val="24"/>
              <w:szCs w:val="24"/>
            </w:rPr>
            <w:fldChar w:fldCharType="end"/>
          </w:r>
        </w:sdtContent>
      </w:sdt>
      <w:r>
        <w:rPr>
          <w:sz w:val="24"/>
          <w:szCs w:val="24"/>
        </w:rPr>
        <w:t>. Echter is in dit onderzoek een hypothetische trust game gespeeld en niet een daadwerkelijk experiment gedaan. Dit is gedaan omdat er beperkte middelen en tijd beschikbaar waren maar dit zou in vervolgonderzoek waarbij men wel de desbetreffende middelen heeft wel gedaan kunnen worden. Verder is in dit onderzoek alleen fa</w:t>
      </w:r>
      <w:r w:rsidR="00AD23CB">
        <w:rPr>
          <w:sz w:val="24"/>
          <w:szCs w:val="24"/>
        </w:rPr>
        <w:t>se 1 van de trust game behandeld</w:t>
      </w:r>
      <w:r>
        <w:rPr>
          <w:sz w:val="24"/>
          <w:szCs w:val="24"/>
        </w:rPr>
        <w:t xml:space="preserve"> en niet fase 2. Fase 2 is het gedeelte waar de reciprociteit onderzocht kan worden. Er is in deze scriptie geprobeerd zoveel mogelijk te specificeren om het onderzoek niet te groot te maken. M</w:t>
      </w:r>
      <w:r w:rsidR="00F743D7">
        <w:rPr>
          <w:sz w:val="24"/>
          <w:szCs w:val="24"/>
        </w:rPr>
        <w:t>aar voor vervolgonderzoek is de reciprociteit</w:t>
      </w:r>
      <w:r>
        <w:rPr>
          <w:sz w:val="24"/>
          <w:szCs w:val="24"/>
        </w:rPr>
        <w:t xml:space="preserve"> een interessant onderwerp om te bestuderen. </w:t>
      </w:r>
    </w:p>
    <w:p w:rsidR="000D5B12" w:rsidRDefault="00A77655" w:rsidP="005F33C3">
      <w:pPr>
        <w:pStyle w:val="NoSpacing"/>
        <w:spacing w:line="360" w:lineRule="auto"/>
        <w:jc w:val="both"/>
        <w:rPr>
          <w:sz w:val="24"/>
          <w:szCs w:val="24"/>
        </w:rPr>
      </w:pPr>
      <w:r>
        <w:rPr>
          <w:sz w:val="24"/>
          <w:szCs w:val="24"/>
        </w:rPr>
        <w:t xml:space="preserve">Verder kan het aantal respondenten worden uitgebreid in het vervolg. Nu </w:t>
      </w:r>
      <w:r w:rsidR="00AD23CB">
        <w:rPr>
          <w:sz w:val="24"/>
          <w:szCs w:val="24"/>
        </w:rPr>
        <w:t>is er gebruik gemaakt van een kleine</w:t>
      </w:r>
      <w:r>
        <w:rPr>
          <w:sz w:val="24"/>
          <w:szCs w:val="24"/>
        </w:rPr>
        <w:t xml:space="preserve"> honderd responde</w:t>
      </w:r>
      <w:r w:rsidR="00AD23CB">
        <w:rPr>
          <w:sz w:val="24"/>
          <w:szCs w:val="24"/>
        </w:rPr>
        <w:t>nten voor het onderzoek</w:t>
      </w:r>
      <w:r>
        <w:rPr>
          <w:sz w:val="24"/>
          <w:szCs w:val="24"/>
        </w:rPr>
        <w:t xml:space="preserve">. Maar naar mate je het </w:t>
      </w:r>
      <w:r w:rsidR="00AD23CB">
        <w:rPr>
          <w:sz w:val="24"/>
          <w:szCs w:val="24"/>
        </w:rPr>
        <w:t>aantal respondenten verhoogd des te</w:t>
      </w:r>
      <w:r>
        <w:rPr>
          <w:sz w:val="24"/>
          <w:szCs w:val="24"/>
        </w:rPr>
        <w:t xml:space="preserve"> meer significante uitspraken je kunt doen over bepaalde stellingen.  </w:t>
      </w:r>
    </w:p>
    <w:p w:rsidR="000D5B12" w:rsidRDefault="000D5B12" w:rsidP="005F33C3">
      <w:pPr>
        <w:jc w:val="both"/>
        <w:rPr>
          <w:sz w:val="24"/>
          <w:szCs w:val="24"/>
        </w:rPr>
      </w:pPr>
      <w:r>
        <w:rPr>
          <w:sz w:val="24"/>
          <w:szCs w:val="24"/>
        </w:rPr>
        <w:br w:type="page"/>
      </w:r>
    </w:p>
    <w:sdt>
      <w:sdtPr>
        <w:rPr>
          <w:rFonts w:asciiTheme="minorHAnsi" w:eastAsiaTheme="minorHAnsi" w:hAnsiTheme="minorHAnsi" w:cstheme="minorBidi"/>
          <w:b w:val="0"/>
          <w:bCs w:val="0"/>
          <w:color w:val="auto"/>
          <w:sz w:val="22"/>
          <w:szCs w:val="22"/>
          <w:lang w:val="nl-NL" w:bidi="ar-SA"/>
        </w:rPr>
        <w:id w:val="5790022"/>
        <w:docPartObj>
          <w:docPartGallery w:val="Bibliographies"/>
          <w:docPartUnique/>
        </w:docPartObj>
      </w:sdtPr>
      <w:sdtContent>
        <w:bookmarkStart w:id="21" w:name="_Toc421978477" w:displacedByCustomXml="prev"/>
        <w:p w:rsidR="00CE1BEB" w:rsidRPr="00CE1BEB" w:rsidRDefault="00CE1BEB" w:rsidP="00CE1BEB">
          <w:pPr>
            <w:pStyle w:val="Heading1"/>
            <w:spacing w:line="360" w:lineRule="auto"/>
            <w:rPr>
              <w:rFonts w:asciiTheme="minorHAnsi" w:hAnsiTheme="minorHAnsi"/>
              <w:color w:val="auto"/>
              <w:sz w:val="24"/>
              <w:szCs w:val="24"/>
              <w:lang w:val="nl-NL"/>
            </w:rPr>
          </w:pPr>
          <w:r w:rsidRPr="00CE1BEB">
            <w:rPr>
              <w:rFonts w:asciiTheme="minorHAnsi" w:hAnsiTheme="minorHAnsi"/>
              <w:color w:val="auto"/>
              <w:lang w:val="nl-NL"/>
            </w:rPr>
            <w:t>Bibliografie</w:t>
          </w:r>
          <w:bookmarkEnd w:id="21"/>
        </w:p>
        <w:sdt>
          <w:sdtPr>
            <w:rPr>
              <w:sz w:val="24"/>
              <w:szCs w:val="24"/>
            </w:rPr>
            <w:id w:val="111145805"/>
            <w:bibliography/>
          </w:sdtPr>
          <w:sdtEndPr>
            <w:rPr>
              <w:sz w:val="22"/>
              <w:szCs w:val="22"/>
            </w:rPr>
          </w:sdtEndPr>
          <w:sdtContent>
            <w:p w:rsidR="00CE1BEB" w:rsidRPr="00CE1BEB" w:rsidRDefault="00364E81" w:rsidP="00CE1BEB">
              <w:pPr>
                <w:pStyle w:val="Bibliography"/>
                <w:rPr>
                  <w:noProof/>
                  <w:sz w:val="24"/>
                  <w:szCs w:val="24"/>
                  <w:lang w:val="en-US"/>
                </w:rPr>
              </w:pPr>
              <w:r w:rsidRPr="00CE1BEB">
                <w:rPr>
                  <w:sz w:val="24"/>
                  <w:szCs w:val="24"/>
                </w:rPr>
                <w:fldChar w:fldCharType="begin"/>
              </w:r>
              <w:r w:rsidR="00CE1BEB" w:rsidRPr="00CE1BEB">
                <w:rPr>
                  <w:sz w:val="24"/>
                  <w:szCs w:val="24"/>
                </w:rPr>
                <w:instrText xml:space="preserve"> BIBLIOGRAPHY </w:instrText>
              </w:r>
              <w:r w:rsidRPr="00CE1BEB">
                <w:rPr>
                  <w:sz w:val="24"/>
                  <w:szCs w:val="24"/>
                </w:rPr>
                <w:fldChar w:fldCharType="separate"/>
              </w:r>
              <w:r w:rsidR="00CE1BEB" w:rsidRPr="00CE1BEB">
                <w:rPr>
                  <w:noProof/>
                  <w:sz w:val="24"/>
                  <w:szCs w:val="24"/>
                </w:rPr>
                <w:t xml:space="preserve">ANP. (2015, Mei 5). </w:t>
              </w:r>
              <w:r w:rsidR="00CE1BEB" w:rsidRPr="00CE1BEB">
                <w:rPr>
                  <w:i/>
                  <w:iCs/>
                  <w:noProof/>
                  <w:sz w:val="24"/>
                  <w:szCs w:val="24"/>
                </w:rPr>
                <w:t>Vertrouwen in medemens neemt toe</w:t>
              </w:r>
              <w:r w:rsidR="00CE1BEB" w:rsidRPr="00CE1BEB">
                <w:rPr>
                  <w:noProof/>
                  <w:sz w:val="24"/>
                  <w:szCs w:val="24"/>
                </w:rPr>
                <w:t xml:space="preserve">. </w:t>
              </w:r>
              <w:r w:rsidR="00CE1BEB" w:rsidRPr="00CE1BEB">
                <w:rPr>
                  <w:noProof/>
                  <w:sz w:val="24"/>
                  <w:szCs w:val="24"/>
                  <w:lang w:val="en-US"/>
                </w:rPr>
                <w:t>Retrieved from NU.nl: http://www.nu.nl/binnenland/2712353/vertrouwen-in-medemens-neemt-toe.html</w:t>
              </w:r>
            </w:p>
            <w:p w:rsidR="00CE1BEB" w:rsidRPr="00CE1BEB" w:rsidRDefault="00CE1BEB" w:rsidP="00CE1BEB">
              <w:pPr>
                <w:pStyle w:val="Bibliography"/>
                <w:rPr>
                  <w:noProof/>
                  <w:sz w:val="24"/>
                  <w:szCs w:val="24"/>
                  <w:lang w:val="en-US"/>
                </w:rPr>
              </w:pPr>
              <w:r w:rsidRPr="00CE1BEB">
                <w:rPr>
                  <w:noProof/>
                  <w:sz w:val="24"/>
                  <w:szCs w:val="24"/>
                  <w:lang w:val="en-US"/>
                </w:rPr>
                <w:t xml:space="preserve">Becker, G. (1974). A Theory of Social Interactions. </w:t>
              </w:r>
              <w:r w:rsidRPr="00CE1BEB">
                <w:rPr>
                  <w:i/>
                  <w:iCs/>
                  <w:noProof/>
                  <w:sz w:val="24"/>
                  <w:szCs w:val="24"/>
                  <w:lang w:val="en-US"/>
                </w:rPr>
                <w:t>Journal of Political Economy</w:t>
              </w:r>
              <w:r w:rsidRPr="00CE1BEB">
                <w:rPr>
                  <w:noProof/>
                  <w:sz w:val="24"/>
                  <w:szCs w:val="24"/>
                  <w:lang w:val="en-US"/>
                </w:rPr>
                <w:t xml:space="preserve"> , 1063–1093.</w:t>
              </w:r>
            </w:p>
            <w:p w:rsidR="00CE1BEB" w:rsidRPr="00CE1BEB" w:rsidRDefault="00CE1BEB" w:rsidP="00CE1BEB">
              <w:pPr>
                <w:pStyle w:val="Bibliography"/>
                <w:rPr>
                  <w:noProof/>
                  <w:sz w:val="24"/>
                  <w:szCs w:val="24"/>
                  <w:lang w:val="en-US"/>
                </w:rPr>
              </w:pPr>
              <w:r w:rsidRPr="00CE1BEB">
                <w:rPr>
                  <w:noProof/>
                  <w:sz w:val="24"/>
                  <w:szCs w:val="24"/>
                  <w:lang w:val="en-US"/>
                </w:rPr>
                <w:t xml:space="preserve">Berg, J., Dickhaut, J., &amp; McCabe, K. (1995). Trust, Reciprocity, and Social History. In </w:t>
              </w:r>
              <w:r w:rsidRPr="00CE1BEB">
                <w:rPr>
                  <w:i/>
                  <w:iCs/>
                  <w:noProof/>
                  <w:sz w:val="24"/>
                  <w:szCs w:val="24"/>
                  <w:lang w:val="en-US"/>
                </w:rPr>
                <w:t>Games and economic behavior</w:t>
              </w:r>
              <w:r w:rsidRPr="00CE1BEB">
                <w:rPr>
                  <w:noProof/>
                  <w:sz w:val="24"/>
                  <w:szCs w:val="24"/>
                  <w:lang w:val="en-US"/>
                </w:rPr>
                <w:t xml:space="preserve"> (pp. 122-142).</w:t>
              </w:r>
            </w:p>
            <w:p w:rsidR="00CE1BEB" w:rsidRPr="00CE1BEB" w:rsidRDefault="00CE1BEB" w:rsidP="00CE1BEB">
              <w:pPr>
                <w:pStyle w:val="Bibliography"/>
                <w:rPr>
                  <w:noProof/>
                  <w:sz w:val="24"/>
                  <w:szCs w:val="24"/>
                  <w:lang w:val="en-US"/>
                </w:rPr>
              </w:pPr>
              <w:r w:rsidRPr="00CE1BEB">
                <w:rPr>
                  <w:noProof/>
                  <w:sz w:val="24"/>
                  <w:szCs w:val="24"/>
                  <w:lang w:val="en-US"/>
                </w:rPr>
                <w:t xml:space="preserve">Camerer, C. (2003). </w:t>
              </w:r>
              <w:r w:rsidRPr="00CE1BEB">
                <w:rPr>
                  <w:i/>
                  <w:iCs/>
                  <w:noProof/>
                  <w:sz w:val="24"/>
                  <w:szCs w:val="24"/>
                  <w:lang w:val="en-US"/>
                </w:rPr>
                <w:t>Behavioral Game Theory.</w:t>
              </w:r>
              <w:r w:rsidRPr="00CE1BEB">
                <w:rPr>
                  <w:noProof/>
                  <w:sz w:val="24"/>
                  <w:szCs w:val="24"/>
                  <w:lang w:val="en-US"/>
                </w:rPr>
                <w:t xml:space="preserve"> Princeton: Princeton University Press.</w:t>
              </w:r>
            </w:p>
            <w:p w:rsidR="00CE1BEB" w:rsidRPr="00CE1BEB" w:rsidRDefault="00CE1BEB" w:rsidP="00CE1BEB">
              <w:pPr>
                <w:pStyle w:val="Bibliography"/>
                <w:rPr>
                  <w:noProof/>
                  <w:sz w:val="24"/>
                  <w:szCs w:val="24"/>
                  <w:lang w:val="en-US"/>
                </w:rPr>
              </w:pPr>
              <w:r w:rsidRPr="00CE1BEB">
                <w:rPr>
                  <w:noProof/>
                  <w:sz w:val="24"/>
                  <w:szCs w:val="24"/>
                  <w:lang w:val="en-US"/>
                </w:rPr>
                <w:t xml:space="preserve">Castle, E. e. (2012). Neural and behavioral bases of age differences in perceptions of trust. </w:t>
              </w:r>
              <w:r w:rsidRPr="00CE1BEB">
                <w:rPr>
                  <w:i/>
                  <w:iCs/>
                  <w:noProof/>
                  <w:sz w:val="24"/>
                  <w:szCs w:val="24"/>
                  <w:lang w:val="en-US"/>
                </w:rPr>
                <w:t>Proceedings of the National Academy of Sciences</w:t>
              </w:r>
              <w:r w:rsidRPr="00CE1BEB">
                <w:rPr>
                  <w:noProof/>
                  <w:sz w:val="24"/>
                  <w:szCs w:val="24"/>
                  <w:lang w:val="en-US"/>
                </w:rPr>
                <w:t xml:space="preserve"> .</w:t>
              </w:r>
            </w:p>
            <w:p w:rsidR="00CE1BEB" w:rsidRPr="00CE1BEB" w:rsidRDefault="00CE1BEB" w:rsidP="00CE1BEB">
              <w:pPr>
                <w:pStyle w:val="Bibliography"/>
                <w:rPr>
                  <w:noProof/>
                  <w:sz w:val="24"/>
                  <w:szCs w:val="24"/>
                  <w:lang w:val="en-US"/>
                </w:rPr>
              </w:pPr>
              <w:r w:rsidRPr="00CE1BEB">
                <w:rPr>
                  <w:noProof/>
                  <w:sz w:val="24"/>
                  <w:szCs w:val="24"/>
                  <w:lang w:val="en-US"/>
                </w:rPr>
                <w:t xml:space="preserve">Corra, A. (2013). Sturen op wederkerigheid. </w:t>
              </w:r>
              <w:r w:rsidRPr="00CE1BEB">
                <w:rPr>
                  <w:noProof/>
                  <w:sz w:val="24"/>
                  <w:szCs w:val="24"/>
                </w:rPr>
                <w:t xml:space="preserve">In H. Bosselaar, &amp; G. Vonk, </w:t>
              </w:r>
              <w:r w:rsidRPr="00CE1BEB">
                <w:rPr>
                  <w:i/>
                  <w:iCs/>
                  <w:noProof/>
                  <w:sz w:val="24"/>
                  <w:szCs w:val="24"/>
                </w:rPr>
                <w:t>Bouwplaats lokale verzorgingsstaat</w:t>
              </w:r>
              <w:r w:rsidRPr="00CE1BEB">
                <w:rPr>
                  <w:noProof/>
                  <w:sz w:val="24"/>
                  <w:szCs w:val="24"/>
                </w:rPr>
                <w:t xml:space="preserve"> (p. 65). </w:t>
              </w:r>
              <w:r w:rsidRPr="00CE1BEB">
                <w:rPr>
                  <w:noProof/>
                  <w:sz w:val="24"/>
                  <w:szCs w:val="24"/>
                  <w:lang w:val="en-US"/>
                </w:rPr>
                <w:t>Den Haag: Boom juridische uitgevers.</w:t>
              </w:r>
            </w:p>
            <w:p w:rsidR="00CE1BEB" w:rsidRPr="00CE1BEB" w:rsidRDefault="00CE1BEB" w:rsidP="00CE1BEB">
              <w:pPr>
                <w:pStyle w:val="Bibliography"/>
                <w:rPr>
                  <w:noProof/>
                  <w:sz w:val="24"/>
                  <w:szCs w:val="24"/>
                </w:rPr>
              </w:pPr>
              <w:r w:rsidRPr="00CE1BEB">
                <w:rPr>
                  <w:noProof/>
                  <w:sz w:val="24"/>
                  <w:szCs w:val="24"/>
                  <w:lang w:val="en-US"/>
                </w:rPr>
                <w:t xml:space="preserve">Croson, R., &amp; Buchan, N. (1999). Gender and culture: international experimental evidence from trust games. </w:t>
              </w:r>
              <w:r w:rsidRPr="00CE1BEB">
                <w:rPr>
                  <w:noProof/>
                  <w:sz w:val="24"/>
                  <w:szCs w:val="24"/>
                </w:rPr>
                <w:t xml:space="preserve">In </w:t>
              </w:r>
              <w:r w:rsidRPr="00CE1BEB">
                <w:rPr>
                  <w:i/>
                  <w:iCs/>
                  <w:noProof/>
                  <w:sz w:val="24"/>
                  <w:szCs w:val="24"/>
                </w:rPr>
                <w:t>American economic review</w:t>
              </w:r>
              <w:r w:rsidRPr="00CE1BEB">
                <w:rPr>
                  <w:noProof/>
                  <w:sz w:val="24"/>
                  <w:szCs w:val="24"/>
                </w:rPr>
                <w:t xml:space="preserve"> (pp. 386-392).</w:t>
              </w:r>
            </w:p>
            <w:p w:rsidR="00CE1BEB" w:rsidRPr="00CE1BEB" w:rsidRDefault="00CE1BEB" w:rsidP="00CE1BEB">
              <w:pPr>
                <w:pStyle w:val="Bibliography"/>
                <w:rPr>
                  <w:noProof/>
                  <w:sz w:val="24"/>
                  <w:szCs w:val="24"/>
                </w:rPr>
              </w:pPr>
              <w:r w:rsidRPr="00CE1BEB">
                <w:rPr>
                  <w:noProof/>
                  <w:sz w:val="24"/>
                  <w:szCs w:val="24"/>
                </w:rPr>
                <w:t xml:space="preserve">Erikson, E. H. (1977). </w:t>
              </w:r>
              <w:r w:rsidRPr="00CE1BEB">
                <w:rPr>
                  <w:i/>
                  <w:iCs/>
                  <w:noProof/>
                  <w:sz w:val="24"/>
                  <w:szCs w:val="24"/>
                </w:rPr>
                <w:t>Het kind en de samenleving.</w:t>
              </w:r>
              <w:r w:rsidRPr="00CE1BEB">
                <w:rPr>
                  <w:noProof/>
                  <w:sz w:val="24"/>
                  <w:szCs w:val="24"/>
                </w:rPr>
                <w:t xml:space="preserve"> Utrecht: Het Spectrum.</w:t>
              </w:r>
            </w:p>
            <w:p w:rsidR="00CE1BEB" w:rsidRPr="00CE1BEB" w:rsidRDefault="00CE1BEB" w:rsidP="00CE1BEB">
              <w:pPr>
                <w:pStyle w:val="Bibliography"/>
                <w:rPr>
                  <w:noProof/>
                  <w:sz w:val="24"/>
                  <w:szCs w:val="24"/>
                  <w:lang w:val="en-US"/>
                </w:rPr>
              </w:pPr>
              <w:r w:rsidRPr="00CE1BEB">
                <w:rPr>
                  <w:noProof/>
                  <w:sz w:val="24"/>
                  <w:szCs w:val="24"/>
                  <w:lang w:val="en-US"/>
                </w:rPr>
                <w:t xml:space="preserve">Fehr, E., &amp; Gatcher, S. (2000). Fairness and Retaliation: The economics of Reciprocity. In E. Fehr, &amp; S. Gatcher, </w:t>
              </w:r>
              <w:r w:rsidRPr="00CE1BEB">
                <w:rPr>
                  <w:i/>
                  <w:iCs/>
                  <w:noProof/>
                  <w:sz w:val="24"/>
                  <w:szCs w:val="24"/>
                  <w:lang w:val="en-US"/>
                </w:rPr>
                <w:t>The Journal of Economic Perspectives</w:t>
              </w:r>
              <w:r w:rsidRPr="00CE1BEB">
                <w:rPr>
                  <w:noProof/>
                  <w:sz w:val="24"/>
                  <w:szCs w:val="24"/>
                  <w:lang w:val="en-US"/>
                </w:rPr>
                <w:t xml:space="preserve"> (pp. 159-181).</w:t>
              </w:r>
            </w:p>
            <w:p w:rsidR="00CE1BEB" w:rsidRPr="00CE1BEB" w:rsidRDefault="00CE1BEB" w:rsidP="00CE1BEB">
              <w:pPr>
                <w:pStyle w:val="Bibliography"/>
                <w:rPr>
                  <w:noProof/>
                  <w:sz w:val="24"/>
                  <w:szCs w:val="24"/>
                  <w:lang w:val="en-US"/>
                </w:rPr>
              </w:pPr>
              <w:r w:rsidRPr="00CE1BEB">
                <w:rPr>
                  <w:noProof/>
                  <w:sz w:val="24"/>
                  <w:szCs w:val="24"/>
                </w:rPr>
                <w:t xml:space="preserve">Gezondheidsnet, R. (2015, Maart 30). </w:t>
              </w:r>
              <w:r w:rsidRPr="00CE1BEB">
                <w:rPr>
                  <w:i/>
                  <w:iCs/>
                  <w:noProof/>
                  <w:sz w:val="24"/>
                  <w:szCs w:val="24"/>
                </w:rPr>
                <w:t>Vertrouwen neemt toe met de leeftijd</w:t>
              </w:r>
              <w:r w:rsidRPr="00CE1BEB">
                <w:rPr>
                  <w:noProof/>
                  <w:sz w:val="24"/>
                  <w:szCs w:val="24"/>
                </w:rPr>
                <w:t xml:space="preserve">. </w:t>
              </w:r>
              <w:r w:rsidRPr="00CE1BEB">
                <w:rPr>
                  <w:noProof/>
                  <w:sz w:val="24"/>
                  <w:szCs w:val="24"/>
                  <w:lang w:val="en-US"/>
                </w:rPr>
                <w:t>Retrieved from Nu.nl: http://www.nu.nl/gezondheid/4021239/vertrouwen-neemt-toe-met-leeftijd.html</w:t>
              </w:r>
            </w:p>
            <w:p w:rsidR="00CE1BEB" w:rsidRPr="00CE1BEB" w:rsidRDefault="00CE1BEB" w:rsidP="00CE1BEB">
              <w:pPr>
                <w:pStyle w:val="Bibliography"/>
                <w:rPr>
                  <w:noProof/>
                  <w:sz w:val="24"/>
                  <w:szCs w:val="24"/>
                  <w:lang w:val="en-US"/>
                </w:rPr>
              </w:pPr>
              <w:r w:rsidRPr="00CE1BEB">
                <w:rPr>
                  <w:noProof/>
                  <w:sz w:val="24"/>
                  <w:szCs w:val="24"/>
                  <w:lang w:val="en-US"/>
                </w:rPr>
                <w:t>Gummerum, M., Hanoch, Y., &amp; Keller, M. When child development meets economic game theory: An interdisceplenary approach to investigating social development.</w:t>
              </w:r>
            </w:p>
            <w:p w:rsidR="00CE1BEB" w:rsidRPr="00CE1BEB" w:rsidRDefault="00CE1BEB" w:rsidP="00CE1BEB">
              <w:pPr>
                <w:pStyle w:val="Bibliography"/>
                <w:rPr>
                  <w:noProof/>
                  <w:sz w:val="24"/>
                  <w:szCs w:val="24"/>
                  <w:lang w:val="en-US"/>
                </w:rPr>
              </w:pPr>
              <w:r w:rsidRPr="00CE1BEB">
                <w:rPr>
                  <w:noProof/>
                  <w:sz w:val="24"/>
                  <w:szCs w:val="24"/>
                  <w:lang w:val="en-US"/>
                </w:rPr>
                <w:t xml:space="preserve">Kreps, D. (1990). Corporate Culture and Economic Theory. In D. Kreps, </w:t>
              </w:r>
              <w:r w:rsidRPr="00CE1BEB">
                <w:rPr>
                  <w:i/>
                  <w:iCs/>
                  <w:noProof/>
                  <w:sz w:val="24"/>
                  <w:szCs w:val="24"/>
                  <w:lang w:val="en-US"/>
                </w:rPr>
                <w:t>Perspectives on positive political economy</w:t>
              </w:r>
              <w:r w:rsidRPr="00CE1BEB">
                <w:rPr>
                  <w:noProof/>
                  <w:sz w:val="24"/>
                  <w:szCs w:val="24"/>
                  <w:lang w:val="en-US"/>
                </w:rPr>
                <w:t xml:space="preserve"> (pp. 90-143). Cambridge: Cambridge University Press.</w:t>
              </w:r>
            </w:p>
            <w:p w:rsidR="00CE1BEB" w:rsidRPr="00CE1BEB" w:rsidRDefault="00CE1BEB" w:rsidP="00CE1BEB">
              <w:pPr>
                <w:pStyle w:val="Bibliography"/>
                <w:rPr>
                  <w:noProof/>
                  <w:sz w:val="24"/>
                  <w:szCs w:val="24"/>
                  <w:lang w:val="en-US"/>
                </w:rPr>
              </w:pPr>
              <w:r w:rsidRPr="00CE1BEB">
                <w:rPr>
                  <w:noProof/>
                  <w:sz w:val="24"/>
                  <w:szCs w:val="24"/>
                  <w:lang w:val="en-US"/>
                </w:rPr>
                <w:t xml:space="preserve">Osborne, M. J. (1994). </w:t>
              </w:r>
              <w:r w:rsidRPr="00CE1BEB">
                <w:rPr>
                  <w:i/>
                  <w:iCs/>
                  <w:noProof/>
                  <w:sz w:val="24"/>
                  <w:szCs w:val="24"/>
                  <w:lang w:val="en-US"/>
                </w:rPr>
                <w:t>A Course in Game Theory.</w:t>
              </w:r>
              <w:r w:rsidRPr="00CE1BEB">
                <w:rPr>
                  <w:noProof/>
                  <w:sz w:val="24"/>
                  <w:szCs w:val="24"/>
                  <w:lang w:val="en-US"/>
                </w:rPr>
                <w:t xml:space="preserve"> Cambridge: MIT.</w:t>
              </w:r>
            </w:p>
            <w:p w:rsidR="00CE1BEB" w:rsidRPr="00CE1BEB" w:rsidRDefault="00CE1BEB" w:rsidP="00CE1BEB">
              <w:pPr>
                <w:pStyle w:val="Bibliography"/>
                <w:rPr>
                  <w:noProof/>
                  <w:sz w:val="24"/>
                  <w:szCs w:val="24"/>
                  <w:lang w:val="en-US"/>
                </w:rPr>
              </w:pPr>
              <w:r w:rsidRPr="00CE1BEB">
                <w:rPr>
                  <w:noProof/>
                  <w:sz w:val="24"/>
                  <w:szCs w:val="24"/>
                  <w:lang w:val="en-US"/>
                </w:rPr>
                <w:t xml:space="preserve">Ostrom, E., &amp; Walker, J. (2003). </w:t>
              </w:r>
              <w:r w:rsidRPr="00CE1BEB">
                <w:rPr>
                  <w:i/>
                  <w:iCs/>
                  <w:noProof/>
                  <w:sz w:val="24"/>
                  <w:szCs w:val="24"/>
                  <w:lang w:val="en-US"/>
                </w:rPr>
                <w:t>Trust and Reciprocity.</w:t>
              </w:r>
              <w:r w:rsidRPr="00CE1BEB">
                <w:rPr>
                  <w:noProof/>
                  <w:sz w:val="24"/>
                  <w:szCs w:val="24"/>
                  <w:lang w:val="en-US"/>
                </w:rPr>
                <w:t xml:space="preserve"> New York: Russell Sage Foundation.</w:t>
              </w:r>
            </w:p>
            <w:p w:rsidR="00CE1BEB" w:rsidRPr="00CE1BEB" w:rsidRDefault="00CE1BEB" w:rsidP="00CE1BEB">
              <w:pPr>
                <w:pStyle w:val="Bibliography"/>
                <w:rPr>
                  <w:noProof/>
                  <w:sz w:val="24"/>
                  <w:szCs w:val="24"/>
                  <w:lang w:val="en-US"/>
                </w:rPr>
              </w:pPr>
              <w:r w:rsidRPr="00CE1BEB">
                <w:rPr>
                  <w:noProof/>
                  <w:sz w:val="24"/>
                  <w:szCs w:val="24"/>
                  <w:lang w:val="en-US"/>
                </w:rPr>
                <w:t xml:space="preserve">Reyna, V. F., &amp; Farley, F. (2006). Current Theories of Risk and Rational Decision Making. </w:t>
              </w:r>
              <w:r w:rsidRPr="00CE1BEB">
                <w:rPr>
                  <w:i/>
                  <w:iCs/>
                  <w:noProof/>
                  <w:sz w:val="24"/>
                  <w:szCs w:val="24"/>
                  <w:lang w:val="en-US"/>
                </w:rPr>
                <w:t>Psychological science in the public interest</w:t>
              </w:r>
              <w:r w:rsidRPr="00CE1BEB">
                <w:rPr>
                  <w:noProof/>
                  <w:sz w:val="24"/>
                  <w:szCs w:val="24"/>
                  <w:lang w:val="en-US"/>
                </w:rPr>
                <w:t xml:space="preserve"> , 1-3.</w:t>
              </w:r>
            </w:p>
            <w:p w:rsidR="00CE1BEB" w:rsidRPr="00CE1BEB" w:rsidRDefault="00CE1BEB" w:rsidP="00CE1BEB">
              <w:pPr>
                <w:pStyle w:val="Bibliography"/>
                <w:rPr>
                  <w:noProof/>
                  <w:sz w:val="24"/>
                  <w:szCs w:val="24"/>
                  <w:lang w:val="en-US"/>
                </w:rPr>
              </w:pPr>
              <w:r w:rsidRPr="00CE1BEB">
                <w:rPr>
                  <w:noProof/>
                  <w:sz w:val="24"/>
                  <w:szCs w:val="24"/>
                  <w:lang w:val="en-US"/>
                </w:rPr>
                <w:t xml:space="preserve">Rosenthal, R. (1982). Games of perfect information, predatory pricing, and the chain store paradox. </w:t>
              </w:r>
              <w:r w:rsidRPr="00CE1BEB">
                <w:rPr>
                  <w:i/>
                  <w:iCs/>
                  <w:noProof/>
                  <w:sz w:val="24"/>
                  <w:szCs w:val="24"/>
                  <w:lang w:val="en-US"/>
                </w:rPr>
                <w:t>Journal of Economic theory</w:t>
              </w:r>
              <w:r w:rsidRPr="00CE1BEB">
                <w:rPr>
                  <w:noProof/>
                  <w:sz w:val="24"/>
                  <w:szCs w:val="24"/>
                  <w:lang w:val="en-US"/>
                </w:rPr>
                <w:t xml:space="preserve"> .</w:t>
              </w:r>
            </w:p>
            <w:p w:rsidR="00CE1BEB" w:rsidRPr="00CE1BEB" w:rsidRDefault="00CE1BEB" w:rsidP="00CE1BEB">
              <w:pPr>
                <w:pStyle w:val="Bibliography"/>
                <w:rPr>
                  <w:noProof/>
                  <w:sz w:val="24"/>
                  <w:szCs w:val="24"/>
                  <w:lang w:val="en-US"/>
                </w:rPr>
              </w:pPr>
              <w:r w:rsidRPr="00CE1BEB">
                <w:rPr>
                  <w:noProof/>
                  <w:sz w:val="24"/>
                  <w:szCs w:val="24"/>
                  <w:lang w:val="en-US"/>
                </w:rPr>
                <w:t>Sutter, M., &amp; Kocher, M. G. (2003). The development of trust and reciprocity. In M. Sutter, &amp; M. G. Kocher. University of Innsbruck.</w:t>
              </w:r>
            </w:p>
            <w:p w:rsidR="00CE1BEB" w:rsidRPr="00CE1BEB" w:rsidRDefault="00CE1BEB" w:rsidP="00CE1BEB">
              <w:pPr>
                <w:pStyle w:val="Bibliography"/>
                <w:rPr>
                  <w:noProof/>
                  <w:sz w:val="24"/>
                  <w:szCs w:val="24"/>
                  <w:lang w:val="en-US"/>
                </w:rPr>
              </w:pPr>
              <w:r w:rsidRPr="00CE1BEB">
                <w:rPr>
                  <w:noProof/>
                  <w:sz w:val="24"/>
                  <w:szCs w:val="24"/>
                  <w:lang w:val="en-US"/>
                </w:rPr>
                <w:lastRenderedPageBreak/>
                <w:t>Van Huyck, J., Battalio, R., &amp; Walters, M. (1993). Commitment versus discretion in the peasant-dictator game.</w:t>
              </w:r>
            </w:p>
            <w:p w:rsidR="00CE1BEB" w:rsidRPr="00CE1BEB" w:rsidRDefault="00CE1BEB" w:rsidP="00CE1BEB">
              <w:pPr>
                <w:pStyle w:val="Bibliography"/>
                <w:rPr>
                  <w:noProof/>
                  <w:sz w:val="24"/>
                  <w:szCs w:val="24"/>
                  <w:lang w:val="en-US"/>
                </w:rPr>
              </w:pPr>
              <w:r w:rsidRPr="00CE1BEB">
                <w:rPr>
                  <w:noProof/>
                  <w:sz w:val="24"/>
                  <w:szCs w:val="24"/>
                  <w:lang w:val="en-US"/>
                </w:rPr>
                <w:t xml:space="preserve">Wilkinson, N., &amp; Klaes, M. (2012). </w:t>
              </w:r>
              <w:r w:rsidRPr="00CE1BEB">
                <w:rPr>
                  <w:i/>
                  <w:iCs/>
                  <w:noProof/>
                  <w:sz w:val="24"/>
                  <w:szCs w:val="24"/>
                  <w:lang w:val="en-US"/>
                </w:rPr>
                <w:t>An introduction to behavioral economics.</w:t>
              </w:r>
              <w:r w:rsidRPr="00CE1BEB">
                <w:rPr>
                  <w:noProof/>
                  <w:sz w:val="24"/>
                  <w:szCs w:val="24"/>
                  <w:lang w:val="en-US"/>
                </w:rPr>
                <w:t xml:space="preserve"> Palgrave Macmillan.</w:t>
              </w:r>
            </w:p>
            <w:p w:rsidR="005F33C3" w:rsidRPr="00CE1BEB" w:rsidRDefault="00364E81" w:rsidP="000D5B12">
              <w:r w:rsidRPr="00CE1BEB">
                <w:rPr>
                  <w:sz w:val="24"/>
                  <w:szCs w:val="24"/>
                </w:rPr>
                <w:fldChar w:fldCharType="end"/>
              </w:r>
              <w:r w:rsidR="000D5B12">
                <w:rPr>
                  <w:sz w:val="24"/>
                  <w:szCs w:val="24"/>
                </w:rPr>
                <w:br w:type="page"/>
              </w:r>
            </w:p>
          </w:sdtContent>
        </w:sdt>
      </w:sdtContent>
    </w:sdt>
    <w:p w:rsidR="000D5B12" w:rsidRPr="005F33C3" w:rsidRDefault="000D5B12" w:rsidP="000D5B12">
      <w:pPr>
        <w:rPr>
          <w:sz w:val="24"/>
          <w:szCs w:val="24"/>
        </w:rPr>
      </w:pPr>
      <w:r>
        <w:rPr>
          <w:noProof/>
          <w:lang w:eastAsia="nl-NL"/>
        </w:rPr>
        <w:lastRenderedPageBreak/>
        <w:drawing>
          <wp:inline distT="0" distB="0" distL="0" distR="0">
            <wp:extent cx="6624750" cy="4477110"/>
            <wp:effectExtent l="19050" t="0" r="4650" b="0"/>
            <wp:docPr id="7" name="Picture 0" descr="enquet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quete1.jpg"/>
                    <pic:cNvPicPr/>
                  </pic:nvPicPr>
                  <pic:blipFill>
                    <a:blip r:embed="rId15" cstate="print"/>
                    <a:stretch>
                      <a:fillRect/>
                    </a:stretch>
                  </pic:blipFill>
                  <pic:spPr>
                    <a:xfrm>
                      <a:off x="0" y="0"/>
                      <a:ext cx="6629300" cy="4480185"/>
                    </a:xfrm>
                    <a:prstGeom prst="rect">
                      <a:avLst/>
                    </a:prstGeom>
                  </pic:spPr>
                </pic:pic>
              </a:graphicData>
            </a:graphic>
          </wp:inline>
        </w:drawing>
      </w:r>
    </w:p>
    <w:p w:rsidR="000D5B12" w:rsidRDefault="000D5B12" w:rsidP="000D5B12">
      <w:r>
        <w:rPr>
          <w:noProof/>
          <w:lang w:eastAsia="nl-NL"/>
        </w:rPr>
        <w:drawing>
          <wp:inline distT="0" distB="0" distL="0" distR="0">
            <wp:extent cx="6019441" cy="3927367"/>
            <wp:effectExtent l="19050" t="0" r="359" b="0"/>
            <wp:docPr id="10" name="Picture 1" descr="enquet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quete2.jpg"/>
                    <pic:cNvPicPr/>
                  </pic:nvPicPr>
                  <pic:blipFill>
                    <a:blip r:embed="rId16" cstate="print"/>
                    <a:stretch>
                      <a:fillRect/>
                    </a:stretch>
                  </pic:blipFill>
                  <pic:spPr>
                    <a:xfrm>
                      <a:off x="0" y="0"/>
                      <a:ext cx="6019516" cy="3927416"/>
                    </a:xfrm>
                    <a:prstGeom prst="rect">
                      <a:avLst/>
                    </a:prstGeom>
                  </pic:spPr>
                </pic:pic>
              </a:graphicData>
            </a:graphic>
          </wp:inline>
        </w:drawing>
      </w:r>
    </w:p>
    <w:p w:rsidR="000D5B12" w:rsidRDefault="000D5B12" w:rsidP="000D5B12"/>
    <w:p w:rsidR="000D5B12" w:rsidRDefault="000D5B12" w:rsidP="000D5B12">
      <w:r>
        <w:rPr>
          <w:noProof/>
          <w:lang w:eastAsia="nl-NL"/>
        </w:rPr>
        <w:lastRenderedPageBreak/>
        <w:drawing>
          <wp:inline distT="0" distB="0" distL="0" distR="0">
            <wp:extent cx="5760720" cy="3457575"/>
            <wp:effectExtent l="19050" t="0" r="0" b="0"/>
            <wp:docPr id="11" name="Picture 2" descr="enquet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quete3.jpg"/>
                    <pic:cNvPicPr/>
                  </pic:nvPicPr>
                  <pic:blipFill>
                    <a:blip r:embed="rId17" cstate="print"/>
                    <a:stretch>
                      <a:fillRect/>
                    </a:stretch>
                  </pic:blipFill>
                  <pic:spPr>
                    <a:xfrm>
                      <a:off x="0" y="0"/>
                      <a:ext cx="5760720" cy="3457575"/>
                    </a:xfrm>
                    <a:prstGeom prst="rect">
                      <a:avLst/>
                    </a:prstGeom>
                  </pic:spPr>
                </pic:pic>
              </a:graphicData>
            </a:graphic>
          </wp:inline>
        </w:drawing>
      </w:r>
    </w:p>
    <w:p w:rsidR="000D5B12" w:rsidRDefault="00AF5F8E" w:rsidP="005F33C3">
      <w:pPr>
        <w:jc w:val="both"/>
      </w:pPr>
      <w:r>
        <w:t>Figuur 6. E</w:t>
      </w:r>
      <w:r w:rsidRPr="00AF5F8E">
        <w:t>nquête</w:t>
      </w:r>
      <w:r w:rsidR="000D5B12">
        <w:br w:type="page"/>
      </w:r>
    </w:p>
    <w:p w:rsidR="000D5B12" w:rsidRDefault="000D5B12" w:rsidP="000D5B12">
      <w:r>
        <w:rPr>
          <w:noProof/>
          <w:lang w:eastAsia="nl-NL"/>
        </w:rPr>
        <w:lastRenderedPageBreak/>
        <w:drawing>
          <wp:inline distT="0" distB="0" distL="0" distR="0">
            <wp:extent cx="4779010" cy="1984375"/>
            <wp:effectExtent l="0" t="0" r="254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srcRect/>
                    <a:stretch>
                      <a:fillRect/>
                    </a:stretch>
                  </pic:blipFill>
                  <pic:spPr bwMode="auto">
                    <a:xfrm>
                      <a:off x="0" y="0"/>
                      <a:ext cx="4779010" cy="1984375"/>
                    </a:xfrm>
                    <a:prstGeom prst="rect">
                      <a:avLst/>
                    </a:prstGeom>
                    <a:noFill/>
                    <a:ln w="9525">
                      <a:noFill/>
                      <a:miter lim="800000"/>
                      <a:headEnd/>
                      <a:tailEnd/>
                    </a:ln>
                  </pic:spPr>
                </pic:pic>
              </a:graphicData>
            </a:graphic>
          </wp:inline>
        </w:drawing>
      </w:r>
    </w:p>
    <w:p w:rsidR="00E35242" w:rsidRDefault="00E35242" w:rsidP="000D5B12">
      <w:r>
        <w:t>Tabel 1. Gemiddeld vertrouwen groep 15-25 in andere groepen.</w:t>
      </w:r>
    </w:p>
    <w:p w:rsidR="00E35242" w:rsidRDefault="00E35242" w:rsidP="000D5B12"/>
    <w:p w:rsidR="000D5B12" w:rsidRDefault="000D5B12" w:rsidP="000D5B12">
      <w:r>
        <w:rPr>
          <w:noProof/>
          <w:lang w:eastAsia="nl-NL"/>
        </w:rPr>
        <w:drawing>
          <wp:inline distT="0" distB="0" distL="0" distR="0">
            <wp:extent cx="1751330" cy="1906270"/>
            <wp:effectExtent l="0" t="0" r="1270"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srcRect/>
                    <a:stretch>
                      <a:fillRect/>
                    </a:stretch>
                  </pic:blipFill>
                  <pic:spPr bwMode="auto">
                    <a:xfrm>
                      <a:off x="0" y="0"/>
                      <a:ext cx="1751330" cy="1906270"/>
                    </a:xfrm>
                    <a:prstGeom prst="rect">
                      <a:avLst/>
                    </a:prstGeom>
                    <a:noFill/>
                    <a:ln w="9525">
                      <a:noFill/>
                      <a:miter lim="800000"/>
                      <a:headEnd/>
                      <a:tailEnd/>
                    </a:ln>
                  </pic:spPr>
                </pic:pic>
              </a:graphicData>
            </a:graphic>
          </wp:inline>
        </w:drawing>
      </w:r>
    </w:p>
    <w:p w:rsidR="00E35242" w:rsidRDefault="00E35242" w:rsidP="00E35242">
      <w:r>
        <w:t>Tabel 2. Gemiddelde van het totale vertrouwen van groep 15-25 jaar in alle andere groepen.</w:t>
      </w:r>
    </w:p>
    <w:p w:rsidR="000D5B12" w:rsidRDefault="000D5B12" w:rsidP="000D5B12"/>
    <w:p w:rsidR="000D5B12" w:rsidRDefault="000D5B12" w:rsidP="000D5B12">
      <w:r>
        <w:rPr>
          <w:noProof/>
          <w:lang w:eastAsia="nl-NL"/>
        </w:rPr>
        <w:drawing>
          <wp:inline distT="0" distB="0" distL="0" distR="0">
            <wp:extent cx="4779010" cy="1984375"/>
            <wp:effectExtent l="0" t="0" r="2540" b="0"/>
            <wp:docPr id="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srcRect/>
                    <a:stretch>
                      <a:fillRect/>
                    </a:stretch>
                  </pic:blipFill>
                  <pic:spPr bwMode="auto">
                    <a:xfrm>
                      <a:off x="0" y="0"/>
                      <a:ext cx="4779010" cy="1984375"/>
                    </a:xfrm>
                    <a:prstGeom prst="rect">
                      <a:avLst/>
                    </a:prstGeom>
                    <a:noFill/>
                    <a:ln w="9525">
                      <a:noFill/>
                      <a:miter lim="800000"/>
                      <a:headEnd/>
                      <a:tailEnd/>
                    </a:ln>
                  </pic:spPr>
                </pic:pic>
              </a:graphicData>
            </a:graphic>
          </wp:inline>
        </w:drawing>
      </w:r>
    </w:p>
    <w:p w:rsidR="000D5B12" w:rsidRDefault="00E35242" w:rsidP="000D5B12">
      <w:r>
        <w:t>Tabel 3. Gemiddeld vertrouwen groep 26-40 in andere groepen.</w:t>
      </w:r>
    </w:p>
    <w:p w:rsidR="005F33C3" w:rsidRDefault="005F33C3" w:rsidP="000D5B12"/>
    <w:p w:rsidR="005F33C3" w:rsidRDefault="005F33C3" w:rsidP="000D5B12"/>
    <w:p w:rsidR="000D5B12" w:rsidRDefault="000D5B12" w:rsidP="000D5B12">
      <w:r>
        <w:rPr>
          <w:noProof/>
          <w:lang w:eastAsia="nl-NL"/>
        </w:rPr>
        <w:lastRenderedPageBreak/>
        <w:drawing>
          <wp:inline distT="0" distB="0" distL="0" distR="0">
            <wp:extent cx="1751330" cy="1906270"/>
            <wp:effectExtent l="0" t="0" r="1270" b="0"/>
            <wp:docPr id="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srcRect/>
                    <a:stretch>
                      <a:fillRect/>
                    </a:stretch>
                  </pic:blipFill>
                  <pic:spPr bwMode="auto">
                    <a:xfrm>
                      <a:off x="0" y="0"/>
                      <a:ext cx="1751330" cy="1906270"/>
                    </a:xfrm>
                    <a:prstGeom prst="rect">
                      <a:avLst/>
                    </a:prstGeom>
                    <a:noFill/>
                    <a:ln w="9525">
                      <a:noFill/>
                      <a:miter lim="800000"/>
                      <a:headEnd/>
                      <a:tailEnd/>
                    </a:ln>
                  </pic:spPr>
                </pic:pic>
              </a:graphicData>
            </a:graphic>
          </wp:inline>
        </w:drawing>
      </w:r>
    </w:p>
    <w:p w:rsidR="000D5B12" w:rsidRDefault="00E35242" w:rsidP="000D5B12">
      <w:r>
        <w:t>Tabel 4. Gemiddelde van het totale vertrouwen van groep 26-40 jaar in alle andere groepen.</w:t>
      </w:r>
    </w:p>
    <w:p w:rsidR="000D5B12" w:rsidRDefault="000D5B12" w:rsidP="000D5B12">
      <w:r>
        <w:rPr>
          <w:noProof/>
          <w:lang w:eastAsia="nl-NL"/>
        </w:rPr>
        <w:drawing>
          <wp:inline distT="0" distB="0" distL="0" distR="0">
            <wp:extent cx="4779010" cy="1984375"/>
            <wp:effectExtent l="0" t="0" r="2540" b="0"/>
            <wp:docPr id="1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srcRect/>
                    <a:stretch>
                      <a:fillRect/>
                    </a:stretch>
                  </pic:blipFill>
                  <pic:spPr bwMode="auto">
                    <a:xfrm>
                      <a:off x="0" y="0"/>
                      <a:ext cx="4779010" cy="1984375"/>
                    </a:xfrm>
                    <a:prstGeom prst="rect">
                      <a:avLst/>
                    </a:prstGeom>
                    <a:noFill/>
                    <a:ln w="9525">
                      <a:noFill/>
                      <a:miter lim="800000"/>
                      <a:headEnd/>
                      <a:tailEnd/>
                    </a:ln>
                  </pic:spPr>
                </pic:pic>
              </a:graphicData>
            </a:graphic>
          </wp:inline>
        </w:drawing>
      </w:r>
    </w:p>
    <w:p w:rsidR="000D5B12" w:rsidRDefault="00E35242" w:rsidP="000D5B12">
      <w:r>
        <w:t>Tabel 5. Gemiddeld vertrouwen groep 41-65 in andere groepen.</w:t>
      </w:r>
    </w:p>
    <w:p w:rsidR="000D5B12" w:rsidRDefault="000D5B12" w:rsidP="000D5B12">
      <w:r>
        <w:rPr>
          <w:noProof/>
          <w:lang w:eastAsia="nl-NL"/>
        </w:rPr>
        <w:drawing>
          <wp:inline distT="0" distB="0" distL="0" distR="0">
            <wp:extent cx="1751330" cy="1906270"/>
            <wp:effectExtent l="0" t="0" r="1270" b="0"/>
            <wp:docPr id="1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srcRect/>
                    <a:stretch>
                      <a:fillRect/>
                    </a:stretch>
                  </pic:blipFill>
                  <pic:spPr bwMode="auto">
                    <a:xfrm>
                      <a:off x="0" y="0"/>
                      <a:ext cx="1751330" cy="1906270"/>
                    </a:xfrm>
                    <a:prstGeom prst="rect">
                      <a:avLst/>
                    </a:prstGeom>
                    <a:noFill/>
                    <a:ln w="9525">
                      <a:noFill/>
                      <a:miter lim="800000"/>
                      <a:headEnd/>
                      <a:tailEnd/>
                    </a:ln>
                  </pic:spPr>
                </pic:pic>
              </a:graphicData>
            </a:graphic>
          </wp:inline>
        </w:drawing>
      </w:r>
    </w:p>
    <w:p w:rsidR="000D5B12" w:rsidRDefault="00E35242" w:rsidP="000D5B12">
      <w:r>
        <w:t>Tabel 6. Gemiddelde van het totale vertrouwen van groep 41-65 jaar in alle andere groepen.</w:t>
      </w:r>
    </w:p>
    <w:p w:rsidR="000D5B12" w:rsidRDefault="000D5B12" w:rsidP="000D5B12">
      <w:r>
        <w:rPr>
          <w:noProof/>
          <w:lang w:eastAsia="nl-NL"/>
        </w:rPr>
        <w:lastRenderedPageBreak/>
        <w:drawing>
          <wp:inline distT="0" distB="0" distL="0" distR="0">
            <wp:extent cx="4779010" cy="1984375"/>
            <wp:effectExtent l="0" t="0" r="254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srcRect/>
                    <a:stretch>
                      <a:fillRect/>
                    </a:stretch>
                  </pic:blipFill>
                  <pic:spPr bwMode="auto">
                    <a:xfrm>
                      <a:off x="0" y="0"/>
                      <a:ext cx="4779010" cy="1984375"/>
                    </a:xfrm>
                    <a:prstGeom prst="rect">
                      <a:avLst/>
                    </a:prstGeom>
                    <a:noFill/>
                    <a:ln w="9525">
                      <a:noFill/>
                      <a:miter lim="800000"/>
                      <a:headEnd/>
                      <a:tailEnd/>
                    </a:ln>
                  </pic:spPr>
                </pic:pic>
              </a:graphicData>
            </a:graphic>
          </wp:inline>
        </w:drawing>
      </w:r>
    </w:p>
    <w:p w:rsidR="000D5B12" w:rsidRDefault="00E35242" w:rsidP="000D5B12">
      <w:r>
        <w:t xml:space="preserve">Tabel 7. </w:t>
      </w:r>
      <w:r w:rsidR="000D5B12">
        <w:t>Gemiddeld vertrouwen groep 65+ in andere groepen.</w:t>
      </w:r>
    </w:p>
    <w:p w:rsidR="000D5B12" w:rsidRDefault="000D5B12" w:rsidP="000D5B12"/>
    <w:p w:rsidR="000D5B12" w:rsidRDefault="000D5B12" w:rsidP="000D5B12">
      <w:r>
        <w:rPr>
          <w:noProof/>
          <w:lang w:eastAsia="nl-NL"/>
        </w:rPr>
        <w:drawing>
          <wp:inline distT="0" distB="0" distL="0" distR="0">
            <wp:extent cx="1751330" cy="1906270"/>
            <wp:effectExtent l="0" t="0" r="1270" b="0"/>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srcRect/>
                    <a:stretch>
                      <a:fillRect/>
                    </a:stretch>
                  </pic:blipFill>
                  <pic:spPr bwMode="auto">
                    <a:xfrm>
                      <a:off x="0" y="0"/>
                      <a:ext cx="1751330" cy="1906270"/>
                    </a:xfrm>
                    <a:prstGeom prst="rect">
                      <a:avLst/>
                    </a:prstGeom>
                    <a:noFill/>
                    <a:ln w="9525">
                      <a:noFill/>
                      <a:miter lim="800000"/>
                      <a:headEnd/>
                      <a:tailEnd/>
                    </a:ln>
                  </pic:spPr>
                </pic:pic>
              </a:graphicData>
            </a:graphic>
          </wp:inline>
        </w:drawing>
      </w:r>
    </w:p>
    <w:p w:rsidR="000D5B12" w:rsidRDefault="00E35242" w:rsidP="000D5B12">
      <w:r>
        <w:t xml:space="preserve">Tabel 8. </w:t>
      </w:r>
      <w:r w:rsidR="000D5B12">
        <w:t>Gemiddelde van het totale vertrouwen van groep 65+  in alle andere groepen.</w:t>
      </w:r>
    </w:p>
    <w:tbl>
      <w:tblPr>
        <w:tblpPr w:leftFromText="141" w:rightFromText="141" w:vertAnchor="text" w:horzAnchor="margin" w:tblpY="156"/>
        <w:tblW w:w="75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68"/>
        <w:gridCol w:w="1456"/>
        <w:gridCol w:w="1000"/>
        <w:gridCol w:w="1380"/>
        <w:gridCol w:w="1000"/>
        <w:gridCol w:w="1000"/>
      </w:tblGrid>
      <w:tr w:rsidR="00E35242" w:rsidRPr="007022F1" w:rsidTr="00E35242">
        <w:trPr>
          <w:cantSplit/>
        </w:trPr>
        <w:tc>
          <w:tcPr>
            <w:tcW w:w="7504" w:type="dxa"/>
            <w:gridSpan w:val="6"/>
            <w:tcBorders>
              <w:top w:val="nil"/>
              <w:left w:val="nil"/>
              <w:bottom w:val="nil"/>
              <w:right w:val="nil"/>
            </w:tcBorders>
            <w:shd w:val="clear" w:color="auto" w:fill="FFFFFF"/>
          </w:tcPr>
          <w:p w:rsidR="00E35242" w:rsidRPr="007022F1" w:rsidRDefault="00E35242" w:rsidP="00E35242">
            <w:pPr>
              <w:autoSpaceDE w:val="0"/>
              <w:autoSpaceDN w:val="0"/>
              <w:adjustRightInd w:val="0"/>
              <w:spacing w:after="0" w:line="320" w:lineRule="atLeast"/>
              <w:ind w:left="60" w:right="60"/>
              <w:jc w:val="center"/>
              <w:rPr>
                <w:rFonts w:ascii="Arial" w:hAnsi="Arial" w:cs="Arial"/>
                <w:color w:val="000000"/>
                <w:sz w:val="18"/>
                <w:szCs w:val="18"/>
              </w:rPr>
            </w:pPr>
            <w:r w:rsidRPr="007022F1">
              <w:rPr>
                <w:rFonts w:ascii="Arial" w:hAnsi="Arial" w:cs="Arial"/>
                <w:b/>
                <w:bCs/>
                <w:color w:val="000000"/>
                <w:sz w:val="18"/>
                <w:szCs w:val="18"/>
              </w:rPr>
              <w:t>ANOVA</w:t>
            </w:r>
          </w:p>
        </w:tc>
      </w:tr>
      <w:tr w:rsidR="00E35242" w:rsidRPr="007022F1" w:rsidTr="00E35242">
        <w:trPr>
          <w:cantSplit/>
        </w:trPr>
        <w:tc>
          <w:tcPr>
            <w:tcW w:w="7504" w:type="dxa"/>
            <w:gridSpan w:val="6"/>
            <w:tcBorders>
              <w:top w:val="nil"/>
              <w:left w:val="nil"/>
              <w:bottom w:val="nil"/>
              <w:right w:val="nil"/>
            </w:tcBorders>
            <w:shd w:val="clear" w:color="auto" w:fill="FFFFFF"/>
            <w:vAlign w:val="bottom"/>
          </w:tcPr>
          <w:p w:rsidR="00E35242" w:rsidRPr="007022F1" w:rsidRDefault="00E35242" w:rsidP="00E35242">
            <w:pPr>
              <w:autoSpaceDE w:val="0"/>
              <w:autoSpaceDN w:val="0"/>
              <w:adjustRightInd w:val="0"/>
              <w:spacing w:after="0" w:line="320" w:lineRule="atLeast"/>
              <w:ind w:left="60" w:right="60"/>
              <w:rPr>
                <w:rFonts w:ascii="Arial" w:hAnsi="Arial" w:cs="Arial"/>
                <w:color w:val="000000"/>
                <w:sz w:val="18"/>
                <w:szCs w:val="18"/>
              </w:rPr>
            </w:pPr>
            <w:r w:rsidRPr="007022F1">
              <w:rPr>
                <w:rFonts w:ascii="Arial" w:hAnsi="Arial" w:cs="Arial"/>
                <w:color w:val="000000"/>
                <w:sz w:val="18"/>
                <w:szCs w:val="18"/>
              </w:rPr>
              <w:t>Vertrouwen in groep 15-25</w:t>
            </w:r>
          </w:p>
        </w:tc>
      </w:tr>
      <w:tr w:rsidR="00E35242" w:rsidRPr="007022F1" w:rsidTr="00E35242">
        <w:trPr>
          <w:cantSplit/>
        </w:trPr>
        <w:tc>
          <w:tcPr>
            <w:tcW w:w="1668" w:type="dxa"/>
            <w:tcBorders>
              <w:top w:val="single" w:sz="16" w:space="0" w:color="000000"/>
              <w:left w:val="single" w:sz="16" w:space="0" w:color="000000"/>
              <w:bottom w:val="single" w:sz="16" w:space="0" w:color="000000"/>
              <w:right w:val="single" w:sz="16" w:space="0" w:color="000000"/>
            </w:tcBorders>
            <w:shd w:val="clear" w:color="auto" w:fill="FFFFFF"/>
          </w:tcPr>
          <w:p w:rsidR="00E35242" w:rsidRPr="007022F1" w:rsidRDefault="00E35242" w:rsidP="00E35242">
            <w:pPr>
              <w:autoSpaceDE w:val="0"/>
              <w:autoSpaceDN w:val="0"/>
              <w:adjustRightInd w:val="0"/>
              <w:spacing w:after="0" w:line="320" w:lineRule="atLeast"/>
              <w:ind w:left="60" w:right="60"/>
              <w:rPr>
                <w:rFonts w:ascii="Arial" w:hAnsi="Arial" w:cs="Arial"/>
                <w:color w:val="000000"/>
                <w:sz w:val="18"/>
                <w:szCs w:val="18"/>
              </w:rPr>
            </w:pPr>
          </w:p>
        </w:tc>
        <w:tc>
          <w:tcPr>
            <w:tcW w:w="1456" w:type="dxa"/>
            <w:tcBorders>
              <w:top w:val="single" w:sz="16" w:space="0" w:color="000000"/>
              <w:left w:val="single" w:sz="16" w:space="0" w:color="000000"/>
              <w:bottom w:val="single" w:sz="16" w:space="0" w:color="000000"/>
            </w:tcBorders>
            <w:shd w:val="clear" w:color="auto" w:fill="FFFFFF"/>
          </w:tcPr>
          <w:p w:rsidR="00E35242" w:rsidRPr="007022F1" w:rsidRDefault="00E35242" w:rsidP="00E35242">
            <w:pPr>
              <w:autoSpaceDE w:val="0"/>
              <w:autoSpaceDN w:val="0"/>
              <w:adjustRightInd w:val="0"/>
              <w:spacing w:after="0" w:line="320" w:lineRule="atLeast"/>
              <w:ind w:left="60" w:right="60"/>
              <w:jc w:val="center"/>
              <w:rPr>
                <w:rFonts w:ascii="Arial" w:hAnsi="Arial" w:cs="Arial"/>
                <w:color w:val="000000"/>
                <w:sz w:val="18"/>
                <w:szCs w:val="18"/>
              </w:rPr>
            </w:pPr>
            <w:r w:rsidRPr="007022F1">
              <w:rPr>
                <w:rFonts w:ascii="Arial" w:hAnsi="Arial" w:cs="Arial"/>
                <w:color w:val="000000"/>
                <w:sz w:val="18"/>
                <w:szCs w:val="18"/>
              </w:rPr>
              <w:t>Sum of Squares</w:t>
            </w:r>
          </w:p>
        </w:tc>
        <w:tc>
          <w:tcPr>
            <w:tcW w:w="1000" w:type="dxa"/>
            <w:tcBorders>
              <w:top w:val="single" w:sz="16" w:space="0" w:color="000000"/>
              <w:bottom w:val="single" w:sz="16" w:space="0" w:color="000000"/>
            </w:tcBorders>
            <w:shd w:val="clear" w:color="auto" w:fill="FFFFFF"/>
          </w:tcPr>
          <w:p w:rsidR="00E35242" w:rsidRPr="007022F1" w:rsidRDefault="00E35242" w:rsidP="00E35242">
            <w:pPr>
              <w:autoSpaceDE w:val="0"/>
              <w:autoSpaceDN w:val="0"/>
              <w:adjustRightInd w:val="0"/>
              <w:spacing w:after="0" w:line="320" w:lineRule="atLeast"/>
              <w:ind w:left="60" w:right="60"/>
              <w:jc w:val="center"/>
              <w:rPr>
                <w:rFonts w:ascii="Arial" w:hAnsi="Arial" w:cs="Arial"/>
                <w:color w:val="000000"/>
                <w:sz w:val="18"/>
                <w:szCs w:val="18"/>
              </w:rPr>
            </w:pPr>
            <w:r w:rsidRPr="007022F1">
              <w:rPr>
                <w:rFonts w:ascii="Arial" w:hAnsi="Arial" w:cs="Arial"/>
                <w:color w:val="000000"/>
                <w:sz w:val="18"/>
                <w:szCs w:val="18"/>
              </w:rPr>
              <w:t>df</w:t>
            </w:r>
          </w:p>
        </w:tc>
        <w:tc>
          <w:tcPr>
            <w:tcW w:w="1380" w:type="dxa"/>
            <w:tcBorders>
              <w:top w:val="single" w:sz="16" w:space="0" w:color="000000"/>
              <w:bottom w:val="single" w:sz="16" w:space="0" w:color="000000"/>
            </w:tcBorders>
            <w:shd w:val="clear" w:color="auto" w:fill="FFFFFF"/>
          </w:tcPr>
          <w:p w:rsidR="00E35242" w:rsidRPr="007022F1" w:rsidRDefault="00E35242" w:rsidP="00E35242">
            <w:pPr>
              <w:autoSpaceDE w:val="0"/>
              <w:autoSpaceDN w:val="0"/>
              <w:adjustRightInd w:val="0"/>
              <w:spacing w:after="0" w:line="320" w:lineRule="atLeast"/>
              <w:ind w:left="60" w:right="60"/>
              <w:jc w:val="center"/>
              <w:rPr>
                <w:rFonts w:ascii="Arial" w:hAnsi="Arial" w:cs="Arial"/>
                <w:color w:val="000000"/>
                <w:sz w:val="18"/>
                <w:szCs w:val="18"/>
              </w:rPr>
            </w:pPr>
            <w:r w:rsidRPr="007022F1">
              <w:rPr>
                <w:rFonts w:ascii="Arial" w:hAnsi="Arial" w:cs="Arial"/>
                <w:color w:val="000000"/>
                <w:sz w:val="18"/>
                <w:szCs w:val="18"/>
              </w:rPr>
              <w:t>Mean Square</w:t>
            </w:r>
          </w:p>
        </w:tc>
        <w:tc>
          <w:tcPr>
            <w:tcW w:w="1000" w:type="dxa"/>
            <w:tcBorders>
              <w:top w:val="single" w:sz="16" w:space="0" w:color="000000"/>
              <w:bottom w:val="single" w:sz="16" w:space="0" w:color="000000"/>
            </w:tcBorders>
            <w:shd w:val="clear" w:color="auto" w:fill="FFFFFF"/>
          </w:tcPr>
          <w:p w:rsidR="00E35242" w:rsidRPr="007022F1" w:rsidRDefault="00E35242" w:rsidP="00E35242">
            <w:pPr>
              <w:autoSpaceDE w:val="0"/>
              <w:autoSpaceDN w:val="0"/>
              <w:adjustRightInd w:val="0"/>
              <w:spacing w:after="0" w:line="320" w:lineRule="atLeast"/>
              <w:ind w:left="60" w:right="60"/>
              <w:jc w:val="center"/>
              <w:rPr>
                <w:rFonts w:ascii="Arial" w:hAnsi="Arial" w:cs="Arial"/>
                <w:color w:val="000000"/>
                <w:sz w:val="18"/>
                <w:szCs w:val="18"/>
              </w:rPr>
            </w:pPr>
            <w:r w:rsidRPr="007022F1">
              <w:rPr>
                <w:rFonts w:ascii="Arial" w:hAnsi="Arial" w:cs="Arial"/>
                <w:color w:val="000000"/>
                <w:sz w:val="18"/>
                <w:szCs w:val="18"/>
              </w:rPr>
              <w:t>F</w:t>
            </w:r>
          </w:p>
        </w:tc>
        <w:tc>
          <w:tcPr>
            <w:tcW w:w="1000" w:type="dxa"/>
            <w:tcBorders>
              <w:top w:val="single" w:sz="16" w:space="0" w:color="000000"/>
              <w:bottom w:val="single" w:sz="16" w:space="0" w:color="000000"/>
              <w:right w:val="single" w:sz="16" w:space="0" w:color="000000"/>
            </w:tcBorders>
            <w:shd w:val="clear" w:color="auto" w:fill="FFFFFF"/>
          </w:tcPr>
          <w:p w:rsidR="00E35242" w:rsidRPr="007022F1" w:rsidRDefault="00E35242" w:rsidP="00E35242">
            <w:pPr>
              <w:autoSpaceDE w:val="0"/>
              <w:autoSpaceDN w:val="0"/>
              <w:adjustRightInd w:val="0"/>
              <w:spacing w:after="0" w:line="320" w:lineRule="atLeast"/>
              <w:ind w:left="60" w:right="60"/>
              <w:jc w:val="center"/>
              <w:rPr>
                <w:rFonts w:ascii="Arial" w:hAnsi="Arial" w:cs="Arial"/>
                <w:color w:val="000000"/>
                <w:sz w:val="18"/>
                <w:szCs w:val="18"/>
              </w:rPr>
            </w:pPr>
            <w:r w:rsidRPr="007022F1">
              <w:rPr>
                <w:rFonts w:ascii="Arial" w:hAnsi="Arial" w:cs="Arial"/>
                <w:color w:val="000000"/>
                <w:sz w:val="18"/>
                <w:szCs w:val="18"/>
              </w:rPr>
              <w:t>Sig.</w:t>
            </w:r>
          </w:p>
        </w:tc>
      </w:tr>
      <w:tr w:rsidR="00E35242" w:rsidRPr="007022F1" w:rsidTr="00E35242">
        <w:trPr>
          <w:cantSplit/>
        </w:trPr>
        <w:tc>
          <w:tcPr>
            <w:tcW w:w="1668" w:type="dxa"/>
            <w:tcBorders>
              <w:top w:val="single" w:sz="16" w:space="0" w:color="000000"/>
              <w:left w:val="single" w:sz="16" w:space="0" w:color="000000"/>
              <w:bottom w:val="nil"/>
              <w:right w:val="single" w:sz="16" w:space="0" w:color="000000"/>
            </w:tcBorders>
            <w:shd w:val="clear" w:color="auto" w:fill="FFFFFF"/>
            <w:vAlign w:val="center"/>
          </w:tcPr>
          <w:p w:rsidR="00E35242" w:rsidRPr="007022F1" w:rsidRDefault="00E35242" w:rsidP="00E35242">
            <w:pPr>
              <w:autoSpaceDE w:val="0"/>
              <w:autoSpaceDN w:val="0"/>
              <w:adjustRightInd w:val="0"/>
              <w:spacing w:after="0" w:line="320" w:lineRule="atLeast"/>
              <w:ind w:left="60" w:right="60"/>
              <w:rPr>
                <w:rFonts w:ascii="Arial" w:hAnsi="Arial" w:cs="Arial"/>
                <w:color w:val="000000"/>
                <w:sz w:val="18"/>
                <w:szCs w:val="18"/>
              </w:rPr>
            </w:pPr>
            <w:r w:rsidRPr="007022F1">
              <w:rPr>
                <w:rFonts w:ascii="Arial" w:hAnsi="Arial" w:cs="Arial"/>
                <w:color w:val="000000"/>
                <w:sz w:val="18"/>
                <w:szCs w:val="18"/>
              </w:rPr>
              <w:t>Between Groups</w:t>
            </w:r>
          </w:p>
        </w:tc>
        <w:tc>
          <w:tcPr>
            <w:tcW w:w="1456" w:type="dxa"/>
            <w:tcBorders>
              <w:top w:val="single" w:sz="16" w:space="0" w:color="000000"/>
              <w:left w:val="single" w:sz="16" w:space="0" w:color="000000"/>
              <w:bottom w:val="nil"/>
            </w:tcBorders>
            <w:shd w:val="clear" w:color="auto" w:fill="FFFFFF"/>
            <w:vAlign w:val="center"/>
          </w:tcPr>
          <w:p w:rsidR="00E35242" w:rsidRPr="007022F1" w:rsidRDefault="00E35242" w:rsidP="00E35242">
            <w:pPr>
              <w:autoSpaceDE w:val="0"/>
              <w:autoSpaceDN w:val="0"/>
              <w:adjustRightInd w:val="0"/>
              <w:spacing w:after="0" w:line="320" w:lineRule="atLeast"/>
              <w:ind w:left="60" w:right="60"/>
              <w:jc w:val="right"/>
              <w:rPr>
                <w:rFonts w:ascii="Arial" w:hAnsi="Arial" w:cs="Arial"/>
                <w:color w:val="000000"/>
                <w:sz w:val="18"/>
                <w:szCs w:val="18"/>
              </w:rPr>
            </w:pPr>
            <w:r w:rsidRPr="007022F1">
              <w:rPr>
                <w:rFonts w:ascii="Arial" w:hAnsi="Arial" w:cs="Arial"/>
                <w:color w:val="000000"/>
                <w:sz w:val="18"/>
                <w:szCs w:val="18"/>
              </w:rPr>
              <w:t>29,148</w:t>
            </w:r>
          </w:p>
        </w:tc>
        <w:tc>
          <w:tcPr>
            <w:tcW w:w="1000" w:type="dxa"/>
            <w:tcBorders>
              <w:top w:val="single" w:sz="16" w:space="0" w:color="000000"/>
              <w:bottom w:val="nil"/>
            </w:tcBorders>
            <w:shd w:val="clear" w:color="auto" w:fill="FFFFFF"/>
            <w:vAlign w:val="center"/>
          </w:tcPr>
          <w:p w:rsidR="00E35242" w:rsidRPr="007022F1" w:rsidRDefault="00E35242" w:rsidP="00E35242">
            <w:pPr>
              <w:autoSpaceDE w:val="0"/>
              <w:autoSpaceDN w:val="0"/>
              <w:adjustRightInd w:val="0"/>
              <w:spacing w:after="0" w:line="320" w:lineRule="atLeast"/>
              <w:ind w:left="60" w:right="60"/>
              <w:jc w:val="right"/>
              <w:rPr>
                <w:rFonts w:ascii="Arial" w:hAnsi="Arial" w:cs="Arial"/>
                <w:color w:val="000000"/>
                <w:sz w:val="18"/>
                <w:szCs w:val="18"/>
              </w:rPr>
            </w:pPr>
            <w:r w:rsidRPr="007022F1">
              <w:rPr>
                <w:rFonts w:ascii="Arial" w:hAnsi="Arial" w:cs="Arial"/>
                <w:color w:val="000000"/>
                <w:sz w:val="18"/>
                <w:szCs w:val="18"/>
              </w:rPr>
              <w:t>3</w:t>
            </w:r>
          </w:p>
        </w:tc>
        <w:tc>
          <w:tcPr>
            <w:tcW w:w="1380" w:type="dxa"/>
            <w:tcBorders>
              <w:top w:val="single" w:sz="16" w:space="0" w:color="000000"/>
              <w:bottom w:val="nil"/>
            </w:tcBorders>
            <w:shd w:val="clear" w:color="auto" w:fill="FFFFFF"/>
            <w:vAlign w:val="center"/>
          </w:tcPr>
          <w:p w:rsidR="00E35242" w:rsidRPr="007022F1" w:rsidRDefault="00E35242" w:rsidP="00E35242">
            <w:pPr>
              <w:autoSpaceDE w:val="0"/>
              <w:autoSpaceDN w:val="0"/>
              <w:adjustRightInd w:val="0"/>
              <w:spacing w:after="0" w:line="320" w:lineRule="atLeast"/>
              <w:ind w:left="60" w:right="60"/>
              <w:jc w:val="right"/>
              <w:rPr>
                <w:rFonts w:ascii="Arial" w:hAnsi="Arial" w:cs="Arial"/>
                <w:color w:val="000000"/>
                <w:sz w:val="18"/>
                <w:szCs w:val="18"/>
              </w:rPr>
            </w:pPr>
            <w:r w:rsidRPr="007022F1">
              <w:rPr>
                <w:rFonts w:ascii="Arial" w:hAnsi="Arial" w:cs="Arial"/>
                <w:color w:val="000000"/>
                <w:sz w:val="18"/>
                <w:szCs w:val="18"/>
              </w:rPr>
              <w:t>9,716</w:t>
            </w:r>
          </w:p>
        </w:tc>
        <w:tc>
          <w:tcPr>
            <w:tcW w:w="1000" w:type="dxa"/>
            <w:tcBorders>
              <w:top w:val="single" w:sz="16" w:space="0" w:color="000000"/>
              <w:bottom w:val="nil"/>
            </w:tcBorders>
            <w:shd w:val="clear" w:color="auto" w:fill="FFFFFF"/>
            <w:vAlign w:val="center"/>
          </w:tcPr>
          <w:p w:rsidR="00E35242" w:rsidRPr="007022F1" w:rsidRDefault="00E35242" w:rsidP="00E35242">
            <w:pPr>
              <w:autoSpaceDE w:val="0"/>
              <w:autoSpaceDN w:val="0"/>
              <w:adjustRightInd w:val="0"/>
              <w:spacing w:after="0" w:line="320" w:lineRule="atLeast"/>
              <w:ind w:left="60" w:right="60"/>
              <w:jc w:val="right"/>
              <w:rPr>
                <w:rFonts w:ascii="Arial" w:hAnsi="Arial" w:cs="Arial"/>
                <w:color w:val="000000"/>
                <w:sz w:val="18"/>
                <w:szCs w:val="18"/>
              </w:rPr>
            </w:pPr>
            <w:r w:rsidRPr="007022F1">
              <w:rPr>
                <w:rFonts w:ascii="Arial" w:hAnsi="Arial" w:cs="Arial"/>
                <w:color w:val="000000"/>
                <w:sz w:val="18"/>
                <w:szCs w:val="18"/>
              </w:rPr>
              <w:t>1,889</w:t>
            </w:r>
          </w:p>
        </w:tc>
        <w:tc>
          <w:tcPr>
            <w:tcW w:w="1000" w:type="dxa"/>
            <w:tcBorders>
              <w:top w:val="single" w:sz="16" w:space="0" w:color="000000"/>
              <w:bottom w:val="nil"/>
              <w:right w:val="single" w:sz="16" w:space="0" w:color="000000"/>
            </w:tcBorders>
            <w:shd w:val="clear" w:color="auto" w:fill="FFFFFF"/>
            <w:vAlign w:val="center"/>
          </w:tcPr>
          <w:p w:rsidR="00E35242" w:rsidRPr="007022F1" w:rsidRDefault="00E35242" w:rsidP="00E35242">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,0</w:t>
            </w:r>
            <w:r w:rsidRPr="007022F1">
              <w:rPr>
                <w:rFonts w:ascii="Arial" w:hAnsi="Arial" w:cs="Arial"/>
                <w:color w:val="000000"/>
                <w:sz w:val="18"/>
                <w:szCs w:val="18"/>
              </w:rPr>
              <w:t>37</w:t>
            </w:r>
          </w:p>
        </w:tc>
      </w:tr>
      <w:tr w:rsidR="00E35242" w:rsidRPr="007022F1" w:rsidTr="00E35242">
        <w:trPr>
          <w:cantSplit/>
        </w:trPr>
        <w:tc>
          <w:tcPr>
            <w:tcW w:w="1668" w:type="dxa"/>
            <w:tcBorders>
              <w:top w:val="nil"/>
              <w:left w:val="single" w:sz="16" w:space="0" w:color="000000"/>
              <w:bottom w:val="nil"/>
              <w:right w:val="single" w:sz="16" w:space="0" w:color="000000"/>
            </w:tcBorders>
            <w:shd w:val="clear" w:color="auto" w:fill="FFFFFF"/>
            <w:vAlign w:val="center"/>
          </w:tcPr>
          <w:p w:rsidR="00E35242" w:rsidRPr="007022F1" w:rsidRDefault="00E35242" w:rsidP="00E35242">
            <w:pPr>
              <w:autoSpaceDE w:val="0"/>
              <w:autoSpaceDN w:val="0"/>
              <w:adjustRightInd w:val="0"/>
              <w:spacing w:after="0" w:line="320" w:lineRule="atLeast"/>
              <w:ind w:left="60" w:right="60"/>
              <w:rPr>
                <w:rFonts w:ascii="Arial" w:hAnsi="Arial" w:cs="Arial"/>
                <w:color w:val="000000"/>
                <w:sz w:val="18"/>
                <w:szCs w:val="18"/>
              </w:rPr>
            </w:pPr>
            <w:r w:rsidRPr="007022F1">
              <w:rPr>
                <w:rFonts w:ascii="Arial" w:hAnsi="Arial" w:cs="Arial"/>
                <w:color w:val="000000"/>
                <w:sz w:val="18"/>
                <w:szCs w:val="18"/>
              </w:rPr>
              <w:t>Within Groups</w:t>
            </w:r>
          </w:p>
        </w:tc>
        <w:tc>
          <w:tcPr>
            <w:tcW w:w="1456" w:type="dxa"/>
            <w:tcBorders>
              <w:top w:val="nil"/>
              <w:left w:val="single" w:sz="16" w:space="0" w:color="000000"/>
              <w:bottom w:val="nil"/>
            </w:tcBorders>
            <w:shd w:val="clear" w:color="auto" w:fill="FFFFFF"/>
            <w:vAlign w:val="center"/>
          </w:tcPr>
          <w:p w:rsidR="00E35242" w:rsidRPr="007022F1" w:rsidRDefault="00E35242" w:rsidP="00E35242">
            <w:pPr>
              <w:autoSpaceDE w:val="0"/>
              <w:autoSpaceDN w:val="0"/>
              <w:adjustRightInd w:val="0"/>
              <w:spacing w:after="0" w:line="320" w:lineRule="atLeast"/>
              <w:ind w:left="60" w:right="60"/>
              <w:jc w:val="right"/>
              <w:rPr>
                <w:rFonts w:ascii="Arial" w:hAnsi="Arial" w:cs="Arial"/>
                <w:color w:val="000000"/>
                <w:sz w:val="18"/>
                <w:szCs w:val="18"/>
              </w:rPr>
            </w:pPr>
            <w:r w:rsidRPr="007022F1">
              <w:rPr>
                <w:rFonts w:ascii="Arial" w:hAnsi="Arial" w:cs="Arial"/>
                <w:color w:val="000000"/>
                <w:sz w:val="18"/>
                <w:szCs w:val="18"/>
              </w:rPr>
              <w:t>478,296</w:t>
            </w:r>
          </w:p>
        </w:tc>
        <w:tc>
          <w:tcPr>
            <w:tcW w:w="1000" w:type="dxa"/>
            <w:tcBorders>
              <w:top w:val="nil"/>
              <w:bottom w:val="nil"/>
            </w:tcBorders>
            <w:shd w:val="clear" w:color="auto" w:fill="FFFFFF"/>
            <w:vAlign w:val="center"/>
          </w:tcPr>
          <w:p w:rsidR="00E35242" w:rsidRPr="007022F1" w:rsidRDefault="00E35242" w:rsidP="00E35242">
            <w:pPr>
              <w:autoSpaceDE w:val="0"/>
              <w:autoSpaceDN w:val="0"/>
              <w:adjustRightInd w:val="0"/>
              <w:spacing w:after="0" w:line="320" w:lineRule="atLeast"/>
              <w:ind w:left="60" w:right="60"/>
              <w:jc w:val="right"/>
              <w:rPr>
                <w:rFonts w:ascii="Arial" w:hAnsi="Arial" w:cs="Arial"/>
                <w:color w:val="000000"/>
                <w:sz w:val="18"/>
                <w:szCs w:val="18"/>
              </w:rPr>
            </w:pPr>
            <w:r w:rsidRPr="007022F1">
              <w:rPr>
                <w:rFonts w:ascii="Arial" w:hAnsi="Arial" w:cs="Arial"/>
                <w:color w:val="000000"/>
                <w:sz w:val="18"/>
                <w:szCs w:val="18"/>
              </w:rPr>
              <w:t>93</w:t>
            </w:r>
          </w:p>
        </w:tc>
        <w:tc>
          <w:tcPr>
            <w:tcW w:w="1380" w:type="dxa"/>
            <w:tcBorders>
              <w:top w:val="nil"/>
              <w:bottom w:val="nil"/>
            </w:tcBorders>
            <w:shd w:val="clear" w:color="auto" w:fill="FFFFFF"/>
            <w:vAlign w:val="center"/>
          </w:tcPr>
          <w:p w:rsidR="00E35242" w:rsidRPr="007022F1" w:rsidRDefault="00E35242" w:rsidP="00E35242">
            <w:pPr>
              <w:autoSpaceDE w:val="0"/>
              <w:autoSpaceDN w:val="0"/>
              <w:adjustRightInd w:val="0"/>
              <w:spacing w:after="0" w:line="320" w:lineRule="atLeast"/>
              <w:ind w:left="60" w:right="60"/>
              <w:jc w:val="right"/>
              <w:rPr>
                <w:rFonts w:ascii="Arial" w:hAnsi="Arial" w:cs="Arial"/>
                <w:color w:val="000000"/>
                <w:sz w:val="18"/>
                <w:szCs w:val="18"/>
              </w:rPr>
            </w:pPr>
            <w:r w:rsidRPr="007022F1">
              <w:rPr>
                <w:rFonts w:ascii="Arial" w:hAnsi="Arial" w:cs="Arial"/>
                <w:color w:val="000000"/>
                <w:sz w:val="18"/>
                <w:szCs w:val="18"/>
              </w:rPr>
              <w:t>5,143</w:t>
            </w:r>
          </w:p>
        </w:tc>
        <w:tc>
          <w:tcPr>
            <w:tcW w:w="1000" w:type="dxa"/>
            <w:tcBorders>
              <w:top w:val="nil"/>
              <w:bottom w:val="nil"/>
            </w:tcBorders>
            <w:shd w:val="clear" w:color="auto" w:fill="FFFFFF"/>
          </w:tcPr>
          <w:p w:rsidR="00E35242" w:rsidRPr="007022F1" w:rsidRDefault="00E35242" w:rsidP="00E35242">
            <w:pPr>
              <w:autoSpaceDE w:val="0"/>
              <w:autoSpaceDN w:val="0"/>
              <w:adjustRightInd w:val="0"/>
              <w:spacing w:after="0" w:line="240" w:lineRule="auto"/>
              <w:rPr>
                <w:rFonts w:ascii="Times New Roman" w:hAnsi="Times New Roman" w:cs="Times New Roman"/>
                <w:sz w:val="24"/>
                <w:szCs w:val="24"/>
              </w:rPr>
            </w:pPr>
          </w:p>
        </w:tc>
        <w:tc>
          <w:tcPr>
            <w:tcW w:w="1000" w:type="dxa"/>
            <w:tcBorders>
              <w:top w:val="nil"/>
              <w:bottom w:val="nil"/>
              <w:right w:val="single" w:sz="16" w:space="0" w:color="000000"/>
            </w:tcBorders>
            <w:shd w:val="clear" w:color="auto" w:fill="FFFFFF"/>
          </w:tcPr>
          <w:p w:rsidR="00E35242" w:rsidRPr="007022F1" w:rsidRDefault="00E35242" w:rsidP="00E35242">
            <w:pPr>
              <w:autoSpaceDE w:val="0"/>
              <w:autoSpaceDN w:val="0"/>
              <w:adjustRightInd w:val="0"/>
              <w:spacing w:after="0" w:line="240" w:lineRule="auto"/>
              <w:rPr>
                <w:rFonts w:ascii="Times New Roman" w:hAnsi="Times New Roman" w:cs="Times New Roman"/>
                <w:sz w:val="24"/>
                <w:szCs w:val="24"/>
              </w:rPr>
            </w:pPr>
          </w:p>
        </w:tc>
      </w:tr>
      <w:tr w:rsidR="00E35242" w:rsidRPr="007022F1" w:rsidTr="00E35242">
        <w:trPr>
          <w:cantSplit/>
        </w:trPr>
        <w:tc>
          <w:tcPr>
            <w:tcW w:w="1668" w:type="dxa"/>
            <w:tcBorders>
              <w:top w:val="nil"/>
              <w:left w:val="single" w:sz="16" w:space="0" w:color="000000"/>
              <w:bottom w:val="single" w:sz="16" w:space="0" w:color="000000"/>
              <w:right w:val="single" w:sz="16" w:space="0" w:color="000000"/>
            </w:tcBorders>
            <w:shd w:val="clear" w:color="auto" w:fill="FFFFFF"/>
            <w:vAlign w:val="center"/>
          </w:tcPr>
          <w:p w:rsidR="00E35242" w:rsidRPr="007022F1" w:rsidRDefault="00E35242" w:rsidP="00E35242">
            <w:pPr>
              <w:autoSpaceDE w:val="0"/>
              <w:autoSpaceDN w:val="0"/>
              <w:adjustRightInd w:val="0"/>
              <w:spacing w:after="0" w:line="320" w:lineRule="atLeast"/>
              <w:ind w:left="60" w:right="60"/>
              <w:rPr>
                <w:rFonts w:ascii="Arial" w:hAnsi="Arial" w:cs="Arial"/>
                <w:color w:val="000000"/>
                <w:sz w:val="18"/>
                <w:szCs w:val="18"/>
              </w:rPr>
            </w:pPr>
            <w:r w:rsidRPr="007022F1">
              <w:rPr>
                <w:rFonts w:ascii="Arial" w:hAnsi="Arial" w:cs="Arial"/>
                <w:color w:val="000000"/>
                <w:sz w:val="18"/>
                <w:szCs w:val="18"/>
              </w:rPr>
              <w:t>Total</w:t>
            </w:r>
          </w:p>
        </w:tc>
        <w:tc>
          <w:tcPr>
            <w:tcW w:w="1456" w:type="dxa"/>
            <w:tcBorders>
              <w:top w:val="nil"/>
              <w:left w:val="single" w:sz="16" w:space="0" w:color="000000"/>
              <w:bottom w:val="single" w:sz="16" w:space="0" w:color="000000"/>
            </w:tcBorders>
            <w:shd w:val="clear" w:color="auto" w:fill="FFFFFF"/>
            <w:vAlign w:val="center"/>
          </w:tcPr>
          <w:p w:rsidR="00E35242" w:rsidRPr="007022F1" w:rsidRDefault="00E35242" w:rsidP="00E35242">
            <w:pPr>
              <w:autoSpaceDE w:val="0"/>
              <w:autoSpaceDN w:val="0"/>
              <w:adjustRightInd w:val="0"/>
              <w:spacing w:after="0" w:line="320" w:lineRule="atLeast"/>
              <w:ind w:left="60" w:right="60"/>
              <w:jc w:val="right"/>
              <w:rPr>
                <w:rFonts w:ascii="Arial" w:hAnsi="Arial" w:cs="Arial"/>
                <w:color w:val="000000"/>
                <w:sz w:val="18"/>
                <w:szCs w:val="18"/>
              </w:rPr>
            </w:pPr>
            <w:r w:rsidRPr="007022F1">
              <w:rPr>
                <w:rFonts w:ascii="Arial" w:hAnsi="Arial" w:cs="Arial"/>
                <w:color w:val="000000"/>
                <w:sz w:val="18"/>
                <w:szCs w:val="18"/>
              </w:rPr>
              <w:t>507,443</w:t>
            </w:r>
          </w:p>
        </w:tc>
        <w:tc>
          <w:tcPr>
            <w:tcW w:w="1000" w:type="dxa"/>
            <w:tcBorders>
              <w:top w:val="nil"/>
              <w:bottom w:val="single" w:sz="16" w:space="0" w:color="000000"/>
            </w:tcBorders>
            <w:shd w:val="clear" w:color="auto" w:fill="FFFFFF"/>
            <w:vAlign w:val="center"/>
          </w:tcPr>
          <w:p w:rsidR="00E35242" w:rsidRPr="007022F1" w:rsidRDefault="00E35242" w:rsidP="00E35242">
            <w:pPr>
              <w:autoSpaceDE w:val="0"/>
              <w:autoSpaceDN w:val="0"/>
              <w:adjustRightInd w:val="0"/>
              <w:spacing w:after="0" w:line="320" w:lineRule="atLeast"/>
              <w:ind w:left="60" w:right="60"/>
              <w:jc w:val="right"/>
              <w:rPr>
                <w:rFonts w:ascii="Arial" w:hAnsi="Arial" w:cs="Arial"/>
                <w:color w:val="000000"/>
                <w:sz w:val="18"/>
                <w:szCs w:val="18"/>
              </w:rPr>
            </w:pPr>
            <w:r w:rsidRPr="007022F1">
              <w:rPr>
                <w:rFonts w:ascii="Arial" w:hAnsi="Arial" w:cs="Arial"/>
                <w:color w:val="000000"/>
                <w:sz w:val="18"/>
                <w:szCs w:val="18"/>
              </w:rPr>
              <w:t>96</w:t>
            </w:r>
          </w:p>
        </w:tc>
        <w:tc>
          <w:tcPr>
            <w:tcW w:w="1380" w:type="dxa"/>
            <w:tcBorders>
              <w:top w:val="nil"/>
              <w:bottom w:val="single" w:sz="16" w:space="0" w:color="000000"/>
            </w:tcBorders>
            <w:shd w:val="clear" w:color="auto" w:fill="FFFFFF"/>
          </w:tcPr>
          <w:p w:rsidR="00E35242" w:rsidRPr="007022F1" w:rsidRDefault="00E35242" w:rsidP="00E35242">
            <w:pPr>
              <w:autoSpaceDE w:val="0"/>
              <w:autoSpaceDN w:val="0"/>
              <w:adjustRightInd w:val="0"/>
              <w:spacing w:after="0" w:line="240" w:lineRule="auto"/>
              <w:rPr>
                <w:rFonts w:ascii="Times New Roman" w:hAnsi="Times New Roman" w:cs="Times New Roman"/>
                <w:sz w:val="24"/>
                <w:szCs w:val="24"/>
              </w:rPr>
            </w:pPr>
          </w:p>
        </w:tc>
        <w:tc>
          <w:tcPr>
            <w:tcW w:w="1000" w:type="dxa"/>
            <w:tcBorders>
              <w:top w:val="nil"/>
              <w:bottom w:val="single" w:sz="16" w:space="0" w:color="000000"/>
            </w:tcBorders>
            <w:shd w:val="clear" w:color="auto" w:fill="FFFFFF"/>
          </w:tcPr>
          <w:p w:rsidR="00E35242" w:rsidRPr="007022F1" w:rsidRDefault="00E35242" w:rsidP="00E35242">
            <w:pPr>
              <w:autoSpaceDE w:val="0"/>
              <w:autoSpaceDN w:val="0"/>
              <w:adjustRightInd w:val="0"/>
              <w:spacing w:after="0" w:line="240" w:lineRule="auto"/>
              <w:rPr>
                <w:rFonts w:ascii="Times New Roman" w:hAnsi="Times New Roman" w:cs="Times New Roman"/>
                <w:sz w:val="24"/>
                <w:szCs w:val="24"/>
              </w:rPr>
            </w:pPr>
          </w:p>
        </w:tc>
        <w:tc>
          <w:tcPr>
            <w:tcW w:w="1000" w:type="dxa"/>
            <w:tcBorders>
              <w:top w:val="nil"/>
              <w:bottom w:val="single" w:sz="16" w:space="0" w:color="000000"/>
              <w:right w:val="single" w:sz="16" w:space="0" w:color="000000"/>
            </w:tcBorders>
            <w:shd w:val="clear" w:color="auto" w:fill="FFFFFF"/>
          </w:tcPr>
          <w:p w:rsidR="00E35242" w:rsidRPr="007022F1" w:rsidRDefault="00E35242" w:rsidP="00E35242">
            <w:pPr>
              <w:autoSpaceDE w:val="0"/>
              <w:autoSpaceDN w:val="0"/>
              <w:adjustRightInd w:val="0"/>
              <w:spacing w:after="0" w:line="240" w:lineRule="auto"/>
              <w:rPr>
                <w:rFonts w:ascii="Times New Roman" w:hAnsi="Times New Roman" w:cs="Times New Roman"/>
                <w:sz w:val="24"/>
                <w:szCs w:val="24"/>
              </w:rPr>
            </w:pPr>
          </w:p>
        </w:tc>
      </w:tr>
    </w:tbl>
    <w:p w:rsidR="000D5B12" w:rsidRDefault="000D5B12" w:rsidP="000D5B12"/>
    <w:p w:rsidR="00E35242" w:rsidRDefault="00E35242" w:rsidP="00E35242">
      <w:pPr>
        <w:autoSpaceDE w:val="0"/>
        <w:autoSpaceDN w:val="0"/>
        <w:adjustRightInd w:val="0"/>
        <w:spacing w:after="0" w:line="400" w:lineRule="atLeast"/>
      </w:pPr>
    </w:p>
    <w:p w:rsidR="00E35242" w:rsidRPr="00E35242" w:rsidRDefault="00E35242" w:rsidP="00E35242"/>
    <w:p w:rsidR="00E35242" w:rsidRPr="00E35242" w:rsidRDefault="00E35242" w:rsidP="00E35242"/>
    <w:p w:rsidR="00E35242" w:rsidRDefault="00E35242" w:rsidP="00E35242">
      <w:pPr>
        <w:autoSpaceDE w:val="0"/>
        <w:autoSpaceDN w:val="0"/>
        <w:adjustRightInd w:val="0"/>
        <w:spacing w:after="0" w:line="400" w:lineRule="atLeast"/>
      </w:pPr>
    </w:p>
    <w:p w:rsidR="00E35242" w:rsidRDefault="00E35242" w:rsidP="00E35242">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sz w:val="24"/>
          <w:szCs w:val="24"/>
        </w:rPr>
        <w:t>Tabel 9. H0 verworpen want 0.037&lt;0.05.</w:t>
      </w:r>
    </w:p>
    <w:p w:rsidR="00E35242" w:rsidRDefault="00E35242" w:rsidP="00E35242">
      <w:pPr>
        <w:autoSpaceDE w:val="0"/>
        <w:autoSpaceDN w:val="0"/>
        <w:adjustRightInd w:val="0"/>
        <w:spacing w:after="0" w:line="400" w:lineRule="atLeast"/>
      </w:pPr>
    </w:p>
    <w:p w:rsidR="000D5B12" w:rsidRDefault="000D5B12" w:rsidP="00E35242">
      <w:pPr>
        <w:autoSpaceDE w:val="0"/>
        <w:autoSpaceDN w:val="0"/>
        <w:adjustRightInd w:val="0"/>
        <w:spacing w:after="0" w:line="400" w:lineRule="atLeast"/>
        <w:rPr>
          <w:rFonts w:ascii="Times New Roman" w:hAnsi="Times New Roman" w:cs="Times New Roman"/>
          <w:sz w:val="24"/>
          <w:szCs w:val="24"/>
        </w:rPr>
      </w:pPr>
      <w:r w:rsidRPr="00E35242">
        <w:br w:type="page"/>
      </w:r>
    </w:p>
    <w:p w:rsidR="00E35242" w:rsidRPr="007022F1" w:rsidRDefault="00E35242" w:rsidP="000D5B12">
      <w:pPr>
        <w:autoSpaceDE w:val="0"/>
        <w:autoSpaceDN w:val="0"/>
        <w:adjustRightInd w:val="0"/>
        <w:spacing w:after="0" w:line="400" w:lineRule="atLeast"/>
        <w:rPr>
          <w:rFonts w:ascii="Times New Roman" w:hAnsi="Times New Roman" w:cs="Times New Roman"/>
          <w:sz w:val="24"/>
          <w:szCs w:val="24"/>
        </w:rPr>
      </w:pPr>
    </w:p>
    <w:p w:rsidR="000D5B12" w:rsidRPr="007022F1" w:rsidRDefault="000D5B12" w:rsidP="000D5B12">
      <w:pPr>
        <w:autoSpaceDE w:val="0"/>
        <w:autoSpaceDN w:val="0"/>
        <w:adjustRightInd w:val="0"/>
        <w:spacing w:after="0" w:line="240" w:lineRule="auto"/>
        <w:rPr>
          <w:rFonts w:ascii="Times New Roman" w:hAnsi="Times New Roman" w:cs="Times New Roman"/>
          <w:sz w:val="24"/>
          <w:szCs w:val="24"/>
        </w:rPr>
      </w:pPr>
    </w:p>
    <w:tbl>
      <w:tblPr>
        <w:tblW w:w="98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720"/>
        <w:gridCol w:w="1766"/>
        <w:gridCol w:w="1486"/>
        <w:gridCol w:w="1068"/>
        <w:gridCol w:w="1022"/>
        <w:gridCol w:w="1409"/>
        <w:gridCol w:w="1409"/>
      </w:tblGrid>
      <w:tr w:rsidR="000D5B12" w:rsidRPr="00BE356D" w:rsidTr="00503391">
        <w:trPr>
          <w:cantSplit/>
        </w:trPr>
        <w:tc>
          <w:tcPr>
            <w:tcW w:w="9877" w:type="dxa"/>
            <w:gridSpan w:val="7"/>
            <w:tcBorders>
              <w:top w:val="nil"/>
              <w:left w:val="nil"/>
              <w:bottom w:val="nil"/>
              <w:right w:val="nil"/>
            </w:tcBorders>
            <w:shd w:val="clear" w:color="auto" w:fill="FFFFFF"/>
          </w:tcPr>
          <w:p w:rsidR="000D5B12" w:rsidRPr="00BE356D" w:rsidRDefault="000D5B12" w:rsidP="00503391">
            <w:pPr>
              <w:autoSpaceDE w:val="0"/>
              <w:autoSpaceDN w:val="0"/>
              <w:adjustRightInd w:val="0"/>
              <w:spacing w:after="0" w:line="320" w:lineRule="atLeast"/>
              <w:ind w:left="60" w:right="60"/>
              <w:jc w:val="center"/>
              <w:rPr>
                <w:rFonts w:ascii="Arial" w:hAnsi="Arial" w:cs="Arial"/>
                <w:color w:val="000000"/>
                <w:sz w:val="18"/>
                <w:szCs w:val="18"/>
              </w:rPr>
            </w:pPr>
            <w:r w:rsidRPr="00BE356D">
              <w:rPr>
                <w:rFonts w:ascii="Arial" w:hAnsi="Arial" w:cs="Arial"/>
                <w:b/>
                <w:bCs/>
                <w:color w:val="000000"/>
                <w:sz w:val="18"/>
                <w:szCs w:val="18"/>
              </w:rPr>
              <w:t>Multiple Comparisons</w:t>
            </w:r>
          </w:p>
        </w:tc>
      </w:tr>
      <w:tr w:rsidR="000D5B12" w:rsidRPr="00BE356D" w:rsidTr="00503391">
        <w:trPr>
          <w:cantSplit/>
        </w:trPr>
        <w:tc>
          <w:tcPr>
            <w:tcW w:w="9877" w:type="dxa"/>
            <w:gridSpan w:val="7"/>
            <w:tcBorders>
              <w:top w:val="nil"/>
              <w:left w:val="nil"/>
              <w:bottom w:val="nil"/>
              <w:right w:val="nil"/>
            </w:tcBorders>
            <w:shd w:val="clear" w:color="auto" w:fill="FFFFFF"/>
            <w:vAlign w:val="bottom"/>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 xml:space="preserve">Dependent Variable: Vertrouwen in groep 15-25 </w:t>
            </w:r>
          </w:p>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 xml:space="preserve"> </w:t>
            </w:r>
            <w:r w:rsidR="008B5809">
              <w:rPr>
                <w:rFonts w:ascii="Arial" w:hAnsi="Arial" w:cs="Arial"/>
                <w:color w:val="000000"/>
                <w:sz w:val="18"/>
                <w:szCs w:val="18"/>
              </w:rPr>
              <w:t>Tukey</w:t>
            </w:r>
            <w:r w:rsidRPr="00BE356D">
              <w:rPr>
                <w:rFonts w:ascii="Arial" w:hAnsi="Arial" w:cs="Arial"/>
                <w:color w:val="000000"/>
                <w:sz w:val="18"/>
                <w:szCs w:val="18"/>
              </w:rPr>
              <w:t xml:space="preserve"> HSD</w:t>
            </w:r>
          </w:p>
        </w:tc>
      </w:tr>
      <w:tr w:rsidR="000D5B12" w:rsidRPr="00BE356D" w:rsidTr="00503391">
        <w:trPr>
          <w:cantSplit/>
        </w:trPr>
        <w:tc>
          <w:tcPr>
            <w:tcW w:w="1718" w:type="dxa"/>
            <w:vMerge w:val="restart"/>
            <w:tcBorders>
              <w:top w:val="single" w:sz="16" w:space="0" w:color="000000"/>
              <w:left w:val="single" w:sz="16" w:space="0" w:color="000000"/>
              <w:bottom w:val="nil"/>
              <w:right w:val="nil"/>
            </w:tcBorders>
            <w:shd w:val="clear" w:color="auto" w:fill="FFFFFF"/>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(I) Leeftijdsgroep</w:t>
            </w:r>
          </w:p>
        </w:tc>
        <w:tc>
          <w:tcPr>
            <w:tcW w:w="1765" w:type="dxa"/>
            <w:vMerge w:val="restart"/>
            <w:tcBorders>
              <w:top w:val="single" w:sz="16" w:space="0" w:color="000000"/>
              <w:left w:val="nil"/>
              <w:bottom w:val="nil"/>
              <w:right w:val="single" w:sz="16" w:space="0" w:color="000000"/>
            </w:tcBorders>
            <w:shd w:val="clear" w:color="auto" w:fill="FFFFFF"/>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(J) Leeftijdsgroep</w:t>
            </w:r>
          </w:p>
        </w:tc>
        <w:tc>
          <w:tcPr>
            <w:tcW w:w="1486" w:type="dxa"/>
            <w:vMerge w:val="restart"/>
            <w:tcBorders>
              <w:top w:val="single" w:sz="16" w:space="0" w:color="000000"/>
              <w:left w:val="single" w:sz="16" w:space="0" w:color="000000"/>
            </w:tcBorders>
            <w:shd w:val="clear" w:color="auto" w:fill="FFFFFF"/>
          </w:tcPr>
          <w:p w:rsidR="000D5B12" w:rsidRPr="00BE356D" w:rsidRDefault="000D5B12" w:rsidP="00503391">
            <w:pPr>
              <w:autoSpaceDE w:val="0"/>
              <w:autoSpaceDN w:val="0"/>
              <w:adjustRightInd w:val="0"/>
              <w:spacing w:after="0" w:line="320" w:lineRule="atLeast"/>
              <w:ind w:left="60" w:right="60"/>
              <w:jc w:val="center"/>
              <w:rPr>
                <w:rFonts w:ascii="Arial" w:hAnsi="Arial" w:cs="Arial"/>
                <w:color w:val="000000"/>
                <w:sz w:val="18"/>
                <w:szCs w:val="18"/>
              </w:rPr>
            </w:pPr>
            <w:r w:rsidRPr="00BE356D">
              <w:rPr>
                <w:rFonts w:ascii="Arial" w:hAnsi="Arial" w:cs="Arial"/>
                <w:color w:val="000000"/>
                <w:sz w:val="18"/>
                <w:szCs w:val="18"/>
              </w:rPr>
              <w:t>Mean Difference (I-J)</w:t>
            </w:r>
          </w:p>
        </w:tc>
        <w:tc>
          <w:tcPr>
            <w:tcW w:w="1068" w:type="dxa"/>
            <w:vMerge w:val="restart"/>
            <w:tcBorders>
              <w:top w:val="single" w:sz="16" w:space="0" w:color="000000"/>
            </w:tcBorders>
            <w:shd w:val="clear" w:color="auto" w:fill="FFFFFF"/>
          </w:tcPr>
          <w:p w:rsidR="000D5B12" w:rsidRPr="00BE356D" w:rsidRDefault="000D5B12" w:rsidP="00503391">
            <w:pPr>
              <w:autoSpaceDE w:val="0"/>
              <w:autoSpaceDN w:val="0"/>
              <w:adjustRightInd w:val="0"/>
              <w:spacing w:after="0" w:line="320" w:lineRule="atLeast"/>
              <w:ind w:left="60" w:right="60"/>
              <w:jc w:val="center"/>
              <w:rPr>
                <w:rFonts w:ascii="Arial" w:hAnsi="Arial" w:cs="Arial"/>
                <w:color w:val="000000"/>
                <w:sz w:val="18"/>
                <w:szCs w:val="18"/>
              </w:rPr>
            </w:pPr>
            <w:r w:rsidRPr="00BE356D">
              <w:rPr>
                <w:rFonts w:ascii="Arial" w:hAnsi="Arial" w:cs="Arial"/>
                <w:color w:val="000000"/>
                <w:sz w:val="18"/>
                <w:szCs w:val="18"/>
              </w:rPr>
              <w:t>Std. Error</w:t>
            </w:r>
          </w:p>
        </w:tc>
        <w:tc>
          <w:tcPr>
            <w:tcW w:w="1022" w:type="dxa"/>
            <w:vMerge w:val="restart"/>
            <w:tcBorders>
              <w:top w:val="single" w:sz="16" w:space="0" w:color="000000"/>
            </w:tcBorders>
            <w:shd w:val="clear" w:color="auto" w:fill="FFFFFF"/>
          </w:tcPr>
          <w:p w:rsidR="000D5B12" w:rsidRPr="00BE356D" w:rsidRDefault="000D5B12" w:rsidP="00503391">
            <w:pPr>
              <w:autoSpaceDE w:val="0"/>
              <w:autoSpaceDN w:val="0"/>
              <w:adjustRightInd w:val="0"/>
              <w:spacing w:after="0" w:line="320" w:lineRule="atLeast"/>
              <w:ind w:left="60" w:right="60"/>
              <w:jc w:val="center"/>
              <w:rPr>
                <w:rFonts w:ascii="Arial" w:hAnsi="Arial" w:cs="Arial"/>
                <w:color w:val="000000"/>
                <w:sz w:val="18"/>
                <w:szCs w:val="18"/>
              </w:rPr>
            </w:pPr>
            <w:r w:rsidRPr="00BE356D">
              <w:rPr>
                <w:rFonts w:ascii="Arial" w:hAnsi="Arial" w:cs="Arial"/>
                <w:color w:val="000000"/>
                <w:sz w:val="18"/>
                <w:szCs w:val="18"/>
              </w:rPr>
              <w:t>Sig.</w:t>
            </w:r>
          </w:p>
        </w:tc>
        <w:tc>
          <w:tcPr>
            <w:tcW w:w="2818" w:type="dxa"/>
            <w:gridSpan w:val="2"/>
            <w:tcBorders>
              <w:top w:val="single" w:sz="16" w:space="0" w:color="000000"/>
            </w:tcBorders>
            <w:shd w:val="clear" w:color="auto" w:fill="FFFFFF"/>
          </w:tcPr>
          <w:p w:rsidR="000D5B12" w:rsidRPr="00BE356D" w:rsidRDefault="000D5B12" w:rsidP="00503391">
            <w:pPr>
              <w:autoSpaceDE w:val="0"/>
              <w:autoSpaceDN w:val="0"/>
              <w:adjustRightInd w:val="0"/>
              <w:spacing w:after="0" w:line="320" w:lineRule="atLeast"/>
              <w:ind w:left="60" w:right="60"/>
              <w:jc w:val="center"/>
              <w:rPr>
                <w:rFonts w:ascii="Arial" w:hAnsi="Arial" w:cs="Arial"/>
                <w:color w:val="000000"/>
                <w:sz w:val="18"/>
                <w:szCs w:val="18"/>
              </w:rPr>
            </w:pPr>
            <w:r w:rsidRPr="00BE356D">
              <w:rPr>
                <w:rFonts w:ascii="Arial" w:hAnsi="Arial" w:cs="Arial"/>
                <w:color w:val="000000"/>
                <w:sz w:val="18"/>
                <w:szCs w:val="18"/>
              </w:rPr>
              <w:t>95% Confidence Interval</w:t>
            </w:r>
          </w:p>
        </w:tc>
      </w:tr>
      <w:tr w:rsidR="000D5B12" w:rsidRPr="00BE356D" w:rsidTr="00503391">
        <w:trPr>
          <w:cantSplit/>
        </w:trPr>
        <w:tc>
          <w:tcPr>
            <w:tcW w:w="1718" w:type="dxa"/>
            <w:vMerge/>
            <w:tcBorders>
              <w:top w:val="single" w:sz="16" w:space="0" w:color="000000"/>
              <w:left w:val="single" w:sz="16" w:space="0" w:color="000000"/>
              <w:bottom w:val="nil"/>
              <w:right w:val="nil"/>
            </w:tcBorders>
            <w:shd w:val="clear" w:color="auto" w:fill="FFFFFF"/>
          </w:tcPr>
          <w:p w:rsidR="000D5B12" w:rsidRPr="00BE356D" w:rsidRDefault="000D5B12" w:rsidP="00503391">
            <w:pPr>
              <w:autoSpaceDE w:val="0"/>
              <w:autoSpaceDN w:val="0"/>
              <w:adjustRightInd w:val="0"/>
              <w:spacing w:after="0" w:line="240" w:lineRule="auto"/>
              <w:rPr>
                <w:rFonts w:ascii="Arial" w:hAnsi="Arial" w:cs="Arial"/>
                <w:color w:val="000000"/>
                <w:sz w:val="18"/>
                <w:szCs w:val="18"/>
              </w:rPr>
            </w:pPr>
          </w:p>
        </w:tc>
        <w:tc>
          <w:tcPr>
            <w:tcW w:w="1765" w:type="dxa"/>
            <w:vMerge/>
            <w:tcBorders>
              <w:top w:val="single" w:sz="16" w:space="0" w:color="000000"/>
              <w:left w:val="nil"/>
              <w:bottom w:val="nil"/>
              <w:right w:val="single" w:sz="16" w:space="0" w:color="000000"/>
            </w:tcBorders>
            <w:shd w:val="clear" w:color="auto" w:fill="FFFFFF"/>
          </w:tcPr>
          <w:p w:rsidR="000D5B12" w:rsidRPr="00BE356D" w:rsidRDefault="000D5B12" w:rsidP="00503391">
            <w:pPr>
              <w:autoSpaceDE w:val="0"/>
              <w:autoSpaceDN w:val="0"/>
              <w:adjustRightInd w:val="0"/>
              <w:spacing w:after="0" w:line="240" w:lineRule="auto"/>
              <w:rPr>
                <w:rFonts w:ascii="Arial" w:hAnsi="Arial" w:cs="Arial"/>
                <w:color w:val="000000"/>
                <w:sz w:val="18"/>
                <w:szCs w:val="18"/>
              </w:rPr>
            </w:pPr>
          </w:p>
        </w:tc>
        <w:tc>
          <w:tcPr>
            <w:tcW w:w="1486" w:type="dxa"/>
            <w:vMerge/>
            <w:tcBorders>
              <w:top w:val="single" w:sz="16" w:space="0" w:color="000000"/>
              <w:left w:val="single" w:sz="16" w:space="0" w:color="000000"/>
            </w:tcBorders>
            <w:shd w:val="clear" w:color="auto" w:fill="FFFFFF"/>
          </w:tcPr>
          <w:p w:rsidR="000D5B12" w:rsidRPr="00BE356D" w:rsidRDefault="000D5B12" w:rsidP="00503391">
            <w:pPr>
              <w:autoSpaceDE w:val="0"/>
              <w:autoSpaceDN w:val="0"/>
              <w:adjustRightInd w:val="0"/>
              <w:spacing w:after="0" w:line="240" w:lineRule="auto"/>
              <w:rPr>
                <w:rFonts w:ascii="Arial" w:hAnsi="Arial" w:cs="Arial"/>
                <w:color w:val="000000"/>
                <w:sz w:val="18"/>
                <w:szCs w:val="18"/>
              </w:rPr>
            </w:pPr>
          </w:p>
        </w:tc>
        <w:tc>
          <w:tcPr>
            <w:tcW w:w="1068" w:type="dxa"/>
            <w:vMerge/>
            <w:tcBorders>
              <w:top w:val="single" w:sz="16" w:space="0" w:color="000000"/>
            </w:tcBorders>
            <w:shd w:val="clear" w:color="auto" w:fill="FFFFFF"/>
          </w:tcPr>
          <w:p w:rsidR="000D5B12" w:rsidRPr="00BE356D" w:rsidRDefault="000D5B12" w:rsidP="00503391">
            <w:pPr>
              <w:autoSpaceDE w:val="0"/>
              <w:autoSpaceDN w:val="0"/>
              <w:adjustRightInd w:val="0"/>
              <w:spacing w:after="0" w:line="240" w:lineRule="auto"/>
              <w:rPr>
                <w:rFonts w:ascii="Arial" w:hAnsi="Arial" w:cs="Arial"/>
                <w:color w:val="000000"/>
                <w:sz w:val="18"/>
                <w:szCs w:val="18"/>
              </w:rPr>
            </w:pPr>
          </w:p>
        </w:tc>
        <w:tc>
          <w:tcPr>
            <w:tcW w:w="1022" w:type="dxa"/>
            <w:vMerge/>
            <w:tcBorders>
              <w:top w:val="single" w:sz="16" w:space="0" w:color="000000"/>
            </w:tcBorders>
            <w:shd w:val="clear" w:color="auto" w:fill="FFFFFF"/>
          </w:tcPr>
          <w:p w:rsidR="000D5B12" w:rsidRPr="00BE356D" w:rsidRDefault="000D5B12" w:rsidP="00503391">
            <w:pPr>
              <w:autoSpaceDE w:val="0"/>
              <w:autoSpaceDN w:val="0"/>
              <w:adjustRightInd w:val="0"/>
              <w:spacing w:after="0" w:line="240" w:lineRule="auto"/>
              <w:rPr>
                <w:rFonts w:ascii="Arial" w:hAnsi="Arial" w:cs="Arial"/>
                <w:color w:val="000000"/>
                <w:sz w:val="18"/>
                <w:szCs w:val="18"/>
              </w:rPr>
            </w:pPr>
          </w:p>
        </w:tc>
        <w:tc>
          <w:tcPr>
            <w:tcW w:w="1409" w:type="dxa"/>
            <w:tcBorders>
              <w:bottom w:val="single" w:sz="16" w:space="0" w:color="000000"/>
            </w:tcBorders>
            <w:shd w:val="clear" w:color="auto" w:fill="FFFFFF"/>
          </w:tcPr>
          <w:p w:rsidR="000D5B12" w:rsidRPr="00BE356D" w:rsidRDefault="000D5B12" w:rsidP="00503391">
            <w:pPr>
              <w:autoSpaceDE w:val="0"/>
              <w:autoSpaceDN w:val="0"/>
              <w:adjustRightInd w:val="0"/>
              <w:spacing w:after="0" w:line="320" w:lineRule="atLeast"/>
              <w:ind w:left="60" w:right="60"/>
              <w:jc w:val="center"/>
              <w:rPr>
                <w:rFonts w:ascii="Arial" w:hAnsi="Arial" w:cs="Arial"/>
                <w:color w:val="000000"/>
                <w:sz w:val="18"/>
                <w:szCs w:val="18"/>
              </w:rPr>
            </w:pPr>
            <w:r w:rsidRPr="00BE356D">
              <w:rPr>
                <w:rFonts w:ascii="Arial" w:hAnsi="Arial" w:cs="Arial"/>
                <w:color w:val="000000"/>
                <w:sz w:val="18"/>
                <w:szCs w:val="18"/>
              </w:rPr>
              <w:t>Lower Bound</w:t>
            </w:r>
          </w:p>
        </w:tc>
        <w:tc>
          <w:tcPr>
            <w:tcW w:w="1409" w:type="dxa"/>
            <w:tcBorders>
              <w:bottom w:val="single" w:sz="16" w:space="0" w:color="000000"/>
              <w:right w:val="single" w:sz="16" w:space="0" w:color="000000"/>
            </w:tcBorders>
            <w:shd w:val="clear" w:color="auto" w:fill="FFFFFF"/>
          </w:tcPr>
          <w:p w:rsidR="000D5B12" w:rsidRPr="00BE356D" w:rsidRDefault="000D5B12" w:rsidP="00503391">
            <w:pPr>
              <w:autoSpaceDE w:val="0"/>
              <w:autoSpaceDN w:val="0"/>
              <w:adjustRightInd w:val="0"/>
              <w:spacing w:after="0" w:line="320" w:lineRule="atLeast"/>
              <w:ind w:left="60" w:right="60"/>
              <w:jc w:val="center"/>
              <w:rPr>
                <w:rFonts w:ascii="Arial" w:hAnsi="Arial" w:cs="Arial"/>
                <w:color w:val="000000"/>
                <w:sz w:val="18"/>
                <w:szCs w:val="18"/>
              </w:rPr>
            </w:pPr>
            <w:r w:rsidRPr="00BE356D">
              <w:rPr>
                <w:rFonts w:ascii="Arial" w:hAnsi="Arial" w:cs="Arial"/>
                <w:color w:val="000000"/>
                <w:sz w:val="18"/>
                <w:szCs w:val="18"/>
              </w:rPr>
              <w:t>Upper Bound</w:t>
            </w:r>
          </w:p>
        </w:tc>
      </w:tr>
      <w:tr w:rsidR="000D5B12" w:rsidRPr="00BE356D" w:rsidTr="00503391">
        <w:trPr>
          <w:cantSplit/>
        </w:trPr>
        <w:tc>
          <w:tcPr>
            <w:tcW w:w="1718" w:type="dxa"/>
            <w:vMerge w:val="restart"/>
            <w:tcBorders>
              <w:top w:val="single" w:sz="16" w:space="0" w:color="000000"/>
              <w:left w:val="single" w:sz="16" w:space="0" w:color="000000"/>
              <w:bottom w:val="nil"/>
              <w:right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1</w:t>
            </w:r>
          </w:p>
        </w:tc>
        <w:tc>
          <w:tcPr>
            <w:tcW w:w="1765" w:type="dxa"/>
            <w:tcBorders>
              <w:top w:val="single" w:sz="16" w:space="0" w:color="000000"/>
              <w:left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2</w:t>
            </w:r>
          </w:p>
        </w:tc>
        <w:tc>
          <w:tcPr>
            <w:tcW w:w="1486" w:type="dxa"/>
            <w:tcBorders>
              <w:top w:val="single" w:sz="16" w:space="0" w:color="000000"/>
              <w:left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,725</w:t>
            </w:r>
          </w:p>
        </w:tc>
        <w:tc>
          <w:tcPr>
            <w:tcW w:w="1068" w:type="dxa"/>
            <w:tcBorders>
              <w:top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,605</w:t>
            </w:r>
          </w:p>
        </w:tc>
        <w:tc>
          <w:tcPr>
            <w:tcW w:w="1022" w:type="dxa"/>
            <w:tcBorders>
              <w:top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,630</w:t>
            </w:r>
          </w:p>
        </w:tc>
        <w:tc>
          <w:tcPr>
            <w:tcW w:w="1409" w:type="dxa"/>
            <w:tcBorders>
              <w:top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-,86</w:t>
            </w:r>
          </w:p>
        </w:tc>
        <w:tc>
          <w:tcPr>
            <w:tcW w:w="1409" w:type="dxa"/>
            <w:tcBorders>
              <w:top w:val="single" w:sz="16" w:space="0" w:color="000000"/>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2,31</w:t>
            </w:r>
          </w:p>
        </w:tc>
      </w:tr>
      <w:tr w:rsidR="000D5B12" w:rsidRPr="00BE356D" w:rsidTr="00503391">
        <w:trPr>
          <w:cantSplit/>
        </w:trPr>
        <w:tc>
          <w:tcPr>
            <w:tcW w:w="1718" w:type="dxa"/>
            <w:vMerge/>
            <w:tcBorders>
              <w:top w:val="single" w:sz="16" w:space="0" w:color="000000"/>
              <w:left w:val="single" w:sz="16" w:space="0" w:color="000000"/>
              <w:bottom w:val="nil"/>
              <w:right w:val="nil"/>
            </w:tcBorders>
            <w:shd w:val="clear" w:color="auto" w:fill="FFFFFF"/>
            <w:vAlign w:val="center"/>
          </w:tcPr>
          <w:p w:rsidR="000D5B12" w:rsidRPr="00BE356D" w:rsidRDefault="000D5B12" w:rsidP="00503391">
            <w:pPr>
              <w:autoSpaceDE w:val="0"/>
              <w:autoSpaceDN w:val="0"/>
              <w:adjustRightInd w:val="0"/>
              <w:spacing w:after="0" w:line="240" w:lineRule="auto"/>
              <w:rPr>
                <w:rFonts w:ascii="Arial" w:hAnsi="Arial" w:cs="Arial"/>
                <w:color w:val="000000"/>
                <w:sz w:val="18"/>
                <w:szCs w:val="18"/>
              </w:rPr>
            </w:pPr>
          </w:p>
        </w:tc>
        <w:tc>
          <w:tcPr>
            <w:tcW w:w="1765" w:type="dxa"/>
            <w:tcBorders>
              <w:top w:val="nil"/>
              <w:left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3</w:t>
            </w:r>
          </w:p>
        </w:tc>
        <w:tc>
          <w:tcPr>
            <w:tcW w:w="1486" w:type="dxa"/>
            <w:tcBorders>
              <w:top w:val="nil"/>
              <w:left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-,014</w:t>
            </w:r>
          </w:p>
        </w:tc>
        <w:tc>
          <w:tcPr>
            <w:tcW w:w="1068"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,605</w:t>
            </w:r>
          </w:p>
        </w:tc>
        <w:tc>
          <w:tcPr>
            <w:tcW w:w="1022"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1,000</w:t>
            </w:r>
          </w:p>
        </w:tc>
        <w:tc>
          <w:tcPr>
            <w:tcW w:w="1409"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-1,60</w:t>
            </w:r>
          </w:p>
        </w:tc>
        <w:tc>
          <w:tcPr>
            <w:tcW w:w="1409" w:type="dxa"/>
            <w:tcBorders>
              <w:top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1,57</w:t>
            </w:r>
          </w:p>
        </w:tc>
      </w:tr>
      <w:tr w:rsidR="000D5B12" w:rsidRPr="00BE356D" w:rsidTr="00503391">
        <w:trPr>
          <w:cantSplit/>
        </w:trPr>
        <w:tc>
          <w:tcPr>
            <w:tcW w:w="1718" w:type="dxa"/>
            <w:vMerge/>
            <w:tcBorders>
              <w:top w:val="single" w:sz="16" w:space="0" w:color="000000"/>
              <w:left w:val="single" w:sz="16" w:space="0" w:color="000000"/>
              <w:bottom w:val="nil"/>
              <w:right w:val="nil"/>
            </w:tcBorders>
            <w:shd w:val="clear" w:color="auto" w:fill="FFFFFF"/>
            <w:vAlign w:val="center"/>
          </w:tcPr>
          <w:p w:rsidR="000D5B12" w:rsidRPr="00BE356D" w:rsidRDefault="000D5B12" w:rsidP="00503391">
            <w:pPr>
              <w:autoSpaceDE w:val="0"/>
              <w:autoSpaceDN w:val="0"/>
              <w:adjustRightInd w:val="0"/>
              <w:spacing w:after="0" w:line="240" w:lineRule="auto"/>
              <w:rPr>
                <w:rFonts w:ascii="Arial" w:hAnsi="Arial" w:cs="Arial"/>
                <w:color w:val="000000"/>
                <w:sz w:val="18"/>
                <w:szCs w:val="18"/>
              </w:rPr>
            </w:pPr>
          </w:p>
        </w:tc>
        <w:tc>
          <w:tcPr>
            <w:tcW w:w="1765" w:type="dxa"/>
            <w:tcBorders>
              <w:top w:val="nil"/>
              <w:left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4</w:t>
            </w:r>
          </w:p>
        </w:tc>
        <w:tc>
          <w:tcPr>
            <w:tcW w:w="1486" w:type="dxa"/>
            <w:tcBorders>
              <w:top w:val="nil"/>
              <w:left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-1,067</w:t>
            </w:r>
          </w:p>
        </w:tc>
        <w:tc>
          <w:tcPr>
            <w:tcW w:w="1068"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,697</w:t>
            </w:r>
          </w:p>
        </w:tc>
        <w:tc>
          <w:tcPr>
            <w:tcW w:w="1022"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,424</w:t>
            </w:r>
          </w:p>
        </w:tc>
        <w:tc>
          <w:tcPr>
            <w:tcW w:w="1409"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-2,89</w:t>
            </w:r>
          </w:p>
        </w:tc>
        <w:tc>
          <w:tcPr>
            <w:tcW w:w="1409" w:type="dxa"/>
            <w:tcBorders>
              <w:top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,76</w:t>
            </w:r>
          </w:p>
        </w:tc>
      </w:tr>
      <w:tr w:rsidR="000D5B12" w:rsidRPr="00BE356D" w:rsidTr="00503391">
        <w:trPr>
          <w:cantSplit/>
        </w:trPr>
        <w:tc>
          <w:tcPr>
            <w:tcW w:w="1718" w:type="dxa"/>
            <w:vMerge w:val="restart"/>
            <w:tcBorders>
              <w:top w:val="nil"/>
              <w:left w:val="single" w:sz="16" w:space="0" w:color="000000"/>
              <w:bottom w:val="nil"/>
              <w:right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2</w:t>
            </w:r>
          </w:p>
        </w:tc>
        <w:tc>
          <w:tcPr>
            <w:tcW w:w="1765" w:type="dxa"/>
            <w:tcBorders>
              <w:top w:val="nil"/>
              <w:left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1</w:t>
            </w:r>
          </w:p>
        </w:tc>
        <w:tc>
          <w:tcPr>
            <w:tcW w:w="1486" w:type="dxa"/>
            <w:tcBorders>
              <w:top w:val="nil"/>
              <w:left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-,725</w:t>
            </w:r>
          </w:p>
        </w:tc>
        <w:tc>
          <w:tcPr>
            <w:tcW w:w="1068"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,605</w:t>
            </w:r>
          </w:p>
        </w:tc>
        <w:tc>
          <w:tcPr>
            <w:tcW w:w="1022"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,630</w:t>
            </w:r>
          </w:p>
        </w:tc>
        <w:tc>
          <w:tcPr>
            <w:tcW w:w="1409"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-2,31</w:t>
            </w:r>
          </w:p>
        </w:tc>
        <w:tc>
          <w:tcPr>
            <w:tcW w:w="1409" w:type="dxa"/>
            <w:tcBorders>
              <w:top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,86</w:t>
            </w:r>
          </w:p>
        </w:tc>
      </w:tr>
      <w:tr w:rsidR="000D5B12" w:rsidRPr="00BE356D" w:rsidTr="00503391">
        <w:trPr>
          <w:cantSplit/>
        </w:trPr>
        <w:tc>
          <w:tcPr>
            <w:tcW w:w="1718" w:type="dxa"/>
            <w:vMerge/>
            <w:tcBorders>
              <w:top w:val="nil"/>
              <w:left w:val="single" w:sz="16" w:space="0" w:color="000000"/>
              <w:bottom w:val="nil"/>
              <w:right w:val="nil"/>
            </w:tcBorders>
            <w:shd w:val="clear" w:color="auto" w:fill="FFFFFF"/>
            <w:vAlign w:val="center"/>
          </w:tcPr>
          <w:p w:rsidR="000D5B12" w:rsidRPr="00BE356D" w:rsidRDefault="000D5B12" w:rsidP="00503391">
            <w:pPr>
              <w:autoSpaceDE w:val="0"/>
              <w:autoSpaceDN w:val="0"/>
              <w:adjustRightInd w:val="0"/>
              <w:spacing w:after="0" w:line="240" w:lineRule="auto"/>
              <w:rPr>
                <w:rFonts w:ascii="Arial" w:hAnsi="Arial" w:cs="Arial"/>
                <w:color w:val="000000"/>
                <w:sz w:val="18"/>
                <w:szCs w:val="18"/>
              </w:rPr>
            </w:pPr>
          </w:p>
        </w:tc>
        <w:tc>
          <w:tcPr>
            <w:tcW w:w="1765" w:type="dxa"/>
            <w:tcBorders>
              <w:top w:val="nil"/>
              <w:left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3</w:t>
            </w:r>
          </w:p>
        </w:tc>
        <w:tc>
          <w:tcPr>
            <w:tcW w:w="1486" w:type="dxa"/>
            <w:tcBorders>
              <w:top w:val="nil"/>
              <w:left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-,739</w:t>
            </w:r>
          </w:p>
        </w:tc>
        <w:tc>
          <w:tcPr>
            <w:tcW w:w="1068"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,669</w:t>
            </w:r>
          </w:p>
        </w:tc>
        <w:tc>
          <w:tcPr>
            <w:tcW w:w="1022"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,687</w:t>
            </w:r>
          </w:p>
        </w:tc>
        <w:tc>
          <w:tcPr>
            <w:tcW w:w="1409"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-2,49</w:t>
            </w:r>
          </w:p>
        </w:tc>
        <w:tc>
          <w:tcPr>
            <w:tcW w:w="1409" w:type="dxa"/>
            <w:tcBorders>
              <w:top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1,01</w:t>
            </w:r>
          </w:p>
        </w:tc>
      </w:tr>
      <w:tr w:rsidR="000D5B12" w:rsidRPr="00BE356D" w:rsidTr="00503391">
        <w:trPr>
          <w:cantSplit/>
        </w:trPr>
        <w:tc>
          <w:tcPr>
            <w:tcW w:w="1718" w:type="dxa"/>
            <w:vMerge/>
            <w:tcBorders>
              <w:top w:val="nil"/>
              <w:left w:val="single" w:sz="16" w:space="0" w:color="000000"/>
              <w:bottom w:val="nil"/>
              <w:right w:val="nil"/>
            </w:tcBorders>
            <w:shd w:val="clear" w:color="auto" w:fill="FFFFFF"/>
            <w:vAlign w:val="center"/>
          </w:tcPr>
          <w:p w:rsidR="000D5B12" w:rsidRPr="00BE356D" w:rsidRDefault="000D5B12" w:rsidP="00503391">
            <w:pPr>
              <w:autoSpaceDE w:val="0"/>
              <w:autoSpaceDN w:val="0"/>
              <w:adjustRightInd w:val="0"/>
              <w:spacing w:after="0" w:line="240" w:lineRule="auto"/>
              <w:rPr>
                <w:rFonts w:ascii="Arial" w:hAnsi="Arial" w:cs="Arial"/>
                <w:color w:val="000000"/>
                <w:sz w:val="18"/>
                <w:szCs w:val="18"/>
              </w:rPr>
            </w:pPr>
          </w:p>
        </w:tc>
        <w:tc>
          <w:tcPr>
            <w:tcW w:w="1765" w:type="dxa"/>
            <w:tcBorders>
              <w:top w:val="nil"/>
              <w:left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4</w:t>
            </w:r>
          </w:p>
        </w:tc>
        <w:tc>
          <w:tcPr>
            <w:tcW w:w="1486" w:type="dxa"/>
            <w:tcBorders>
              <w:top w:val="nil"/>
              <w:left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-1,791</w:t>
            </w:r>
          </w:p>
        </w:tc>
        <w:tc>
          <w:tcPr>
            <w:tcW w:w="1068"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,753</w:t>
            </w:r>
          </w:p>
        </w:tc>
        <w:tc>
          <w:tcPr>
            <w:tcW w:w="1022"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,04</w:t>
            </w:r>
            <w:r w:rsidRPr="00BE356D">
              <w:rPr>
                <w:rFonts w:ascii="Arial" w:hAnsi="Arial" w:cs="Arial"/>
                <w:color w:val="000000"/>
                <w:sz w:val="18"/>
                <w:szCs w:val="18"/>
              </w:rPr>
              <w:t>8</w:t>
            </w:r>
          </w:p>
        </w:tc>
        <w:tc>
          <w:tcPr>
            <w:tcW w:w="1409"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-3,76</w:t>
            </w:r>
          </w:p>
        </w:tc>
        <w:tc>
          <w:tcPr>
            <w:tcW w:w="1409" w:type="dxa"/>
            <w:tcBorders>
              <w:top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,18</w:t>
            </w:r>
          </w:p>
        </w:tc>
      </w:tr>
      <w:tr w:rsidR="000D5B12" w:rsidRPr="00BE356D" w:rsidTr="00503391">
        <w:trPr>
          <w:cantSplit/>
        </w:trPr>
        <w:tc>
          <w:tcPr>
            <w:tcW w:w="1718" w:type="dxa"/>
            <w:vMerge w:val="restart"/>
            <w:tcBorders>
              <w:top w:val="nil"/>
              <w:left w:val="single" w:sz="16" w:space="0" w:color="000000"/>
              <w:bottom w:val="nil"/>
              <w:right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3</w:t>
            </w:r>
          </w:p>
        </w:tc>
        <w:tc>
          <w:tcPr>
            <w:tcW w:w="1765" w:type="dxa"/>
            <w:tcBorders>
              <w:top w:val="nil"/>
              <w:left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1</w:t>
            </w:r>
          </w:p>
        </w:tc>
        <w:tc>
          <w:tcPr>
            <w:tcW w:w="1486" w:type="dxa"/>
            <w:tcBorders>
              <w:top w:val="nil"/>
              <w:left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,014</w:t>
            </w:r>
          </w:p>
        </w:tc>
        <w:tc>
          <w:tcPr>
            <w:tcW w:w="1068"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,605</w:t>
            </w:r>
          </w:p>
        </w:tc>
        <w:tc>
          <w:tcPr>
            <w:tcW w:w="1022"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1,000</w:t>
            </w:r>
          </w:p>
        </w:tc>
        <w:tc>
          <w:tcPr>
            <w:tcW w:w="1409"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-1,57</w:t>
            </w:r>
          </w:p>
        </w:tc>
        <w:tc>
          <w:tcPr>
            <w:tcW w:w="1409" w:type="dxa"/>
            <w:tcBorders>
              <w:top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1,60</w:t>
            </w:r>
          </w:p>
        </w:tc>
      </w:tr>
      <w:tr w:rsidR="000D5B12" w:rsidRPr="00BE356D" w:rsidTr="00503391">
        <w:trPr>
          <w:cantSplit/>
        </w:trPr>
        <w:tc>
          <w:tcPr>
            <w:tcW w:w="1718" w:type="dxa"/>
            <w:vMerge/>
            <w:tcBorders>
              <w:top w:val="nil"/>
              <w:left w:val="single" w:sz="16" w:space="0" w:color="000000"/>
              <w:bottom w:val="nil"/>
              <w:right w:val="nil"/>
            </w:tcBorders>
            <w:shd w:val="clear" w:color="auto" w:fill="FFFFFF"/>
            <w:vAlign w:val="center"/>
          </w:tcPr>
          <w:p w:rsidR="000D5B12" w:rsidRPr="00BE356D" w:rsidRDefault="000D5B12" w:rsidP="00503391">
            <w:pPr>
              <w:autoSpaceDE w:val="0"/>
              <w:autoSpaceDN w:val="0"/>
              <w:adjustRightInd w:val="0"/>
              <w:spacing w:after="0" w:line="240" w:lineRule="auto"/>
              <w:rPr>
                <w:rFonts w:ascii="Arial" w:hAnsi="Arial" w:cs="Arial"/>
                <w:color w:val="000000"/>
                <w:sz w:val="18"/>
                <w:szCs w:val="18"/>
              </w:rPr>
            </w:pPr>
          </w:p>
        </w:tc>
        <w:tc>
          <w:tcPr>
            <w:tcW w:w="1765" w:type="dxa"/>
            <w:tcBorders>
              <w:top w:val="nil"/>
              <w:left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2</w:t>
            </w:r>
          </w:p>
        </w:tc>
        <w:tc>
          <w:tcPr>
            <w:tcW w:w="1486" w:type="dxa"/>
            <w:tcBorders>
              <w:top w:val="nil"/>
              <w:left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,739</w:t>
            </w:r>
          </w:p>
        </w:tc>
        <w:tc>
          <w:tcPr>
            <w:tcW w:w="1068"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,669</w:t>
            </w:r>
          </w:p>
        </w:tc>
        <w:tc>
          <w:tcPr>
            <w:tcW w:w="1022"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,687</w:t>
            </w:r>
          </w:p>
        </w:tc>
        <w:tc>
          <w:tcPr>
            <w:tcW w:w="1409"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-1,01</w:t>
            </w:r>
          </w:p>
        </w:tc>
        <w:tc>
          <w:tcPr>
            <w:tcW w:w="1409" w:type="dxa"/>
            <w:tcBorders>
              <w:top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2,49</w:t>
            </w:r>
          </w:p>
        </w:tc>
      </w:tr>
      <w:tr w:rsidR="000D5B12" w:rsidRPr="00BE356D" w:rsidTr="00503391">
        <w:trPr>
          <w:cantSplit/>
        </w:trPr>
        <w:tc>
          <w:tcPr>
            <w:tcW w:w="1718" w:type="dxa"/>
            <w:vMerge/>
            <w:tcBorders>
              <w:top w:val="nil"/>
              <w:left w:val="single" w:sz="16" w:space="0" w:color="000000"/>
              <w:bottom w:val="nil"/>
              <w:right w:val="nil"/>
            </w:tcBorders>
            <w:shd w:val="clear" w:color="auto" w:fill="FFFFFF"/>
            <w:vAlign w:val="center"/>
          </w:tcPr>
          <w:p w:rsidR="000D5B12" w:rsidRPr="00BE356D" w:rsidRDefault="000D5B12" w:rsidP="00503391">
            <w:pPr>
              <w:autoSpaceDE w:val="0"/>
              <w:autoSpaceDN w:val="0"/>
              <w:adjustRightInd w:val="0"/>
              <w:spacing w:after="0" w:line="240" w:lineRule="auto"/>
              <w:rPr>
                <w:rFonts w:ascii="Arial" w:hAnsi="Arial" w:cs="Arial"/>
                <w:color w:val="000000"/>
                <w:sz w:val="18"/>
                <w:szCs w:val="18"/>
              </w:rPr>
            </w:pPr>
          </w:p>
        </w:tc>
        <w:tc>
          <w:tcPr>
            <w:tcW w:w="1765" w:type="dxa"/>
            <w:tcBorders>
              <w:top w:val="nil"/>
              <w:left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4</w:t>
            </w:r>
          </w:p>
        </w:tc>
        <w:tc>
          <w:tcPr>
            <w:tcW w:w="1486" w:type="dxa"/>
            <w:tcBorders>
              <w:top w:val="nil"/>
              <w:left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-1,052</w:t>
            </w:r>
          </w:p>
        </w:tc>
        <w:tc>
          <w:tcPr>
            <w:tcW w:w="1068"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,753</w:t>
            </w:r>
          </w:p>
        </w:tc>
        <w:tc>
          <w:tcPr>
            <w:tcW w:w="1022"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,504</w:t>
            </w:r>
          </w:p>
        </w:tc>
        <w:tc>
          <w:tcPr>
            <w:tcW w:w="1409"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-3,02</w:t>
            </w:r>
          </w:p>
        </w:tc>
        <w:tc>
          <w:tcPr>
            <w:tcW w:w="1409" w:type="dxa"/>
            <w:tcBorders>
              <w:top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,92</w:t>
            </w:r>
          </w:p>
        </w:tc>
      </w:tr>
      <w:tr w:rsidR="000D5B12" w:rsidRPr="00BE356D" w:rsidTr="00503391">
        <w:trPr>
          <w:cantSplit/>
        </w:trPr>
        <w:tc>
          <w:tcPr>
            <w:tcW w:w="1718" w:type="dxa"/>
            <w:vMerge w:val="restart"/>
            <w:tcBorders>
              <w:top w:val="nil"/>
              <w:left w:val="single" w:sz="16" w:space="0" w:color="000000"/>
              <w:bottom w:val="single" w:sz="16" w:space="0" w:color="000000"/>
              <w:right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4</w:t>
            </w:r>
          </w:p>
        </w:tc>
        <w:tc>
          <w:tcPr>
            <w:tcW w:w="1765" w:type="dxa"/>
            <w:tcBorders>
              <w:top w:val="nil"/>
              <w:left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1</w:t>
            </w:r>
          </w:p>
        </w:tc>
        <w:tc>
          <w:tcPr>
            <w:tcW w:w="1486" w:type="dxa"/>
            <w:tcBorders>
              <w:top w:val="nil"/>
              <w:left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1,067</w:t>
            </w:r>
          </w:p>
        </w:tc>
        <w:tc>
          <w:tcPr>
            <w:tcW w:w="1068"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,697</w:t>
            </w:r>
          </w:p>
        </w:tc>
        <w:tc>
          <w:tcPr>
            <w:tcW w:w="1022"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,424</w:t>
            </w:r>
          </w:p>
        </w:tc>
        <w:tc>
          <w:tcPr>
            <w:tcW w:w="1409"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-,76</w:t>
            </w:r>
          </w:p>
        </w:tc>
        <w:tc>
          <w:tcPr>
            <w:tcW w:w="1409" w:type="dxa"/>
            <w:tcBorders>
              <w:top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2,89</w:t>
            </w:r>
          </w:p>
        </w:tc>
      </w:tr>
      <w:tr w:rsidR="000D5B12" w:rsidRPr="00BE356D" w:rsidTr="00503391">
        <w:trPr>
          <w:cantSplit/>
        </w:trPr>
        <w:tc>
          <w:tcPr>
            <w:tcW w:w="1718" w:type="dxa"/>
            <w:vMerge/>
            <w:tcBorders>
              <w:top w:val="nil"/>
              <w:left w:val="single" w:sz="16" w:space="0" w:color="000000"/>
              <w:bottom w:val="single" w:sz="16" w:space="0" w:color="000000"/>
              <w:right w:val="nil"/>
            </w:tcBorders>
            <w:shd w:val="clear" w:color="auto" w:fill="FFFFFF"/>
            <w:vAlign w:val="center"/>
          </w:tcPr>
          <w:p w:rsidR="000D5B12" w:rsidRPr="00BE356D" w:rsidRDefault="000D5B12" w:rsidP="00503391">
            <w:pPr>
              <w:autoSpaceDE w:val="0"/>
              <w:autoSpaceDN w:val="0"/>
              <w:adjustRightInd w:val="0"/>
              <w:spacing w:after="0" w:line="240" w:lineRule="auto"/>
              <w:rPr>
                <w:rFonts w:ascii="Arial" w:hAnsi="Arial" w:cs="Arial"/>
                <w:color w:val="000000"/>
                <w:sz w:val="18"/>
                <w:szCs w:val="18"/>
              </w:rPr>
            </w:pPr>
          </w:p>
        </w:tc>
        <w:tc>
          <w:tcPr>
            <w:tcW w:w="1765" w:type="dxa"/>
            <w:tcBorders>
              <w:top w:val="nil"/>
              <w:left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2</w:t>
            </w:r>
          </w:p>
        </w:tc>
        <w:tc>
          <w:tcPr>
            <w:tcW w:w="1486" w:type="dxa"/>
            <w:tcBorders>
              <w:top w:val="nil"/>
              <w:left w:val="single" w:sz="16" w:space="0" w:color="000000"/>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1,791</w:t>
            </w:r>
          </w:p>
        </w:tc>
        <w:tc>
          <w:tcPr>
            <w:tcW w:w="1068"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,753</w:t>
            </w:r>
          </w:p>
        </w:tc>
        <w:tc>
          <w:tcPr>
            <w:tcW w:w="1022"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,04</w:t>
            </w:r>
            <w:r w:rsidRPr="00BE356D">
              <w:rPr>
                <w:rFonts w:ascii="Arial" w:hAnsi="Arial" w:cs="Arial"/>
                <w:color w:val="000000"/>
                <w:sz w:val="18"/>
                <w:szCs w:val="18"/>
              </w:rPr>
              <w:t>8</w:t>
            </w:r>
          </w:p>
        </w:tc>
        <w:tc>
          <w:tcPr>
            <w:tcW w:w="1409" w:type="dxa"/>
            <w:tcBorders>
              <w:top w:val="nil"/>
              <w:bottom w:val="nil"/>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-,18</w:t>
            </w:r>
          </w:p>
        </w:tc>
        <w:tc>
          <w:tcPr>
            <w:tcW w:w="1409" w:type="dxa"/>
            <w:tcBorders>
              <w:top w:val="nil"/>
              <w:bottom w:val="nil"/>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3,76</w:t>
            </w:r>
          </w:p>
        </w:tc>
      </w:tr>
      <w:tr w:rsidR="000D5B12" w:rsidRPr="00BE356D" w:rsidTr="00503391">
        <w:trPr>
          <w:cantSplit/>
        </w:trPr>
        <w:tc>
          <w:tcPr>
            <w:tcW w:w="1718" w:type="dxa"/>
            <w:vMerge/>
            <w:tcBorders>
              <w:top w:val="nil"/>
              <w:left w:val="single" w:sz="16" w:space="0" w:color="000000"/>
              <w:bottom w:val="single" w:sz="16" w:space="0" w:color="000000"/>
              <w:right w:val="nil"/>
            </w:tcBorders>
            <w:shd w:val="clear" w:color="auto" w:fill="FFFFFF"/>
            <w:vAlign w:val="center"/>
          </w:tcPr>
          <w:p w:rsidR="000D5B12" w:rsidRPr="00BE356D" w:rsidRDefault="000D5B12" w:rsidP="00503391">
            <w:pPr>
              <w:autoSpaceDE w:val="0"/>
              <w:autoSpaceDN w:val="0"/>
              <w:adjustRightInd w:val="0"/>
              <w:spacing w:after="0" w:line="240" w:lineRule="auto"/>
              <w:rPr>
                <w:rFonts w:ascii="Arial" w:hAnsi="Arial" w:cs="Arial"/>
                <w:color w:val="000000"/>
                <w:sz w:val="18"/>
                <w:szCs w:val="18"/>
              </w:rPr>
            </w:pPr>
          </w:p>
        </w:tc>
        <w:tc>
          <w:tcPr>
            <w:tcW w:w="1765" w:type="dxa"/>
            <w:tcBorders>
              <w:top w:val="nil"/>
              <w:left w:val="nil"/>
              <w:bottom w:val="single" w:sz="16" w:space="0" w:color="000000"/>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rPr>
                <w:rFonts w:ascii="Arial" w:hAnsi="Arial" w:cs="Arial"/>
                <w:color w:val="000000"/>
                <w:sz w:val="18"/>
                <w:szCs w:val="18"/>
              </w:rPr>
            </w:pPr>
            <w:r w:rsidRPr="00BE356D">
              <w:rPr>
                <w:rFonts w:ascii="Arial" w:hAnsi="Arial" w:cs="Arial"/>
                <w:color w:val="000000"/>
                <w:sz w:val="18"/>
                <w:szCs w:val="18"/>
              </w:rPr>
              <w:t>3</w:t>
            </w:r>
          </w:p>
        </w:tc>
        <w:tc>
          <w:tcPr>
            <w:tcW w:w="1486" w:type="dxa"/>
            <w:tcBorders>
              <w:top w:val="nil"/>
              <w:left w:val="single" w:sz="16" w:space="0" w:color="000000"/>
              <w:bottom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1,052</w:t>
            </w:r>
          </w:p>
        </w:tc>
        <w:tc>
          <w:tcPr>
            <w:tcW w:w="1068" w:type="dxa"/>
            <w:tcBorders>
              <w:top w:val="nil"/>
              <w:bottom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,753</w:t>
            </w:r>
          </w:p>
        </w:tc>
        <w:tc>
          <w:tcPr>
            <w:tcW w:w="1022" w:type="dxa"/>
            <w:tcBorders>
              <w:top w:val="nil"/>
              <w:bottom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,504</w:t>
            </w:r>
          </w:p>
        </w:tc>
        <w:tc>
          <w:tcPr>
            <w:tcW w:w="1409" w:type="dxa"/>
            <w:tcBorders>
              <w:top w:val="nil"/>
              <w:bottom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-,92</w:t>
            </w:r>
          </w:p>
        </w:tc>
        <w:tc>
          <w:tcPr>
            <w:tcW w:w="1409" w:type="dxa"/>
            <w:tcBorders>
              <w:top w:val="nil"/>
              <w:bottom w:val="single" w:sz="16" w:space="0" w:color="000000"/>
              <w:right w:val="single" w:sz="16" w:space="0" w:color="000000"/>
            </w:tcBorders>
            <w:shd w:val="clear" w:color="auto" w:fill="FFFFFF"/>
            <w:vAlign w:val="center"/>
          </w:tcPr>
          <w:p w:rsidR="000D5B12" w:rsidRPr="00BE356D" w:rsidRDefault="000D5B12" w:rsidP="00503391">
            <w:pPr>
              <w:autoSpaceDE w:val="0"/>
              <w:autoSpaceDN w:val="0"/>
              <w:adjustRightInd w:val="0"/>
              <w:spacing w:after="0" w:line="320" w:lineRule="atLeast"/>
              <w:ind w:left="60" w:right="60"/>
              <w:jc w:val="right"/>
              <w:rPr>
                <w:rFonts w:ascii="Arial" w:hAnsi="Arial" w:cs="Arial"/>
                <w:color w:val="000000"/>
                <w:sz w:val="18"/>
                <w:szCs w:val="18"/>
              </w:rPr>
            </w:pPr>
            <w:r w:rsidRPr="00BE356D">
              <w:rPr>
                <w:rFonts w:ascii="Arial" w:hAnsi="Arial" w:cs="Arial"/>
                <w:color w:val="000000"/>
                <w:sz w:val="18"/>
                <w:szCs w:val="18"/>
              </w:rPr>
              <w:t>3,02</w:t>
            </w:r>
          </w:p>
        </w:tc>
      </w:tr>
    </w:tbl>
    <w:p w:rsidR="000D5B12" w:rsidRPr="00BE356D" w:rsidRDefault="00E35242" w:rsidP="000D5B12">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sz w:val="24"/>
          <w:szCs w:val="24"/>
        </w:rPr>
        <w:t xml:space="preserve">Tabel 10. </w:t>
      </w:r>
      <w:r w:rsidR="000D5B12">
        <w:rPr>
          <w:rFonts w:ascii="Times New Roman" w:hAnsi="Times New Roman" w:cs="Times New Roman"/>
          <w:sz w:val="24"/>
          <w:szCs w:val="24"/>
        </w:rPr>
        <w:t>Er zijn significante verschillen tussen het bedrag/vertrouwen dat de verschillende groepe</w:t>
      </w:r>
      <w:r w:rsidR="005F0C9D">
        <w:rPr>
          <w:rFonts w:ascii="Times New Roman" w:hAnsi="Times New Roman" w:cs="Times New Roman"/>
          <w:sz w:val="24"/>
          <w:szCs w:val="24"/>
        </w:rPr>
        <w:t>n geven aan de groep 15-25. De H</w:t>
      </w:r>
      <w:r w:rsidR="000D5B12">
        <w:rPr>
          <w:rFonts w:ascii="Times New Roman" w:hAnsi="Times New Roman" w:cs="Times New Roman"/>
          <w:sz w:val="24"/>
          <w:szCs w:val="24"/>
        </w:rPr>
        <w:t>0: er zijn geen verschillen tussen groep 2 en 4 kan namelijk worden verworpen. 0.048&lt;0.05</w:t>
      </w:r>
    </w:p>
    <w:p w:rsidR="000D5B12" w:rsidRDefault="000D5B12" w:rsidP="000D5B12">
      <w:r>
        <w:rPr>
          <w:noProof/>
          <w:lang w:eastAsia="nl-NL"/>
        </w:rPr>
        <w:drawing>
          <wp:inline distT="0" distB="0" distL="0" distR="0">
            <wp:extent cx="6273800" cy="1972238"/>
            <wp:effectExtent l="0" t="0" r="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a:stretch>
                      <a:fillRect/>
                    </a:stretch>
                  </pic:blipFill>
                  <pic:spPr bwMode="auto">
                    <a:xfrm>
                      <a:off x="0" y="0"/>
                      <a:ext cx="6273800" cy="1972238"/>
                    </a:xfrm>
                    <a:prstGeom prst="rect">
                      <a:avLst/>
                    </a:prstGeom>
                    <a:noFill/>
                    <a:ln w="9525">
                      <a:noFill/>
                      <a:miter lim="800000"/>
                      <a:headEnd/>
                      <a:tailEnd/>
                    </a:ln>
                  </pic:spPr>
                </pic:pic>
              </a:graphicData>
            </a:graphic>
          </wp:inline>
        </w:drawing>
      </w:r>
    </w:p>
    <w:p w:rsidR="00E35242" w:rsidRDefault="00E35242" w:rsidP="000D5B12">
      <w:pPr>
        <w:rPr>
          <w:noProof/>
          <w:lang w:eastAsia="nl-NL"/>
        </w:rPr>
      </w:pPr>
      <w:r>
        <w:rPr>
          <w:noProof/>
          <w:lang w:eastAsia="nl-NL"/>
        </w:rPr>
        <w:t xml:space="preserve">Tabel 11. </w:t>
      </w:r>
    </w:p>
    <w:p w:rsidR="00E35242" w:rsidRDefault="00E35242" w:rsidP="000D5B12">
      <w:pPr>
        <w:rPr>
          <w:noProof/>
          <w:lang w:eastAsia="nl-NL"/>
        </w:rPr>
      </w:pPr>
    </w:p>
    <w:p w:rsidR="00E35242" w:rsidRDefault="00E35242" w:rsidP="000D5B12">
      <w:pPr>
        <w:rPr>
          <w:noProof/>
          <w:lang w:eastAsia="nl-NL"/>
        </w:rPr>
      </w:pPr>
    </w:p>
    <w:p w:rsidR="000D5B12" w:rsidRDefault="000D5B12" w:rsidP="000D5B12">
      <w:r>
        <w:rPr>
          <w:noProof/>
          <w:lang w:eastAsia="nl-NL"/>
        </w:rPr>
        <w:lastRenderedPageBreak/>
        <w:drawing>
          <wp:inline distT="0" distB="0" distL="0" distR="0">
            <wp:extent cx="2889885" cy="1069975"/>
            <wp:effectExtent l="0" t="0" r="5715" b="0"/>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srcRect/>
                    <a:stretch>
                      <a:fillRect/>
                    </a:stretch>
                  </pic:blipFill>
                  <pic:spPr bwMode="auto">
                    <a:xfrm>
                      <a:off x="0" y="0"/>
                      <a:ext cx="2889885" cy="1069975"/>
                    </a:xfrm>
                    <a:prstGeom prst="rect">
                      <a:avLst/>
                    </a:prstGeom>
                    <a:noFill/>
                    <a:ln w="9525">
                      <a:noFill/>
                      <a:miter lim="800000"/>
                      <a:headEnd/>
                      <a:tailEnd/>
                    </a:ln>
                  </pic:spPr>
                </pic:pic>
              </a:graphicData>
            </a:graphic>
          </wp:inline>
        </w:drawing>
      </w:r>
    </w:p>
    <w:p w:rsidR="000D5B12" w:rsidRDefault="00E35242" w:rsidP="000D5B12">
      <w:r>
        <w:t xml:space="preserve">Tabel 12. </w:t>
      </w:r>
      <w:r w:rsidR="000D5B12">
        <w:t>B</w:t>
      </w:r>
      <w:r w:rsidR="005F0C9D">
        <w:t>etekent gelijke varianties want H</w:t>
      </w:r>
      <w:r w:rsidR="000D5B12">
        <w:t>0 kan niet worden verworpen</w:t>
      </w:r>
    </w:p>
    <w:p w:rsidR="000D5B12" w:rsidRDefault="000D5B12" w:rsidP="000D5B12">
      <w:r>
        <w:rPr>
          <w:noProof/>
          <w:lang w:eastAsia="nl-NL"/>
        </w:rPr>
        <w:drawing>
          <wp:inline distT="0" distB="0" distL="0" distR="0">
            <wp:extent cx="4805045" cy="1475105"/>
            <wp:effectExtent l="0" t="0" r="0" b="0"/>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srcRect/>
                    <a:stretch>
                      <a:fillRect/>
                    </a:stretch>
                  </pic:blipFill>
                  <pic:spPr bwMode="auto">
                    <a:xfrm>
                      <a:off x="0" y="0"/>
                      <a:ext cx="4805045" cy="1475105"/>
                    </a:xfrm>
                    <a:prstGeom prst="rect">
                      <a:avLst/>
                    </a:prstGeom>
                    <a:noFill/>
                    <a:ln w="9525">
                      <a:noFill/>
                      <a:miter lim="800000"/>
                      <a:headEnd/>
                      <a:tailEnd/>
                    </a:ln>
                  </pic:spPr>
                </pic:pic>
              </a:graphicData>
            </a:graphic>
          </wp:inline>
        </w:drawing>
      </w:r>
    </w:p>
    <w:p w:rsidR="000D5B12" w:rsidRDefault="00E35242" w:rsidP="000D5B12">
      <w:r>
        <w:t xml:space="preserve">Tabel 13. </w:t>
      </w:r>
      <w:r w:rsidR="000D5B12">
        <w:t>Significantie: 0.469&gt;0.05 dus h0: geen significant verschil tussen de groepen kan niet verworpen worden.</w:t>
      </w:r>
    </w:p>
    <w:p w:rsidR="000D5B12" w:rsidRDefault="000D5B12" w:rsidP="000D5B12">
      <w:r>
        <w:rPr>
          <w:noProof/>
          <w:lang w:eastAsia="nl-NL"/>
        </w:rPr>
        <w:drawing>
          <wp:inline distT="0" distB="0" distL="0" distR="0">
            <wp:extent cx="6273800" cy="1972238"/>
            <wp:effectExtent l="0" t="0" r="0" b="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a:stretch>
                      <a:fillRect/>
                    </a:stretch>
                  </pic:blipFill>
                  <pic:spPr bwMode="auto">
                    <a:xfrm>
                      <a:off x="0" y="0"/>
                      <a:ext cx="6273800" cy="1972238"/>
                    </a:xfrm>
                    <a:prstGeom prst="rect">
                      <a:avLst/>
                    </a:prstGeom>
                    <a:noFill/>
                    <a:ln w="9525">
                      <a:noFill/>
                      <a:miter lim="800000"/>
                      <a:headEnd/>
                      <a:tailEnd/>
                    </a:ln>
                  </pic:spPr>
                </pic:pic>
              </a:graphicData>
            </a:graphic>
          </wp:inline>
        </w:drawing>
      </w:r>
    </w:p>
    <w:p w:rsidR="000D5B12" w:rsidRDefault="00E35242" w:rsidP="000D5B12">
      <w:r>
        <w:t>Tabel 14.</w:t>
      </w:r>
    </w:p>
    <w:p w:rsidR="000D5B12" w:rsidRDefault="000D5B12" w:rsidP="000D5B12"/>
    <w:p w:rsidR="000D5B12" w:rsidRDefault="000D5B12" w:rsidP="000D5B12">
      <w:r>
        <w:rPr>
          <w:noProof/>
          <w:lang w:eastAsia="nl-NL"/>
        </w:rPr>
        <w:drawing>
          <wp:inline distT="0" distB="0" distL="0" distR="0">
            <wp:extent cx="2889885" cy="1069975"/>
            <wp:effectExtent l="0" t="0" r="5715" b="0"/>
            <wp:docPr id="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srcRect/>
                    <a:stretch>
                      <a:fillRect/>
                    </a:stretch>
                  </pic:blipFill>
                  <pic:spPr bwMode="auto">
                    <a:xfrm>
                      <a:off x="0" y="0"/>
                      <a:ext cx="2889885" cy="1069975"/>
                    </a:xfrm>
                    <a:prstGeom prst="rect">
                      <a:avLst/>
                    </a:prstGeom>
                    <a:noFill/>
                    <a:ln w="9525">
                      <a:noFill/>
                      <a:miter lim="800000"/>
                      <a:headEnd/>
                      <a:tailEnd/>
                    </a:ln>
                  </pic:spPr>
                </pic:pic>
              </a:graphicData>
            </a:graphic>
          </wp:inline>
        </w:drawing>
      </w:r>
    </w:p>
    <w:p w:rsidR="000D5B12" w:rsidRDefault="00E35242" w:rsidP="000D5B12">
      <w:r>
        <w:t xml:space="preserve">Tabel 15. </w:t>
      </w:r>
      <w:r w:rsidR="005F0C9D">
        <w:t>Gelijke varianties van H</w:t>
      </w:r>
      <w:r w:rsidR="000D5B12">
        <w:t>0: varianties zijn gelijk. Significantie 0.285&gt;0.05 dus h0 niet verwerpen</w:t>
      </w:r>
    </w:p>
    <w:p w:rsidR="000D5B12" w:rsidRDefault="000D5B12" w:rsidP="000D5B12"/>
    <w:p w:rsidR="000D5B12" w:rsidRDefault="000D5B12" w:rsidP="000D5B12">
      <w:r>
        <w:rPr>
          <w:noProof/>
          <w:lang w:eastAsia="nl-NL"/>
        </w:rPr>
        <w:lastRenderedPageBreak/>
        <w:drawing>
          <wp:inline distT="0" distB="0" distL="0" distR="0">
            <wp:extent cx="6159500" cy="3407410"/>
            <wp:effectExtent l="0" t="0" r="0" b="0"/>
            <wp:docPr id="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srcRect/>
                    <a:stretch>
                      <a:fillRect/>
                    </a:stretch>
                  </pic:blipFill>
                  <pic:spPr bwMode="auto">
                    <a:xfrm>
                      <a:off x="0" y="0"/>
                      <a:ext cx="6159500" cy="3407410"/>
                    </a:xfrm>
                    <a:prstGeom prst="rect">
                      <a:avLst/>
                    </a:prstGeom>
                    <a:noFill/>
                    <a:ln w="9525">
                      <a:noFill/>
                      <a:miter lim="800000"/>
                      <a:headEnd/>
                      <a:tailEnd/>
                    </a:ln>
                  </pic:spPr>
                </pic:pic>
              </a:graphicData>
            </a:graphic>
          </wp:inline>
        </w:drawing>
      </w:r>
    </w:p>
    <w:p w:rsidR="000D5B12" w:rsidRDefault="00E35242" w:rsidP="000D5B12">
      <w:r>
        <w:t xml:space="preserve">Tabel 16. </w:t>
      </w:r>
      <w:r w:rsidR="000D5B12">
        <w:t>Geen significante verschillen tussen de leeftijdsgroepen en hun vertrouwen dat ze hebben in groep 26-40 jaar.</w:t>
      </w:r>
    </w:p>
    <w:p w:rsidR="000D5B12" w:rsidRDefault="000D5B12" w:rsidP="000D5B12">
      <w:r>
        <w:t>Want significantieniveau is boven 0</w:t>
      </w:r>
      <w:r w:rsidR="005F0C9D">
        <w:t>.05 overal. En H</w:t>
      </w:r>
      <w:r>
        <w:t>0: er is geen significant verschil tussen de groepen. kan niet worden verworpen</w:t>
      </w:r>
      <w:r>
        <w:br w:type="page"/>
      </w:r>
    </w:p>
    <w:p w:rsidR="000D5B12" w:rsidRDefault="000D5B12" w:rsidP="000D5B12">
      <w:r>
        <w:rPr>
          <w:noProof/>
          <w:lang w:eastAsia="nl-NL"/>
        </w:rPr>
        <w:lastRenderedPageBreak/>
        <w:drawing>
          <wp:inline distT="0" distB="0" distL="0" distR="0">
            <wp:extent cx="4805045" cy="1475105"/>
            <wp:effectExtent l="0" t="0" r="0" b="0"/>
            <wp:docPr id="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srcRect/>
                    <a:stretch>
                      <a:fillRect/>
                    </a:stretch>
                  </pic:blipFill>
                  <pic:spPr bwMode="auto">
                    <a:xfrm>
                      <a:off x="0" y="0"/>
                      <a:ext cx="4805045" cy="1475105"/>
                    </a:xfrm>
                    <a:prstGeom prst="rect">
                      <a:avLst/>
                    </a:prstGeom>
                    <a:noFill/>
                    <a:ln w="9525">
                      <a:noFill/>
                      <a:miter lim="800000"/>
                      <a:headEnd/>
                      <a:tailEnd/>
                    </a:ln>
                  </pic:spPr>
                </pic:pic>
              </a:graphicData>
            </a:graphic>
          </wp:inline>
        </w:drawing>
      </w:r>
    </w:p>
    <w:p w:rsidR="000D5B12" w:rsidRDefault="00E35242" w:rsidP="000D5B12">
      <w:r>
        <w:t xml:space="preserve">Tabel 17. </w:t>
      </w:r>
      <w:r w:rsidR="005F0C9D">
        <w:t>H0: er is geen significant verschil tussen de groepen. Kan niet worden verworpen.</w:t>
      </w:r>
    </w:p>
    <w:p w:rsidR="000D5B12" w:rsidRDefault="000D5B12" w:rsidP="000D5B12">
      <w:r>
        <w:rPr>
          <w:noProof/>
          <w:lang w:eastAsia="nl-NL"/>
        </w:rPr>
        <w:drawing>
          <wp:inline distT="0" distB="0" distL="0" distR="0">
            <wp:extent cx="6273800" cy="1972238"/>
            <wp:effectExtent l="0" t="0" r="0" b="0"/>
            <wp:docPr id="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cstate="print"/>
                    <a:srcRect/>
                    <a:stretch>
                      <a:fillRect/>
                    </a:stretch>
                  </pic:blipFill>
                  <pic:spPr bwMode="auto">
                    <a:xfrm>
                      <a:off x="0" y="0"/>
                      <a:ext cx="6273800" cy="1972238"/>
                    </a:xfrm>
                    <a:prstGeom prst="rect">
                      <a:avLst/>
                    </a:prstGeom>
                    <a:noFill/>
                    <a:ln w="9525">
                      <a:noFill/>
                      <a:miter lim="800000"/>
                      <a:headEnd/>
                      <a:tailEnd/>
                    </a:ln>
                  </pic:spPr>
                </pic:pic>
              </a:graphicData>
            </a:graphic>
          </wp:inline>
        </w:drawing>
      </w:r>
    </w:p>
    <w:p w:rsidR="000D5B12" w:rsidRDefault="00E35242" w:rsidP="000D5B12">
      <w:r>
        <w:t xml:space="preserve">Tabel 18. </w:t>
      </w:r>
    </w:p>
    <w:p w:rsidR="000D5B12" w:rsidRDefault="000D5B12" w:rsidP="000D5B12">
      <w:r>
        <w:rPr>
          <w:noProof/>
          <w:lang w:eastAsia="nl-NL"/>
        </w:rPr>
        <w:drawing>
          <wp:inline distT="0" distB="0" distL="0" distR="0">
            <wp:extent cx="2889885" cy="1069975"/>
            <wp:effectExtent l="0" t="0" r="5715" b="0"/>
            <wp:docPr id="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cstate="print"/>
                    <a:srcRect/>
                    <a:stretch>
                      <a:fillRect/>
                    </a:stretch>
                  </pic:blipFill>
                  <pic:spPr bwMode="auto">
                    <a:xfrm>
                      <a:off x="0" y="0"/>
                      <a:ext cx="2889885" cy="1069975"/>
                    </a:xfrm>
                    <a:prstGeom prst="rect">
                      <a:avLst/>
                    </a:prstGeom>
                    <a:noFill/>
                    <a:ln w="9525">
                      <a:noFill/>
                      <a:miter lim="800000"/>
                      <a:headEnd/>
                      <a:tailEnd/>
                    </a:ln>
                  </pic:spPr>
                </pic:pic>
              </a:graphicData>
            </a:graphic>
          </wp:inline>
        </w:drawing>
      </w:r>
    </w:p>
    <w:p w:rsidR="000D5B12" w:rsidRDefault="00E35242" w:rsidP="000D5B12">
      <w:r>
        <w:t xml:space="preserve">Tabel 19. </w:t>
      </w:r>
    </w:p>
    <w:p w:rsidR="000D5B12" w:rsidRDefault="000D5B12" w:rsidP="000D5B12">
      <w:r>
        <w:rPr>
          <w:noProof/>
          <w:lang w:eastAsia="nl-NL"/>
        </w:rPr>
        <w:lastRenderedPageBreak/>
        <w:drawing>
          <wp:inline distT="0" distB="0" distL="0" distR="0">
            <wp:extent cx="6159500" cy="3407410"/>
            <wp:effectExtent l="0" t="0" r="0" b="0"/>
            <wp:docPr id="2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 cstate="print"/>
                    <a:srcRect/>
                    <a:stretch>
                      <a:fillRect/>
                    </a:stretch>
                  </pic:blipFill>
                  <pic:spPr bwMode="auto">
                    <a:xfrm>
                      <a:off x="0" y="0"/>
                      <a:ext cx="6159500" cy="3407410"/>
                    </a:xfrm>
                    <a:prstGeom prst="rect">
                      <a:avLst/>
                    </a:prstGeom>
                    <a:noFill/>
                    <a:ln w="9525">
                      <a:noFill/>
                      <a:miter lim="800000"/>
                      <a:headEnd/>
                      <a:tailEnd/>
                    </a:ln>
                  </pic:spPr>
                </pic:pic>
              </a:graphicData>
            </a:graphic>
          </wp:inline>
        </w:drawing>
      </w:r>
    </w:p>
    <w:p w:rsidR="000D5B12" w:rsidRDefault="00E35242" w:rsidP="000D5B12">
      <w:r>
        <w:t xml:space="preserve">Tabel 20. </w:t>
      </w:r>
      <w:r w:rsidR="000D5B12">
        <w:br w:type="page"/>
      </w:r>
    </w:p>
    <w:p w:rsidR="000D5B12" w:rsidRDefault="000D5B12" w:rsidP="000D5B12">
      <w:r>
        <w:rPr>
          <w:noProof/>
          <w:lang w:eastAsia="nl-NL"/>
        </w:rPr>
        <w:lastRenderedPageBreak/>
        <w:drawing>
          <wp:inline distT="0" distB="0" distL="0" distR="0">
            <wp:extent cx="4805045" cy="1475105"/>
            <wp:effectExtent l="0" t="0" r="0" b="0"/>
            <wp:docPr id="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6" cstate="print"/>
                    <a:srcRect/>
                    <a:stretch>
                      <a:fillRect/>
                    </a:stretch>
                  </pic:blipFill>
                  <pic:spPr bwMode="auto">
                    <a:xfrm>
                      <a:off x="0" y="0"/>
                      <a:ext cx="4805045" cy="1475105"/>
                    </a:xfrm>
                    <a:prstGeom prst="rect">
                      <a:avLst/>
                    </a:prstGeom>
                    <a:noFill/>
                    <a:ln w="9525">
                      <a:noFill/>
                      <a:miter lim="800000"/>
                      <a:headEnd/>
                      <a:tailEnd/>
                    </a:ln>
                  </pic:spPr>
                </pic:pic>
              </a:graphicData>
            </a:graphic>
          </wp:inline>
        </w:drawing>
      </w:r>
    </w:p>
    <w:p w:rsidR="000D5B12" w:rsidRDefault="00E35242" w:rsidP="000D5B12">
      <w:r>
        <w:t xml:space="preserve">Tabel 21. </w:t>
      </w:r>
      <w:r w:rsidR="000D5B12">
        <w:t xml:space="preserve">H0: er is geen significant verschil tussen het vertrouwen wat de 4 verschillende leeftijdsgroepen hebben in de leeftijdsgroep 65+. Deze kan worden verworpen van 0.004&lt;0.05 </w:t>
      </w:r>
      <w:r w:rsidR="000D5B12">
        <w:sym w:font="Wingdings" w:char="F0E0"/>
      </w:r>
      <w:r w:rsidR="000D5B12">
        <w:t xml:space="preserve"> H0 verwerpen. Er is dus een significant verschil</w:t>
      </w:r>
    </w:p>
    <w:p w:rsidR="000D5B12" w:rsidRDefault="000D5B12" w:rsidP="000D5B12">
      <w:r>
        <w:rPr>
          <w:noProof/>
          <w:lang w:eastAsia="nl-NL"/>
        </w:rPr>
        <w:drawing>
          <wp:inline distT="0" distB="0" distL="0" distR="0">
            <wp:extent cx="6273800" cy="1972238"/>
            <wp:effectExtent l="0" t="0" r="0" b="0"/>
            <wp:docPr id="2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7" cstate="print"/>
                    <a:srcRect/>
                    <a:stretch>
                      <a:fillRect/>
                    </a:stretch>
                  </pic:blipFill>
                  <pic:spPr bwMode="auto">
                    <a:xfrm>
                      <a:off x="0" y="0"/>
                      <a:ext cx="6273800" cy="1972238"/>
                    </a:xfrm>
                    <a:prstGeom prst="rect">
                      <a:avLst/>
                    </a:prstGeom>
                    <a:noFill/>
                    <a:ln w="9525">
                      <a:noFill/>
                      <a:miter lim="800000"/>
                      <a:headEnd/>
                      <a:tailEnd/>
                    </a:ln>
                  </pic:spPr>
                </pic:pic>
              </a:graphicData>
            </a:graphic>
          </wp:inline>
        </w:drawing>
      </w:r>
    </w:p>
    <w:p w:rsidR="000D5B12" w:rsidRDefault="00E35242" w:rsidP="000D5B12">
      <w:r>
        <w:t xml:space="preserve">Tabel 22. </w:t>
      </w:r>
    </w:p>
    <w:p w:rsidR="000D5B12" w:rsidRDefault="000D5B12" w:rsidP="000D5B12">
      <w:r>
        <w:rPr>
          <w:noProof/>
          <w:lang w:eastAsia="nl-NL"/>
        </w:rPr>
        <w:drawing>
          <wp:inline distT="0" distB="0" distL="0" distR="0">
            <wp:extent cx="2889885" cy="1069975"/>
            <wp:effectExtent l="0" t="0" r="5715" b="0"/>
            <wp:docPr id="3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8" cstate="print"/>
                    <a:srcRect/>
                    <a:stretch>
                      <a:fillRect/>
                    </a:stretch>
                  </pic:blipFill>
                  <pic:spPr bwMode="auto">
                    <a:xfrm>
                      <a:off x="0" y="0"/>
                      <a:ext cx="2889885" cy="1069975"/>
                    </a:xfrm>
                    <a:prstGeom prst="rect">
                      <a:avLst/>
                    </a:prstGeom>
                    <a:noFill/>
                    <a:ln w="9525">
                      <a:noFill/>
                      <a:miter lim="800000"/>
                      <a:headEnd/>
                      <a:tailEnd/>
                    </a:ln>
                  </pic:spPr>
                </pic:pic>
              </a:graphicData>
            </a:graphic>
          </wp:inline>
        </w:drawing>
      </w:r>
    </w:p>
    <w:p w:rsidR="000D5B12" w:rsidRDefault="00E35242" w:rsidP="000D5B12">
      <w:r>
        <w:t xml:space="preserve">Tabel 23. </w:t>
      </w:r>
      <w:r w:rsidR="000D5B12">
        <w:t xml:space="preserve">H0: varianties zijn gelijk. 0.031&lt;0.05 dus h0 verwerpen. Varianties zijn verschillend en dus kan er geen </w:t>
      </w:r>
      <w:r w:rsidR="008B5809">
        <w:t>Tukey</w:t>
      </w:r>
      <w:r w:rsidR="000D5B12">
        <w:t xml:space="preserve"> posthoc test worden uitgevoerd maar moet er een Games-Howell test worden uitgevoerd.</w:t>
      </w:r>
    </w:p>
    <w:p w:rsidR="000D5B12" w:rsidRDefault="000D5B12" w:rsidP="000D5B12"/>
    <w:p w:rsidR="000D5B12" w:rsidRDefault="000D5B12" w:rsidP="000D5B12"/>
    <w:p w:rsidR="000D5B12" w:rsidRDefault="000D5B12" w:rsidP="000D5B12">
      <w:r>
        <w:rPr>
          <w:noProof/>
          <w:lang w:eastAsia="nl-NL"/>
        </w:rPr>
        <w:lastRenderedPageBreak/>
        <w:drawing>
          <wp:inline distT="0" distB="0" distL="0" distR="0">
            <wp:extent cx="6159500" cy="3605530"/>
            <wp:effectExtent l="0" t="0" r="0" b="0"/>
            <wp:docPr id="3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cstate="print"/>
                    <a:srcRect/>
                    <a:stretch>
                      <a:fillRect/>
                    </a:stretch>
                  </pic:blipFill>
                  <pic:spPr bwMode="auto">
                    <a:xfrm>
                      <a:off x="0" y="0"/>
                      <a:ext cx="6159500" cy="3605530"/>
                    </a:xfrm>
                    <a:prstGeom prst="rect">
                      <a:avLst/>
                    </a:prstGeom>
                    <a:noFill/>
                    <a:ln w="9525">
                      <a:noFill/>
                      <a:miter lim="800000"/>
                      <a:headEnd/>
                      <a:tailEnd/>
                    </a:ln>
                  </pic:spPr>
                </pic:pic>
              </a:graphicData>
            </a:graphic>
          </wp:inline>
        </w:drawing>
      </w:r>
    </w:p>
    <w:p w:rsidR="00E35242" w:rsidRDefault="00E35242" w:rsidP="000D5B12">
      <w:r>
        <w:t>Tabel 24.</w:t>
      </w:r>
    </w:p>
    <w:p w:rsidR="000D5B12" w:rsidRDefault="000D5B12" w:rsidP="000D5B12">
      <w:r>
        <w:t>H0: er is geen significant verschil tussen het vertrouwen dat leeftijdsgroep 1 en 2 hebben in leeftijdsgroep 4.</w:t>
      </w:r>
    </w:p>
    <w:p w:rsidR="000D5B12" w:rsidRDefault="000D5B12" w:rsidP="000D5B12">
      <w:r>
        <w:t xml:space="preserve">Kan worden verworpen want 0.022&lt;0.05 dus h0 verwerpen </w:t>
      </w:r>
      <w:r>
        <w:sym w:font="Wingdings" w:char="F0E0"/>
      </w:r>
      <w:r>
        <w:t xml:space="preserve"> er is een significant verschil.</w:t>
      </w:r>
    </w:p>
    <w:p w:rsidR="000D5B12" w:rsidRDefault="000D5B12" w:rsidP="000D5B12">
      <w:r>
        <w:t>H0: er is geen significant verschil tussen het vertrouwen dat leeftijdsgroep 1 en 3 hebben in leeftijdsgroep 4.</w:t>
      </w:r>
    </w:p>
    <w:p w:rsidR="000D5B12" w:rsidRDefault="000D5B12" w:rsidP="000D5B12">
      <w:r>
        <w:t>Kan worden verworpen want 0.017&lt;0.05. er is dus een significant verschil</w:t>
      </w:r>
    </w:p>
    <w:p w:rsidR="000D5B12" w:rsidRDefault="000D5B12" w:rsidP="000D5B12">
      <w:r>
        <w:t>H0: er is geen significant verschil tussen het vertrouwen dat leeftijdsgroep 1 en 4 hebben in leeftijdsgroep 4.</w:t>
      </w:r>
    </w:p>
    <w:p w:rsidR="000D5B12" w:rsidRDefault="000D5B12" w:rsidP="000D5B12">
      <w:r>
        <w:t>0.806&gt;0.05 dus h0 kan niet worden verworpen. Er is dus geen significant verschil.</w:t>
      </w:r>
    </w:p>
    <w:p w:rsidR="000D5B12" w:rsidRDefault="000D5B12" w:rsidP="000D5B12"/>
    <w:p w:rsidR="000D5B12" w:rsidRDefault="000D5B12" w:rsidP="000D5B12"/>
    <w:p w:rsidR="00A77655" w:rsidRPr="00177DFB" w:rsidRDefault="00A77655" w:rsidP="000F08A8">
      <w:pPr>
        <w:pStyle w:val="NoSpacing"/>
        <w:spacing w:line="360" w:lineRule="auto"/>
        <w:rPr>
          <w:sz w:val="24"/>
          <w:szCs w:val="24"/>
        </w:rPr>
      </w:pPr>
    </w:p>
    <w:sectPr w:rsidR="00A77655" w:rsidRPr="00177DFB" w:rsidSect="001E46A5">
      <w:footerReference w:type="default" r:id="rId40"/>
      <w:pgSz w:w="11906" w:h="16838"/>
      <w:pgMar w:top="1417" w:right="1417" w:bottom="1417" w:left="1417"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1484" w:rsidRDefault="00A71484" w:rsidP="00091894">
      <w:pPr>
        <w:spacing w:after="0" w:line="240" w:lineRule="auto"/>
      </w:pPr>
      <w:r>
        <w:separator/>
      </w:r>
    </w:p>
  </w:endnote>
  <w:endnote w:type="continuationSeparator" w:id="0">
    <w:p w:rsidR="00A71484" w:rsidRDefault="00A71484" w:rsidP="000918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Math">
    <w:panose1 w:val="02040503050406030204"/>
    <w:charset w:val="00"/>
    <w:family w:val="roman"/>
    <w:pitch w:val="variable"/>
    <w:sig w:usb0="A00002EF" w:usb1="420020EB" w:usb2="00000000" w:usb3="00000000" w:csb0="000000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77988"/>
      <w:docPartObj>
        <w:docPartGallery w:val="Page Numbers (Bottom of Page)"/>
        <w:docPartUnique/>
      </w:docPartObj>
    </w:sdtPr>
    <w:sdtContent>
      <w:p w:rsidR="00710EAD" w:rsidRDefault="00710EAD">
        <w:pPr>
          <w:pStyle w:val="Footer"/>
          <w:jc w:val="right"/>
        </w:pPr>
        <w:fldSimple w:instr=" PAGE   \* MERGEFORMAT ">
          <w:r w:rsidR="005F7ADB">
            <w:rPr>
              <w:noProof/>
            </w:rPr>
            <w:t>3</w:t>
          </w:r>
        </w:fldSimple>
      </w:p>
    </w:sdtContent>
  </w:sdt>
  <w:p w:rsidR="00710EAD" w:rsidRDefault="00710EA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1484" w:rsidRDefault="00A71484" w:rsidP="00091894">
      <w:pPr>
        <w:spacing w:after="0" w:line="240" w:lineRule="auto"/>
      </w:pPr>
      <w:r>
        <w:separator/>
      </w:r>
    </w:p>
  </w:footnote>
  <w:footnote w:type="continuationSeparator" w:id="0">
    <w:p w:rsidR="00A71484" w:rsidRDefault="00A71484" w:rsidP="0009189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E446C8"/>
    <w:rsid w:val="000157B2"/>
    <w:rsid w:val="00034607"/>
    <w:rsid w:val="000538E1"/>
    <w:rsid w:val="00085403"/>
    <w:rsid w:val="00091894"/>
    <w:rsid w:val="00097A1B"/>
    <w:rsid w:val="000A3136"/>
    <w:rsid w:val="000D5B12"/>
    <w:rsid w:val="000E3DB3"/>
    <w:rsid w:val="000F08A8"/>
    <w:rsid w:val="000F3578"/>
    <w:rsid w:val="000F47BA"/>
    <w:rsid w:val="0012587D"/>
    <w:rsid w:val="00132E38"/>
    <w:rsid w:val="00135F43"/>
    <w:rsid w:val="0014157F"/>
    <w:rsid w:val="001513A4"/>
    <w:rsid w:val="00166183"/>
    <w:rsid w:val="00177DFB"/>
    <w:rsid w:val="00181A9A"/>
    <w:rsid w:val="00181E1A"/>
    <w:rsid w:val="00190F64"/>
    <w:rsid w:val="001924D0"/>
    <w:rsid w:val="001C08D3"/>
    <w:rsid w:val="001D0EA0"/>
    <w:rsid w:val="001E46A5"/>
    <w:rsid w:val="001F6B46"/>
    <w:rsid w:val="002123B5"/>
    <w:rsid w:val="00271407"/>
    <w:rsid w:val="00277696"/>
    <w:rsid w:val="002857D6"/>
    <w:rsid w:val="0029560B"/>
    <w:rsid w:val="002A5209"/>
    <w:rsid w:val="002A71FC"/>
    <w:rsid w:val="002B00D4"/>
    <w:rsid w:val="002D6B0A"/>
    <w:rsid w:val="002E6262"/>
    <w:rsid w:val="00310A0E"/>
    <w:rsid w:val="00326AE1"/>
    <w:rsid w:val="00331286"/>
    <w:rsid w:val="00345F35"/>
    <w:rsid w:val="00353AB4"/>
    <w:rsid w:val="00354E89"/>
    <w:rsid w:val="003614A6"/>
    <w:rsid w:val="00364E81"/>
    <w:rsid w:val="00396CFC"/>
    <w:rsid w:val="003B284F"/>
    <w:rsid w:val="003B7CFE"/>
    <w:rsid w:val="003C3DE8"/>
    <w:rsid w:val="003C7295"/>
    <w:rsid w:val="003D0B28"/>
    <w:rsid w:val="003E6DF6"/>
    <w:rsid w:val="003E70E8"/>
    <w:rsid w:val="00421E9C"/>
    <w:rsid w:val="00440179"/>
    <w:rsid w:val="00446DF9"/>
    <w:rsid w:val="004568CB"/>
    <w:rsid w:val="00477CAD"/>
    <w:rsid w:val="00491378"/>
    <w:rsid w:val="004931CD"/>
    <w:rsid w:val="004A340C"/>
    <w:rsid w:val="004A7932"/>
    <w:rsid w:val="004F30D0"/>
    <w:rsid w:val="00503391"/>
    <w:rsid w:val="00510A92"/>
    <w:rsid w:val="005138FA"/>
    <w:rsid w:val="00533943"/>
    <w:rsid w:val="0054668F"/>
    <w:rsid w:val="00563D90"/>
    <w:rsid w:val="005733CA"/>
    <w:rsid w:val="00573ECA"/>
    <w:rsid w:val="005B2B93"/>
    <w:rsid w:val="005D6551"/>
    <w:rsid w:val="005E2F00"/>
    <w:rsid w:val="005F0C9D"/>
    <w:rsid w:val="005F33C3"/>
    <w:rsid w:val="005F7ADB"/>
    <w:rsid w:val="00637C98"/>
    <w:rsid w:val="00654CD5"/>
    <w:rsid w:val="006571CC"/>
    <w:rsid w:val="006579DA"/>
    <w:rsid w:val="006B0B25"/>
    <w:rsid w:val="006B5E3E"/>
    <w:rsid w:val="006F3731"/>
    <w:rsid w:val="00701D82"/>
    <w:rsid w:val="00704058"/>
    <w:rsid w:val="00710EAD"/>
    <w:rsid w:val="007204EA"/>
    <w:rsid w:val="0072798A"/>
    <w:rsid w:val="00736C7C"/>
    <w:rsid w:val="00790B40"/>
    <w:rsid w:val="007B73E5"/>
    <w:rsid w:val="007F52D3"/>
    <w:rsid w:val="008253EA"/>
    <w:rsid w:val="00827CE9"/>
    <w:rsid w:val="0083083F"/>
    <w:rsid w:val="008750BC"/>
    <w:rsid w:val="00886928"/>
    <w:rsid w:val="00895A59"/>
    <w:rsid w:val="008B3A83"/>
    <w:rsid w:val="008B5809"/>
    <w:rsid w:val="008C7862"/>
    <w:rsid w:val="008F3742"/>
    <w:rsid w:val="0090421C"/>
    <w:rsid w:val="00906DCC"/>
    <w:rsid w:val="0092190B"/>
    <w:rsid w:val="00926D43"/>
    <w:rsid w:val="009507CE"/>
    <w:rsid w:val="009576A1"/>
    <w:rsid w:val="00964332"/>
    <w:rsid w:val="00970304"/>
    <w:rsid w:val="00982D14"/>
    <w:rsid w:val="00982DBA"/>
    <w:rsid w:val="00985FC8"/>
    <w:rsid w:val="0099318D"/>
    <w:rsid w:val="009A4473"/>
    <w:rsid w:val="009D6CB9"/>
    <w:rsid w:val="009E2C87"/>
    <w:rsid w:val="009E39AE"/>
    <w:rsid w:val="00A11FB9"/>
    <w:rsid w:val="00A13DC3"/>
    <w:rsid w:val="00A164E4"/>
    <w:rsid w:val="00A4540E"/>
    <w:rsid w:val="00A62549"/>
    <w:rsid w:val="00A64FCA"/>
    <w:rsid w:val="00A71484"/>
    <w:rsid w:val="00A77655"/>
    <w:rsid w:val="00A84CC4"/>
    <w:rsid w:val="00A96D18"/>
    <w:rsid w:val="00AB3F71"/>
    <w:rsid w:val="00AD23CB"/>
    <w:rsid w:val="00AD587C"/>
    <w:rsid w:val="00AF5F8E"/>
    <w:rsid w:val="00B05AF1"/>
    <w:rsid w:val="00B07C38"/>
    <w:rsid w:val="00B23F7B"/>
    <w:rsid w:val="00B54923"/>
    <w:rsid w:val="00B571DA"/>
    <w:rsid w:val="00B6468C"/>
    <w:rsid w:val="00B75F4E"/>
    <w:rsid w:val="00B801C9"/>
    <w:rsid w:val="00B8733C"/>
    <w:rsid w:val="00B87E5B"/>
    <w:rsid w:val="00BB3263"/>
    <w:rsid w:val="00BD3778"/>
    <w:rsid w:val="00BE515D"/>
    <w:rsid w:val="00BE7245"/>
    <w:rsid w:val="00C065C4"/>
    <w:rsid w:val="00C10236"/>
    <w:rsid w:val="00C42A7A"/>
    <w:rsid w:val="00C52E79"/>
    <w:rsid w:val="00CB6CF5"/>
    <w:rsid w:val="00CE1BEB"/>
    <w:rsid w:val="00CF6041"/>
    <w:rsid w:val="00D06446"/>
    <w:rsid w:val="00D10ED3"/>
    <w:rsid w:val="00D24AEF"/>
    <w:rsid w:val="00D2514C"/>
    <w:rsid w:val="00D47B90"/>
    <w:rsid w:val="00D56809"/>
    <w:rsid w:val="00D5708A"/>
    <w:rsid w:val="00D60B08"/>
    <w:rsid w:val="00D67D75"/>
    <w:rsid w:val="00D7350E"/>
    <w:rsid w:val="00DA0F21"/>
    <w:rsid w:val="00DB1AB8"/>
    <w:rsid w:val="00DB1B2D"/>
    <w:rsid w:val="00DC2084"/>
    <w:rsid w:val="00DD4C31"/>
    <w:rsid w:val="00DE5C21"/>
    <w:rsid w:val="00DF0568"/>
    <w:rsid w:val="00E04725"/>
    <w:rsid w:val="00E14724"/>
    <w:rsid w:val="00E20086"/>
    <w:rsid w:val="00E2611A"/>
    <w:rsid w:val="00E35242"/>
    <w:rsid w:val="00E36335"/>
    <w:rsid w:val="00E4100B"/>
    <w:rsid w:val="00E41E85"/>
    <w:rsid w:val="00E43C7B"/>
    <w:rsid w:val="00E446C8"/>
    <w:rsid w:val="00E71A6E"/>
    <w:rsid w:val="00E81911"/>
    <w:rsid w:val="00E95C82"/>
    <w:rsid w:val="00EA0F84"/>
    <w:rsid w:val="00ED1C15"/>
    <w:rsid w:val="00ED2459"/>
    <w:rsid w:val="00F14B22"/>
    <w:rsid w:val="00F15C85"/>
    <w:rsid w:val="00F53449"/>
    <w:rsid w:val="00F60745"/>
    <w:rsid w:val="00F70E7D"/>
    <w:rsid w:val="00F743D7"/>
    <w:rsid w:val="00FA23EB"/>
    <w:rsid w:val="00FA2EB5"/>
    <w:rsid w:val="00FA7516"/>
    <w:rsid w:val="00FB62B5"/>
    <w:rsid w:val="00FE3B67"/>
    <w:rsid w:val="00FF072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1378"/>
  </w:style>
  <w:style w:type="paragraph" w:styleId="Heading1">
    <w:name w:val="heading 1"/>
    <w:basedOn w:val="Normal"/>
    <w:next w:val="Normal"/>
    <w:link w:val="Heading1Char"/>
    <w:uiPriority w:val="9"/>
    <w:qFormat/>
    <w:rsid w:val="008C7862"/>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bidi="en-US"/>
    </w:rPr>
  </w:style>
  <w:style w:type="paragraph" w:styleId="Heading2">
    <w:name w:val="heading 2"/>
    <w:basedOn w:val="Normal"/>
    <w:next w:val="Normal"/>
    <w:link w:val="Heading2Char"/>
    <w:uiPriority w:val="9"/>
    <w:unhideWhenUsed/>
    <w:qFormat/>
    <w:rsid w:val="00637C9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46C8"/>
    <w:pPr>
      <w:spacing w:after="0" w:line="240" w:lineRule="auto"/>
    </w:pPr>
  </w:style>
  <w:style w:type="paragraph" w:styleId="BalloonText">
    <w:name w:val="Balloon Text"/>
    <w:basedOn w:val="Normal"/>
    <w:link w:val="BalloonTextChar"/>
    <w:uiPriority w:val="99"/>
    <w:semiHidden/>
    <w:unhideWhenUsed/>
    <w:rsid w:val="00E446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46C8"/>
    <w:rPr>
      <w:rFonts w:ascii="Tahoma" w:hAnsi="Tahoma" w:cs="Tahoma"/>
      <w:sz w:val="16"/>
      <w:szCs w:val="16"/>
    </w:rPr>
  </w:style>
  <w:style w:type="character" w:customStyle="1" w:styleId="Heading1Char">
    <w:name w:val="Heading 1 Char"/>
    <w:basedOn w:val="DefaultParagraphFont"/>
    <w:link w:val="Heading1"/>
    <w:uiPriority w:val="9"/>
    <w:rsid w:val="008C7862"/>
    <w:rPr>
      <w:rFonts w:asciiTheme="majorHAnsi" w:eastAsiaTheme="majorEastAsia" w:hAnsiTheme="majorHAnsi" w:cstheme="majorBidi"/>
      <w:b/>
      <w:bCs/>
      <w:color w:val="365F91" w:themeColor="accent1" w:themeShade="BF"/>
      <w:sz w:val="28"/>
      <w:szCs w:val="28"/>
      <w:lang w:val="en-US" w:bidi="en-US"/>
    </w:rPr>
  </w:style>
  <w:style w:type="paragraph" w:styleId="Bibliography">
    <w:name w:val="Bibliography"/>
    <w:basedOn w:val="Normal"/>
    <w:next w:val="Normal"/>
    <w:uiPriority w:val="37"/>
    <w:unhideWhenUsed/>
    <w:rsid w:val="008C7862"/>
  </w:style>
  <w:style w:type="character" w:styleId="Emphasis">
    <w:name w:val="Emphasis"/>
    <w:basedOn w:val="DefaultParagraphFont"/>
    <w:uiPriority w:val="20"/>
    <w:qFormat/>
    <w:rsid w:val="00A64FCA"/>
    <w:rPr>
      <w:i/>
      <w:iCs/>
    </w:rPr>
  </w:style>
  <w:style w:type="character" w:customStyle="1" w:styleId="Heading2Char">
    <w:name w:val="Heading 2 Char"/>
    <w:basedOn w:val="DefaultParagraphFont"/>
    <w:link w:val="Heading2"/>
    <w:uiPriority w:val="9"/>
    <w:rsid w:val="00637C98"/>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unhideWhenUsed/>
    <w:qFormat/>
    <w:rsid w:val="00CE1BEB"/>
    <w:pPr>
      <w:outlineLvl w:val="9"/>
    </w:pPr>
    <w:rPr>
      <w:lang w:bidi="ar-SA"/>
    </w:rPr>
  </w:style>
  <w:style w:type="paragraph" w:styleId="TOC1">
    <w:name w:val="toc 1"/>
    <w:basedOn w:val="Normal"/>
    <w:next w:val="Normal"/>
    <w:autoRedefine/>
    <w:uiPriority w:val="39"/>
    <w:unhideWhenUsed/>
    <w:rsid w:val="00CE1BEB"/>
    <w:pPr>
      <w:spacing w:after="100"/>
    </w:pPr>
  </w:style>
  <w:style w:type="paragraph" w:styleId="TOC2">
    <w:name w:val="toc 2"/>
    <w:basedOn w:val="Normal"/>
    <w:next w:val="Normal"/>
    <w:autoRedefine/>
    <w:uiPriority w:val="39"/>
    <w:unhideWhenUsed/>
    <w:rsid w:val="00CE1BEB"/>
    <w:pPr>
      <w:spacing w:after="100"/>
      <w:ind w:left="220"/>
    </w:pPr>
  </w:style>
  <w:style w:type="character" w:styleId="Hyperlink">
    <w:name w:val="Hyperlink"/>
    <w:basedOn w:val="DefaultParagraphFont"/>
    <w:uiPriority w:val="99"/>
    <w:unhideWhenUsed/>
    <w:rsid w:val="00CE1BEB"/>
    <w:rPr>
      <w:color w:val="0000FF" w:themeColor="hyperlink"/>
      <w:u w:val="single"/>
    </w:rPr>
  </w:style>
  <w:style w:type="paragraph" w:styleId="Header">
    <w:name w:val="header"/>
    <w:basedOn w:val="Normal"/>
    <w:link w:val="HeaderChar"/>
    <w:uiPriority w:val="99"/>
    <w:semiHidden/>
    <w:unhideWhenUsed/>
    <w:rsid w:val="00091894"/>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091894"/>
  </w:style>
  <w:style w:type="paragraph" w:styleId="Footer">
    <w:name w:val="footer"/>
    <w:basedOn w:val="Normal"/>
    <w:link w:val="FooterChar"/>
    <w:uiPriority w:val="99"/>
    <w:unhideWhenUsed/>
    <w:rsid w:val="00091894"/>
    <w:pPr>
      <w:tabs>
        <w:tab w:val="center" w:pos="4536"/>
        <w:tab w:val="right" w:pos="9072"/>
      </w:tabs>
      <w:spacing w:after="0" w:line="240" w:lineRule="auto"/>
    </w:pPr>
  </w:style>
  <w:style w:type="character" w:customStyle="1" w:styleId="FooterChar">
    <w:name w:val="Footer Char"/>
    <w:basedOn w:val="DefaultParagraphFont"/>
    <w:link w:val="Footer"/>
    <w:uiPriority w:val="99"/>
    <w:rsid w:val="00091894"/>
  </w:style>
  <w:style w:type="paragraph" w:customStyle="1" w:styleId="Default">
    <w:name w:val="Default"/>
    <w:rsid w:val="00354E89"/>
    <w:pPr>
      <w:autoSpaceDE w:val="0"/>
      <w:autoSpaceDN w:val="0"/>
      <w:adjustRightInd w:val="0"/>
      <w:spacing w:after="0" w:line="240" w:lineRule="auto"/>
    </w:pPr>
    <w:rPr>
      <w:rFonts w:ascii="Times New Roman" w:hAnsi="Times New Roman" w:cs="Times New Roman"/>
      <w:color w:val="000000"/>
      <w:sz w:val="24"/>
      <w:szCs w:val="24"/>
    </w:rPr>
  </w:style>
  <w:style w:type="paragraph" w:styleId="FootnoteText">
    <w:name w:val="footnote text"/>
    <w:basedOn w:val="Normal"/>
    <w:link w:val="FootnoteTextChar"/>
    <w:uiPriority w:val="99"/>
    <w:semiHidden/>
    <w:unhideWhenUsed/>
    <w:rsid w:val="00710E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10EAD"/>
    <w:rPr>
      <w:sz w:val="20"/>
      <w:szCs w:val="20"/>
    </w:rPr>
  </w:style>
  <w:style w:type="character" w:styleId="FootnoteReference">
    <w:name w:val="footnote reference"/>
    <w:basedOn w:val="DefaultParagraphFont"/>
    <w:uiPriority w:val="99"/>
    <w:semiHidden/>
    <w:unhideWhenUsed/>
    <w:rsid w:val="00710EAD"/>
    <w:rPr>
      <w:vertAlign w:val="superscript"/>
    </w:rPr>
  </w:style>
</w:styles>
</file>

<file path=word/webSettings.xml><?xml version="1.0" encoding="utf-8"?>
<w:webSettings xmlns:r="http://schemas.openxmlformats.org/officeDocument/2006/relationships" xmlns:w="http://schemas.openxmlformats.org/wordprocessingml/2006/main">
  <w:divs>
    <w:div w:id="140498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emf"/><Relationship Id="rId39" Type="http://schemas.openxmlformats.org/officeDocument/2006/relationships/image" Target="media/image31.emf"/><Relationship Id="rId3" Type="http://schemas.openxmlformats.org/officeDocument/2006/relationships/settings" Target="settings.xml"/><Relationship Id="rId21" Type="http://schemas.openxmlformats.org/officeDocument/2006/relationships/image" Target="media/image13.emf"/><Relationship Id="rId34" Type="http://schemas.openxmlformats.org/officeDocument/2006/relationships/image" Target="media/image26.emf"/><Relationship Id="rId42" Type="http://schemas.openxmlformats.org/officeDocument/2006/relationships/theme" Target="theme/theme1.xml"/><Relationship Id="rId7" Type="http://schemas.openxmlformats.org/officeDocument/2006/relationships/hyperlink" Target="mailto:Jeroenkoster91@hotmail.com" TargetMode="External"/><Relationship Id="rId12" Type="http://schemas.openxmlformats.org/officeDocument/2006/relationships/image" Target="media/image4.emf"/><Relationship Id="rId17" Type="http://schemas.openxmlformats.org/officeDocument/2006/relationships/image" Target="media/image9.jpeg"/><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image" Target="media/image30.emf"/><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emf"/><Relationship Id="rId29" Type="http://schemas.openxmlformats.org/officeDocument/2006/relationships/image" Target="media/image21.em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image" Target="media/image16.emf"/><Relationship Id="rId32" Type="http://schemas.openxmlformats.org/officeDocument/2006/relationships/image" Target="media/image24.emf"/><Relationship Id="rId37" Type="http://schemas.openxmlformats.org/officeDocument/2006/relationships/image" Target="media/image29.emf"/><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emf"/><Relationship Id="rId28" Type="http://schemas.openxmlformats.org/officeDocument/2006/relationships/image" Target="media/image20.emf"/><Relationship Id="rId36" Type="http://schemas.openxmlformats.org/officeDocument/2006/relationships/image" Target="media/image28.emf"/><Relationship Id="rId10" Type="http://schemas.openxmlformats.org/officeDocument/2006/relationships/image" Target="media/image2.jpeg"/><Relationship Id="rId19" Type="http://schemas.openxmlformats.org/officeDocument/2006/relationships/image" Target="media/image11.emf"/><Relationship Id="rId31" Type="http://schemas.openxmlformats.org/officeDocument/2006/relationships/image" Target="media/image23.emf"/><Relationship Id="rId4" Type="http://schemas.openxmlformats.org/officeDocument/2006/relationships/webSettings" Target="webSettings.xml"/><Relationship Id="rId9" Type="http://schemas.openxmlformats.org/officeDocument/2006/relationships/hyperlink" Target="http://nl.wikipedia.org/w/index.php?title=Evenwichtsstrategie&amp;action=edit&amp;redlink=1" TargetMode="External"/><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emf"/><Relationship Id="rId35" Type="http://schemas.openxmlformats.org/officeDocument/2006/relationships/image" Target="media/image27.emf"/></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ANP15</b:Tag>
    <b:SourceType>InternetSite</b:SourceType>
    <b:Guid>{DE00C9F0-7617-413B-A6DA-F8A3F146BE6B}</b:Guid>
    <b:LCID>0</b:LCID>
    <b:Author>
      <b:Author>
        <b:NameList>
          <b:Person>
            <b:Last>ANP</b:Last>
          </b:Person>
        </b:NameList>
      </b:Author>
    </b:Author>
    <b:Title>Vertrouwen in medemens neemt toe</b:Title>
    <b:Year>2015</b:Year>
    <b:InternetSiteTitle>NU.nl</b:InternetSiteTitle>
    <b:Month>Mei</b:Month>
    <b:Day>5</b:Day>
    <b:URL>http://www.nu.nl/binnenland/2712353/vertrouwen-in-medemens-neemt-toe.html</b:URL>
    <b:RefOrder>2</b:RefOrder>
  </b:Source>
  <b:Source>
    <b:Tag>Gum</b:Tag>
    <b:SourceType>BookSection</b:SourceType>
    <b:Guid>{A7C09BAA-59B6-45D4-83EF-0A2F665E61C4}</b:Guid>
    <b:LCID>0</b:LCID>
    <b:Author>
      <b:Author>
        <b:NameList>
          <b:Person>
            <b:Last>Gummerum</b:Last>
            <b:First>M</b:First>
          </b:Person>
          <b:Person>
            <b:Last>Hanoch</b:Last>
            <b:First>Y</b:First>
          </b:Person>
          <b:Person>
            <b:Last>Keller</b:Last>
            <b:First>M</b:First>
          </b:Person>
        </b:NameList>
      </b:Author>
    </b:Author>
    <b:Title>When child development meets economic game theory: An interdisceplenary approach to investigating social development</b:Title>
    <b:Pages>235-361</b:Pages>
    <b:RefOrder>3</b:RefOrder>
  </b:Source>
  <b:Source>
    <b:Tag>Feh00</b:Tag>
    <b:SourceType>BookSection</b:SourceType>
    <b:Guid>{EF0A6CDE-A083-4CBA-86FA-4506DBEB3A06}</b:Guid>
    <b:LCID>0</b:LCID>
    <b:Author>
      <b:Author>
        <b:NameList>
          <b:Person>
            <b:Last>Fehr</b:Last>
            <b:First>E</b:First>
          </b:Person>
          <b:Person>
            <b:Last>Gatcher</b:Last>
            <b:First>S</b:First>
          </b:Person>
        </b:NameList>
      </b:Author>
      <b:BookAuthor>
        <b:NameList>
          <b:Person>
            <b:Last>Fehr</b:Last>
            <b:First>E</b:First>
          </b:Person>
          <b:Person>
            <b:Last>Gatcher</b:Last>
            <b:First>S</b:First>
          </b:Person>
        </b:NameList>
      </b:BookAuthor>
    </b:Author>
    <b:Title>Fairness and Retaliation: The economics of Reciprocity</b:Title>
    <b:BookTitle>The Journal of Economic Perspectives</b:BookTitle>
    <b:Year>2000</b:Year>
    <b:Pages>159-181</b:Pages>
    <b:RefOrder>4</b:RefOrder>
  </b:Source>
  <b:Source>
    <b:Tag>Sut03</b:Tag>
    <b:SourceType>BookSection</b:SourceType>
    <b:Guid>{B086D0D5-9542-4C92-9BBE-B974AB34FEE9}</b:Guid>
    <b:LCID>0</b:LCID>
    <b:Author>
      <b:Author>
        <b:NameList>
          <b:Person>
            <b:Last>Sutter</b:Last>
            <b:First>Mathhias</b:First>
          </b:Person>
          <b:Person>
            <b:Last>Kocher</b:Last>
            <b:First>Martin</b:First>
            <b:Middle>G</b:Middle>
          </b:Person>
        </b:NameList>
      </b:Author>
      <b:BookAuthor>
        <b:NameList>
          <b:Person>
            <b:Last>Sutter</b:Last>
            <b:First>Mathhias</b:First>
          </b:Person>
          <b:Person>
            <b:Last>Kocher</b:Last>
            <b:First>Martin</b:First>
            <b:Middle>G</b:Middle>
          </b:Person>
        </b:NameList>
      </b:BookAuthor>
    </b:Author>
    <b:Title>The development of trust and reciprocity</b:Title>
    <b:Year>2003</b:Year>
    <b:Publisher>University of Innsbruck</b:Publisher>
    <b:RefOrder>1</b:RefOrder>
  </b:Source>
  <b:Source>
    <b:Tag>Red15</b:Tag>
    <b:SourceType>InternetSite</b:SourceType>
    <b:Guid>{41022360-648F-4C5A-9BCC-F3BA08136D23}</b:Guid>
    <b:LCID>0</b:LCID>
    <b:Author>
      <b:Author>
        <b:NameList>
          <b:Person>
            <b:Last>Gezondheidsnet</b:Last>
            <b:First>Redactie</b:First>
          </b:Person>
        </b:NameList>
      </b:Author>
    </b:Author>
    <b:Title>Vertrouwen neemt toe met de leeftijd</b:Title>
    <b:Year>2015</b:Year>
    <b:InternetSiteTitle>Nu.nl</b:InternetSiteTitle>
    <b:Month>Maart</b:Month>
    <b:Day>30</b:Day>
    <b:URL>http://www.nu.nl/gezondheid/4021239/vertrouwen-neemt-toe-met-leeftijd.html</b:URL>
    <b:RefOrder>5</b:RefOrder>
  </b:Source>
  <b:Source>
    <b:Tag>Wil12</b:Tag>
    <b:SourceType>Book</b:SourceType>
    <b:Guid>{36BB7662-B4B4-4216-815D-66428A002179}</b:Guid>
    <b:LCID>0</b:LCID>
    <b:Author>
      <b:Author>
        <b:NameList>
          <b:Person>
            <b:Last>Wilkinson</b:Last>
            <b:First>Nick</b:First>
          </b:Person>
          <b:Person>
            <b:Last>Klaes</b:Last>
            <b:First>Matthias</b:First>
          </b:Person>
        </b:NameList>
      </b:Author>
    </b:Author>
    <b:Title>An introduction to behavioral economics</b:Title>
    <b:Year>2012</b:Year>
    <b:Publisher>Palgrave Macmillan</b:Publisher>
    <b:RefOrder>8</b:RefOrder>
  </b:Source>
  <b:Source>
    <b:Tag>Bec74</b:Tag>
    <b:SourceType>JournalArticle</b:SourceType>
    <b:Guid>{9BEE771C-AFF6-4B70-8614-A00C5D0478FC}</b:Guid>
    <b:LCID>0</b:LCID>
    <b:Author>
      <b:Author>
        <b:NameList>
          <b:Person>
            <b:Last>Becker</b:Last>
            <b:First>G</b:First>
          </b:Person>
        </b:NameList>
      </b:Author>
    </b:Author>
    <b:Title>A Theory of Social Interactions</b:Title>
    <b:Year>1974</b:Year>
    <b:JournalName>Journal of Political Economy</b:JournalName>
    <b:Pages>1063–1093</b:Pages>
    <b:RefOrder>9</b:RefOrder>
  </b:Source>
  <b:Source>
    <b:Tag>Ber95</b:Tag>
    <b:SourceType>BookSection</b:SourceType>
    <b:Guid>{F2E02AD6-7620-4BDF-AE96-38FE2D241226}</b:Guid>
    <b:LCID>0</b:LCID>
    <b:Author>
      <b:Author>
        <b:NameList>
          <b:Person>
            <b:Last>Berg</b:Last>
            <b:First>J</b:First>
          </b:Person>
          <b:Person>
            <b:Last>Dickhaut</b:Last>
            <b:First>J</b:First>
          </b:Person>
          <b:Person>
            <b:Last>McCabe</b:Last>
            <b:First>K</b:First>
          </b:Person>
        </b:NameList>
      </b:Author>
    </b:Author>
    <b:Title>Trust, Reciprocity, and Social History</b:Title>
    <b:BookTitle>Games and economic behavior</b:BookTitle>
    <b:Year>1995</b:Year>
    <b:Pages>122-142</b:Pages>
    <b:RefOrder>11</b:RefOrder>
  </b:Source>
  <b:Source>
    <b:Tag>Cro99</b:Tag>
    <b:SourceType>BookSection</b:SourceType>
    <b:Guid>{4F3AD938-F4CD-46ED-AE4F-C08FCF67680F}</b:Guid>
    <b:LCID>0</b:LCID>
    <b:Author>
      <b:Author>
        <b:NameList>
          <b:Person>
            <b:Last>Croson</b:Last>
            <b:First>R</b:First>
          </b:Person>
          <b:Person>
            <b:Last>Buchan</b:Last>
            <b:First>N</b:First>
          </b:Person>
        </b:NameList>
      </b:Author>
    </b:Author>
    <b:Title>Gender and culture: international experimental evidence from trust games</b:Title>
    <b:Year>1999</b:Year>
    <b:BookTitle>American economic review</b:BookTitle>
    <b:Pages>386-392</b:Pages>
    <b:RefOrder>15</b:RefOrder>
  </b:Source>
  <b:Source>
    <b:Tag>Osb94</b:Tag>
    <b:SourceType>Report</b:SourceType>
    <b:Guid>{6EDFED03-AF61-43FC-B26A-5B474C6AA2E9}</b:Guid>
    <b:LCID>0</b:LCID>
    <b:Author>
      <b:Author>
        <b:NameList>
          <b:Person>
            <b:Last>Osborne</b:Last>
            <b:First>Martin</b:First>
            <b:Middle>J. en Rubinstein, Ariel</b:Middle>
          </b:Person>
        </b:NameList>
      </b:Author>
    </b:Author>
    <b:Title>A Course in Game Theory</b:Title>
    <b:Year>1994</b:Year>
    <b:Publisher>MIT</b:Publisher>
    <b:City>Cambridge</b:City>
    <b:RefOrder>16</b:RefOrder>
  </b:Source>
  <b:Source>
    <b:Tag>Kre90</b:Tag>
    <b:SourceType>BookSection</b:SourceType>
    <b:Guid>{4A98B242-E49A-4E69-B697-60188F90062A}</b:Guid>
    <b:LCID>0</b:LCID>
    <b:Author>
      <b:Author>
        <b:NameList>
          <b:Person>
            <b:Last>Kreps</b:Last>
            <b:First>David</b:First>
          </b:Person>
        </b:NameList>
      </b:Author>
      <b:BookAuthor>
        <b:NameList>
          <b:Person>
            <b:Last>Kreps</b:Last>
            <b:First>David</b:First>
          </b:Person>
        </b:NameList>
      </b:BookAuthor>
    </b:Author>
    <b:Title>Corporate Culture and Economic Theory</b:Title>
    <b:Year>1990</b:Year>
    <b:Pages>90-143</b:Pages>
    <b:BookTitle>Perspectives on positive political economy</b:BookTitle>
    <b:City>Cambridge</b:City>
    <b:Publisher>Cambridge University Press</b:Publisher>
    <b:RefOrder>12</b:RefOrder>
  </b:Source>
  <b:Source>
    <b:Tag>Ros82</b:Tag>
    <b:SourceType>JournalArticle</b:SourceType>
    <b:Guid>{13658A1A-351B-43C0-9297-E86651534F0F}</b:Guid>
    <b:LCID>0</b:LCID>
    <b:Author>
      <b:Author>
        <b:NameList>
          <b:Person>
            <b:Last>Rosenthal</b:Last>
            <b:First>R</b:First>
          </b:Person>
        </b:NameList>
      </b:Author>
    </b:Author>
    <b:Title>Games of perfect information, predatory pricing, and the chain store paradox</b:Title>
    <b:Year>1982</b:Year>
    <b:JournalName>Journal of Economic theory</b:JournalName>
    <b:RefOrder>13</b:RefOrder>
  </b:Source>
  <b:Source>
    <b:Tag>Van93</b:Tag>
    <b:SourceType>JournalArticle</b:SourceType>
    <b:Guid>{D787BE53-1B50-40AD-9942-FE4B9549E947}</b:Guid>
    <b:LCID>0</b:LCID>
    <b:Author>
      <b:Author>
        <b:NameList>
          <b:Person>
            <b:Last>Van Huyck</b:Last>
            <b:First>John</b:First>
          </b:Person>
          <b:Person>
            <b:Last>Battalio</b:Last>
            <b:First>Raymond</b:First>
          </b:Person>
          <b:Person>
            <b:Last>Walters</b:Last>
            <b:First>Mary</b:First>
          </b:Person>
        </b:NameList>
      </b:Author>
    </b:Author>
    <b:Title>Commitment versus discretion in the peasant-dictator game</b:Title>
    <b:Year>1993</b:Year>
    <b:RefOrder>14</b:RefOrder>
  </b:Source>
  <b:Source>
    <b:Tag>Cor13</b:Tag>
    <b:SourceType>BookSection</b:SourceType>
    <b:Guid>{C7BF5CBB-F293-4746-8D62-0977F7CCE7B4}</b:Guid>
    <b:LCID>0</b:LCID>
    <b:Author>
      <b:Author>
        <b:NameList>
          <b:Person>
            <b:Last>Corra</b:Last>
            <b:First>Alex</b:First>
          </b:Person>
        </b:NameList>
      </b:Author>
      <b:BookAuthor>
        <b:NameList>
          <b:Person>
            <b:Last>Bosselaar</b:Last>
            <b:First>H</b:First>
          </b:Person>
          <b:Person>
            <b:Last>Vonk</b:Last>
            <b:First>G</b:First>
          </b:Person>
        </b:NameList>
      </b:BookAuthor>
    </b:Author>
    <b:Title>Sturen op wederkerigheid</b:Title>
    <b:Year>2013</b:Year>
    <b:Pages>65</b:Pages>
    <b:City>Den Haag</b:City>
    <b:Publisher>Boom juridische uitgevers</b:Publisher>
    <b:BookTitle>Bouwplaats lokale verzorgingsstaat</b:BookTitle>
    <b:RefOrder>17</b:RefOrder>
  </b:Source>
  <b:Source>
    <b:Tag>Ost03</b:Tag>
    <b:SourceType>Book</b:SourceType>
    <b:Guid>{987EF984-785A-4748-B422-DBDCE8F53196}</b:Guid>
    <b:LCID>0</b:LCID>
    <b:Author>
      <b:Author>
        <b:NameList>
          <b:Person>
            <b:Last>Ostrom</b:Last>
            <b:First>E</b:First>
          </b:Person>
          <b:Person>
            <b:Last>Walker</b:Last>
            <b:First>J</b:First>
          </b:Person>
        </b:NameList>
      </b:Author>
    </b:Author>
    <b:Title>Trust and Reciprocity</b:Title>
    <b:Year>2003</b:Year>
    <b:City>New York</b:City>
    <b:Publisher>Russell Sage Foundation</b:Publisher>
    <b:RefOrder>18</b:RefOrder>
  </b:Source>
  <b:Source>
    <b:Tag>Cam03</b:Tag>
    <b:SourceType>Book</b:SourceType>
    <b:Guid>{B4D52C2E-29F6-4555-877B-DB9485C6D9BE}</b:Guid>
    <b:LCID>0</b:LCID>
    <b:Author>
      <b:Author>
        <b:NameList>
          <b:Person>
            <b:Last>Camerer</b:Last>
            <b:First>C</b:First>
          </b:Person>
        </b:NameList>
      </b:Author>
    </b:Author>
    <b:Title>Behavioral Game Theory</b:Title>
    <b:Year>2003</b:Year>
    <b:City>Princeton</b:City>
    <b:Publisher>Princeton University Press</b:Publisher>
    <b:RefOrder>10</b:RefOrder>
  </b:Source>
  <b:Source>
    <b:Tag>Cas12</b:Tag>
    <b:SourceType>JournalArticle</b:SourceType>
    <b:Guid>{5286BFB1-7E57-4D38-94D0-49CFA2171BA7}</b:Guid>
    <b:LCID>0</b:LCID>
    <b:Author>
      <b:Author>
        <b:NameList>
          <b:Person>
            <b:Last>Castle</b:Last>
            <b:First>Elizabeth,</b:First>
            <b:Middle>et al</b:Middle>
          </b:Person>
        </b:NameList>
      </b:Author>
    </b:Author>
    <b:Title>Neural and behavioral bases of age differences in perceptions of trust</b:Title>
    <b:Year>2012</b:Year>
    <b:JournalName>Proceedings of the National Academy of Sciences</b:JournalName>
    <b:RefOrder>6</b:RefOrder>
  </b:Source>
  <b:Source>
    <b:Tag>Eri77</b:Tag>
    <b:SourceType>Book</b:SourceType>
    <b:Guid>{1692E687-392E-4923-A7B4-D7D231BBE5C5}</b:Guid>
    <b:LCID>0</b:LCID>
    <b:Author>
      <b:Author>
        <b:NameList>
          <b:Person>
            <b:Last>Erikson</b:Last>
            <b:First>Erik</b:First>
            <b:Middle>H</b:Middle>
          </b:Person>
        </b:NameList>
      </b:Author>
    </b:Author>
    <b:Title>Het kind en de samenleving</b:Title>
    <b:Year>1977</b:Year>
    <b:City>Utrecht</b:City>
    <b:Publisher>Het Spectrum</b:Publisher>
    <b:RefOrder>7</b:RefOrder>
  </b:Source>
  <b:Source>
    <b:Tag>Rey06</b:Tag>
    <b:SourceType>JournalArticle</b:SourceType>
    <b:Guid>{9F084072-A9FA-48E7-9D5E-7B1CFD223FCF}</b:Guid>
    <b:LCID>0</b:LCID>
    <b:Author>
      <b:Author>
        <b:NameList>
          <b:Person>
            <b:Last>Reyna</b:Last>
            <b:First>Valerie</b:First>
            <b:Middle>F.</b:Middle>
          </b:Person>
          <b:Person>
            <b:Last>Farley</b:Last>
            <b:First>F</b:First>
          </b:Person>
        </b:NameList>
      </b:Author>
    </b:Author>
    <b:Title>Current Theories of Risk and Rational Decision Making</b:Title>
    <b:Year>2006</b:Year>
    <b:JournalName>Psychological science in the public interest</b:JournalName>
    <b:Pages>1-3</b:Pages>
    <b:InternetSiteTitle>Association for psychological science</b:InternetSiteTitle>
    <b:URL>http://psychcentral.com/news/2006/11/15/why-adolescents-take-risks/408.html</b:URL>
    <b:RefOrder>19</b:RefOrder>
  </b:Source>
</b:Sources>
</file>

<file path=customXml/itemProps1.xml><?xml version="1.0" encoding="utf-8"?>
<ds:datastoreItem xmlns:ds="http://schemas.openxmlformats.org/officeDocument/2006/customXml" ds:itemID="{D20B9977-4489-4384-BCEC-4AF54EAAA2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35</Pages>
  <Words>7068</Words>
  <Characters>38874</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Jeroen</dc:creator>
  <cp:lastModifiedBy>Jeroen</cp:lastModifiedBy>
  <cp:revision>2</cp:revision>
  <cp:lastPrinted>2015-06-15T12:00:00Z</cp:lastPrinted>
  <dcterms:created xsi:type="dcterms:W3CDTF">2015-06-15T12:02:00Z</dcterms:created>
  <dcterms:modified xsi:type="dcterms:W3CDTF">2015-06-15T12:02:00Z</dcterms:modified>
</cp:coreProperties>
</file>