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word/charts/chart19.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31.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30.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87C" w:rsidRDefault="005B55D0" w:rsidP="004A1EFF">
      <w:pPr>
        <w:spacing w:line="240" w:lineRule="auto"/>
        <w:jc w:val="center"/>
        <w:rPr>
          <w:rFonts w:ascii="Times New Roman" w:hAnsi="Times New Roman" w:cs="Times New Roman"/>
          <w:sz w:val="24"/>
          <w:szCs w:val="24"/>
        </w:rPr>
      </w:pPr>
      <w:r>
        <w:rPr>
          <w:rFonts w:ascii="Times New Roman" w:hAnsi="Times New Roman" w:cs="Times New Roman"/>
          <w:sz w:val="24"/>
          <w:szCs w:val="24"/>
        </w:rPr>
        <w:t>Erasmus University Rotterdam</w:t>
      </w:r>
    </w:p>
    <w:p w:rsidR="005B55D0" w:rsidRDefault="005B55D0" w:rsidP="004A1EFF">
      <w:pPr>
        <w:spacing w:line="240" w:lineRule="auto"/>
        <w:jc w:val="center"/>
        <w:rPr>
          <w:rFonts w:ascii="Times New Roman" w:hAnsi="Times New Roman" w:cs="Times New Roman"/>
          <w:sz w:val="24"/>
          <w:szCs w:val="24"/>
        </w:rPr>
      </w:pPr>
      <w:r>
        <w:rPr>
          <w:rFonts w:ascii="Times New Roman" w:hAnsi="Times New Roman" w:cs="Times New Roman"/>
          <w:sz w:val="24"/>
          <w:szCs w:val="24"/>
        </w:rPr>
        <w:t>Erasmus School of Economics</w:t>
      </w:r>
    </w:p>
    <w:p w:rsidR="005B55D0" w:rsidRDefault="005B55D0" w:rsidP="004A1EFF">
      <w:pPr>
        <w:spacing w:line="240" w:lineRule="auto"/>
        <w:jc w:val="center"/>
        <w:rPr>
          <w:rFonts w:ascii="Times New Roman" w:hAnsi="Times New Roman" w:cs="Times New Roman"/>
          <w:sz w:val="24"/>
          <w:szCs w:val="24"/>
        </w:rPr>
      </w:pPr>
      <w:r>
        <w:rPr>
          <w:rFonts w:ascii="Times New Roman" w:hAnsi="Times New Roman" w:cs="Times New Roman"/>
          <w:sz w:val="24"/>
          <w:szCs w:val="24"/>
        </w:rPr>
        <w:t>Master Program: Policy Economics</w:t>
      </w:r>
    </w:p>
    <w:p w:rsidR="003554C3" w:rsidRDefault="003554C3" w:rsidP="004A1EFF">
      <w:pPr>
        <w:spacing w:line="240" w:lineRule="auto"/>
        <w:jc w:val="center"/>
        <w:rPr>
          <w:rFonts w:ascii="Times New Roman" w:hAnsi="Times New Roman" w:cs="Times New Roman"/>
          <w:sz w:val="24"/>
          <w:szCs w:val="24"/>
        </w:rPr>
      </w:pPr>
    </w:p>
    <w:p w:rsidR="003554C3" w:rsidRDefault="003554C3" w:rsidP="004A1EFF">
      <w:pPr>
        <w:spacing w:line="240" w:lineRule="auto"/>
        <w:jc w:val="center"/>
        <w:rPr>
          <w:rFonts w:ascii="Times New Roman" w:hAnsi="Times New Roman" w:cs="Times New Roman"/>
          <w:sz w:val="24"/>
          <w:szCs w:val="24"/>
        </w:rPr>
      </w:pPr>
    </w:p>
    <w:p w:rsidR="003554C3" w:rsidRDefault="003554C3" w:rsidP="004A1EFF">
      <w:pPr>
        <w:spacing w:line="240" w:lineRule="auto"/>
        <w:jc w:val="center"/>
        <w:rPr>
          <w:rFonts w:ascii="Times New Roman" w:hAnsi="Times New Roman" w:cs="Times New Roman"/>
          <w:sz w:val="24"/>
          <w:szCs w:val="24"/>
        </w:rPr>
      </w:pPr>
    </w:p>
    <w:p w:rsidR="005B55D0" w:rsidRDefault="005B55D0" w:rsidP="004A1EFF">
      <w:pPr>
        <w:spacing w:line="240" w:lineRule="auto"/>
        <w:jc w:val="center"/>
        <w:rPr>
          <w:rFonts w:ascii="Times New Roman" w:hAnsi="Times New Roman" w:cs="Times New Roman"/>
          <w:sz w:val="24"/>
          <w:szCs w:val="24"/>
        </w:rPr>
      </w:pPr>
    </w:p>
    <w:p w:rsidR="005B55D0" w:rsidRDefault="005B55D0" w:rsidP="004A1EFF">
      <w:pPr>
        <w:spacing w:line="240" w:lineRule="auto"/>
        <w:jc w:val="center"/>
        <w:rPr>
          <w:rFonts w:ascii="Times New Roman" w:hAnsi="Times New Roman" w:cs="Times New Roman"/>
          <w:sz w:val="24"/>
          <w:szCs w:val="24"/>
        </w:rPr>
      </w:pPr>
      <w:r>
        <w:rPr>
          <w:rFonts w:ascii="Times New Roman" w:hAnsi="Times New Roman" w:cs="Times New Roman"/>
          <w:sz w:val="24"/>
          <w:szCs w:val="24"/>
        </w:rPr>
        <w:t>Master Thesis for th</w:t>
      </w:r>
      <w:r w:rsidR="00426C14">
        <w:rPr>
          <w:rFonts w:ascii="Times New Roman" w:hAnsi="Times New Roman" w:cs="Times New Roman"/>
          <w:sz w:val="24"/>
          <w:szCs w:val="24"/>
        </w:rPr>
        <w:t>e completion of the Policy Economics Master</w:t>
      </w:r>
      <w:r>
        <w:rPr>
          <w:rFonts w:ascii="Times New Roman" w:hAnsi="Times New Roman" w:cs="Times New Roman"/>
          <w:sz w:val="24"/>
          <w:szCs w:val="24"/>
        </w:rPr>
        <w:t xml:space="preserve"> Program</w:t>
      </w:r>
    </w:p>
    <w:p w:rsidR="005B55D0" w:rsidRDefault="005B55D0" w:rsidP="004A1EFF">
      <w:pPr>
        <w:spacing w:line="240" w:lineRule="auto"/>
        <w:rPr>
          <w:rFonts w:ascii="Times New Roman" w:hAnsi="Times New Roman" w:cs="Times New Roman"/>
          <w:sz w:val="24"/>
          <w:szCs w:val="24"/>
        </w:rPr>
      </w:pPr>
    </w:p>
    <w:p w:rsidR="00462CC1" w:rsidRDefault="00462CC1" w:rsidP="004A1EFF">
      <w:pPr>
        <w:spacing w:line="240" w:lineRule="auto"/>
        <w:rPr>
          <w:rFonts w:ascii="Times New Roman" w:hAnsi="Times New Roman" w:cs="Times New Roman"/>
          <w:sz w:val="24"/>
          <w:szCs w:val="24"/>
        </w:rPr>
      </w:pPr>
    </w:p>
    <w:p w:rsidR="003554C3" w:rsidRDefault="003554C3" w:rsidP="004A1EFF">
      <w:pPr>
        <w:spacing w:line="240" w:lineRule="auto"/>
        <w:rPr>
          <w:rFonts w:ascii="Times New Roman" w:hAnsi="Times New Roman" w:cs="Times New Roman"/>
          <w:sz w:val="24"/>
          <w:szCs w:val="24"/>
        </w:rPr>
      </w:pPr>
    </w:p>
    <w:p w:rsidR="003554C3" w:rsidRDefault="003554C3" w:rsidP="004A1EFF">
      <w:pPr>
        <w:spacing w:line="240" w:lineRule="auto"/>
        <w:rPr>
          <w:rFonts w:ascii="Times New Roman" w:hAnsi="Times New Roman" w:cs="Times New Roman"/>
          <w:sz w:val="24"/>
          <w:szCs w:val="24"/>
        </w:rPr>
      </w:pPr>
    </w:p>
    <w:p w:rsidR="003554C3" w:rsidRDefault="003554C3" w:rsidP="004A1EFF">
      <w:pPr>
        <w:spacing w:line="240" w:lineRule="auto"/>
        <w:rPr>
          <w:rFonts w:ascii="Times New Roman" w:hAnsi="Times New Roman" w:cs="Times New Roman"/>
          <w:sz w:val="24"/>
          <w:szCs w:val="24"/>
        </w:rPr>
      </w:pPr>
    </w:p>
    <w:p w:rsidR="00462CC1" w:rsidRDefault="00462CC1" w:rsidP="004A1EFF">
      <w:pPr>
        <w:spacing w:line="240" w:lineRule="auto"/>
        <w:rPr>
          <w:rFonts w:ascii="Times New Roman" w:hAnsi="Times New Roman" w:cs="Times New Roman"/>
          <w:sz w:val="24"/>
          <w:szCs w:val="24"/>
        </w:rPr>
      </w:pPr>
    </w:p>
    <w:p w:rsidR="005B55D0" w:rsidRDefault="005B55D0" w:rsidP="004A1EFF">
      <w:pPr>
        <w:spacing w:line="240" w:lineRule="auto"/>
        <w:rPr>
          <w:rFonts w:ascii="Times New Roman" w:hAnsi="Times New Roman" w:cs="Times New Roman"/>
          <w:sz w:val="24"/>
          <w:szCs w:val="24"/>
        </w:rPr>
      </w:pPr>
      <w:r>
        <w:rPr>
          <w:rFonts w:ascii="Times New Roman" w:hAnsi="Times New Roman" w:cs="Times New Roman"/>
          <w:sz w:val="24"/>
          <w:szCs w:val="24"/>
        </w:rPr>
        <w:t>Student Name: Periklis Revelos,</w:t>
      </w:r>
    </w:p>
    <w:p w:rsidR="005B55D0" w:rsidRDefault="00872C67" w:rsidP="004A1EFF">
      <w:pPr>
        <w:spacing w:line="240" w:lineRule="auto"/>
        <w:rPr>
          <w:rFonts w:ascii="Times New Roman" w:hAnsi="Times New Roman" w:cs="Times New Roman"/>
          <w:sz w:val="24"/>
          <w:szCs w:val="24"/>
        </w:rPr>
      </w:pPr>
      <w:r>
        <w:rPr>
          <w:rFonts w:ascii="Times New Roman" w:hAnsi="Times New Roman" w:cs="Times New Roman"/>
          <w:sz w:val="24"/>
          <w:szCs w:val="24"/>
        </w:rPr>
        <w:t xml:space="preserve">Student </w:t>
      </w:r>
      <w:r w:rsidR="005B55D0">
        <w:rPr>
          <w:rFonts w:ascii="Times New Roman" w:hAnsi="Times New Roman" w:cs="Times New Roman"/>
          <w:sz w:val="24"/>
          <w:szCs w:val="24"/>
        </w:rPr>
        <w:t>Number: 373218</w:t>
      </w:r>
    </w:p>
    <w:p w:rsidR="003554C3" w:rsidRDefault="003554C3" w:rsidP="004A1EFF">
      <w:pPr>
        <w:spacing w:line="240" w:lineRule="auto"/>
        <w:rPr>
          <w:rFonts w:ascii="Times New Roman" w:hAnsi="Times New Roman" w:cs="Times New Roman"/>
          <w:sz w:val="24"/>
          <w:szCs w:val="24"/>
        </w:rPr>
      </w:pPr>
      <w:proofErr w:type="gramStart"/>
      <w:r>
        <w:rPr>
          <w:rFonts w:ascii="Times New Roman" w:hAnsi="Times New Roman" w:cs="Times New Roman"/>
          <w:sz w:val="24"/>
          <w:szCs w:val="24"/>
        </w:rPr>
        <w:t>e-mail</w:t>
      </w:r>
      <w:proofErr w:type="gramEnd"/>
      <w:r>
        <w:rPr>
          <w:rFonts w:ascii="Times New Roman" w:hAnsi="Times New Roman" w:cs="Times New Roman"/>
          <w:sz w:val="24"/>
          <w:szCs w:val="24"/>
        </w:rPr>
        <w:t xml:space="preserve">: </w:t>
      </w:r>
      <w:hyperlink r:id="rId8" w:history="1">
        <w:r w:rsidRPr="00E16F5B">
          <w:rPr>
            <w:rStyle w:val="-"/>
            <w:rFonts w:ascii="Times New Roman" w:hAnsi="Times New Roman" w:cs="Times New Roman"/>
            <w:sz w:val="24"/>
            <w:szCs w:val="24"/>
          </w:rPr>
          <w:t>373218pr@student.eur.nl</w:t>
        </w:r>
      </w:hyperlink>
    </w:p>
    <w:p w:rsidR="003554C3" w:rsidRDefault="003554C3" w:rsidP="004A1EFF">
      <w:pPr>
        <w:spacing w:line="240" w:lineRule="auto"/>
        <w:rPr>
          <w:rFonts w:ascii="Times New Roman" w:hAnsi="Times New Roman" w:cs="Times New Roman"/>
          <w:sz w:val="24"/>
          <w:szCs w:val="24"/>
        </w:rPr>
      </w:pPr>
      <w:r>
        <w:rPr>
          <w:rFonts w:ascii="Times New Roman" w:hAnsi="Times New Roman" w:cs="Times New Roman"/>
          <w:sz w:val="24"/>
          <w:szCs w:val="24"/>
        </w:rPr>
        <w:t xml:space="preserve">Phone number: +31 645575967 </w:t>
      </w:r>
    </w:p>
    <w:p w:rsidR="00462CC1" w:rsidRDefault="00462CC1" w:rsidP="004A1EFF">
      <w:pPr>
        <w:spacing w:line="240" w:lineRule="auto"/>
        <w:rPr>
          <w:rFonts w:ascii="Times New Roman" w:hAnsi="Times New Roman" w:cs="Times New Roman"/>
          <w:sz w:val="24"/>
          <w:szCs w:val="24"/>
        </w:rPr>
      </w:pPr>
    </w:p>
    <w:p w:rsidR="005B55D0" w:rsidRDefault="005B55D0" w:rsidP="004A1EFF">
      <w:pPr>
        <w:spacing w:line="240" w:lineRule="auto"/>
        <w:rPr>
          <w:rFonts w:ascii="Times New Roman" w:hAnsi="Times New Roman" w:cs="Times New Roman"/>
          <w:sz w:val="24"/>
          <w:szCs w:val="24"/>
        </w:rPr>
      </w:pPr>
    </w:p>
    <w:p w:rsidR="005B55D0" w:rsidRDefault="005B55D0" w:rsidP="004A1EFF">
      <w:pPr>
        <w:spacing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w:t>
      </w:r>
      <w:r w:rsidRPr="00AC0576">
        <w:rPr>
          <w:rFonts w:ascii="Times New Roman" w:hAnsi="Times New Roman" w:cs="Times New Roman"/>
          <w:i/>
          <w:sz w:val="24"/>
          <w:szCs w:val="24"/>
        </w:rPr>
        <w:t xml:space="preserve">The validity of </w:t>
      </w:r>
      <w:proofErr w:type="spellStart"/>
      <w:r w:rsidRPr="00AC0576">
        <w:rPr>
          <w:rFonts w:ascii="Times New Roman" w:hAnsi="Times New Roman" w:cs="Times New Roman"/>
          <w:i/>
          <w:sz w:val="24"/>
          <w:szCs w:val="24"/>
        </w:rPr>
        <w:t>Ricardian</w:t>
      </w:r>
      <w:proofErr w:type="spellEnd"/>
      <w:r w:rsidRPr="00AC0576">
        <w:rPr>
          <w:rFonts w:ascii="Times New Roman" w:hAnsi="Times New Roman" w:cs="Times New Roman"/>
          <w:i/>
          <w:sz w:val="24"/>
          <w:szCs w:val="24"/>
        </w:rPr>
        <w:t xml:space="preserve"> Equivale</w:t>
      </w:r>
      <w:r w:rsidR="003554C3">
        <w:rPr>
          <w:rFonts w:ascii="Times New Roman" w:hAnsi="Times New Roman" w:cs="Times New Roman"/>
          <w:i/>
          <w:sz w:val="24"/>
          <w:szCs w:val="24"/>
        </w:rPr>
        <w:t>nce Hypothesis</w:t>
      </w:r>
      <w:r w:rsidR="00426C14" w:rsidRPr="00AC0576">
        <w:rPr>
          <w:rFonts w:ascii="Times New Roman" w:hAnsi="Times New Roman" w:cs="Times New Roman"/>
          <w:i/>
          <w:sz w:val="24"/>
          <w:szCs w:val="24"/>
        </w:rPr>
        <w:t>.</w:t>
      </w:r>
      <w:proofErr w:type="gramEnd"/>
      <w:r w:rsidR="00426C14" w:rsidRPr="00AC0576">
        <w:rPr>
          <w:rFonts w:ascii="Times New Roman" w:hAnsi="Times New Roman" w:cs="Times New Roman"/>
          <w:i/>
          <w:sz w:val="24"/>
          <w:szCs w:val="24"/>
        </w:rPr>
        <w:t xml:space="preserve"> A comparative</w:t>
      </w:r>
      <w:r w:rsidR="000E41EB" w:rsidRPr="00AC0576">
        <w:rPr>
          <w:rFonts w:ascii="Times New Roman" w:hAnsi="Times New Roman" w:cs="Times New Roman"/>
          <w:i/>
          <w:sz w:val="24"/>
          <w:szCs w:val="24"/>
        </w:rPr>
        <w:t xml:space="preserve"> analysis for</w:t>
      </w:r>
      <w:r w:rsidRPr="00AC0576">
        <w:rPr>
          <w:rFonts w:ascii="Times New Roman" w:hAnsi="Times New Roman" w:cs="Times New Roman"/>
          <w:i/>
          <w:sz w:val="24"/>
          <w:szCs w:val="24"/>
        </w:rPr>
        <w:t xml:space="preserve"> </w:t>
      </w:r>
      <w:r w:rsidR="003554C3">
        <w:rPr>
          <w:rFonts w:ascii="Times New Roman" w:hAnsi="Times New Roman" w:cs="Times New Roman"/>
          <w:i/>
          <w:sz w:val="24"/>
          <w:szCs w:val="24"/>
        </w:rPr>
        <w:t xml:space="preserve">the </w:t>
      </w:r>
      <w:r w:rsidRPr="00AC0576">
        <w:rPr>
          <w:rFonts w:ascii="Times New Roman" w:hAnsi="Times New Roman" w:cs="Times New Roman"/>
          <w:i/>
          <w:sz w:val="24"/>
          <w:szCs w:val="24"/>
        </w:rPr>
        <w:t>high and low government debt European Countries</w:t>
      </w:r>
      <w:r>
        <w:rPr>
          <w:rFonts w:ascii="Times New Roman" w:hAnsi="Times New Roman" w:cs="Times New Roman"/>
          <w:sz w:val="24"/>
          <w:szCs w:val="24"/>
        </w:rPr>
        <w:t>”</w:t>
      </w:r>
    </w:p>
    <w:p w:rsidR="005B55D0" w:rsidRDefault="005B55D0" w:rsidP="004A1EFF">
      <w:pPr>
        <w:spacing w:line="240" w:lineRule="auto"/>
        <w:jc w:val="center"/>
        <w:rPr>
          <w:rFonts w:ascii="Times New Roman" w:hAnsi="Times New Roman" w:cs="Times New Roman"/>
          <w:sz w:val="24"/>
          <w:szCs w:val="24"/>
        </w:rPr>
      </w:pPr>
    </w:p>
    <w:p w:rsidR="005B55D0" w:rsidRDefault="005B55D0" w:rsidP="004A1EFF">
      <w:pPr>
        <w:spacing w:line="240" w:lineRule="auto"/>
        <w:jc w:val="center"/>
        <w:rPr>
          <w:rFonts w:ascii="Times New Roman" w:hAnsi="Times New Roman" w:cs="Times New Roman"/>
          <w:sz w:val="24"/>
          <w:szCs w:val="24"/>
        </w:rPr>
      </w:pPr>
    </w:p>
    <w:p w:rsidR="005B55D0" w:rsidRDefault="005B55D0" w:rsidP="004A1EFF">
      <w:pPr>
        <w:spacing w:line="240" w:lineRule="auto"/>
        <w:jc w:val="center"/>
        <w:rPr>
          <w:rFonts w:ascii="Times New Roman" w:hAnsi="Times New Roman" w:cs="Times New Roman"/>
          <w:sz w:val="24"/>
          <w:szCs w:val="24"/>
        </w:rPr>
      </w:pPr>
    </w:p>
    <w:p w:rsidR="005B55D0" w:rsidRDefault="005B55D0" w:rsidP="004A1EFF">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Supervisor: </w:t>
      </w:r>
      <w:r w:rsidR="002631D6">
        <w:rPr>
          <w:rFonts w:ascii="Times New Roman" w:hAnsi="Times New Roman" w:cs="Times New Roman"/>
          <w:sz w:val="24"/>
          <w:szCs w:val="24"/>
        </w:rPr>
        <w:t xml:space="preserve">Professor </w:t>
      </w:r>
      <w:r>
        <w:rPr>
          <w:rFonts w:ascii="Times New Roman" w:hAnsi="Times New Roman" w:cs="Times New Roman"/>
          <w:sz w:val="24"/>
          <w:szCs w:val="24"/>
        </w:rPr>
        <w:t>Mr. Casper De Vries</w:t>
      </w:r>
    </w:p>
    <w:p w:rsidR="005B55D0" w:rsidRDefault="005B55D0" w:rsidP="004A1EFF">
      <w:pPr>
        <w:spacing w:line="240" w:lineRule="auto"/>
        <w:rPr>
          <w:rFonts w:ascii="Times New Roman" w:hAnsi="Times New Roman" w:cs="Times New Roman"/>
          <w:sz w:val="24"/>
          <w:szCs w:val="24"/>
        </w:rPr>
      </w:pPr>
      <w:r>
        <w:rPr>
          <w:rFonts w:ascii="Times New Roman" w:hAnsi="Times New Roman" w:cs="Times New Roman"/>
          <w:sz w:val="24"/>
          <w:szCs w:val="24"/>
        </w:rPr>
        <w:br w:type="page"/>
      </w:r>
    </w:p>
    <w:p w:rsidR="005B55D0" w:rsidRDefault="005B55D0" w:rsidP="004A1EFF">
      <w:pPr>
        <w:spacing w:line="240" w:lineRule="auto"/>
        <w:jc w:val="center"/>
        <w:rPr>
          <w:rFonts w:ascii="Times New Roman" w:hAnsi="Times New Roman" w:cs="Times New Roman"/>
          <w:i/>
          <w:sz w:val="28"/>
          <w:szCs w:val="28"/>
        </w:rPr>
      </w:pPr>
      <w:proofErr w:type="gramStart"/>
      <w:r w:rsidRPr="00426C14">
        <w:rPr>
          <w:rFonts w:ascii="Times New Roman" w:hAnsi="Times New Roman" w:cs="Times New Roman"/>
          <w:i/>
          <w:sz w:val="28"/>
          <w:szCs w:val="28"/>
        </w:rPr>
        <w:lastRenderedPageBreak/>
        <w:t xml:space="preserve">“The Validity of </w:t>
      </w:r>
      <w:proofErr w:type="spellStart"/>
      <w:r w:rsidRPr="00426C14">
        <w:rPr>
          <w:rFonts w:ascii="Times New Roman" w:hAnsi="Times New Roman" w:cs="Times New Roman"/>
          <w:i/>
          <w:sz w:val="28"/>
          <w:szCs w:val="28"/>
        </w:rPr>
        <w:t>Ricardian</w:t>
      </w:r>
      <w:proofErr w:type="spellEnd"/>
      <w:r w:rsidRPr="00426C14">
        <w:rPr>
          <w:rFonts w:ascii="Times New Roman" w:hAnsi="Times New Roman" w:cs="Times New Roman"/>
          <w:i/>
          <w:sz w:val="28"/>
          <w:szCs w:val="28"/>
        </w:rPr>
        <w:t xml:space="preserve"> Equivalence</w:t>
      </w:r>
      <w:r w:rsidR="008A7C5D">
        <w:rPr>
          <w:rFonts w:ascii="Times New Roman" w:hAnsi="Times New Roman" w:cs="Times New Roman"/>
          <w:i/>
          <w:sz w:val="28"/>
          <w:szCs w:val="28"/>
        </w:rPr>
        <w:t xml:space="preserve"> Hypothesis</w:t>
      </w:r>
      <w:r w:rsidR="00426C14">
        <w:rPr>
          <w:rFonts w:ascii="Times New Roman" w:hAnsi="Times New Roman" w:cs="Times New Roman"/>
          <w:i/>
          <w:sz w:val="28"/>
          <w:szCs w:val="28"/>
        </w:rPr>
        <w:t>.</w:t>
      </w:r>
      <w:proofErr w:type="gramEnd"/>
      <w:r w:rsidR="00426C14">
        <w:rPr>
          <w:rFonts w:ascii="Times New Roman" w:hAnsi="Times New Roman" w:cs="Times New Roman"/>
          <w:i/>
          <w:sz w:val="28"/>
          <w:szCs w:val="28"/>
        </w:rPr>
        <w:t xml:space="preserve"> A</w:t>
      </w:r>
      <w:r w:rsidRPr="00426C14">
        <w:rPr>
          <w:rFonts w:ascii="Times New Roman" w:hAnsi="Times New Roman" w:cs="Times New Roman"/>
          <w:i/>
          <w:sz w:val="28"/>
          <w:szCs w:val="28"/>
        </w:rPr>
        <w:t xml:space="preserve"> </w:t>
      </w:r>
      <w:r w:rsidR="00426C14">
        <w:rPr>
          <w:rFonts w:ascii="Times New Roman" w:hAnsi="Times New Roman" w:cs="Times New Roman"/>
          <w:i/>
          <w:sz w:val="28"/>
          <w:szCs w:val="28"/>
        </w:rPr>
        <w:t xml:space="preserve">comparative </w:t>
      </w:r>
      <w:r w:rsidRPr="00426C14">
        <w:rPr>
          <w:rFonts w:ascii="Times New Roman" w:hAnsi="Times New Roman" w:cs="Times New Roman"/>
          <w:i/>
          <w:sz w:val="28"/>
          <w:szCs w:val="28"/>
        </w:rPr>
        <w:t xml:space="preserve">Analysis for </w:t>
      </w:r>
      <w:r w:rsidR="000E41EB" w:rsidRPr="00426C14">
        <w:rPr>
          <w:rFonts w:ascii="Times New Roman" w:hAnsi="Times New Roman" w:cs="Times New Roman"/>
          <w:i/>
          <w:sz w:val="28"/>
          <w:szCs w:val="28"/>
        </w:rPr>
        <w:t>high and low government debt European countries</w:t>
      </w:r>
      <w:r w:rsidRPr="00426C14">
        <w:rPr>
          <w:rFonts w:ascii="Times New Roman" w:hAnsi="Times New Roman" w:cs="Times New Roman"/>
          <w:i/>
          <w:sz w:val="28"/>
          <w:szCs w:val="28"/>
        </w:rPr>
        <w:t>”</w:t>
      </w:r>
    </w:p>
    <w:p w:rsidR="00593379" w:rsidRDefault="008A7C5D" w:rsidP="00593379">
      <w:pPr>
        <w:spacing w:line="240" w:lineRule="auto"/>
        <w:jc w:val="center"/>
        <w:rPr>
          <w:rFonts w:ascii="Times New Roman" w:hAnsi="Times New Roman" w:cs="Times New Roman"/>
          <w:b/>
          <w:i/>
          <w:sz w:val="28"/>
          <w:szCs w:val="28"/>
        </w:rPr>
      </w:pPr>
      <w:r w:rsidRPr="008A7C5D">
        <w:rPr>
          <w:rFonts w:ascii="Times New Roman" w:hAnsi="Times New Roman" w:cs="Times New Roman"/>
          <w:b/>
          <w:i/>
          <w:sz w:val="28"/>
          <w:szCs w:val="28"/>
        </w:rPr>
        <w:t>Abstract:</w:t>
      </w:r>
    </w:p>
    <w:p w:rsidR="008A7C5D" w:rsidRPr="00B467BE" w:rsidRDefault="00B51229" w:rsidP="00B467BE">
      <w:pPr>
        <w:spacing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Having theoretically approached the </w:t>
      </w:r>
      <w:proofErr w:type="spellStart"/>
      <w:r>
        <w:rPr>
          <w:rFonts w:ascii="Times New Roman" w:hAnsi="Times New Roman" w:cs="Times New Roman"/>
          <w:i/>
          <w:sz w:val="24"/>
          <w:szCs w:val="24"/>
        </w:rPr>
        <w:t>Ricardian</w:t>
      </w:r>
      <w:proofErr w:type="spellEnd"/>
      <w:r>
        <w:rPr>
          <w:rFonts w:ascii="Times New Roman" w:hAnsi="Times New Roman" w:cs="Times New Roman"/>
          <w:i/>
          <w:sz w:val="24"/>
          <w:szCs w:val="24"/>
        </w:rPr>
        <w:t xml:space="preserve"> Equivalence Hypothesis analyzing the underlying assumptions</w:t>
      </w:r>
      <w:r w:rsidR="009F23EC">
        <w:rPr>
          <w:rFonts w:ascii="Times New Roman" w:hAnsi="Times New Roman" w:cs="Times New Roman"/>
          <w:i/>
          <w:sz w:val="24"/>
          <w:szCs w:val="24"/>
        </w:rPr>
        <w:t xml:space="preserve"> and</w:t>
      </w:r>
      <w:r>
        <w:rPr>
          <w:rFonts w:ascii="Times New Roman" w:hAnsi="Times New Roman" w:cs="Times New Roman"/>
          <w:i/>
          <w:sz w:val="24"/>
          <w:szCs w:val="24"/>
        </w:rPr>
        <w:t xml:space="preserve"> the proposed estimation approaches and having reviewed the </w:t>
      </w:r>
      <w:r w:rsidR="009F23EC">
        <w:rPr>
          <w:rFonts w:ascii="Times New Roman" w:hAnsi="Times New Roman" w:cs="Times New Roman"/>
          <w:i/>
          <w:sz w:val="24"/>
          <w:szCs w:val="24"/>
        </w:rPr>
        <w:t xml:space="preserve">relative </w:t>
      </w:r>
      <w:r>
        <w:rPr>
          <w:rFonts w:ascii="Times New Roman" w:hAnsi="Times New Roman" w:cs="Times New Roman"/>
          <w:i/>
          <w:sz w:val="24"/>
          <w:szCs w:val="24"/>
        </w:rPr>
        <w:t>existing literature we used</w:t>
      </w:r>
      <w:r w:rsidR="00593379" w:rsidRPr="00593379">
        <w:rPr>
          <w:rFonts w:ascii="Times New Roman" w:hAnsi="Times New Roman" w:cs="Times New Roman"/>
          <w:i/>
          <w:sz w:val="24"/>
          <w:szCs w:val="24"/>
        </w:rPr>
        <w:t xml:space="preserve"> the long run consumption function developed by </w:t>
      </w:r>
      <w:proofErr w:type="spellStart"/>
      <w:r w:rsidR="00593379" w:rsidRPr="00593379">
        <w:rPr>
          <w:rFonts w:ascii="Times New Roman" w:hAnsi="Times New Roman" w:cs="Times New Roman"/>
          <w:i/>
          <w:sz w:val="24"/>
          <w:szCs w:val="24"/>
        </w:rPr>
        <w:t>Berben</w:t>
      </w:r>
      <w:proofErr w:type="spellEnd"/>
      <w:r w:rsidR="00593379" w:rsidRPr="00593379">
        <w:rPr>
          <w:rFonts w:ascii="Times New Roman" w:hAnsi="Times New Roman" w:cs="Times New Roman"/>
          <w:i/>
          <w:sz w:val="24"/>
          <w:szCs w:val="24"/>
        </w:rPr>
        <w:t xml:space="preserve"> and </w:t>
      </w:r>
      <w:proofErr w:type="spellStart"/>
      <w:r w:rsidR="00593379" w:rsidRPr="00593379">
        <w:rPr>
          <w:rFonts w:ascii="Times New Roman" w:hAnsi="Times New Roman" w:cs="Times New Roman"/>
          <w:i/>
          <w:sz w:val="24"/>
          <w:szCs w:val="24"/>
        </w:rPr>
        <w:t>Brosens</w:t>
      </w:r>
      <w:proofErr w:type="spellEnd"/>
      <w:r w:rsidR="00593379" w:rsidRPr="00593379">
        <w:rPr>
          <w:rFonts w:ascii="Times New Roman" w:hAnsi="Times New Roman" w:cs="Times New Roman"/>
          <w:i/>
          <w:sz w:val="24"/>
          <w:szCs w:val="24"/>
        </w:rPr>
        <w:t xml:space="preserve"> (2007</w:t>
      </w:r>
      <w:r>
        <w:rPr>
          <w:rFonts w:ascii="Times New Roman" w:hAnsi="Times New Roman" w:cs="Times New Roman"/>
          <w:i/>
          <w:sz w:val="24"/>
          <w:szCs w:val="24"/>
        </w:rPr>
        <w:t xml:space="preserve">) in order to investigate the impact of government debt on private consumption </w:t>
      </w:r>
      <w:r w:rsidR="009F23EC">
        <w:rPr>
          <w:rFonts w:ascii="Times New Roman" w:hAnsi="Times New Roman" w:cs="Times New Roman"/>
          <w:i/>
          <w:sz w:val="24"/>
          <w:szCs w:val="24"/>
        </w:rPr>
        <w:t xml:space="preserve">and hence test the </w:t>
      </w:r>
      <w:proofErr w:type="spellStart"/>
      <w:r w:rsidR="009F23EC">
        <w:rPr>
          <w:rFonts w:ascii="Times New Roman" w:hAnsi="Times New Roman" w:cs="Times New Roman"/>
          <w:i/>
          <w:sz w:val="24"/>
          <w:szCs w:val="24"/>
        </w:rPr>
        <w:t>Ricardian</w:t>
      </w:r>
      <w:proofErr w:type="spellEnd"/>
      <w:r w:rsidR="009F23EC">
        <w:rPr>
          <w:rFonts w:ascii="Times New Roman" w:hAnsi="Times New Roman" w:cs="Times New Roman"/>
          <w:i/>
          <w:sz w:val="24"/>
          <w:szCs w:val="24"/>
        </w:rPr>
        <w:t xml:space="preserve"> Equivalence proposition </w:t>
      </w:r>
      <w:r>
        <w:rPr>
          <w:rFonts w:ascii="Times New Roman" w:hAnsi="Times New Roman" w:cs="Times New Roman"/>
          <w:i/>
          <w:sz w:val="24"/>
          <w:szCs w:val="24"/>
        </w:rPr>
        <w:t xml:space="preserve">for different levels of debt. </w:t>
      </w:r>
      <w:r w:rsidR="009F23EC">
        <w:rPr>
          <w:rFonts w:ascii="Times New Roman" w:hAnsi="Times New Roman" w:cs="Times New Roman"/>
          <w:i/>
          <w:sz w:val="24"/>
          <w:szCs w:val="24"/>
        </w:rPr>
        <w:t xml:space="preserve">In our analysis we studied both the long run and short run effects of public debt (incorporating </w:t>
      </w:r>
      <w:r w:rsidR="00B467BE">
        <w:rPr>
          <w:rFonts w:ascii="Times New Roman" w:hAnsi="Times New Roman" w:cs="Times New Roman"/>
          <w:i/>
          <w:sz w:val="24"/>
          <w:szCs w:val="24"/>
        </w:rPr>
        <w:t>the</w:t>
      </w:r>
      <w:r w:rsidR="009F23EC">
        <w:rPr>
          <w:rFonts w:ascii="Times New Roman" w:hAnsi="Times New Roman" w:cs="Times New Roman"/>
          <w:i/>
          <w:sz w:val="24"/>
          <w:szCs w:val="24"/>
        </w:rPr>
        <w:t xml:space="preserve"> consumption function in an ADRL model). According to our main results the </w:t>
      </w:r>
      <w:proofErr w:type="spellStart"/>
      <w:r w:rsidR="009F23EC">
        <w:rPr>
          <w:rFonts w:ascii="Times New Roman" w:hAnsi="Times New Roman" w:cs="Times New Roman"/>
          <w:i/>
          <w:sz w:val="24"/>
          <w:szCs w:val="24"/>
        </w:rPr>
        <w:t>Ricardian</w:t>
      </w:r>
      <w:proofErr w:type="spellEnd"/>
      <w:r w:rsidR="009F23EC">
        <w:rPr>
          <w:rFonts w:ascii="Times New Roman" w:hAnsi="Times New Roman" w:cs="Times New Roman"/>
          <w:i/>
          <w:sz w:val="24"/>
          <w:szCs w:val="24"/>
        </w:rPr>
        <w:t xml:space="preserve"> Equivalence Hypothesis was rejected both for </w:t>
      </w:r>
      <w:r w:rsidR="00B467BE">
        <w:rPr>
          <w:rFonts w:ascii="Times New Roman" w:hAnsi="Times New Roman" w:cs="Times New Roman"/>
          <w:i/>
          <w:sz w:val="24"/>
          <w:szCs w:val="24"/>
        </w:rPr>
        <w:t xml:space="preserve">the </w:t>
      </w:r>
      <w:r w:rsidR="009F23EC">
        <w:rPr>
          <w:rFonts w:ascii="Times New Roman" w:hAnsi="Times New Roman" w:cs="Times New Roman"/>
          <w:i/>
          <w:sz w:val="24"/>
          <w:szCs w:val="24"/>
        </w:rPr>
        <w:t xml:space="preserve">high and low indebted countries since the government debt coefficient was positive and statistically significant though less potent for the high debt countries. </w:t>
      </w:r>
      <w:r w:rsidR="00B467BE">
        <w:rPr>
          <w:rFonts w:ascii="Times New Roman" w:hAnsi="Times New Roman" w:cs="Times New Roman"/>
          <w:i/>
          <w:sz w:val="24"/>
          <w:szCs w:val="24"/>
        </w:rPr>
        <w:t xml:space="preserve">On the contrary, the short run effects results revealed that individuals especially in high debt countries obtain </w:t>
      </w:r>
      <w:proofErr w:type="spellStart"/>
      <w:r w:rsidR="00B467BE">
        <w:rPr>
          <w:rFonts w:ascii="Times New Roman" w:hAnsi="Times New Roman" w:cs="Times New Roman"/>
          <w:i/>
          <w:sz w:val="24"/>
          <w:szCs w:val="24"/>
        </w:rPr>
        <w:t>Ricardian</w:t>
      </w:r>
      <w:proofErr w:type="spellEnd"/>
      <w:r w:rsidR="00B467BE">
        <w:rPr>
          <w:rFonts w:ascii="Times New Roman" w:hAnsi="Times New Roman" w:cs="Times New Roman"/>
          <w:i/>
          <w:sz w:val="24"/>
          <w:szCs w:val="24"/>
        </w:rPr>
        <w:t xml:space="preserve"> characteristics.  </w:t>
      </w:r>
    </w:p>
    <w:p w:rsidR="000E41EB" w:rsidRPr="008A7C5D" w:rsidRDefault="000E41EB" w:rsidP="004A1EFF">
      <w:pPr>
        <w:spacing w:line="240" w:lineRule="auto"/>
        <w:rPr>
          <w:rFonts w:ascii="Times New Roman" w:hAnsi="Times New Roman" w:cs="Times New Roman"/>
          <w:sz w:val="24"/>
          <w:szCs w:val="24"/>
          <w:u w:val="single"/>
        </w:rPr>
      </w:pPr>
      <w:r w:rsidRPr="008A7C5D">
        <w:rPr>
          <w:rFonts w:ascii="Times New Roman" w:hAnsi="Times New Roman" w:cs="Times New Roman"/>
          <w:sz w:val="24"/>
          <w:szCs w:val="24"/>
          <w:u w:val="single"/>
        </w:rPr>
        <w:t>Introduction</w:t>
      </w:r>
      <w:r w:rsidR="008A7C5D" w:rsidRPr="008A7C5D">
        <w:rPr>
          <w:rFonts w:ascii="Times New Roman" w:hAnsi="Times New Roman" w:cs="Times New Roman"/>
          <w:sz w:val="24"/>
          <w:szCs w:val="24"/>
          <w:u w:val="single"/>
        </w:rPr>
        <w:t>:</w:t>
      </w:r>
    </w:p>
    <w:p w:rsidR="000E41EB" w:rsidRDefault="007D7B23"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The governments in regular</w:t>
      </w:r>
      <w:r w:rsidR="00E43728">
        <w:rPr>
          <w:rFonts w:ascii="Times New Roman" w:hAnsi="Times New Roman" w:cs="Times New Roman"/>
          <w:sz w:val="24"/>
          <w:szCs w:val="24"/>
        </w:rPr>
        <w:t xml:space="preserve"> times have two</w:t>
      </w:r>
      <w:r w:rsidR="000E41EB">
        <w:rPr>
          <w:rFonts w:ascii="Times New Roman" w:hAnsi="Times New Roman" w:cs="Times New Roman"/>
          <w:sz w:val="24"/>
          <w:szCs w:val="24"/>
        </w:rPr>
        <w:t xml:space="preserve"> </w:t>
      </w:r>
      <w:proofErr w:type="gramStart"/>
      <w:r>
        <w:rPr>
          <w:rFonts w:ascii="Times New Roman" w:hAnsi="Times New Roman" w:cs="Times New Roman"/>
          <w:sz w:val="24"/>
          <w:szCs w:val="24"/>
        </w:rPr>
        <w:t>kin</w:t>
      </w:r>
      <w:r w:rsidR="006E0394">
        <w:rPr>
          <w:rFonts w:ascii="Times New Roman" w:hAnsi="Times New Roman" w:cs="Times New Roman"/>
          <w:sz w:val="24"/>
          <w:szCs w:val="24"/>
        </w:rPr>
        <w:t>d</w:t>
      </w:r>
      <w:proofErr w:type="gramEnd"/>
      <w:r w:rsidR="006E0394">
        <w:rPr>
          <w:rFonts w:ascii="Times New Roman" w:hAnsi="Times New Roman" w:cs="Times New Roman"/>
          <w:sz w:val="24"/>
          <w:szCs w:val="24"/>
        </w:rPr>
        <w:t xml:space="preserve"> of policies </w:t>
      </w:r>
      <w:r>
        <w:rPr>
          <w:rFonts w:ascii="Times New Roman" w:hAnsi="Times New Roman" w:cs="Times New Roman"/>
          <w:sz w:val="24"/>
          <w:szCs w:val="24"/>
        </w:rPr>
        <w:t xml:space="preserve">in their disposal </w:t>
      </w:r>
      <w:r w:rsidR="006E0394">
        <w:rPr>
          <w:rFonts w:ascii="Times New Roman" w:hAnsi="Times New Roman" w:cs="Times New Roman"/>
          <w:sz w:val="24"/>
          <w:szCs w:val="24"/>
        </w:rPr>
        <w:t>in order to stabilize the</w:t>
      </w:r>
      <w:r w:rsidR="00E43728">
        <w:rPr>
          <w:rFonts w:ascii="Times New Roman" w:hAnsi="Times New Roman" w:cs="Times New Roman"/>
          <w:sz w:val="24"/>
          <w:szCs w:val="24"/>
        </w:rPr>
        <w:t>ir economies</w:t>
      </w:r>
      <w:r w:rsidR="006E0394">
        <w:rPr>
          <w:rFonts w:ascii="Times New Roman" w:hAnsi="Times New Roman" w:cs="Times New Roman"/>
          <w:sz w:val="24"/>
          <w:szCs w:val="24"/>
        </w:rPr>
        <w:t xml:space="preserve"> and to enhance growth. The first Policy is referring to the Fiscal and the second to the Monetary policy. The Fi</w:t>
      </w:r>
      <w:r w:rsidR="00E43728">
        <w:rPr>
          <w:rFonts w:ascii="Times New Roman" w:hAnsi="Times New Roman" w:cs="Times New Roman"/>
          <w:sz w:val="24"/>
          <w:szCs w:val="24"/>
        </w:rPr>
        <w:t>scal Policy involves the determination of</w:t>
      </w:r>
      <w:r w:rsidR="006E0394">
        <w:rPr>
          <w:rFonts w:ascii="Times New Roman" w:hAnsi="Times New Roman" w:cs="Times New Roman"/>
          <w:sz w:val="24"/>
          <w:szCs w:val="24"/>
        </w:rPr>
        <w:t xml:space="preserve"> taxes and government spending to affect the aggregate demand and </w:t>
      </w:r>
      <w:r w:rsidR="00E43728">
        <w:rPr>
          <w:rFonts w:ascii="Times New Roman" w:hAnsi="Times New Roman" w:cs="Times New Roman"/>
          <w:sz w:val="24"/>
          <w:szCs w:val="24"/>
        </w:rPr>
        <w:t xml:space="preserve">hence the </w:t>
      </w:r>
      <w:r w:rsidR="006E0394">
        <w:rPr>
          <w:rFonts w:ascii="Times New Roman" w:hAnsi="Times New Roman" w:cs="Times New Roman"/>
          <w:sz w:val="24"/>
          <w:szCs w:val="24"/>
        </w:rPr>
        <w:t>economic activity in the desirable way, while the M</w:t>
      </w:r>
      <w:r w:rsidR="00E43728">
        <w:rPr>
          <w:rFonts w:ascii="Times New Roman" w:hAnsi="Times New Roman" w:cs="Times New Roman"/>
          <w:sz w:val="24"/>
          <w:szCs w:val="24"/>
        </w:rPr>
        <w:t xml:space="preserve">onetary policy incorporates the </w:t>
      </w:r>
      <w:r w:rsidR="006E0394">
        <w:rPr>
          <w:rFonts w:ascii="Times New Roman" w:hAnsi="Times New Roman" w:cs="Times New Roman"/>
          <w:sz w:val="24"/>
          <w:szCs w:val="24"/>
        </w:rPr>
        <w:t xml:space="preserve">tools of money supply and </w:t>
      </w:r>
      <w:r>
        <w:rPr>
          <w:rFonts w:ascii="Times New Roman" w:hAnsi="Times New Roman" w:cs="Times New Roman"/>
          <w:sz w:val="24"/>
          <w:szCs w:val="24"/>
        </w:rPr>
        <w:t xml:space="preserve">either </w:t>
      </w:r>
      <w:r w:rsidR="006E0394">
        <w:rPr>
          <w:rFonts w:ascii="Times New Roman" w:hAnsi="Times New Roman" w:cs="Times New Roman"/>
          <w:sz w:val="24"/>
          <w:szCs w:val="24"/>
        </w:rPr>
        <w:t>the interest rate</w:t>
      </w:r>
      <w:r w:rsidR="00310460">
        <w:rPr>
          <w:rFonts w:ascii="Times New Roman" w:hAnsi="Times New Roman" w:cs="Times New Roman"/>
          <w:sz w:val="24"/>
          <w:szCs w:val="24"/>
        </w:rPr>
        <w:t xml:space="preserve"> or </w:t>
      </w:r>
      <w:r>
        <w:rPr>
          <w:rFonts w:ascii="Times New Roman" w:hAnsi="Times New Roman" w:cs="Times New Roman"/>
          <w:sz w:val="24"/>
          <w:szCs w:val="24"/>
        </w:rPr>
        <w:t>inflation</w:t>
      </w:r>
      <w:r w:rsidR="006E0394">
        <w:rPr>
          <w:rFonts w:ascii="Times New Roman" w:hAnsi="Times New Roman" w:cs="Times New Roman"/>
          <w:sz w:val="24"/>
          <w:szCs w:val="24"/>
        </w:rPr>
        <w:t xml:space="preserve"> targeting. </w:t>
      </w:r>
      <w:r w:rsidR="00E43728">
        <w:rPr>
          <w:rFonts w:ascii="Times New Roman" w:hAnsi="Times New Roman" w:cs="Times New Roman"/>
          <w:sz w:val="24"/>
          <w:szCs w:val="24"/>
        </w:rPr>
        <w:t>Though,</w:t>
      </w:r>
      <w:r w:rsidR="00F820D3">
        <w:rPr>
          <w:rFonts w:ascii="Times New Roman" w:hAnsi="Times New Roman" w:cs="Times New Roman"/>
          <w:sz w:val="24"/>
          <w:szCs w:val="24"/>
        </w:rPr>
        <w:t xml:space="preserve"> within the bo</w:t>
      </w:r>
      <w:r w:rsidR="00310460">
        <w:rPr>
          <w:rFonts w:ascii="Times New Roman" w:hAnsi="Times New Roman" w:cs="Times New Roman"/>
          <w:sz w:val="24"/>
          <w:szCs w:val="24"/>
        </w:rPr>
        <w:t>rders of a Monetary Union as in the case of</w:t>
      </w:r>
      <w:r w:rsidR="00F820D3">
        <w:rPr>
          <w:rFonts w:ascii="Times New Roman" w:hAnsi="Times New Roman" w:cs="Times New Roman"/>
          <w:sz w:val="24"/>
          <w:szCs w:val="24"/>
        </w:rPr>
        <w:t xml:space="preserve"> European Union, the states lose the control of the</w:t>
      </w:r>
      <w:r w:rsidR="00310460">
        <w:rPr>
          <w:rFonts w:ascii="Times New Roman" w:hAnsi="Times New Roman" w:cs="Times New Roman"/>
          <w:sz w:val="24"/>
          <w:szCs w:val="24"/>
        </w:rPr>
        <w:t>ir</w:t>
      </w:r>
      <w:r w:rsidR="00F820D3">
        <w:rPr>
          <w:rFonts w:ascii="Times New Roman" w:hAnsi="Times New Roman" w:cs="Times New Roman"/>
          <w:sz w:val="24"/>
          <w:szCs w:val="24"/>
        </w:rPr>
        <w:t xml:space="preserve"> Monetary Policy tools, since this kind of Policy is conducted by the central bank and in the case of the European Union </w:t>
      </w:r>
      <w:r w:rsidR="00310460">
        <w:rPr>
          <w:rFonts w:ascii="Times New Roman" w:hAnsi="Times New Roman" w:cs="Times New Roman"/>
          <w:sz w:val="24"/>
          <w:szCs w:val="24"/>
        </w:rPr>
        <w:t xml:space="preserve">by </w:t>
      </w:r>
      <w:r w:rsidR="00F820D3">
        <w:rPr>
          <w:rFonts w:ascii="Times New Roman" w:hAnsi="Times New Roman" w:cs="Times New Roman"/>
          <w:sz w:val="24"/>
          <w:szCs w:val="24"/>
        </w:rPr>
        <w:t xml:space="preserve">the European Central Bank (ECB). </w:t>
      </w:r>
    </w:p>
    <w:p w:rsidR="00D55924" w:rsidRDefault="00F820D3"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aim of this master thesis is to assess the impact </w:t>
      </w:r>
      <w:r w:rsidR="00961138">
        <w:rPr>
          <w:rFonts w:ascii="Times New Roman" w:hAnsi="Times New Roman" w:cs="Times New Roman"/>
          <w:sz w:val="24"/>
          <w:szCs w:val="24"/>
        </w:rPr>
        <w:t xml:space="preserve">of the government debt parameter on private consumption testing the validity of the </w:t>
      </w:r>
      <w:proofErr w:type="spellStart"/>
      <w:r w:rsidR="00961138">
        <w:rPr>
          <w:rFonts w:ascii="Times New Roman" w:hAnsi="Times New Roman" w:cs="Times New Roman"/>
          <w:sz w:val="24"/>
          <w:szCs w:val="24"/>
        </w:rPr>
        <w:t>Ricardian</w:t>
      </w:r>
      <w:proofErr w:type="spellEnd"/>
      <w:r w:rsidR="00961138">
        <w:rPr>
          <w:rFonts w:ascii="Times New Roman" w:hAnsi="Times New Roman" w:cs="Times New Roman"/>
          <w:sz w:val="24"/>
          <w:szCs w:val="24"/>
        </w:rPr>
        <w:t xml:space="preserve"> Equivalence proposition and hence indirectly the effectiveness of fiscal policy.</w:t>
      </w:r>
      <w:r w:rsidR="005E442B">
        <w:rPr>
          <w:rFonts w:ascii="Times New Roman" w:hAnsi="Times New Roman" w:cs="Times New Roman"/>
          <w:sz w:val="24"/>
          <w:szCs w:val="24"/>
        </w:rPr>
        <w:t xml:space="preserve"> Due to our panel data estimation approach we were able to test the effects for different levels of public debt classifying the major European countries in high and low </w:t>
      </w:r>
      <w:r w:rsidR="00310460">
        <w:rPr>
          <w:rFonts w:ascii="Times New Roman" w:hAnsi="Times New Roman" w:cs="Times New Roman"/>
          <w:sz w:val="24"/>
          <w:szCs w:val="24"/>
        </w:rPr>
        <w:t xml:space="preserve">public </w:t>
      </w:r>
      <w:r w:rsidR="005E442B">
        <w:rPr>
          <w:rFonts w:ascii="Times New Roman" w:hAnsi="Times New Roman" w:cs="Times New Roman"/>
          <w:sz w:val="24"/>
          <w:szCs w:val="24"/>
        </w:rPr>
        <w:t xml:space="preserve">debt </w:t>
      </w:r>
      <w:r w:rsidR="00C1053A">
        <w:rPr>
          <w:rFonts w:ascii="Times New Roman" w:hAnsi="Times New Roman" w:cs="Times New Roman"/>
          <w:sz w:val="24"/>
          <w:szCs w:val="24"/>
        </w:rPr>
        <w:t>economies</w:t>
      </w:r>
      <w:r w:rsidR="00C1053A">
        <w:rPr>
          <w:rStyle w:val="a8"/>
          <w:rFonts w:ascii="Times New Roman" w:hAnsi="Times New Roman" w:cs="Times New Roman"/>
          <w:sz w:val="24"/>
          <w:szCs w:val="24"/>
        </w:rPr>
        <w:footnoteReference w:id="1"/>
      </w:r>
      <w:r w:rsidR="00C1053A">
        <w:rPr>
          <w:rFonts w:ascii="Times New Roman" w:hAnsi="Times New Roman" w:cs="Times New Roman"/>
          <w:sz w:val="24"/>
          <w:szCs w:val="24"/>
        </w:rPr>
        <w:t xml:space="preserve">. </w:t>
      </w:r>
    </w:p>
    <w:p w:rsidR="00C1053A" w:rsidRDefault="00C1053A"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Lately and especially nowadays with the escalation of the problem regarding the Greek economy which sinks under the burden of its unsustainable public debt there is a growing interest for the government debt paramet</w:t>
      </w:r>
      <w:r w:rsidR="00D76224">
        <w:rPr>
          <w:rFonts w:ascii="Times New Roman" w:hAnsi="Times New Roman" w:cs="Times New Roman"/>
          <w:sz w:val="24"/>
          <w:szCs w:val="24"/>
        </w:rPr>
        <w:t>er in the Macroeconomic studies</w:t>
      </w:r>
      <w:r>
        <w:rPr>
          <w:rFonts w:ascii="Times New Roman" w:hAnsi="Times New Roman" w:cs="Times New Roman"/>
          <w:sz w:val="24"/>
          <w:szCs w:val="24"/>
        </w:rPr>
        <w:t xml:space="preserve">. Global financial institutions e.g. the IMF, Central Banks </w:t>
      </w:r>
      <w:r w:rsidR="00D76224">
        <w:rPr>
          <w:rFonts w:ascii="Times New Roman" w:hAnsi="Times New Roman" w:cs="Times New Roman"/>
          <w:sz w:val="24"/>
          <w:szCs w:val="24"/>
        </w:rPr>
        <w:t xml:space="preserve">and the Ministries of Finance all over the world incorporate in their analyses the government debt parameter focusing on its sustainability and its impact on the economic growth and on the effectiveness of the Fiscal and Policy Measures. </w:t>
      </w:r>
    </w:p>
    <w:p w:rsidR="00D76224" w:rsidRPr="008A7C5D" w:rsidRDefault="003615B5" w:rsidP="00310460">
      <w:pPr>
        <w:spacing w:line="240" w:lineRule="auto"/>
        <w:jc w:val="center"/>
        <w:rPr>
          <w:rFonts w:ascii="Times New Roman" w:hAnsi="Times New Roman" w:cs="Times New Roman"/>
          <w:b/>
          <w:sz w:val="24"/>
          <w:szCs w:val="24"/>
        </w:rPr>
      </w:pPr>
      <w:r w:rsidRPr="008A7C5D">
        <w:rPr>
          <w:rFonts w:ascii="Times New Roman" w:hAnsi="Times New Roman" w:cs="Times New Roman"/>
          <w:b/>
          <w:i/>
          <w:sz w:val="24"/>
          <w:szCs w:val="24"/>
        </w:rPr>
        <w:t>Master Thesis Outline</w:t>
      </w:r>
      <w:r w:rsidRPr="008A7C5D">
        <w:rPr>
          <w:rFonts w:ascii="Times New Roman" w:hAnsi="Times New Roman" w:cs="Times New Roman"/>
          <w:b/>
          <w:sz w:val="24"/>
          <w:szCs w:val="24"/>
        </w:rPr>
        <w:t>:</w:t>
      </w:r>
    </w:p>
    <w:p w:rsidR="003615B5" w:rsidRDefault="00FE3B4B"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In</w:t>
      </w:r>
      <w:r w:rsidR="003615B5">
        <w:rPr>
          <w:rFonts w:ascii="Times New Roman" w:hAnsi="Times New Roman" w:cs="Times New Roman"/>
          <w:sz w:val="24"/>
          <w:szCs w:val="24"/>
        </w:rPr>
        <w:t xml:space="preserve"> section one we define the </w:t>
      </w:r>
      <w:proofErr w:type="spellStart"/>
      <w:r w:rsidR="003615B5">
        <w:rPr>
          <w:rFonts w:ascii="Times New Roman" w:hAnsi="Times New Roman" w:cs="Times New Roman"/>
          <w:sz w:val="24"/>
          <w:szCs w:val="24"/>
        </w:rPr>
        <w:t>Ricardian</w:t>
      </w:r>
      <w:proofErr w:type="spellEnd"/>
      <w:r w:rsidR="003615B5">
        <w:rPr>
          <w:rFonts w:ascii="Times New Roman" w:hAnsi="Times New Roman" w:cs="Times New Roman"/>
          <w:sz w:val="24"/>
          <w:szCs w:val="24"/>
        </w:rPr>
        <w:t xml:space="preserve"> Equivalence Theorem while in the second</w:t>
      </w:r>
      <w:r>
        <w:rPr>
          <w:rFonts w:ascii="Times New Roman" w:hAnsi="Times New Roman" w:cs="Times New Roman"/>
          <w:sz w:val="24"/>
          <w:szCs w:val="24"/>
        </w:rPr>
        <w:t xml:space="preserve"> section we provide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result by David </w:t>
      </w:r>
      <w:proofErr w:type="spellStart"/>
      <w:r>
        <w:rPr>
          <w:rFonts w:ascii="Times New Roman" w:hAnsi="Times New Roman" w:cs="Times New Roman"/>
          <w:sz w:val="24"/>
          <w:szCs w:val="24"/>
        </w:rPr>
        <w:t>Romer</w:t>
      </w:r>
      <w:proofErr w:type="spellEnd"/>
      <w:r>
        <w:rPr>
          <w:rFonts w:ascii="Times New Roman" w:hAnsi="Times New Roman" w:cs="Times New Roman"/>
          <w:sz w:val="24"/>
          <w:szCs w:val="24"/>
        </w:rPr>
        <w:t xml:space="preserve">. </w:t>
      </w:r>
      <w:r w:rsidR="0032107D">
        <w:rPr>
          <w:rFonts w:ascii="Times New Roman" w:hAnsi="Times New Roman" w:cs="Times New Roman"/>
          <w:sz w:val="24"/>
          <w:szCs w:val="24"/>
        </w:rPr>
        <w:t>At</w:t>
      </w:r>
      <w:r w:rsidR="00606808">
        <w:rPr>
          <w:rFonts w:ascii="Times New Roman" w:hAnsi="Times New Roman" w:cs="Times New Roman"/>
          <w:sz w:val="24"/>
          <w:szCs w:val="24"/>
        </w:rPr>
        <w:t xml:space="preserve"> chapter</w:t>
      </w:r>
      <w:r w:rsidR="003615B5">
        <w:rPr>
          <w:rFonts w:ascii="Times New Roman" w:hAnsi="Times New Roman" w:cs="Times New Roman"/>
          <w:sz w:val="24"/>
          <w:szCs w:val="24"/>
        </w:rPr>
        <w:t xml:space="preserve"> three, four and </w:t>
      </w:r>
      <w:r>
        <w:rPr>
          <w:rFonts w:ascii="Times New Roman" w:hAnsi="Times New Roman" w:cs="Times New Roman"/>
          <w:sz w:val="24"/>
          <w:szCs w:val="24"/>
        </w:rPr>
        <w:t xml:space="preserve">five we </w:t>
      </w:r>
      <w:r>
        <w:rPr>
          <w:rFonts w:ascii="Times New Roman" w:hAnsi="Times New Roman" w:cs="Times New Roman"/>
          <w:sz w:val="24"/>
          <w:szCs w:val="24"/>
        </w:rPr>
        <w:lastRenderedPageBreak/>
        <w:t xml:space="preserve">analyze </w:t>
      </w:r>
      <w:r w:rsidR="003615B5">
        <w:rPr>
          <w:rFonts w:ascii="Times New Roman" w:hAnsi="Times New Roman" w:cs="Times New Roman"/>
          <w:sz w:val="24"/>
          <w:szCs w:val="24"/>
        </w:rPr>
        <w:t xml:space="preserve">the assumptions that ground the </w:t>
      </w:r>
      <w:proofErr w:type="spellStart"/>
      <w:r w:rsidR="003615B5">
        <w:rPr>
          <w:rFonts w:ascii="Times New Roman" w:hAnsi="Times New Roman" w:cs="Times New Roman"/>
          <w:sz w:val="24"/>
          <w:szCs w:val="24"/>
        </w:rPr>
        <w:t>Ricardian</w:t>
      </w:r>
      <w:proofErr w:type="spellEnd"/>
      <w:r w:rsidR="00E23645">
        <w:rPr>
          <w:rFonts w:ascii="Times New Roman" w:hAnsi="Times New Roman" w:cs="Times New Roman"/>
          <w:sz w:val="24"/>
          <w:szCs w:val="24"/>
        </w:rPr>
        <w:t xml:space="preserve"> Equivalence </w:t>
      </w:r>
      <w:proofErr w:type="gramStart"/>
      <w:r w:rsidR="00E23645">
        <w:rPr>
          <w:rFonts w:ascii="Times New Roman" w:hAnsi="Times New Roman" w:cs="Times New Roman"/>
          <w:sz w:val="24"/>
          <w:szCs w:val="24"/>
        </w:rPr>
        <w:t>Hypothesis,</w:t>
      </w:r>
      <w:proofErr w:type="gramEnd"/>
      <w:r w:rsidR="00E23645">
        <w:rPr>
          <w:rFonts w:ascii="Times New Roman" w:hAnsi="Times New Roman" w:cs="Times New Roman"/>
          <w:sz w:val="24"/>
          <w:szCs w:val="24"/>
        </w:rPr>
        <w:t xml:space="preserve"> </w:t>
      </w:r>
      <w:r>
        <w:rPr>
          <w:rFonts w:ascii="Times New Roman" w:hAnsi="Times New Roman" w:cs="Times New Roman"/>
          <w:sz w:val="24"/>
          <w:szCs w:val="24"/>
        </w:rPr>
        <w:t xml:space="preserve">we develop </w:t>
      </w:r>
      <w:r w:rsidR="00E23645">
        <w:rPr>
          <w:rFonts w:ascii="Times New Roman" w:hAnsi="Times New Roman" w:cs="Times New Roman"/>
          <w:sz w:val="24"/>
          <w:szCs w:val="24"/>
        </w:rPr>
        <w:t>the l</w:t>
      </w:r>
      <w:r w:rsidR="003615B5">
        <w:rPr>
          <w:rFonts w:ascii="Times New Roman" w:hAnsi="Times New Roman" w:cs="Times New Roman"/>
          <w:sz w:val="24"/>
          <w:szCs w:val="24"/>
        </w:rPr>
        <w:t xml:space="preserve">iterature review and </w:t>
      </w:r>
      <w:r w:rsidR="00E23645">
        <w:rPr>
          <w:rFonts w:ascii="Times New Roman" w:hAnsi="Times New Roman" w:cs="Times New Roman"/>
          <w:sz w:val="24"/>
          <w:szCs w:val="24"/>
        </w:rPr>
        <w:t xml:space="preserve">the </w:t>
      </w:r>
      <w:r w:rsidR="003615B5">
        <w:rPr>
          <w:rFonts w:ascii="Times New Roman" w:hAnsi="Times New Roman" w:cs="Times New Roman"/>
          <w:sz w:val="24"/>
          <w:szCs w:val="24"/>
        </w:rPr>
        <w:t>main approaches that have been suggested for tes</w:t>
      </w:r>
      <w:r>
        <w:rPr>
          <w:rFonts w:ascii="Times New Roman" w:hAnsi="Times New Roman" w:cs="Times New Roman"/>
          <w:sz w:val="24"/>
          <w:szCs w:val="24"/>
        </w:rPr>
        <w:t xml:space="preserve">ting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At section six we proceed</w:t>
      </w:r>
      <w:r w:rsidR="003615B5">
        <w:rPr>
          <w:rFonts w:ascii="Times New Roman" w:hAnsi="Times New Roman" w:cs="Times New Roman"/>
          <w:sz w:val="24"/>
          <w:szCs w:val="24"/>
        </w:rPr>
        <w:t xml:space="preserve"> with our preliminary testing based on the </w:t>
      </w:r>
      <w:r w:rsidR="00AC0576">
        <w:rPr>
          <w:rFonts w:ascii="Times New Roman" w:hAnsi="Times New Roman" w:cs="Times New Roman"/>
          <w:sz w:val="24"/>
          <w:szCs w:val="24"/>
        </w:rPr>
        <w:t>graphical and quantita</w:t>
      </w:r>
      <w:r>
        <w:rPr>
          <w:rFonts w:ascii="Times New Roman" w:hAnsi="Times New Roman" w:cs="Times New Roman"/>
          <w:sz w:val="24"/>
          <w:szCs w:val="24"/>
        </w:rPr>
        <w:t xml:space="preserve">tive analysis of the public, private and national </w:t>
      </w:r>
      <w:r w:rsidR="00AC0576">
        <w:rPr>
          <w:rFonts w:ascii="Times New Roman" w:hAnsi="Times New Roman" w:cs="Times New Roman"/>
          <w:sz w:val="24"/>
          <w:szCs w:val="24"/>
        </w:rPr>
        <w:t xml:space="preserve">savings, </w:t>
      </w:r>
      <w:r w:rsidR="00BC5370">
        <w:rPr>
          <w:rFonts w:ascii="Times New Roman" w:hAnsi="Times New Roman" w:cs="Times New Roman"/>
          <w:sz w:val="24"/>
          <w:szCs w:val="24"/>
        </w:rPr>
        <w:t xml:space="preserve">while </w:t>
      </w:r>
      <w:r w:rsidR="00AC0576">
        <w:rPr>
          <w:rFonts w:ascii="Times New Roman" w:hAnsi="Times New Roman" w:cs="Times New Roman"/>
          <w:sz w:val="24"/>
          <w:szCs w:val="24"/>
        </w:rPr>
        <w:t>at section seven we perform the main quan</w:t>
      </w:r>
      <w:r w:rsidR="0032107D">
        <w:rPr>
          <w:rFonts w:ascii="Times New Roman" w:hAnsi="Times New Roman" w:cs="Times New Roman"/>
          <w:sz w:val="24"/>
          <w:szCs w:val="24"/>
        </w:rPr>
        <w:t>titative analysis estimating our</w:t>
      </w:r>
      <w:r w:rsidR="00AC0576">
        <w:rPr>
          <w:rFonts w:ascii="Times New Roman" w:hAnsi="Times New Roman" w:cs="Times New Roman"/>
          <w:sz w:val="24"/>
          <w:szCs w:val="24"/>
        </w:rPr>
        <w:t xml:space="preserve"> consumption function both </w:t>
      </w:r>
      <w:r w:rsidR="0032107D">
        <w:rPr>
          <w:rFonts w:ascii="Times New Roman" w:hAnsi="Times New Roman" w:cs="Times New Roman"/>
          <w:sz w:val="24"/>
          <w:szCs w:val="24"/>
        </w:rPr>
        <w:t>individually for every country</w:t>
      </w:r>
      <w:r w:rsidR="00AC0576">
        <w:rPr>
          <w:rFonts w:ascii="Times New Roman" w:hAnsi="Times New Roman" w:cs="Times New Roman"/>
          <w:sz w:val="24"/>
          <w:szCs w:val="24"/>
        </w:rPr>
        <w:t xml:space="preserve"> and </w:t>
      </w:r>
      <w:r w:rsidR="0032107D">
        <w:rPr>
          <w:rFonts w:ascii="Times New Roman" w:hAnsi="Times New Roman" w:cs="Times New Roman"/>
          <w:sz w:val="24"/>
          <w:szCs w:val="24"/>
        </w:rPr>
        <w:t xml:space="preserve">also in aggregate level for different group of countries </w:t>
      </w:r>
      <w:r w:rsidR="00BC5370">
        <w:rPr>
          <w:rFonts w:ascii="Times New Roman" w:hAnsi="Times New Roman" w:cs="Times New Roman"/>
          <w:sz w:val="24"/>
          <w:szCs w:val="24"/>
        </w:rPr>
        <w:t xml:space="preserve">based on their debt level </w:t>
      </w:r>
      <w:r w:rsidR="00AC0576">
        <w:rPr>
          <w:rFonts w:ascii="Times New Roman" w:hAnsi="Times New Roman" w:cs="Times New Roman"/>
          <w:sz w:val="24"/>
          <w:szCs w:val="24"/>
        </w:rPr>
        <w:t xml:space="preserve">using panel </w:t>
      </w:r>
      <w:r w:rsidR="00BC5370">
        <w:rPr>
          <w:rFonts w:ascii="Times New Roman" w:hAnsi="Times New Roman" w:cs="Times New Roman"/>
          <w:sz w:val="24"/>
          <w:szCs w:val="24"/>
        </w:rPr>
        <w:t xml:space="preserve">estimation </w:t>
      </w:r>
      <w:r w:rsidR="00AC0576">
        <w:rPr>
          <w:rFonts w:ascii="Times New Roman" w:hAnsi="Times New Roman" w:cs="Times New Roman"/>
          <w:sz w:val="24"/>
          <w:szCs w:val="24"/>
        </w:rPr>
        <w:t>t</w:t>
      </w:r>
      <w:r w:rsidR="00BC5370">
        <w:rPr>
          <w:rFonts w:ascii="Times New Roman" w:hAnsi="Times New Roman" w:cs="Times New Roman"/>
          <w:sz w:val="24"/>
          <w:szCs w:val="24"/>
        </w:rPr>
        <w:t>echniques. Finally</w:t>
      </w:r>
      <w:r w:rsidR="00606808">
        <w:rPr>
          <w:rFonts w:ascii="Times New Roman" w:hAnsi="Times New Roman" w:cs="Times New Roman"/>
          <w:sz w:val="24"/>
          <w:szCs w:val="24"/>
        </w:rPr>
        <w:t>, chapter eight</w:t>
      </w:r>
      <w:r w:rsidR="00E62699">
        <w:rPr>
          <w:rFonts w:ascii="Times New Roman" w:hAnsi="Times New Roman" w:cs="Times New Roman"/>
          <w:sz w:val="24"/>
          <w:szCs w:val="24"/>
        </w:rPr>
        <w:t xml:space="preserve"> concludes, while s</w:t>
      </w:r>
      <w:r w:rsidR="0032107D">
        <w:rPr>
          <w:rFonts w:ascii="Times New Roman" w:hAnsi="Times New Roman" w:cs="Times New Roman"/>
          <w:sz w:val="24"/>
          <w:szCs w:val="24"/>
        </w:rPr>
        <w:t>ection</w:t>
      </w:r>
      <w:r w:rsidR="00E62699">
        <w:rPr>
          <w:rFonts w:ascii="Times New Roman" w:hAnsi="Times New Roman" w:cs="Times New Roman"/>
          <w:sz w:val="24"/>
          <w:szCs w:val="24"/>
        </w:rPr>
        <w:t xml:space="preserve">s nine and ten comprise the references and </w:t>
      </w:r>
      <w:r w:rsidR="00606808">
        <w:rPr>
          <w:rFonts w:ascii="Times New Roman" w:hAnsi="Times New Roman" w:cs="Times New Roman"/>
          <w:sz w:val="24"/>
          <w:szCs w:val="24"/>
        </w:rPr>
        <w:t>the appendix</w:t>
      </w:r>
      <w:r w:rsidR="00E62699">
        <w:rPr>
          <w:rFonts w:ascii="Times New Roman" w:hAnsi="Times New Roman" w:cs="Times New Roman"/>
          <w:sz w:val="24"/>
          <w:szCs w:val="24"/>
        </w:rPr>
        <w:t xml:space="preserve"> respectively</w:t>
      </w:r>
      <w:r w:rsidR="00606808">
        <w:rPr>
          <w:rFonts w:ascii="Times New Roman" w:hAnsi="Times New Roman" w:cs="Times New Roman"/>
          <w:sz w:val="24"/>
          <w:szCs w:val="24"/>
        </w:rPr>
        <w:t xml:space="preserve">. </w:t>
      </w:r>
    </w:p>
    <w:p w:rsidR="00D55924" w:rsidRDefault="00D55924" w:rsidP="004A1EFF">
      <w:pPr>
        <w:spacing w:line="240" w:lineRule="auto"/>
        <w:jc w:val="both"/>
        <w:rPr>
          <w:rFonts w:ascii="Times New Roman" w:hAnsi="Times New Roman" w:cs="Times New Roman"/>
          <w:sz w:val="24"/>
          <w:szCs w:val="24"/>
        </w:rPr>
      </w:pPr>
    </w:p>
    <w:p w:rsidR="00F820D3" w:rsidRPr="00BC5370" w:rsidRDefault="00D55924" w:rsidP="004A1EFF">
      <w:pPr>
        <w:pStyle w:val="a9"/>
        <w:numPr>
          <w:ilvl w:val="0"/>
          <w:numId w:val="1"/>
        </w:numPr>
        <w:spacing w:line="240" w:lineRule="auto"/>
        <w:ind w:left="0"/>
        <w:jc w:val="both"/>
        <w:rPr>
          <w:rFonts w:ascii="Times New Roman" w:hAnsi="Times New Roman" w:cs="Times New Roman"/>
          <w:b/>
          <w:sz w:val="24"/>
          <w:szCs w:val="24"/>
        </w:rPr>
      </w:pPr>
      <w:r w:rsidRPr="00BC5370">
        <w:rPr>
          <w:rFonts w:ascii="Times New Roman" w:hAnsi="Times New Roman" w:cs="Times New Roman"/>
          <w:b/>
          <w:sz w:val="24"/>
          <w:szCs w:val="24"/>
        </w:rPr>
        <w:t xml:space="preserve">The </w:t>
      </w:r>
      <w:proofErr w:type="spellStart"/>
      <w:r w:rsidRPr="00BC5370">
        <w:rPr>
          <w:rFonts w:ascii="Times New Roman" w:hAnsi="Times New Roman" w:cs="Times New Roman"/>
          <w:b/>
          <w:sz w:val="24"/>
          <w:szCs w:val="24"/>
        </w:rPr>
        <w:t>Ricardian</w:t>
      </w:r>
      <w:proofErr w:type="spellEnd"/>
      <w:r w:rsidRPr="00BC5370">
        <w:rPr>
          <w:rFonts w:ascii="Times New Roman" w:hAnsi="Times New Roman" w:cs="Times New Roman"/>
          <w:b/>
          <w:sz w:val="24"/>
          <w:szCs w:val="24"/>
        </w:rPr>
        <w:t xml:space="preserve"> Equivalence Theorem</w:t>
      </w:r>
      <w:r w:rsidR="003F6FFA" w:rsidRPr="00BC5370">
        <w:rPr>
          <w:rFonts w:ascii="Times New Roman" w:hAnsi="Times New Roman" w:cs="Times New Roman"/>
          <w:b/>
          <w:sz w:val="24"/>
          <w:szCs w:val="24"/>
        </w:rPr>
        <w:t xml:space="preserve"> </w:t>
      </w:r>
    </w:p>
    <w:p w:rsidR="00917422" w:rsidRDefault="00AC0576"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On regular circumstances</w:t>
      </w:r>
      <w:r w:rsidR="00D31C24">
        <w:rPr>
          <w:rFonts w:ascii="Times New Roman" w:hAnsi="Times New Roman" w:cs="Times New Roman"/>
          <w:sz w:val="24"/>
          <w:szCs w:val="24"/>
        </w:rPr>
        <w:t xml:space="preserve"> a government </w:t>
      </w:r>
      <w:r>
        <w:rPr>
          <w:rFonts w:ascii="Times New Roman" w:hAnsi="Times New Roman" w:cs="Times New Roman"/>
          <w:sz w:val="24"/>
          <w:szCs w:val="24"/>
        </w:rPr>
        <w:t>has two ways to finance its</w:t>
      </w:r>
      <w:r w:rsidR="00D31C24">
        <w:rPr>
          <w:rFonts w:ascii="Times New Roman" w:hAnsi="Times New Roman" w:cs="Times New Roman"/>
          <w:sz w:val="24"/>
          <w:szCs w:val="24"/>
        </w:rPr>
        <w:t xml:space="preserve"> govern</w:t>
      </w:r>
      <w:r w:rsidR="005A0D1F">
        <w:rPr>
          <w:rFonts w:ascii="Times New Roman" w:hAnsi="Times New Roman" w:cs="Times New Roman"/>
          <w:sz w:val="24"/>
          <w:szCs w:val="24"/>
        </w:rPr>
        <w:t>ment expenditures either by increasing taxes or through</w:t>
      </w:r>
      <w:r w:rsidR="00050737">
        <w:rPr>
          <w:rFonts w:ascii="Times New Roman" w:hAnsi="Times New Roman" w:cs="Times New Roman"/>
          <w:sz w:val="24"/>
          <w:szCs w:val="24"/>
        </w:rPr>
        <w:t xml:space="preserve"> debt</w:t>
      </w:r>
      <w:r w:rsidR="00D31C24">
        <w:rPr>
          <w:rFonts w:ascii="Times New Roman" w:hAnsi="Times New Roman" w:cs="Times New Roman"/>
          <w:sz w:val="24"/>
          <w:szCs w:val="24"/>
        </w:rPr>
        <w:t xml:space="preserve"> issuing. According to the R</w:t>
      </w:r>
      <w:r w:rsidR="005A0D1F">
        <w:rPr>
          <w:rFonts w:ascii="Times New Roman" w:hAnsi="Times New Roman" w:cs="Times New Roman"/>
          <w:sz w:val="24"/>
          <w:szCs w:val="24"/>
        </w:rPr>
        <w:t xml:space="preserve">icardian Equivalence Theorem the </w:t>
      </w:r>
      <w:r w:rsidR="00050737">
        <w:rPr>
          <w:rFonts w:ascii="Times New Roman" w:hAnsi="Times New Roman" w:cs="Times New Roman"/>
          <w:sz w:val="24"/>
          <w:szCs w:val="24"/>
        </w:rPr>
        <w:t>effect</w:t>
      </w:r>
      <w:r w:rsidR="005A0D1F">
        <w:rPr>
          <w:rFonts w:ascii="Times New Roman" w:hAnsi="Times New Roman" w:cs="Times New Roman"/>
          <w:sz w:val="24"/>
          <w:szCs w:val="24"/>
        </w:rPr>
        <w:t>s</w:t>
      </w:r>
      <w:r w:rsidR="00050737">
        <w:rPr>
          <w:rFonts w:ascii="Times New Roman" w:hAnsi="Times New Roman" w:cs="Times New Roman"/>
          <w:sz w:val="24"/>
          <w:szCs w:val="24"/>
        </w:rPr>
        <w:t xml:space="preserve"> of these two financing options on </w:t>
      </w:r>
      <w:r w:rsidR="005A0D1F">
        <w:rPr>
          <w:rFonts w:ascii="Times New Roman" w:hAnsi="Times New Roman" w:cs="Times New Roman"/>
          <w:sz w:val="24"/>
          <w:szCs w:val="24"/>
        </w:rPr>
        <w:t xml:space="preserve">the consuming behavior of the individuals and hence </w:t>
      </w:r>
      <w:r w:rsidR="00050737">
        <w:rPr>
          <w:rFonts w:ascii="Times New Roman" w:hAnsi="Times New Roman" w:cs="Times New Roman"/>
          <w:sz w:val="24"/>
          <w:szCs w:val="24"/>
        </w:rPr>
        <w:t>aggregate demand are the same.</w:t>
      </w:r>
      <w:r w:rsidR="002714E3">
        <w:rPr>
          <w:rFonts w:ascii="Times New Roman" w:hAnsi="Times New Roman" w:cs="Times New Roman"/>
          <w:sz w:val="24"/>
          <w:szCs w:val="24"/>
        </w:rPr>
        <w:t xml:space="preserve"> According to</w:t>
      </w:r>
      <w:r w:rsidR="00050737">
        <w:rPr>
          <w:rFonts w:ascii="Times New Roman" w:hAnsi="Times New Roman" w:cs="Times New Roman"/>
          <w:sz w:val="24"/>
          <w:szCs w:val="24"/>
        </w:rPr>
        <w:t xml:space="preserve"> </w:t>
      </w:r>
      <w:proofErr w:type="spellStart"/>
      <w:r w:rsidR="00050737">
        <w:rPr>
          <w:rFonts w:ascii="Times New Roman" w:hAnsi="Times New Roman" w:cs="Times New Roman"/>
          <w:sz w:val="24"/>
          <w:szCs w:val="24"/>
        </w:rPr>
        <w:t>Barro</w:t>
      </w:r>
      <w:proofErr w:type="spellEnd"/>
      <w:r w:rsidR="00050737">
        <w:rPr>
          <w:rFonts w:ascii="Times New Roman" w:hAnsi="Times New Roman" w:cs="Times New Roman"/>
          <w:sz w:val="24"/>
          <w:szCs w:val="24"/>
        </w:rPr>
        <w:t xml:space="preserve"> (1989)</w:t>
      </w:r>
      <w:r w:rsidR="002714E3">
        <w:rPr>
          <w:rFonts w:ascii="Times New Roman" w:hAnsi="Times New Roman" w:cs="Times New Roman"/>
          <w:sz w:val="24"/>
          <w:szCs w:val="24"/>
        </w:rPr>
        <w:t xml:space="preserve"> thes</w:t>
      </w:r>
      <w:r w:rsidR="005A0D1F">
        <w:rPr>
          <w:rFonts w:ascii="Times New Roman" w:hAnsi="Times New Roman" w:cs="Times New Roman"/>
          <w:sz w:val="24"/>
          <w:szCs w:val="24"/>
        </w:rPr>
        <w:t>e two financing options are equivalent</w:t>
      </w:r>
      <w:r w:rsidR="002714E3">
        <w:rPr>
          <w:rFonts w:ascii="Times New Roman" w:hAnsi="Times New Roman" w:cs="Times New Roman"/>
          <w:sz w:val="24"/>
          <w:szCs w:val="24"/>
        </w:rPr>
        <w:t xml:space="preserve">. For this reason the </w:t>
      </w:r>
      <w:proofErr w:type="spellStart"/>
      <w:r w:rsidR="002714E3">
        <w:rPr>
          <w:rFonts w:ascii="Times New Roman" w:hAnsi="Times New Roman" w:cs="Times New Roman"/>
          <w:sz w:val="24"/>
          <w:szCs w:val="24"/>
        </w:rPr>
        <w:t>Ricardian</w:t>
      </w:r>
      <w:proofErr w:type="spellEnd"/>
      <w:r w:rsidR="002714E3">
        <w:rPr>
          <w:rFonts w:ascii="Times New Roman" w:hAnsi="Times New Roman" w:cs="Times New Roman"/>
          <w:sz w:val="24"/>
          <w:szCs w:val="24"/>
        </w:rPr>
        <w:t xml:space="preserve"> theorem is called </w:t>
      </w:r>
      <w:proofErr w:type="spellStart"/>
      <w:r w:rsidR="002714E3">
        <w:rPr>
          <w:rFonts w:ascii="Times New Roman" w:hAnsi="Times New Roman" w:cs="Times New Roman"/>
          <w:sz w:val="24"/>
          <w:szCs w:val="24"/>
        </w:rPr>
        <w:t>Ricardian</w:t>
      </w:r>
      <w:proofErr w:type="spellEnd"/>
      <w:r w:rsidR="002714E3">
        <w:rPr>
          <w:rFonts w:ascii="Times New Roman" w:hAnsi="Times New Roman" w:cs="Times New Roman"/>
          <w:sz w:val="24"/>
          <w:szCs w:val="24"/>
        </w:rPr>
        <w:t xml:space="preserve"> Equivalence theorem. Specifically, according to the </w:t>
      </w:r>
      <w:proofErr w:type="spellStart"/>
      <w:r w:rsidR="002714E3">
        <w:rPr>
          <w:rFonts w:ascii="Times New Roman" w:hAnsi="Times New Roman" w:cs="Times New Roman"/>
          <w:sz w:val="24"/>
          <w:szCs w:val="24"/>
        </w:rPr>
        <w:t>Ricardian</w:t>
      </w:r>
      <w:proofErr w:type="spellEnd"/>
      <w:r w:rsidR="002714E3">
        <w:rPr>
          <w:rFonts w:ascii="Times New Roman" w:hAnsi="Times New Roman" w:cs="Times New Roman"/>
          <w:sz w:val="24"/>
          <w:szCs w:val="24"/>
        </w:rPr>
        <w:t xml:space="preserve"> Equivalence Hypothesis the consuming pattern of the individuals is not affected by the choice that the government makes in order to finance its expenditures</w:t>
      </w:r>
      <w:r w:rsidR="00433623">
        <w:rPr>
          <w:rFonts w:ascii="Times New Roman" w:hAnsi="Times New Roman" w:cs="Times New Roman"/>
          <w:sz w:val="24"/>
          <w:szCs w:val="24"/>
        </w:rPr>
        <w:t>. S</w:t>
      </w:r>
      <w:r w:rsidR="00D8420D">
        <w:rPr>
          <w:rFonts w:ascii="Times New Roman" w:hAnsi="Times New Roman" w:cs="Times New Roman"/>
          <w:sz w:val="24"/>
          <w:szCs w:val="24"/>
        </w:rPr>
        <w:t>ince</w:t>
      </w:r>
      <w:r w:rsidR="00D31C24">
        <w:rPr>
          <w:rFonts w:ascii="Times New Roman" w:hAnsi="Times New Roman" w:cs="Times New Roman"/>
          <w:sz w:val="24"/>
          <w:szCs w:val="24"/>
        </w:rPr>
        <w:t xml:space="preserve"> </w:t>
      </w:r>
      <w:r w:rsidR="00433623">
        <w:rPr>
          <w:rFonts w:ascii="Times New Roman" w:hAnsi="Times New Roman" w:cs="Times New Roman"/>
          <w:sz w:val="24"/>
          <w:szCs w:val="24"/>
        </w:rPr>
        <w:t>consumer</w:t>
      </w:r>
      <w:r w:rsidR="002714E3">
        <w:rPr>
          <w:rFonts w:ascii="Times New Roman" w:hAnsi="Times New Roman" w:cs="Times New Roman"/>
          <w:sz w:val="24"/>
          <w:szCs w:val="24"/>
        </w:rPr>
        <w:t>s are forward looking,</w:t>
      </w:r>
      <w:r w:rsidR="00433623">
        <w:rPr>
          <w:rFonts w:ascii="Times New Roman" w:hAnsi="Times New Roman" w:cs="Times New Roman"/>
          <w:sz w:val="24"/>
          <w:szCs w:val="24"/>
        </w:rPr>
        <w:t xml:space="preserve"> </w:t>
      </w:r>
      <w:r w:rsidR="002714E3">
        <w:rPr>
          <w:rFonts w:ascii="Times New Roman" w:hAnsi="Times New Roman" w:cs="Times New Roman"/>
          <w:sz w:val="24"/>
          <w:szCs w:val="24"/>
        </w:rPr>
        <w:t>they realize that possible tax cuts/</w:t>
      </w:r>
      <w:r w:rsidR="00D8420D">
        <w:rPr>
          <w:rFonts w:ascii="Times New Roman" w:hAnsi="Times New Roman" w:cs="Times New Roman"/>
          <w:sz w:val="24"/>
          <w:szCs w:val="24"/>
        </w:rPr>
        <w:t xml:space="preserve"> debt</w:t>
      </w:r>
      <w:r w:rsidR="00433623">
        <w:rPr>
          <w:rFonts w:ascii="Times New Roman" w:hAnsi="Times New Roman" w:cs="Times New Roman"/>
          <w:sz w:val="24"/>
          <w:szCs w:val="24"/>
        </w:rPr>
        <w:t xml:space="preserve"> issuing now will create tax liabilities </w:t>
      </w:r>
      <w:r w:rsidR="00D8420D">
        <w:rPr>
          <w:rFonts w:ascii="Times New Roman" w:hAnsi="Times New Roman" w:cs="Times New Roman"/>
          <w:sz w:val="24"/>
          <w:szCs w:val="24"/>
        </w:rPr>
        <w:t>in the future and so they do not alter currently their consuming</w:t>
      </w:r>
      <w:r w:rsidR="00433623">
        <w:rPr>
          <w:rFonts w:ascii="Times New Roman" w:hAnsi="Times New Roman" w:cs="Times New Roman"/>
          <w:sz w:val="24"/>
          <w:szCs w:val="24"/>
        </w:rPr>
        <w:t xml:space="preserve"> behavior</w:t>
      </w:r>
      <w:r w:rsidR="00D8420D">
        <w:rPr>
          <w:rFonts w:ascii="Times New Roman" w:hAnsi="Times New Roman" w:cs="Times New Roman"/>
          <w:sz w:val="24"/>
          <w:szCs w:val="24"/>
        </w:rPr>
        <w:t xml:space="preserve"> increasing their consumption</w:t>
      </w:r>
      <w:r w:rsidR="00433623">
        <w:rPr>
          <w:rFonts w:ascii="Times New Roman" w:hAnsi="Times New Roman" w:cs="Times New Roman"/>
          <w:sz w:val="24"/>
          <w:szCs w:val="24"/>
        </w:rPr>
        <w:t xml:space="preserve">. </w:t>
      </w:r>
      <w:r w:rsidR="00D8420D">
        <w:rPr>
          <w:rFonts w:ascii="Times New Roman" w:hAnsi="Times New Roman" w:cs="Times New Roman"/>
          <w:sz w:val="24"/>
          <w:szCs w:val="24"/>
        </w:rPr>
        <w:t>On the contrary, i</w:t>
      </w:r>
      <w:r w:rsidR="00433623">
        <w:rPr>
          <w:rFonts w:ascii="Times New Roman" w:hAnsi="Times New Roman" w:cs="Times New Roman"/>
          <w:sz w:val="24"/>
          <w:szCs w:val="24"/>
        </w:rPr>
        <w:t xml:space="preserve">n the case of </w:t>
      </w:r>
      <w:r w:rsidR="00D8420D">
        <w:rPr>
          <w:rFonts w:ascii="Times New Roman" w:hAnsi="Times New Roman" w:cs="Times New Roman"/>
          <w:sz w:val="24"/>
          <w:szCs w:val="24"/>
        </w:rPr>
        <w:t>tax cuts individuals save</w:t>
      </w:r>
      <w:r w:rsidR="00433623">
        <w:rPr>
          <w:rFonts w:ascii="Times New Roman" w:hAnsi="Times New Roman" w:cs="Times New Roman"/>
          <w:sz w:val="24"/>
          <w:szCs w:val="24"/>
        </w:rPr>
        <w:t xml:space="preserve"> the amount of tax</w:t>
      </w:r>
      <w:r w:rsidR="004F24C5">
        <w:rPr>
          <w:rFonts w:ascii="Times New Roman" w:hAnsi="Times New Roman" w:cs="Times New Roman"/>
          <w:sz w:val="24"/>
          <w:szCs w:val="24"/>
        </w:rPr>
        <w:t>es</w:t>
      </w:r>
      <w:r w:rsidR="00D8420D">
        <w:rPr>
          <w:rFonts w:ascii="Times New Roman" w:hAnsi="Times New Roman" w:cs="Times New Roman"/>
          <w:sz w:val="24"/>
          <w:szCs w:val="24"/>
        </w:rPr>
        <w:t xml:space="preserve"> not paid currently while</w:t>
      </w:r>
      <w:r w:rsidR="00667ED5">
        <w:rPr>
          <w:rFonts w:ascii="Times New Roman" w:hAnsi="Times New Roman" w:cs="Times New Roman"/>
          <w:sz w:val="24"/>
          <w:szCs w:val="24"/>
        </w:rPr>
        <w:t xml:space="preserve"> in the situation of</w:t>
      </w:r>
      <w:r w:rsidR="00D8420D">
        <w:rPr>
          <w:rFonts w:ascii="Times New Roman" w:hAnsi="Times New Roman" w:cs="Times New Roman"/>
          <w:sz w:val="24"/>
          <w:szCs w:val="24"/>
        </w:rPr>
        <w:t xml:space="preserve"> debt financing the value of</w:t>
      </w:r>
      <w:r w:rsidR="00433623">
        <w:rPr>
          <w:rFonts w:ascii="Times New Roman" w:hAnsi="Times New Roman" w:cs="Times New Roman"/>
          <w:sz w:val="24"/>
          <w:szCs w:val="24"/>
        </w:rPr>
        <w:t xml:space="preserve"> bonds plus the interest rate</w:t>
      </w:r>
      <w:r w:rsidR="004F24C5">
        <w:rPr>
          <w:rFonts w:ascii="Times New Roman" w:hAnsi="Times New Roman" w:cs="Times New Roman"/>
          <w:sz w:val="24"/>
          <w:szCs w:val="24"/>
        </w:rPr>
        <w:t>s</w:t>
      </w:r>
      <w:r w:rsidR="00D8420D">
        <w:rPr>
          <w:rFonts w:ascii="Times New Roman" w:hAnsi="Times New Roman" w:cs="Times New Roman"/>
          <w:sz w:val="24"/>
          <w:szCs w:val="24"/>
        </w:rPr>
        <w:t xml:space="preserve"> that will be</w:t>
      </w:r>
      <w:r w:rsidR="004F24C5">
        <w:rPr>
          <w:rFonts w:ascii="Times New Roman" w:hAnsi="Times New Roman" w:cs="Times New Roman"/>
          <w:sz w:val="24"/>
          <w:szCs w:val="24"/>
        </w:rPr>
        <w:t xml:space="preserve"> paid when the bonds </w:t>
      </w:r>
      <w:r w:rsidR="00D8420D">
        <w:rPr>
          <w:rFonts w:ascii="Times New Roman" w:hAnsi="Times New Roman" w:cs="Times New Roman"/>
          <w:sz w:val="24"/>
          <w:szCs w:val="24"/>
        </w:rPr>
        <w:t xml:space="preserve">will </w:t>
      </w:r>
      <w:r w:rsidR="004F24C5">
        <w:rPr>
          <w:rFonts w:ascii="Times New Roman" w:hAnsi="Times New Roman" w:cs="Times New Roman"/>
          <w:sz w:val="24"/>
          <w:szCs w:val="24"/>
        </w:rPr>
        <w:t xml:space="preserve">expire in order to cope with the increased </w:t>
      </w:r>
      <w:r w:rsidR="00667ED5">
        <w:rPr>
          <w:rFonts w:ascii="Times New Roman" w:hAnsi="Times New Roman" w:cs="Times New Roman"/>
          <w:sz w:val="24"/>
          <w:szCs w:val="24"/>
        </w:rPr>
        <w:t>future tax liabilities</w:t>
      </w:r>
      <w:r w:rsidR="00A71A9E">
        <w:rPr>
          <w:rFonts w:ascii="Times New Roman" w:hAnsi="Times New Roman" w:cs="Times New Roman"/>
          <w:sz w:val="24"/>
          <w:szCs w:val="24"/>
        </w:rPr>
        <w:t xml:space="preserve">. Hence, the main point in the </w:t>
      </w:r>
      <w:proofErr w:type="spellStart"/>
      <w:r w:rsidR="00A71A9E">
        <w:rPr>
          <w:rFonts w:ascii="Times New Roman" w:hAnsi="Times New Roman" w:cs="Times New Roman"/>
          <w:sz w:val="24"/>
          <w:szCs w:val="24"/>
        </w:rPr>
        <w:t>Ricardian</w:t>
      </w:r>
      <w:proofErr w:type="spellEnd"/>
      <w:r w:rsidR="00A71A9E">
        <w:rPr>
          <w:rFonts w:ascii="Times New Roman" w:hAnsi="Times New Roman" w:cs="Times New Roman"/>
          <w:sz w:val="24"/>
          <w:szCs w:val="24"/>
        </w:rPr>
        <w:t xml:space="preserve"> Equivalence theorem is that individuals do not perceive government debt as net wealth and hence do not change their consuming behavior. </w:t>
      </w:r>
    </w:p>
    <w:p w:rsidR="006F195C" w:rsidRPr="00590CD2" w:rsidRDefault="00437AF8" w:rsidP="00BC5370">
      <w:pPr>
        <w:spacing w:line="240" w:lineRule="auto"/>
        <w:jc w:val="both"/>
        <w:rPr>
          <w:rFonts w:ascii="Times New Roman" w:hAnsi="Times New Roman" w:cs="Times New Roman"/>
          <w:sz w:val="24"/>
          <w:szCs w:val="24"/>
        </w:rPr>
      </w:pPr>
      <w:r>
        <w:rPr>
          <w:rFonts w:ascii="Times New Roman" w:hAnsi="Times New Roman" w:cs="Times New Roman"/>
          <w:sz w:val="24"/>
          <w:szCs w:val="24"/>
        </w:rPr>
        <w:t>The logic of the Ricardian Equivalence Theorem belongs to David Ricardo, one of the most infl</w:t>
      </w:r>
      <w:r w:rsidR="00667ED5">
        <w:rPr>
          <w:rFonts w:ascii="Times New Roman" w:hAnsi="Times New Roman" w:cs="Times New Roman"/>
          <w:sz w:val="24"/>
          <w:szCs w:val="24"/>
        </w:rPr>
        <w:t>uential classical economists. In</w:t>
      </w:r>
      <w:r>
        <w:rPr>
          <w:rFonts w:ascii="Times New Roman" w:hAnsi="Times New Roman" w:cs="Times New Roman"/>
          <w:sz w:val="24"/>
          <w:szCs w:val="24"/>
        </w:rPr>
        <w:t xml:space="preserve"> his work </w:t>
      </w:r>
      <w:r w:rsidR="0003543A">
        <w:rPr>
          <w:rFonts w:ascii="Times New Roman" w:hAnsi="Times New Roman" w:cs="Times New Roman"/>
          <w:sz w:val="24"/>
          <w:szCs w:val="24"/>
        </w:rPr>
        <w:t xml:space="preserve">the </w:t>
      </w:r>
      <w:r>
        <w:rPr>
          <w:rFonts w:ascii="Times New Roman" w:hAnsi="Times New Roman" w:cs="Times New Roman"/>
          <w:sz w:val="24"/>
          <w:szCs w:val="24"/>
        </w:rPr>
        <w:t xml:space="preserve">“Funding System” an article in the supplement to the fourth, fifth and sixth editions of the Encyclopedia Britannica (1820) he </w:t>
      </w:r>
      <w:r w:rsidR="0052301B">
        <w:rPr>
          <w:rFonts w:ascii="Times New Roman" w:hAnsi="Times New Roman" w:cs="Times New Roman"/>
          <w:sz w:val="24"/>
          <w:szCs w:val="24"/>
        </w:rPr>
        <w:t xml:space="preserve">grounded the idea </w:t>
      </w:r>
      <w:r w:rsidR="00482FDC">
        <w:rPr>
          <w:rFonts w:ascii="Times New Roman" w:hAnsi="Times New Roman" w:cs="Times New Roman"/>
          <w:sz w:val="24"/>
          <w:szCs w:val="24"/>
        </w:rPr>
        <w:t xml:space="preserve">that </w:t>
      </w:r>
      <w:r w:rsidR="0003543A">
        <w:rPr>
          <w:rFonts w:ascii="Times New Roman" w:hAnsi="Times New Roman" w:cs="Times New Roman"/>
          <w:sz w:val="24"/>
          <w:szCs w:val="24"/>
        </w:rPr>
        <w:t xml:space="preserve">there is not </w:t>
      </w:r>
      <w:r w:rsidR="0052301B">
        <w:rPr>
          <w:rFonts w:ascii="Times New Roman" w:hAnsi="Times New Roman" w:cs="Times New Roman"/>
          <w:sz w:val="24"/>
          <w:szCs w:val="24"/>
        </w:rPr>
        <w:t xml:space="preserve">a </w:t>
      </w:r>
      <w:r w:rsidR="0003543A">
        <w:rPr>
          <w:rFonts w:ascii="Times New Roman" w:hAnsi="Times New Roman" w:cs="Times New Roman"/>
          <w:sz w:val="24"/>
          <w:szCs w:val="24"/>
        </w:rPr>
        <w:t>substantial difference between the two</w:t>
      </w:r>
      <w:r w:rsidR="00482FDC">
        <w:rPr>
          <w:rFonts w:ascii="Times New Roman" w:hAnsi="Times New Roman" w:cs="Times New Roman"/>
          <w:sz w:val="24"/>
          <w:szCs w:val="24"/>
        </w:rPr>
        <w:t xml:space="preserve"> ways of financing the government expenditures through tax cuts o</w:t>
      </w:r>
      <w:r w:rsidR="0003543A">
        <w:rPr>
          <w:rFonts w:ascii="Times New Roman" w:hAnsi="Times New Roman" w:cs="Times New Roman"/>
          <w:sz w:val="24"/>
          <w:szCs w:val="24"/>
        </w:rPr>
        <w:t>r borrowing.</w:t>
      </w:r>
      <w:r w:rsidR="00057050">
        <w:rPr>
          <w:rFonts w:ascii="Times New Roman" w:hAnsi="Times New Roman" w:cs="Times New Roman"/>
          <w:sz w:val="24"/>
          <w:szCs w:val="24"/>
        </w:rPr>
        <w:t xml:space="preserve">  Accord</w:t>
      </w:r>
      <w:r w:rsidR="0003543A">
        <w:rPr>
          <w:rFonts w:ascii="Times New Roman" w:hAnsi="Times New Roman" w:cs="Times New Roman"/>
          <w:sz w:val="24"/>
          <w:szCs w:val="24"/>
        </w:rPr>
        <w:t>ing to his example,</w:t>
      </w:r>
      <w:r w:rsidR="0052301B">
        <w:rPr>
          <w:rFonts w:ascii="Times New Roman" w:hAnsi="Times New Roman" w:cs="Times New Roman"/>
          <w:sz w:val="24"/>
          <w:szCs w:val="24"/>
        </w:rPr>
        <w:t xml:space="preserve"> a country involved in a war </w:t>
      </w:r>
      <w:r w:rsidR="00590CD2">
        <w:rPr>
          <w:rFonts w:ascii="Times New Roman" w:hAnsi="Times New Roman" w:cs="Times New Roman"/>
          <w:sz w:val="24"/>
          <w:szCs w:val="24"/>
        </w:rPr>
        <w:t>could</w:t>
      </w:r>
      <w:r w:rsidR="0052301B">
        <w:rPr>
          <w:rFonts w:ascii="Times New Roman" w:hAnsi="Times New Roman" w:cs="Times New Roman"/>
          <w:sz w:val="24"/>
          <w:szCs w:val="24"/>
        </w:rPr>
        <w:t xml:space="preserve"> finance its expenditures either by increasing taxes or by borrowing</w:t>
      </w:r>
      <w:r w:rsidR="00590CD2">
        <w:rPr>
          <w:rFonts w:ascii="Times New Roman" w:hAnsi="Times New Roman" w:cs="Times New Roman"/>
          <w:sz w:val="24"/>
          <w:szCs w:val="24"/>
        </w:rPr>
        <w:t xml:space="preserve"> without considerable differences for the economy as a whole.  </w:t>
      </w:r>
      <w:r w:rsidR="0052301B">
        <w:rPr>
          <w:rFonts w:ascii="Times New Roman" w:hAnsi="Times New Roman" w:cs="Times New Roman"/>
          <w:sz w:val="24"/>
          <w:szCs w:val="24"/>
        </w:rPr>
        <w:t xml:space="preserve">  </w:t>
      </w:r>
    </w:p>
    <w:p w:rsidR="00B14F93" w:rsidRDefault="00E14361"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The</w:t>
      </w:r>
      <w:r w:rsidR="006F195C">
        <w:rPr>
          <w:rFonts w:ascii="Times New Roman" w:hAnsi="Times New Roman" w:cs="Times New Roman"/>
          <w:sz w:val="24"/>
          <w:szCs w:val="24"/>
        </w:rPr>
        <w:t xml:space="preserve"> fundamental paper for the Ricardian Equivalence Theorem is the one </w:t>
      </w:r>
      <w:r>
        <w:rPr>
          <w:rFonts w:ascii="Times New Roman" w:hAnsi="Times New Roman" w:cs="Times New Roman"/>
          <w:sz w:val="24"/>
          <w:szCs w:val="24"/>
        </w:rPr>
        <w:t xml:space="preserve">of </w:t>
      </w:r>
      <w:proofErr w:type="spellStart"/>
      <w:r w:rsidR="006F195C">
        <w:rPr>
          <w:rFonts w:ascii="Times New Roman" w:hAnsi="Times New Roman" w:cs="Times New Roman"/>
          <w:sz w:val="24"/>
          <w:szCs w:val="24"/>
        </w:rPr>
        <w:t>Barro</w:t>
      </w:r>
      <w:proofErr w:type="spellEnd"/>
      <w:r w:rsidR="006F195C">
        <w:rPr>
          <w:rFonts w:ascii="Times New Roman" w:hAnsi="Times New Roman" w:cs="Times New Roman"/>
          <w:sz w:val="24"/>
          <w:szCs w:val="24"/>
        </w:rPr>
        <w:t xml:space="preserve"> (1974) with the title: “Are Govern</w:t>
      </w:r>
      <w:r>
        <w:rPr>
          <w:rFonts w:ascii="Times New Roman" w:hAnsi="Times New Roman" w:cs="Times New Roman"/>
          <w:sz w:val="24"/>
          <w:szCs w:val="24"/>
        </w:rPr>
        <w:t>ment Bonds Net Wealth?</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At his</w:t>
      </w:r>
      <w:r w:rsidR="006F195C">
        <w:rPr>
          <w:rFonts w:ascii="Times New Roman" w:hAnsi="Times New Roman" w:cs="Times New Roman"/>
          <w:sz w:val="24"/>
          <w:szCs w:val="24"/>
        </w:rPr>
        <w:t xml:space="preserve"> paper </w:t>
      </w:r>
      <w:proofErr w:type="spellStart"/>
      <w:r w:rsidR="006F195C">
        <w:rPr>
          <w:rFonts w:ascii="Times New Roman" w:hAnsi="Times New Roman" w:cs="Times New Roman"/>
          <w:sz w:val="24"/>
          <w:szCs w:val="24"/>
        </w:rPr>
        <w:t>Barro</w:t>
      </w:r>
      <w:proofErr w:type="spellEnd"/>
      <w:r w:rsidR="006F195C">
        <w:rPr>
          <w:rFonts w:ascii="Times New Roman" w:hAnsi="Times New Roman" w:cs="Times New Roman"/>
          <w:sz w:val="24"/>
          <w:szCs w:val="24"/>
        </w:rPr>
        <w:t xml:space="preserve"> applied a version of the Samuelson (1958) and Diamond (1965) </w:t>
      </w:r>
      <w:r>
        <w:rPr>
          <w:rFonts w:ascii="Times New Roman" w:hAnsi="Times New Roman" w:cs="Times New Roman"/>
          <w:sz w:val="24"/>
          <w:szCs w:val="24"/>
        </w:rPr>
        <w:t xml:space="preserve">model </w:t>
      </w:r>
      <w:r w:rsidR="006F195C">
        <w:rPr>
          <w:rFonts w:ascii="Times New Roman" w:hAnsi="Times New Roman" w:cs="Times New Roman"/>
          <w:sz w:val="24"/>
          <w:szCs w:val="24"/>
        </w:rPr>
        <w:t xml:space="preserve">of overlapping generations with physical capital </w:t>
      </w:r>
      <w:r w:rsidR="00B14F93">
        <w:rPr>
          <w:rFonts w:ascii="Times New Roman" w:hAnsi="Times New Roman" w:cs="Times New Roman"/>
          <w:sz w:val="24"/>
          <w:szCs w:val="24"/>
        </w:rPr>
        <w:t xml:space="preserve">and finite lives in order to investigate whether the government debt issue is perceived as net wealth by the households and so affecting their consuming behavior. </w:t>
      </w:r>
    </w:p>
    <w:p w:rsidR="006F195C" w:rsidRDefault="00F94E05" w:rsidP="004A1EFF">
      <w:pPr>
        <w:spacing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(1974) mainly found </w:t>
      </w:r>
      <w:r w:rsidR="00CC50A7">
        <w:rPr>
          <w:rFonts w:ascii="Times New Roman" w:hAnsi="Times New Roman" w:cs="Times New Roman"/>
          <w:sz w:val="24"/>
          <w:szCs w:val="24"/>
        </w:rPr>
        <w:t>that in the case of gove</w:t>
      </w:r>
      <w:r w:rsidR="00B67A0E">
        <w:rPr>
          <w:rFonts w:ascii="Times New Roman" w:hAnsi="Times New Roman" w:cs="Times New Roman"/>
          <w:sz w:val="24"/>
          <w:szCs w:val="24"/>
        </w:rPr>
        <w:t>r</w:t>
      </w:r>
      <w:r>
        <w:rPr>
          <w:rFonts w:ascii="Times New Roman" w:hAnsi="Times New Roman" w:cs="Times New Roman"/>
          <w:sz w:val="24"/>
          <w:szCs w:val="24"/>
        </w:rPr>
        <w:t>nment debt issue there would</w:t>
      </w:r>
      <w:r w:rsidR="00CC50A7">
        <w:rPr>
          <w:rFonts w:ascii="Times New Roman" w:hAnsi="Times New Roman" w:cs="Times New Roman"/>
          <w:sz w:val="24"/>
          <w:szCs w:val="24"/>
        </w:rPr>
        <w:t xml:space="preserve"> </w:t>
      </w:r>
      <w:r w:rsidR="00466BCD">
        <w:rPr>
          <w:rFonts w:ascii="Times New Roman" w:hAnsi="Times New Roman" w:cs="Times New Roman"/>
          <w:sz w:val="24"/>
          <w:szCs w:val="24"/>
        </w:rPr>
        <w:t xml:space="preserve">be </w:t>
      </w:r>
      <w:r>
        <w:rPr>
          <w:rFonts w:ascii="Times New Roman" w:hAnsi="Times New Roman" w:cs="Times New Roman"/>
          <w:sz w:val="24"/>
          <w:szCs w:val="24"/>
        </w:rPr>
        <w:t>no</w:t>
      </w:r>
      <w:r w:rsidR="00B67A0E">
        <w:rPr>
          <w:rFonts w:ascii="Times New Roman" w:hAnsi="Times New Roman" w:cs="Times New Roman"/>
          <w:sz w:val="24"/>
          <w:szCs w:val="24"/>
        </w:rPr>
        <w:t xml:space="preserve"> net wealth effect and hence an </w:t>
      </w:r>
      <w:r w:rsidR="00466BCD">
        <w:rPr>
          <w:rFonts w:ascii="Times New Roman" w:hAnsi="Times New Roman" w:cs="Times New Roman"/>
          <w:sz w:val="24"/>
          <w:szCs w:val="24"/>
        </w:rPr>
        <w:t>effect</w:t>
      </w:r>
      <w:r w:rsidR="00CC50A7">
        <w:rPr>
          <w:rFonts w:ascii="Times New Roman" w:hAnsi="Times New Roman" w:cs="Times New Roman"/>
          <w:sz w:val="24"/>
          <w:szCs w:val="24"/>
        </w:rPr>
        <w:t xml:space="preserve"> on aggregate demand </w:t>
      </w:r>
      <w:r w:rsidR="00C52C29">
        <w:rPr>
          <w:rFonts w:ascii="Times New Roman" w:hAnsi="Times New Roman" w:cs="Times New Roman"/>
          <w:sz w:val="24"/>
          <w:szCs w:val="24"/>
        </w:rPr>
        <w:t>when the current generations act as they are i</w:t>
      </w:r>
      <w:r w:rsidR="00B67A0E">
        <w:rPr>
          <w:rFonts w:ascii="Times New Roman" w:hAnsi="Times New Roman" w:cs="Times New Roman"/>
          <w:sz w:val="24"/>
          <w:szCs w:val="24"/>
        </w:rPr>
        <w:t xml:space="preserve">nfinitely lived and </w:t>
      </w:r>
      <w:r w:rsidR="00466BCD">
        <w:rPr>
          <w:rFonts w:ascii="Times New Roman" w:hAnsi="Times New Roman" w:cs="Times New Roman"/>
          <w:sz w:val="24"/>
          <w:szCs w:val="24"/>
        </w:rPr>
        <w:t xml:space="preserve">are </w:t>
      </w:r>
      <w:r w:rsidR="00B67A0E">
        <w:rPr>
          <w:rFonts w:ascii="Times New Roman" w:hAnsi="Times New Roman" w:cs="Times New Roman"/>
          <w:sz w:val="24"/>
          <w:szCs w:val="24"/>
        </w:rPr>
        <w:t>connected with the future generations through</w:t>
      </w:r>
      <w:r w:rsidR="00C52C29">
        <w:rPr>
          <w:rFonts w:ascii="Times New Roman" w:hAnsi="Times New Roman" w:cs="Times New Roman"/>
          <w:sz w:val="24"/>
          <w:szCs w:val="24"/>
        </w:rPr>
        <w:t xml:space="preserve"> a “chain of operative intergenerational transfers”. </w:t>
      </w:r>
      <w:r w:rsidR="00B67A0E">
        <w:rPr>
          <w:rFonts w:ascii="Times New Roman" w:hAnsi="Times New Roman" w:cs="Times New Roman"/>
          <w:sz w:val="24"/>
          <w:szCs w:val="24"/>
        </w:rPr>
        <w:t xml:space="preserve">In the case of </w:t>
      </w:r>
      <w:r w:rsidR="00F458E4">
        <w:rPr>
          <w:rFonts w:ascii="Times New Roman" w:hAnsi="Times New Roman" w:cs="Times New Roman"/>
          <w:sz w:val="24"/>
          <w:szCs w:val="24"/>
        </w:rPr>
        <w:t>debt issue</w:t>
      </w:r>
      <w:r w:rsidR="00B67A0E">
        <w:rPr>
          <w:rFonts w:ascii="Times New Roman" w:hAnsi="Times New Roman" w:cs="Times New Roman"/>
          <w:sz w:val="24"/>
          <w:szCs w:val="24"/>
        </w:rPr>
        <w:t>,</w:t>
      </w:r>
      <w:r w:rsidR="00C52C29">
        <w:rPr>
          <w:rFonts w:ascii="Times New Roman" w:hAnsi="Times New Roman" w:cs="Times New Roman"/>
          <w:sz w:val="24"/>
          <w:szCs w:val="24"/>
        </w:rPr>
        <w:t xml:space="preserve"> current gene</w:t>
      </w:r>
      <w:r w:rsidR="00331079">
        <w:rPr>
          <w:rFonts w:ascii="Times New Roman" w:hAnsi="Times New Roman" w:cs="Times New Roman"/>
          <w:sz w:val="24"/>
          <w:szCs w:val="24"/>
        </w:rPr>
        <w:t xml:space="preserve">rations realize that </w:t>
      </w:r>
      <w:r w:rsidR="00C52C29">
        <w:rPr>
          <w:rFonts w:ascii="Times New Roman" w:hAnsi="Times New Roman" w:cs="Times New Roman"/>
          <w:sz w:val="24"/>
          <w:szCs w:val="24"/>
        </w:rPr>
        <w:t xml:space="preserve">due to </w:t>
      </w:r>
      <w:r w:rsidR="00B26BFE">
        <w:rPr>
          <w:rFonts w:ascii="Times New Roman" w:hAnsi="Times New Roman" w:cs="Times New Roman"/>
          <w:sz w:val="24"/>
          <w:szCs w:val="24"/>
        </w:rPr>
        <w:t>future</w:t>
      </w:r>
      <w:r w:rsidR="00C52C29">
        <w:rPr>
          <w:rFonts w:ascii="Times New Roman" w:hAnsi="Times New Roman" w:cs="Times New Roman"/>
          <w:sz w:val="24"/>
          <w:szCs w:val="24"/>
        </w:rPr>
        <w:t xml:space="preserve"> taxation </w:t>
      </w:r>
      <w:r w:rsidR="00331079">
        <w:rPr>
          <w:rFonts w:ascii="Times New Roman" w:hAnsi="Times New Roman" w:cs="Times New Roman"/>
          <w:sz w:val="24"/>
          <w:szCs w:val="24"/>
        </w:rPr>
        <w:t xml:space="preserve">the </w:t>
      </w:r>
      <w:r w:rsidR="00B67A0E">
        <w:rPr>
          <w:rFonts w:ascii="Times New Roman" w:hAnsi="Times New Roman" w:cs="Times New Roman"/>
          <w:sz w:val="24"/>
          <w:szCs w:val="24"/>
        </w:rPr>
        <w:t xml:space="preserve">tax </w:t>
      </w:r>
      <w:r w:rsidR="00331079">
        <w:rPr>
          <w:rFonts w:ascii="Times New Roman" w:hAnsi="Times New Roman" w:cs="Times New Roman"/>
          <w:sz w:val="24"/>
          <w:szCs w:val="24"/>
        </w:rPr>
        <w:t xml:space="preserve">burden </w:t>
      </w:r>
      <w:r w:rsidR="00C52C29">
        <w:rPr>
          <w:rFonts w:ascii="Times New Roman" w:hAnsi="Times New Roman" w:cs="Times New Roman"/>
          <w:sz w:val="24"/>
          <w:szCs w:val="24"/>
        </w:rPr>
        <w:t>would be higher for t</w:t>
      </w:r>
      <w:r w:rsidR="00331079">
        <w:rPr>
          <w:rFonts w:ascii="Times New Roman" w:hAnsi="Times New Roman" w:cs="Times New Roman"/>
          <w:sz w:val="24"/>
          <w:szCs w:val="24"/>
        </w:rPr>
        <w:t>he prospective generations</w:t>
      </w:r>
      <w:r w:rsidR="00F458E4">
        <w:rPr>
          <w:rFonts w:ascii="Times New Roman" w:hAnsi="Times New Roman" w:cs="Times New Roman"/>
          <w:sz w:val="24"/>
          <w:szCs w:val="24"/>
        </w:rPr>
        <w:t xml:space="preserve">, and hence </w:t>
      </w:r>
      <w:r w:rsidR="00466BCD">
        <w:rPr>
          <w:rFonts w:ascii="Times New Roman" w:hAnsi="Times New Roman" w:cs="Times New Roman"/>
          <w:sz w:val="24"/>
          <w:szCs w:val="24"/>
        </w:rPr>
        <w:t>they</w:t>
      </w:r>
      <w:r w:rsidR="00F458E4">
        <w:rPr>
          <w:rFonts w:ascii="Times New Roman" w:hAnsi="Times New Roman" w:cs="Times New Roman"/>
          <w:sz w:val="24"/>
          <w:szCs w:val="24"/>
        </w:rPr>
        <w:t xml:space="preserve"> </w:t>
      </w:r>
      <w:r w:rsidR="00F458E4">
        <w:rPr>
          <w:rFonts w:ascii="Times New Roman" w:hAnsi="Times New Roman" w:cs="Times New Roman"/>
          <w:sz w:val="24"/>
          <w:szCs w:val="24"/>
        </w:rPr>
        <w:lastRenderedPageBreak/>
        <w:t>leave</w:t>
      </w:r>
      <w:r w:rsidR="00331079">
        <w:rPr>
          <w:rFonts w:ascii="Times New Roman" w:hAnsi="Times New Roman" w:cs="Times New Roman"/>
          <w:sz w:val="24"/>
          <w:szCs w:val="24"/>
        </w:rPr>
        <w:t xml:space="preserve"> them positive bequests</w:t>
      </w:r>
      <w:r w:rsidR="00F458E4">
        <w:rPr>
          <w:rFonts w:ascii="Times New Roman" w:hAnsi="Times New Roman" w:cs="Times New Roman"/>
          <w:sz w:val="24"/>
          <w:szCs w:val="24"/>
        </w:rPr>
        <w:t xml:space="preserve"> in order</w:t>
      </w:r>
      <w:r w:rsidR="00466BCD">
        <w:rPr>
          <w:rFonts w:ascii="Times New Roman" w:hAnsi="Times New Roman" w:cs="Times New Roman"/>
          <w:sz w:val="24"/>
          <w:szCs w:val="24"/>
        </w:rPr>
        <w:t xml:space="preserve"> to alleviate the increased </w:t>
      </w:r>
      <w:r w:rsidR="00B26BFE">
        <w:rPr>
          <w:rFonts w:ascii="Times New Roman" w:hAnsi="Times New Roman" w:cs="Times New Roman"/>
          <w:sz w:val="24"/>
          <w:szCs w:val="24"/>
        </w:rPr>
        <w:t xml:space="preserve">future </w:t>
      </w:r>
      <w:r w:rsidR="00466BCD">
        <w:rPr>
          <w:rFonts w:ascii="Times New Roman" w:hAnsi="Times New Roman" w:cs="Times New Roman"/>
          <w:sz w:val="24"/>
          <w:szCs w:val="24"/>
        </w:rPr>
        <w:t>tax burden</w:t>
      </w:r>
      <w:r w:rsidR="00331079">
        <w:rPr>
          <w:rFonts w:ascii="Times New Roman" w:hAnsi="Times New Roman" w:cs="Times New Roman"/>
          <w:sz w:val="24"/>
          <w:szCs w:val="24"/>
        </w:rPr>
        <w:t xml:space="preserve">. As a result current generations </w:t>
      </w:r>
      <w:r w:rsidR="008F715E">
        <w:rPr>
          <w:rFonts w:ascii="Times New Roman" w:hAnsi="Times New Roman" w:cs="Times New Roman"/>
          <w:sz w:val="24"/>
          <w:szCs w:val="24"/>
        </w:rPr>
        <w:t>do not perceive the gover</w:t>
      </w:r>
      <w:r w:rsidR="00466BCD">
        <w:rPr>
          <w:rFonts w:ascii="Times New Roman" w:hAnsi="Times New Roman" w:cs="Times New Roman"/>
          <w:sz w:val="24"/>
          <w:szCs w:val="24"/>
        </w:rPr>
        <w:t>nment debt as net wealth, and hence they</w:t>
      </w:r>
      <w:r w:rsidR="008F715E">
        <w:rPr>
          <w:rFonts w:ascii="Times New Roman" w:hAnsi="Times New Roman" w:cs="Times New Roman"/>
          <w:sz w:val="24"/>
          <w:szCs w:val="24"/>
        </w:rPr>
        <w:t xml:space="preserve"> don’t</w:t>
      </w:r>
      <w:r w:rsidR="00331079">
        <w:rPr>
          <w:rFonts w:ascii="Times New Roman" w:hAnsi="Times New Roman" w:cs="Times New Roman"/>
          <w:sz w:val="24"/>
          <w:szCs w:val="24"/>
        </w:rPr>
        <w:t xml:space="preserve"> increase </w:t>
      </w:r>
      <w:r w:rsidR="008F715E">
        <w:rPr>
          <w:rFonts w:ascii="Times New Roman" w:hAnsi="Times New Roman" w:cs="Times New Roman"/>
          <w:sz w:val="24"/>
          <w:szCs w:val="24"/>
        </w:rPr>
        <w:t>current consumption</w:t>
      </w:r>
      <w:r w:rsidR="00606808">
        <w:rPr>
          <w:rFonts w:ascii="Times New Roman" w:hAnsi="Times New Roman" w:cs="Times New Roman"/>
          <w:sz w:val="24"/>
          <w:szCs w:val="24"/>
        </w:rPr>
        <w:t xml:space="preserve"> leaving unaffected </w:t>
      </w:r>
      <w:r w:rsidR="008F715E">
        <w:rPr>
          <w:rFonts w:ascii="Times New Roman" w:hAnsi="Times New Roman" w:cs="Times New Roman"/>
          <w:sz w:val="24"/>
          <w:szCs w:val="24"/>
        </w:rPr>
        <w:t>the aggre</w:t>
      </w:r>
      <w:r w:rsidR="00606808">
        <w:rPr>
          <w:rFonts w:ascii="Times New Roman" w:hAnsi="Times New Roman" w:cs="Times New Roman"/>
          <w:sz w:val="24"/>
          <w:szCs w:val="24"/>
        </w:rPr>
        <w:t>gate demand.</w:t>
      </w:r>
    </w:p>
    <w:p w:rsidR="00C03B69" w:rsidRDefault="00975BE2"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Furthermore, </w:t>
      </w:r>
      <w:r w:rsidR="00C03B69">
        <w:rPr>
          <w:rFonts w:ascii="Times New Roman" w:hAnsi="Times New Roman" w:cs="Times New Roman"/>
          <w:sz w:val="24"/>
          <w:szCs w:val="24"/>
        </w:rPr>
        <w:t>Barro</w:t>
      </w:r>
      <w:r w:rsidR="00B26BFE">
        <w:rPr>
          <w:rFonts w:ascii="Times New Roman" w:hAnsi="Times New Roman" w:cs="Times New Roman"/>
          <w:sz w:val="24"/>
          <w:szCs w:val="24"/>
        </w:rPr>
        <w:t xml:space="preserve"> assessed the impact of the</w:t>
      </w:r>
      <w:r w:rsidR="00F052B2">
        <w:rPr>
          <w:rFonts w:ascii="Times New Roman" w:hAnsi="Times New Roman" w:cs="Times New Roman"/>
          <w:sz w:val="24"/>
          <w:szCs w:val="24"/>
        </w:rPr>
        <w:t xml:space="preserve"> </w:t>
      </w:r>
      <w:r>
        <w:rPr>
          <w:rFonts w:ascii="Times New Roman" w:hAnsi="Times New Roman" w:cs="Times New Roman"/>
          <w:sz w:val="24"/>
          <w:szCs w:val="24"/>
        </w:rPr>
        <w:t xml:space="preserve">imperfect capital markets and </w:t>
      </w:r>
      <w:r w:rsidR="00F052B2">
        <w:rPr>
          <w:rFonts w:ascii="Times New Roman" w:hAnsi="Times New Roman" w:cs="Times New Roman"/>
          <w:sz w:val="24"/>
          <w:szCs w:val="24"/>
        </w:rPr>
        <w:t>liquidity constr</w:t>
      </w:r>
      <w:r>
        <w:rPr>
          <w:rFonts w:ascii="Times New Roman" w:hAnsi="Times New Roman" w:cs="Times New Roman"/>
          <w:sz w:val="24"/>
          <w:szCs w:val="24"/>
        </w:rPr>
        <w:t xml:space="preserve">aints </w:t>
      </w:r>
      <w:r w:rsidR="00F052B2">
        <w:rPr>
          <w:rFonts w:ascii="Times New Roman" w:hAnsi="Times New Roman" w:cs="Times New Roman"/>
          <w:sz w:val="24"/>
          <w:szCs w:val="24"/>
        </w:rPr>
        <w:t xml:space="preserve">on the specific issue. According to his findings, the net wealth effect can be positive if the </w:t>
      </w:r>
      <w:r w:rsidR="00236DA9">
        <w:rPr>
          <w:rFonts w:ascii="Times New Roman" w:hAnsi="Times New Roman" w:cs="Times New Roman"/>
          <w:sz w:val="24"/>
          <w:szCs w:val="24"/>
        </w:rPr>
        <w:t>government is more efficient in the “lending and borrowing” procedure.</w:t>
      </w:r>
      <w:r w:rsidR="00F052B2">
        <w:rPr>
          <w:rFonts w:ascii="Times New Roman" w:hAnsi="Times New Roman" w:cs="Times New Roman"/>
          <w:sz w:val="24"/>
          <w:szCs w:val="24"/>
        </w:rPr>
        <w:t xml:space="preserve"> </w:t>
      </w:r>
      <w:r w:rsidR="00B26BFE">
        <w:rPr>
          <w:rFonts w:ascii="Times New Roman" w:hAnsi="Times New Roman" w:cs="Times New Roman"/>
          <w:sz w:val="24"/>
          <w:szCs w:val="24"/>
        </w:rPr>
        <w:t>Additionally, c</w:t>
      </w:r>
      <w:r w:rsidR="00236DA9">
        <w:rPr>
          <w:rFonts w:ascii="Times New Roman" w:hAnsi="Times New Roman" w:cs="Times New Roman"/>
          <w:sz w:val="24"/>
          <w:szCs w:val="24"/>
        </w:rPr>
        <w:t xml:space="preserve">oncerning the liquidity constraints, there </w:t>
      </w:r>
      <w:r w:rsidR="00890F4B">
        <w:rPr>
          <w:rFonts w:ascii="Times New Roman" w:hAnsi="Times New Roman" w:cs="Times New Roman"/>
          <w:sz w:val="24"/>
          <w:szCs w:val="24"/>
        </w:rPr>
        <w:t>will</w:t>
      </w:r>
      <w:r w:rsidR="00C03B69">
        <w:rPr>
          <w:rFonts w:ascii="Times New Roman" w:hAnsi="Times New Roman" w:cs="Times New Roman"/>
          <w:sz w:val="24"/>
          <w:szCs w:val="24"/>
        </w:rPr>
        <w:t xml:space="preserve"> be no wealth effects</w:t>
      </w:r>
      <w:r w:rsidR="00F052B2">
        <w:rPr>
          <w:rFonts w:ascii="Times New Roman" w:hAnsi="Times New Roman" w:cs="Times New Roman"/>
          <w:sz w:val="24"/>
          <w:szCs w:val="24"/>
        </w:rPr>
        <w:t xml:space="preserve"> due to the bonds issue if </w:t>
      </w:r>
      <w:r w:rsidR="00236DA9">
        <w:rPr>
          <w:rFonts w:ascii="Times New Roman" w:hAnsi="Times New Roman" w:cs="Times New Roman"/>
          <w:sz w:val="24"/>
          <w:szCs w:val="24"/>
        </w:rPr>
        <w:t xml:space="preserve">the households are not liquidity </w:t>
      </w:r>
      <w:r w:rsidR="00B26BFE">
        <w:rPr>
          <w:rFonts w:ascii="Times New Roman" w:hAnsi="Times New Roman" w:cs="Times New Roman"/>
          <w:sz w:val="24"/>
          <w:szCs w:val="24"/>
        </w:rPr>
        <w:t xml:space="preserve">constrained, but </w:t>
      </w:r>
      <w:r w:rsidR="00890F4B">
        <w:rPr>
          <w:rFonts w:ascii="Times New Roman" w:hAnsi="Times New Roman" w:cs="Times New Roman"/>
          <w:sz w:val="24"/>
          <w:szCs w:val="24"/>
        </w:rPr>
        <w:t xml:space="preserve">the corresponding effect will be </w:t>
      </w:r>
      <w:r w:rsidR="00B26BFE">
        <w:rPr>
          <w:rFonts w:ascii="Times New Roman" w:hAnsi="Times New Roman" w:cs="Times New Roman"/>
          <w:sz w:val="24"/>
          <w:szCs w:val="24"/>
        </w:rPr>
        <w:t>positive if</w:t>
      </w:r>
      <w:r w:rsidR="00236DA9">
        <w:rPr>
          <w:rFonts w:ascii="Times New Roman" w:hAnsi="Times New Roman" w:cs="Times New Roman"/>
          <w:sz w:val="24"/>
          <w:szCs w:val="24"/>
        </w:rPr>
        <w:t xml:space="preserve"> households face limitations in liquidity services. </w:t>
      </w:r>
    </w:p>
    <w:p w:rsidR="00BC5370" w:rsidRPr="00BC5370" w:rsidRDefault="00BC5370" w:rsidP="00BC5370">
      <w:pPr>
        <w:pStyle w:val="a9"/>
        <w:numPr>
          <w:ilvl w:val="0"/>
          <w:numId w:val="1"/>
        </w:numPr>
        <w:spacing w:line="240" w:lineRule="auto"/>
        <w:ind w:left="0"/>
        <w:jc w:val="both"/>
        <w:rPr>
          <w:rFonts w:ascii="Times New Roman" w:hAnsi="Times New Roman" w:cs="Times New Roman"/>
          <w:b/>
          <w:sz w:val="24"/>
          <w:szCs w:val="24"/>
        </w:rPr>
      </w:pPr>
      <w:r w:rsidRPr="00BC5370">
        <w:rPr>
          <w:rFonts w:ascii="Times New Roman" w:hAnsi="Times New Roman" w:cs="Times New Roman"/>
          <w:b/>
          <w:sz w:val="24"/>
          <w:szCs w:val="24"/>
        </w:rPr>
        <w:t xml:space="preserve">The </w:t>
      </w:r>
      <w:proofErr w:type="spellStart"/>
      <w:r w:rsidRPr="00BC5370">
        <w:rPr>
          <w:rFonts w:ascii="Times New Roman" w:hAnsi="Times New Roman" w:cs="Times New Roman"/>
          <w:b/>
          <w:sz w:val="24"/>
          <w:szCs w:val="24"/>
        </w:rPr>
        <w:t>Ricardian</w:t>
      </w:r>
      <w:proofErr w:type="spellEnd"/>
      <w:r w:rsidRPr="00BC5370">
        <w:rPr>
          <w:rFonts w:ascii="Times New Roman" w:hAnsi="Times New Roman" w:cs="Times New Roman"/>
          <w:b/>
          <w:sz w:val="24"/>
          <w:szCs w:val="24"/>
        </w:rPr>
        <w:t xml:space="preserve"> Equivalence result by David </w:t>
      </w:r>
      <w:proofErr w:type="spellStart"/>
      <w:r w:rsidRPr="00BC5370">
        <w:rPr>
          <w:rFonts w:ascii="Times New Roman" w:hAnsi="Times New Roman" w:cs="Times New Roman"/>
          <w:b/>
          <w:sz w:val="24"/>
          <w:szCs w:val="24"/>
        </w:rPr>
        <w:t>Romer</w:t>
      </w:r>
      <w:proofErr w:type="spellEnd"/>
    </w:p>
    <w:p w:rsidR="00E47E6E" w:rsidRDefault="0032107D" w:rsidP="004A1EFF">
      <w:pPr>
        <w:spacing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Romer</w:t>
      </w:r>
      <w:proofErr w:type="spellEnd"/>
      <w:r>
        <w:rPr>
          <w:rFonts w:ascii="Times New Roman" w:hAnsi="Times New Roman" w:cs="Times New Roman"/>
          <w:sz w:val="24"/>
          <w:szCs w:val="24"/>
        </w:rPr>
        <w:t xml:space="preserve"> (2012) in</w:t>
      </w:r>
      <w:r w:rsidR="00C97708">
        <w:rPr>
          <w:rFonts w:ascii="Times New Roman" w:hAnsi="Times New Roman" w:cs="Times New Roman"/>
          <w:sz w:val="24"/>
          <w:szCs w:val="24"/>
        </w:rPr>
        <w:t xml:space="preserve"> his book Advanced Macroeconomics analyzed the </w:t>
      </w:r>
      <w:r w:rsidR="00E47E6E">
        <w:rPr>
          <w:rFonts w:ascii="Times New Roman" w:hAnsi="Times New Roman" w:cs="Times New Roman"/>
          <w:sz w:val="24"/>
          <w:szCs w:val="24"/>
        </w:rPr>
        <w:t xml:space="preserve">Ricardian Equivalence </w:t>
      </w:r>
      <w:r w:rsidR="00C97708">
        <w:rPr>
          <w:rFonts w:ascii="Times New Roman" w:hAnsi="Times New Roman" w:cs="Times New Roman"/>
          <w:sz w:val="24"/>
          <w:szCs w:val="24"/>
        </w:rPr>
        <w:t>result</w:t>
      </w:r>
      <w:r w:rsidR="00E47E6E">
        <w:rPr>
          <w:rFonts w:ascii="Times New Roman" w:hAnsi="Times New Roman" w:cs="Times New Roman"/>
          <w:sz w:val="24"/>
          <w:szCs w:val="24"/>
        </w:rPr>
        <w:t xml:space="preserve"> based on Ramsey</w:t>
      </w:r>
      <w:r w:rsidR="00890F4B">
        <w:rPr>
          <w:rFonts w:ascii="Times New Roman" w:hAnsi="Times New Roman" w:cs="Times New Roman"/>
          <w:sz w:val="24"/>
          <w:szCs w:val="24"/>
        </w:rPr>
        <w:t xml:space="preserve"> – </w:t>
      </w:r>
      <w:r w:rsidR="00E47E6E">
        <w:rPr>
          <w:rFonts w:ascii="Times New Roman" w:hAnsi="Times New Roman" w:cs="Times New Roman"/>
          <w:sz w:val="24"/>
          <w:szCs w:val="24"/>
        </w:rPr>
        <w:t>Cass</w:t>
      </w:r>
      <w:r w:rsidR="00890F4B">
        <w:rPr>
          <w:rFonts w:ascii="Times New Roman" w:hAnsi="Times New Roman" w:cs="Times New Roman"/>
          <w:sz w:val="24"/>
          <w:szCs w:val="24"/>
        </w:rPr>
        <w:t xml:space="preserve"> </w:t>
      </w:r>
      <w:r w:rsidR="00E47E6E">
        <w:rPr>
          <w:rFonts w:ascii="Times New Roman" w:hAnsi="Times New Roman" w:cs="Times New Roman"/>
          <w:sz w:val="24"/>
          <w:szCs w:val="24"/>
        </w:rPr>
        <w:t>-</w:t>
      </w:r>
      <w:r w:rsidR="00890F4B">
        <w:rPr>
          <w:rFonts w:ascii="Times New Roman" w:hAnsi="Times New Roman" w:cs="Times New Roman"/>
          <w:sz w:val="24"/>
          <w:szCs w:val="24"/>
        </w:rPr>
        <w:t xml:space="preserve"> </w:t>
      </w:r>
      <w:r w:rsidR="00E47E6E">
        <w:rPr>
          <w:rFonts w:ascii="Times New Roman" w:hAnsi="Times New Roman" w:cs="Times New Roman"/>
          <w:sz w:val="24"/>
          <w:szCs w:val="24"/>
        </w:rPr>
        <w:t>Koopmans model with</w:t>
      </w:r>
      <w:r>
        <w:rPr>
          <w:rFonts w:ascii="Times New Roman" w:hAnsi="Times New Roman" w:cs="Times New Roman"/>
          <w:sz w:val="24"/>
          <w:szCs w:val="24"/>
        </w:rPr>
        <w:t xml:space="preserve"> lump sum taxation. The model</w:t>
      </w:r>
      <w:r w:rsidR="00E47E6E">
        <w:rPr>
          <w:rFonts w:ascii="Times New Roman" w:hAnsi="Times New Roman" w:cs="Times New Roman"/>
          <w:sz w:val="24"/>
          <w:szCs w:val="24"/>
        </w:rPr>
        <w:t xml:space="preserve"> assumes that in the case of taxes the household budget constraint is as follows:</w:t>
      </w:r>
    </w:p>
    <w:p w:rsidR="00975BE2" w:rsidRDefault="00C16EA4" w:rsidP="004A1EFF">
      <w:pPr>
        <w:spacing w:line="240" w:lineRule="auto"/>
        <w:jc w:val="center"/>
        <w:rPr>
          <w:rFonts w:ascii="Times New Roman" w:eastAsiaTheme="minorEastAsia" w:hAnsi="Times New Roman" w:cs="Times New Roman"/>
          <w:sz w:val="24"/>
          <w:szCs w:val="24"/>
        </w:rPr>
      </w:pPr>
      <m:oMathPara>
        <m:oMath>
          <m:nary>
            <m:naryPr>
              <m:limLoc m:val="subSup"/>
              <m:ctrlPr>
                <w:rPr>
                  <w:rFonts w:ascii="Cambria Math" w:hAnsi="Cambria Math" w:cs="Times New Roman"/>
                  <w:i/>
                  <w:sz w:val="24"/>
                  <w:szCs w:val="24"/>
                </w:rPr>
              </m:ctrlPr>
            </m:naryPr>
            <m:sub>
              <m:r>
                <w:rPr>
                  <w:rFonts w:ascii="Cambria Math" w:hAnsi="Cambria Math" w:cs="Times New Roman"/>
                  <w:sz w:val="24"/>
                  <w:szCs w:val="24"/>
                </w:rPr>
                <m:t>t=0</m:t>
              </m:r>
            </m:sub>
            <m:sup>
              <m:r>
                <w:rPr>
                  <w:rFonts w:ascii="Cambria Math" w:hAnsi="Cambria Math" w:cs="Times New Roman"/>
                  <w:sz w:val="24"/>
                  <w:szCs w:val="24"/>
                </w:rPr>
                <m:t>∞</m:t>
              </m:r>
            </m:sup>
            <m:e>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t</m:t>
                      </m:r>
                    </m:e>
                  </m:d>
                </m:sup>
              </m:sSup>
              <m:r>
                <w:rPr>
                  <w:rFonts w:ascii="Cambria Math" w:hAnsi="Cambria Math" w:cs="Times New Roman"/>
                  <w:sz w:val="24"/>
                  <w:szCs w:val="24"/>
                </w:rPr>
                <m:t>C(t)dt</m:t>
              </m:r>
            </m:e>
          </m:nary>
          <m:r>
            <w:rPr>
              <w:rFonts w:ascii="Cambria Math" w:eastAsiaTheme="minorEastAsia" w:hAnsi="Cambria Math" w:cs="Times New Roman"/>
              <w:sz w:val="24"/>
              <w:szCs w:val="24"/>
            </w:rPr>
            <m:t>≤K</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m:t>
              </m:r>
            </m:e>
          </m:d>
          <m:r>
            <w:rPr>
              <w:rFonts w:ascii="Cambria Math" w:eastAsiaTheme="minorEastAsia" w:hAnsi="Cambria Math" w:cs="Times New Roman"/>
              <w:sz w:val="24"/>
              <w:szCs w:val="24"/>
            </w:rPr>
            <m:t>+D</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m:t>
              </m:r>
            </m:e>
          </m:d>
          <m:r>
            <w:rPr>
              <w:rFonts w:ascii="Cambria Math" w:eastAsiaTheme="minorEastAsia" w:hAnsi="Cambria Math" w:cs="Times New Roman"/>
              <w:sz w:val="24"/>
              <w:szCs w:val="24"/>
            </w:rPr>
            <m:t>+</m:t>
          </m:r>
          <m:nary>
            <m:naryPr>
              <m:limLoc m:val="subSup"/>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t=0</m:t>
              </m:r>
            </m:sub>
            <m:sup>
              <m:r>
                <w:rPr>
                  <w:rFonts w:ascii="Cambria Math" w:eastAsiaTheme="minorEastAsia" w:hAnsi="Cambria Math" w:cs="Times New Roman"/>
                  <w:sz w:val="24"/>
                  <w:szCs w:val="24"/>
                </w:rPr>
                <m:t>∞</m:t>
              </m:r>
            </m:sup>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-R</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sup>
              </m:s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w</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e>
              </m:d>
              <m:r>
                <w:rPr>
                  <w:rFonts w:ascii="Cambria Math" w:eastAsiaTheme="minorEastAsia" w:hAnsi="Cambria Math" w:cs="Times New Roman"/>
                  <w:sz w:val="24"/>
                  <w:szCs w:val="24"/>
                </w:rPr>
                <m:t>dt</m:t>
              </m:r>
            </m:e>
          </m:nary>
          <m:r>
            <w:rPr>
              <w:rFonts w:ascii="Cambria Math" w:eastAsiaTheme="minorEastAsia" w:hAnsi="Cambria Math" w:cs="Times New Roman"/>
              <w:sz w:val="24"/>
              <w:szCs w:val="24"/>
            </w:rPr>
            <m:t xml:space="preserve">        (1)</m:t>
          </m:r>
        </m:oMath>
      </m:oMathPara>
    </w:p>
    <w:p w:rsidR="00E81FF6" w:rsidRDefault="00DC74AE" w:rsidP="004A1EFF">
      <w:pPr>
        <w:spacing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w:proofErr w:type="gramStart"/>
      <w:r>
        <w:rPr>
          <w:rFonts w:ascii="Times New Roman" w:eastAsiaTheme="minorEastAsia" w:hAnsi="Times New Roman" w:cs="Times New Roman"/>
          <w:sz w:val="24"/>
          <w:szCs w:val="24"/>
        </w:rPr>
        <w:t>C(</w:t>
      </w:r>
      <w:proofErr w:type="gramEnd"/>
      <w:r>
        <w:rPr>
          <w:rFonts w:ascii="Times New Roman" w:eastAsiaTheme="minorEastAsia" w:hAnsi="Times New Roman" w:cs="Times New Roman"/>
          <w:sz w:val="24"/>
          <w:szCs w:val="24"/>
        </w:rPr>
        <w:t>t) is consumption, W(</w:t>
      </w:r>
      <w:r w:rsidR="00E81FF6">
        <w:rPr>
          <w:rFonts w:ascii="Times New Roman" w:eastAsiaTheme="minorEastAsia" w:hAnsi="Times New Roman" w:cs="Times New Roman"/>
          <w:sz w:val="24"/>
          <w:szCs w:val="24"/>
        </w:rPr>
        <w:t>t)</w:t>
      </w:r>
      <w:r>
        <w:rPr>
          <w:rFonts w:ascii="Times New Roman" w:eastAsiaTheme="minorEastAsia" w:hAnsi="Times New Roman" w:cs="Times New Roman"/>
          <w:sz w:val="24"/>
          <w:szCs w:val="24"/>
        </w:rPr>
        <w:t xml:space="preserve"> the labor income, T(t) the taxes, </w:t>
      </w:r>
      <w:r w:rsidR="00E81FF6">
        <w:rPr>
          <w:rFonts w:ascii="Times New Roman" w:eastAsiaTheme="minorEastAsia" w:hAnsi="Times New Roman" w:cs="Times New Roman"/>
          <w:sz w:val="24"/>
          <w:szCs w:val="24"/>
        </w:rPr>
        <w:t xml:space="preserve">while </w:t>
      </w:r>
      <w:r>
        <w:rPr>
          <w:rFonts w:ascii="Times New Roman" w:eastAsiaTheme="minorEastAsia" w:hAnsi="Times New Roman" w:cs="Times New Roman"/>
          <w:sz w:val="24"/>
          <w:szCs w:val="24"/>
        </w:rPr>
        <w:t>K(0)</w:t>
      </w:r>
      <w:r w:rsidR="0032107D">
        <w:rPr>
          <w:rFonts w:ascii="Times New Roman" w:eastAsiaTheme="minorEastAsia" w:hAnsi="Times New Roman" w:cs="Times New Roman"/>
          <w:sz w:val="24"/>
          <w:szCs w:val="24"/>
        </w:rPr>
        <w:t xml:space="preserve"> and D(0) stands for the quantities of the capital and government bonds at time 0</w:t>
      </w:r>
      <w:r w:rsidR="000A3968">
        <w:rPr>
          <w:rFonts w:ascii="Times New Roman" w:eastAsiaTheme="minorEastAsia" w:hAnsi="Times New Roman" w:cs="Times New Roman"/>
          <w:sz w:val="24"/>
          <w:szCs w:val="24"/>
        </w:rPr>
        <w:t>. The logic of the</w:t>
      </w:r>
      <w:r>
        <w:rPr>
          <w:rFonts w:ascii="Times New Roman" w:eastAsiaTheme="minorEastAsia" w:hAnsi="Times New Roman" w:cs="Times New Roman"/>
          <w:sz w:val="24"/>
          <w:szCs w:val="24"/>
        </w:rPr>
        <w:t xml:space="preserve"> budget constraint is that the present value of the consumption cannot exceed the initial quantities of capital and government bonds plus the present value of the labor </w:t>
      </w:r>
      <w:r w:rsidR="004B344F">
        <w:rPr>
          <w:rFonts w:ascii="Times New Roman" w:eastAsiaTheme="minorEastAsia" w:hAnsi="Times New Roman" w:cs="Times New Roman"/>
          <w:sz w:val="24"/>
          <w:szCs w:val="24"/>
        </w:rPr>
        <w:t>after tax income</w:t>
      </w:r>
      <w:r>
        <w:rPr>
          <w:rFonts w:ascii="Times New Roman" w:eastAsiaTheme="minorEastAsia" w:hAnsi="Times New Roman" w:cs="Times New Roman"/>
          <w:sz w:val="24"/>
          <w:szCs w:val="24"/>
        </w:rPr>
        <w:t>.</w:t>
      </w:r>
      <w:r w:rsidR="00E81FF6">
        <w:rPr>
          <w:rFonts w:ascii="Times New Roman" w:eastAsiaTheme="minorEastAsia" w:hAnsi="Times New Roman" w:cs="Times New Roman"/>
          <w:sz w:val="24"/>
          <w:szCs w:val="24"/>
        </w:rPr>
        <w:t xml:space="preserve"> </w:t>
      </w:r>
    </w:p>
    <w:p w:rsidR="00DC74AE" w:rsidRDefault="00DC74AE" w:rsidP="004A1EFF">
      <w:pPr>
        <w:spacing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household budget constraint can also be written:</w:t>
      </w:r>
    </w:p>
    <w:p w:rsidR="00B13960" w:rsidRDefault="00C16EA4" w:rsidP="004A1EFF">
      <w:pPr>
        <w:spacing w:line="240" w:lineRule="auto"/>
        <w:jc w:val="center"/>
        <w:rPr>
          <w:rFonts w:ascii="Times New Roman" w:eastAsiaTheme="minorEastAsia" w:hAnsi="Times New Roman" w:cs="Times New Roman"/>
          <w:sz w:val="24"/>
          <w:szCs w:val="24"/>
        </w:rPr>
      </w:pPr>
      <m:oMath>
        <m:nary>
          <m:naryPr>
            <m:limLoc m:val="subSup"/>
            <m:ctrlPr>
              <w:rPr>
                <w:rFonts w:ascii="Cambria Math" w:hAnsi="Cambria Math" w:cs="Times New Roman"/>
                <w:i/>
                <w:sz w:val="24"/>
                <w:szCs w:val="24"/>
              </w:rPr>
            </m:ctrlPr>
          </m:naryPr>
          <m:sub>
            <m:r>
              <w:rPr>
                <w:rFonts w:ascii="Cambria Math" w:hAnsi="Cambria Math" w:cs="Times New Roman"/>
                <w:sz w:val="24"/>
                <w:szCs w:val="24"/>
              </w:rPr>
              <m:t>t=0</m:t>
            </m:r>
          </m:sub>
          <m:sup>
            <m:r>
              <w:rPr>
                <w:rFonts w:ascii="Cambria Math" w:hAnsi="Cambria Math" w:cs="Times New Roman"/>
                <w:sz w:val="24"/>
                <w:szCs w:val="24"/>
              </w:rPr>
              <m:t>∞</m:t>
            </m:r>
          </m:sup>
          <m:e>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t</m:t>
                    </m:r>
                  </m:e>
                </m:d>
              </m:sup>
            </m:sSup>
            <m:r>
              <w:rPr>
                <w:rFonts w:ascii="Cambria Math" w:hAnsi="Cambria Math" w:cs="Times New Roman"/>
                <w:sz w:val="24"/>
                <w:szCs w:val="24"/>
              </w:rPr>
              <m:t>C(t)dt</m:t>
            </m:r>
          </m:e>
        </m:nary>
        <m:r>
          <w:rPr>
            <w:rFonts w:ascii="Cambria Math" w:eastAsiaTheme="minorEastAsia" w:hAnsi="Cambria Math" w:cs="Times New Roman"/>
            <w:sz w:val="24"/>
            <w:szCs w:val="24"/>
          </w:rPr>
          <m:t>≤K</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m:t>
            </m:r>
          </m:e>
        </m:d>
        <m:r>
          <w:rPr>
            <w:rFonts w:ascii="Cambria Math" w:eastAsiaTheme="minorEastAsia" w:hAnsi="Cambria Math" w:cs="Times New Roman"/>
            <w:sz w:val="24"/>
            <w:szCs w:val="24"/>
          </w:rPr>
          <m:t>+D</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m:t>
            </m:r>
          </m:e>
        </m:d>
        <m:r>
          <w:rPr>
            <w:rFonts w:ascii="Cambria Math" w:eastAsiaTheme="minorEastAsia" w:hAnsi="Cambria Math" w:cs="Times New Roman"/>
            <w:sz w:val="24"/>
            <w:szCs w:val="24"/>
          </w:rPr>
          <m:t>+</m:t>
        </m:r>
        <m:nary>
          <m:naryPr>
            <m:limLoc m:val="subSup"/>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t=0</m:t>
            </m:r>
          </m:sub>
          <m:sup>
            <m:r>
              <w:rPr>
                <w:rFonts w:ascii="Cambria Math" w:eastAsiaTheme="minorEastAsia" w:hAnsi="Cambria Math" w:cs="Times New Roman"/>
                <w:sz w:val="24"/>
                <w:szCs w:val="24"/>
              </w:rPr>
              <m:t>∞</m:t>
            </m:r>
          </m:sup>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-R</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sup>
            </m:sSup>
          </m:e>
        </m:nary>
        <m:r>
          <w:rPr>
            <w:rFonts w:ascii="Cambria Math" w:eastAsiaTheme="minorEastAsia" w:hAnsi="Cambria Math" w:cs="Times New Roman"/>
            <w:sz w:val="24"/>
            <w:szCs w:val="24"/>
          </w:rPr>
          <m:t>W</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dt</m:t>
        </m:r>
      </m:oMath>
      <w:r w:rsidR="0058596A">
        <w:rPr>
          <w:rFonts w:ascii="Times New Roman" w:eastAsiaTheme="minorEastAsia" w:hAnsi="Times New Roman" w:cs="Times New Roman"/>
          <w:sz w:val="24"/>
          <w:szCs w:val="24"/>
        </w:rPr>
        <w:t>-</w:t>
      </w:r>
      <m:oMath>
        <m:nary>
          <m:naryPr>
            <m:limLoc m:val="subSup"/>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t=0</m:t>
            </m:r>
          </m:sub>
          <m:sup>
            <m:r>
              <w:rPr>
                <w:rFonts w:ascii="Cambria Math" w:eastAsiaTheme="minorEastAsia" w:hAnsi="Cambria Math" w:cs="Times New Roman"/>
                <w:sz w:val="24"/>
                <w:szCs w:val="24"/>
              </w:rPr>
              <m:t>∞</m:t>
            </m:r>
          </m:sup>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-R</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sup>
            </m:sSup>
            <m:r>
              <w:rPr>
                <w:rFonts w:ascii="Cambria Math" w:eastAsiaTheme="minorEastAsia" w:hAnsi="Cambria Math" w:cs="Times New Roman"/>
                <w:sz w:val="24"/>
                <w:szCs w:val="24"/>
              </w:rPr>
              <m:t>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dt        (2)</m:t>
            </m:r>
          </m:e>
        </m:nary>
      </m:oMath>
    </w:p>
    <w:p w:rsidR="008F37E7" w:rsidRDefault="00E81FF6" w:rsidP="004A1EFF">
      <w:pPr>
        <w:spacing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Assuming that </w:t>
      </w:r>
      <w:r w:rsidR="008F37E7">
        <w:rPr>
          <w:rFonts w:ascii="Times New Roman" w:eastAsiaTheme="minorEastAsia" w:hAnsi="Times New Roman" w:cs="Times New Roman"/>
          <w:sz w:val="24"/>
          <w:szCs w:val="24"/>
        </w:rPr>
        <w:t>the government satisfies its bud</w:t>
      </w:r>
      <w:r w:rsidR="000A3968">
        <w:rPr>
          <w:rFonts w:ascii="Times New Roman" w:eastAsiaTheme="minorEastAsia" w:hAnsi="Times New Roman" w:cs="Times New Roman"/>
          <w:sz w:val="24"/>
          <w:szCs w:val="24"/>
        </w:rPr>
        <w:t>get constraint with equality meaning</w:t>
      </w:r>
      <w:r w:rsidR="008F37E7">
        <w:rPr>
          <w:rFonts w:ascii="Times New Roman" w:eastAsiaTheme="minorEastAsia" w:hAnsi="Times New Roman" w:cs="Times New Roman"/>
          <w:sz w:val="24"/>
          <w:szCs w:val="24"/>
        </w:rPr>
        <w:t xml:space="preserve"> that the present value of </w:t>
      </w:r>
      <w:r w:rsidR="000A3968">
        <w:rPr>
          <w:rFonts w:ascii="Times New Roman" w:eastAsiaTheme="minorEastAsia" w:hAnsi="Times New Roman" w:cs="Times New Roman"/>
          <w:sz w:val="24"/>
          <w:szCs w:val="24"/>
        </w:rPr>
        <w:t>taxes equals initial debt</w:t>
      </w:r>
      <w:r w:rsidR="008F37E7">
        <w:rPr>
          <w:rFonts w:ascii="Times New Roman" w:eastAsiaTheme="minorEastAsia" w:hAnsi="Times New Roman" w:cs="Times New Roman"/>
          <w:sz w:val="24"/>
          <w:szCs w:val="24"/>
        </w:rPr>
        <w:t xml:space="preserve"> plus the present value of the govern</w:t>
      </w:r>
      <w:r>
        <w:rPr>
          <w:rFonts w:ascii="Times New Roman" w:eastAsiaTheme="minorEastAsia" w:hAnsi="Times New Roman" w:cs="Times New Roman"/>
          <w:sz w:val="24"/>
          <w:szCs w:val="24"/>
        </w:rPr>
        <w:t>ment purchases we can write</w:t>
      </w:r>
      <w:r w:rsidR="008F37E7">
        <w:rPr>
          <w:rFonts w:ascii="Times New Roman" w:eastAsiaTheme="minorEastAsia" w:hAnsi="Times New Roman" w:cs="Times New Roman"/>
          <w:sz w:val="24"/>
          <w:szCs w:val="24"/>
        </w:rPr>
        <w:t>:</w:t>
      </w:r>
    </w:p>
    <w:p w:rsidR="00B13960" w:rsidRDefault="00C16EA4" w:rsidP="004A1EFF">
      <w:pPr>
        <w:spacing w:line="240" w:lineRule="auto"/>
        <w:jc w:val="center"/>
        <w:rPr>
          <w:rFonts w:ascii="Times New Roman" w:eastAsiaTheme="minorEastAsia" w:hAnsi="Times New Roman" w:cs="Times New Roman"/>
          <w:sz w:val="24"/>
          <w:szCs w:val="24"/>
        </w:rPr>
      </w:pPr>
      <m:oMathPara>
        <m:oMath>
          <m:nary>
            <m:naryPr>
              <m:limLoc m:val="subSup"/>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t=0</m:t>
              </m:r>
            </m:sub>
            <m:sup>
              <m:r>
                <w:rPr>
                  <w:rFonts w:ascii="Cambria Math" w:eastAsiaTheme="minorEastAsia" w:hAnsi="Cambria Math" w:cs="Times New Roman"/>
                  <w:sz w:val="24"/>
                  <w:szCs w:val="24"/>
                </w:rPr>
                <m:t>∞</m:t>
              </m:r>
            </m:sup>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-R(t)</m:t>
                  </m:r>
                </m:sup>
              </m:sSup>
              <m:r>
                <w:rPr>
                  <w:rFonts w:ascii="Cambria Math" w:eastAsiaTheme="minorEastAsia" w:hAnsi="Cambria Math" w:cs="Times New Roman"/>
                  <w:sz w:val="24"/>
                  <w:szCs w:val="24"/>
                </w:rPr>
                <m:t>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dt</m:t>
              </m:r>
            </m:e>
          </m:nary>
          <m:r>
            <w:rPr>
              <w:rFonts w:ascii="Cambria Math" w:eastAsiaTheme="minorEastAsia" w:hAnsi="Cambria Math" w:cs="Times New Roman"/>
              <w:sz w:val="24"/>
              <w:szCs w:val="24"/>
            </w:rPr>
            <m:t>=D</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m:t>
              </m:r>
            </m:e>
          </m:d>
          <m:r>
            <w:rPr>
              <w:rFonts w:ascii="Cambria Math" w:eastAsiaTheme="minorEastAsia" w:hAnsi="Cambria Math" w:cs="Times New Roman"/>
              <w:sz w:val="24"/>
              <w:szCs w:val="24"/>
            </w:rPr>
            <m:t>+</m:t>
          </m:r>
          <m:nary>
            <m:naryPr>
              <m:limLoc m:val="subSup"/>
              <m:ctrlPr>
                <w:rPr>
                  <w:rFonts w:ascii="Cambria Math" w:hAnsi="Cambria Math" w:cs="Times New Roman"/>
                  <w:i/>
                  <w:sz w:val="24"/>
                  <w:szCs w:val="24"/>
                </w:rPr>
              </m:ctrlPr>
            </m:naryPr>
            <m:sub>
              <m:r>
                <w:rPr>
                  <w:rFonts w:ascii="Cambria Math" w:hAnsi="Cambria Math" w:cs="Times New Roman"/>
                  <w:sz w:val="24"/>
                  <w:szCs w:val="24"/>
                </w:rPr>
                <m:t>t=0</m:t>
              </m:r>
            </m:sub>
            <m:sup>
              <m:r>
                <w:rPr>
                  <w:rFonts w:ascii="Cambria Math" w:hAnsi="Cambria Math" w:cs="Times New Roman"/>
                  <w:sz w:val="24"/>
                  <w:szCs w:val="24"/>
                </w:rPr>
                <m:t>∞</m:t>
              </m:r>
            </m:sup>
            <m:e>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t</m:t>
                      </m:r>
                    </m:e>
                  </m:d>
                </m:sup>
              </m:sSup>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dt</m:t>
              </m:r>
            </m:e>
          </m:nary>
          <m:r>
            <w:rPr>
              <w:rFonts w:ascii="Cambria Math" w:hAnsi="Cambria Math" w:cs="Times New Roman"/>
              <w:sz w:val="24"/>
              <w:szCs w:val="24"/>
            </w:rPr>
            <m:t xml:space="preserve">        (3)</m:t>
          </m:r>
        </m:oMath>
      </m:oMathPara>
    </w:p>
    <w:p w:rsidR="008F37E7" w:rsidRDefault="000A3968" w:rsidP="004A1EFF">
      <w:pPr>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w:proofErr w:type="gramStart"/>
      <w:r>
        <w:rPr>
          <w:rFonts w:ascii="Times New Roman" w:eastAsiaTheme="minorEastAsia" w:hAnsi="Times New Roman" w:cs="Times New Roman"/>
          <w:sz w:val="24"/>
          <w:szCs w:val="24"/>
        </w:rPr>
        <w:t>G(</w:t>
      </w:r>
      <w:proofErr w:type="gramEnd"/>
      <w:r>
        <w:rPr>
          <w:rFonts w:ascii="Times New Roman" w:eastAsiaTheme="minorEastAsia" w:hAnsi="Times New Roman" w:cs="Times New Roman"/>
          <w:sz w:val="24"/>
          <w:szCs w:val="24"/>
        </w:rPr>
        <w:t xml:space="preserve">t) stands for the government purchases. </w:t>
      </w:r>
      <w:r w:rsidR="008F37E7">
        <w:rPr>
          <w:rFonts w:ascii="Times New Roman" w:eastAsiaTheme="minorEastAsia" w:hAnsi="Times New Roman" w:cs="Times New Roman"/>
          <w:sz w:val="24"/>
          <w:szCs w:val="24"/>
        </w:rPr>
        <w:t>Additionally the household budget constraint can be written as follows:</w:t>
      </w:r>
    </w:p>
    <w:p w:rsidR="008F37E7" w:rsidRDefault="00C16EA4" w:rsidP="004A1EFF">
      <w:pPr>
        <w:spacing w:line="240" w:lineRule="auto"/>
        <w:jc w:val="center"/>
        <w:rPr>
          <w:rFonts w:ascii="Times New Roman" w:eastAsiaTheme="minorEastAsia" w:hAnsi="Times New Roman" w:cs="Times New Roman"/>
          <w:sz w:val="24"/>
          <w:szCs w:val="24"/>
        </w:rPr>
      </w:pPr>
      <m:oMath>
        <m:nary>
          <m:naryPr>
            <m:limLoc m:val="subSup"/>
            <m:ctrlPr>
              <w:rPr>
                <w:rFonts w:ascii="Cambria Math" w:hAnsi="Cambria Math" w:cs="Times New Roman"/>
                <w:i/>
                <w:sz w:val="24"/>
                <w:szCs w:val="24"/>
              </w:rPr>
            </m:ctrlPr>
          </m:naryPr>
          <m:sub>
            <m:r>
              <w:rPr>
                <w:rFonts w:ascii="Cambria Math" w:hAnsi="Cambria Math" w:cs="Times New Roman"/>
                <w:sz w:val="24"/>
                <w:szCs w:val="24"/>
              </w:rPr>
              <m:t>t=0</m:t>
            </m:r>
          </m:sub>
          <m:sup>
            <m:r>
              <w:rPr>
                <w:rFonts w:ascii="Cambria Math" w:hAnsi="Cambria Math" w:cs="Times New Roman"/>
                <w:sz w:val="24"/>
                <w:szCs w:val="24"/>
              </w:rPr>
              <m:t>∞</m:t>
            </m:r>
          </m:sup>
          <m:e>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t</m:t>
                    </m:r>
                  </m:e>
                </m:d>
              </m:sup>
            </m:sSup>
            <m:r>
              <w:rPr>
                <w:rFonts w:ascii="Cambria Math" w:hAnsi="Cambria Math" w:cs="Times New Roman"/>
                <w:sz w:val="24"/>
                <w:szCs w:val="24"/>
              </w:rPr>
              <m:t>C(t)dt</m:t>
            </m:r>
          </m:e>
        </m:nary>
        <m:r>
          <w:rPr>
            <w:rFonts w:ascii="Cambria Math" w:eastAsiaTheme="minorEastAsia" w:hAnsi="Cambria Math" w:cs="Times New Roman"/>
            <w:sz w:val="24"/>
            <w:szCs w:val="24"/>
          </w:rPr>
          <m:t>≤K</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m:t>
            </m:r>
          </m:e>
        </m:d>
        <m:r>
          <w:rPr>
            <w:rFonts w:ascii="Cambria Math" w:eastAsiaTheme="minorEastAsia" w:hAnsi="Cambria Math" w:cs="Times New Roman"/>
            <w:sz w:val="24"/>
            <w:szCs w:val="24"/>
          </w:rPr>
          <m:t>+</m:t>
        </m:r>
        <m:nary>
          <m:naryPr>
            <m:limLoc m:val="subSup"/>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t=0</m:t>
            </m:r>
          </m:sub>
          <m:sup>
            <m:r>
              <w:rPr>
                <w:rFonts w:ascii="Cambria Math" w:eastAsiaTheme="minorEastAsia" w:hAnsi="Cambria Math" w:cs="Times New Roman"/>
                <w:sz w:val="24"/>
                <w:szCs w:val="24"/>
              </w:rPr>
              <m:t>∞</m:t>
            </m:r>
          </m:sup>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-R</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sup>
            </m:sSup>
          </m:e>
        </m:nary>
        <m:r>
          <w:rPr>
            <w:rFonts w:ascii="Cambria Math" w:eastAsiaTheme="minorEastAsia" w:hAnsi="Cambria Math" w:cs="Times New Roman"/>
            <w:sz w:val="24"/>
            <w:szCs w:val="24"/>
          </w:rPr>
          <m:t>W</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dt</m:t>
        </m:r>
      </m:oMath>
      <w:r w:rsidR="008F37E7">
        <w:rPr>
          <w:rFonts w:ascii="Times New Roman" w:eastAsiaTheme="minorEastAsia" w:hAnsi="Times New Roman" w:cs="Times New Roman"/>
          <w:sz w:val="24"/>
          <w:szCs w:val="24"/>
        </w:rPr>
        <w:t>-</w:t>
      </w:r>
      <m:oMath>
        <m:nary>
          <m:naryPr>
            <m:limLoc m:val="subSup"/>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t=0</m:t>
            </m:r>
          </m:sub>
          <m:sup>
            <m:r>
              <w:rPr>
                <w:rFonts w:ascii="Cambria Math" w:eastAsiaTheme="minorEastAsia" w:hAnsi="Cambria Math" w:cs="Times New Roman"/>
                <w:sz w:val="24"/>
                <w:szCs w:val="24"/>
              </w:rPr>
              <m:t>∞</m:t>
            </m:r>
          </m:sup>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-R</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sup>
            </m:sSup>
            <m:r>
              <w:rPr>
                <w:rFonts w:ascii="Cambria Math" w:eastAsiaTheme="minorEastAsia" w:hAnsi="Cambria Math" w:cs="Times New Roman"/>
                <w:sz w:val="24"/>
                <w:szCs w:val="24"/>
              </w:rPr>
              <m:t>G</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dt        (4)</m:t>
            </m:r>
          </m:e>
        </m:nary>
      </m:oMath>
    </w:p>
    <w:p w:rsidR="004C369D" w:rsidRDefault="00CD2FF0" w:rsidP="004A1EFF">
      <w:pPr>
        <w:tabs>
          <w:tab w:val="left" w:pos="7313"/>
        </w:tabs>
        <w:spacing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From the</w:t>
      </w:r>
      <w:r w:rsidR="0058596A">
        <w:rPr>
          <w:rFonts w:ascii="Times New Roman" w:eastAsiaTheme="minorEastAsia" w:hAnsi="Times New Roman" w:cs="Times New Roman"/>
          <w:sz w:val="24"/>
          <w:szCs w:val="24"/>
        </w:rPr>
        <w:t xml:space="preserve"> household budget constraint we can notice that the </w:t>
      </w:r>
      <w:r>
        <w:rPr>
          <w:rFonts w:ascii="Times New Roman" w:eastAsiaTheme="minorEastAsia" w:hAnsi="Times New Roman" w:cs="Times New Roman"/>
          <w:sz w:val="24"/>
          <w:szCs w:val="24"/>
        </w:rPr>
        <w:t xml:space="preserve">present value of the consumption is determined by the quantities of the capital bonds at time 0, the present value of the labor income as well as and the present value of the government expenditures. In the latest form of the household budget constraint we can </w:t>
      </w:r>
      <w:r w:rsidR="00AA020E">
        <w:rPr>
          <w:rFonts w:ascii="Times New Roman" w:eastAsiaTheme="minorEastAsia" w:hAnsi="Times New Roman" w:cs="Times New Roman"/>
          <w:sz w:val="24"/>
          <w:szCs w:val="24"/>
        </w:rPr>
        <w:t xml:space="preserve">perceive that </w:t>
      </w:r>
      <w:r>
        <w:rPr>
          <w:rFonts w:ascii="Times New Roman" w:eastAsiaTheme="minorEastAsia" w:hAnsi="Times New Roman" w:cs="Times New Roman"/>
          <w:sz w:val="24"/>
          <w:szCs w:val="24"/>
        </w:rPr>
        <w:t>the consumption d</w:t>
      </w:r>
      <w:r w:rsidR="00AA020E">
        <w:rPr>
          <w:rFonts w:ascii="Times New Roman" w:eastAsiaTheme="minorEastAsia" w:hAnsi="Times New Roman" w:cs="Times New Roman"/>
          <w:sz w:val="24"/>
          <w:szCs w:val="24"/>
        </w:rPr>
        <w:t xml:space="preserve">ecisions are affected by the government expenses and not from the taxes and bond issues, the two main ways that the government can use in order to finance its expenditures. The crucial point </w:t>
      </w:r>
      <w:r w:rsidR="004B344F">
        <w:rPr>
          <w:rFonts w:ascii="Times New Roman" w:eastAsiaTheme="minorEastAsia" w:hAnsi="Times New Roman" w:cs="Times New Roman"/>
          <w:sz w:val="24"/>
          <w:szCs w:val="24"/>
        </w:rPr>
        <w:t>here that is consistent with our</w:t>
      </w:r>
      <w:r w:rsidR="00AA020E">
        <w:rPr>
          <w:rFonts w:ascii="Times New Roman" w:eastAsiaTheme="minorEastAsia" w:hAnsi="Times New Roman" w:cs="Times New Roman"/>
          <w:sz w:val="24"/>
          <w:szCs w:val="24"/>
        </w:rPr>
        <w:t xml:space="preserve"> previous analysis is that the consumer behavior is not affected by the ways that the government chooses each time</w:t>
      </w:r>
      <w:r w:rsidR="00426C14">
        <w:rPr>
          <w:rFonts w:ascii="Times New Roman" w:eastAsiaTheme="minorEastAsia" w:hAnsi="Times New Roman" w:cs="Times New Roman"/>
          <w:sz w:val="24"/>
          <w:szCs w:val="24"/>
        </w:rPr>
        <w:t xml:space="preserve"> to finance its expenditures.</w:t>
      </w:r>
    </w:p>
    <w:p w:rsidR="004A1EFF" w:rsidRPr="004A1EFF" w:rsidRDefault="004A1EFF" w:rsidP="004A1EFF">
      <w:pPr>
        <w:pStyle w:val="a9"/>
        <w:numPr>
          <w:ilvl w:val="0"/>
          <w:numId w:val="1"/>
        </w:numPr>
        <w:tabs>
          <w:tab w:val="left" w:pos="7313"/>
        </w:tabs>
        <w:spacing w:line="240" w:lineRule="auto"/>
        <w:ind w:left="0"/>
        <w:jc w:val="both"/>
        <w:rPr>
          <w:rFonts w:ascii="Times New Roman" w:eastAsiaTheme="minorEastAsia" w:hAnsi="Times New Roman" w:cs="Times New Roman"/>
          <w:sz w:val="24"/>
          <w:szCs w:val="24"/>
        </w:rPr>
      </w:pPr>
      <w:r w:rsidRPr="00905F12">
        <w:rPr>
          <w:rFonts w:ascii="Times New Roman" w:hAnsi="Times New Roman" w:cs="Times New Roman"/>
          <w:b/>
          <w:sz w:val="24"/>
          <w:szCs w:val="24"/>
        </w:rPr>
        <w:lastRenderedPageBreak/>
        <w:t>Assumptions –</w:t>
      </w:r>
      <w:r w:rsidR="008840C6" w:rsidRPr="00905F12">
        <w:rPr>
          <w:rFonts w:ascii="Times New Roman" w:hAnsi="Times New Roman" w:cs="Times New Roman"/>
          <w:b/>
          <w:sz w:val="24"/>
          <w:szCs w:val="24"/>
        </w:rPr>
        <w:t xml:space="preserve"> Debate followed</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In order </w:t>
      </w:r>
      <w:r w:rsidR="008840C6">
        <w:rPr>
          <w:rFonts w:ascii="Times New Roman" w:hAnsi="Times New Roman" w:cs="Times New Roman"/>
          <w:sz w:val="24"/>
          <w:szCs w:val="24"/>
        </w:rPr>
        <w:t>to theoretically and empirically</w:t>
      </w:r>
      <w:r>
        <w:rPr>
          <w:rFonts w:ascii="Times New Roman" w:hAnsi="Times New Roman" w:cs="Times New Roman"/>
          <w:sz w:val="24"/>
          <w:szCs w:val="24"/>
        </w:rPr>
        <w:t xml:space="preserve"> ground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theorem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(1974) used a number of strict assumptions explicitly stated at the study of </w:t>
      </w:r>
      <w:proofErr w:type="spellStart"/>
      <w:r>
        <w:rPr>
          <w:rFonts w:ascii="Times New Roman" w:hAnsi="Times New Roman" w:cs="Times New Roman"/>
          <w:sz w:val="24"/>
          <w:szCs w:val="24"/>
        </w:rPr>
        <w:t>Bernheim</w:t>
      </w:r>
      <w:proofErr w:type="spellEnd"/>
      <w:r>
        <w:rPr>
          <w:rFonts w:ascii="Times New Roman" w:hAnsi="Times New Roman" w:cs="Times New Roman"/>
          <w:sz w:val="24"/>
          <w:szCs w:val="24"/>
        </w:rPr>
        <w:t xml:space="preserve"> (1987) that provoked fierce criticism and debate among economists even recently. The studies followed the fundamental paper of </w:t>
      </w:r>
      <w:proofErr w:type="spellStart"/>
      <w:r>
        <w:rPr>
          <w:rFonts w:ascii="Times New Roman" w:hAnsi="Times New Roman" w:cs="Times New Roman"/>
          <w:sz w:val="24"/>
          <w:szCs w:val="24"/>
        </w:rPr>
        <w:t>Barro</w:t>
      </w:r>
      <w:proofErr w:type="spellEnd"/>
      <w:r>
        <w:rPr>
          <w:rStyle w:val="a8"/>
          <w:rFonts w:ascii="Times New Roman" w:hAnsi="Times New Roman" w:cs="Times New Roman"/>
          <w:sz w:val="24"/>
          <w:szCs w:val="24"/>
        </w:rPr>
        <w:footnoteReference w:id="2"/>
      </w:r>
      <w:r>
        <w:rPr>
          <w:rFonts w:ascii="Times New Roman" w:hAnsi="Times New Roman" w:cs="Times New Roman"/>
          <w:sz w:val="24"/>
          <w:szCs w:val="24"/>
        </w:rPr>
        <w:t xml:space="preserve"> (1974) examined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proposition focusing on different assumptions each time. Though, the majority of the studies converged to the following assumptions:</w:t>
      </w:r>
    </w:p>
    <w:p w:rsidR="004A1EFF" w:rsidRDefault="004A1EFF" w:rsidP="004A1EFF">
      <w:pPr>
        <w:jc w:val="both"/>
        <w:rPr>
          <w:rFonts w:ascii="Times New Roman" w:hAnsi="Times New Roman" w:cs="Times New Roman"/>
          <w:sz w:val="24"/>
          <w:szCs w:val="24"/>
        </w:rPr>
      </w:pPr>
      <w:r w:rsidRPr="00BA20C5">
        <w:rPr>
          <w:rFonts w:ascii="Times New Roman" w:hAnsi="Times New Roman" w:cs="Times New Roman"/>
          <w:sz w:val="24"/>
          <w:szCs w:val="24"/>
          <w:u w:val="single"/>
        </w:rPr>
        <w:t xml:space="preserve">The </w:t>
      </w:r>
      <w:r w:rsidR="00462CC1">
        <w:rPr>
          <w:rFonts w:ascii="Times New Roman" w:hAnsi="Times New Roman" w:cs="Times New Roman"/>
          <w:sz w:val="24"/>
          <w:szCs w:val="24"/>
          <w:u w:val="single"/>
        </w:rPr>
        <w:t xml:space="preserve">households are </w:t>
      </w:r>
      <w:proofErr w:type="spellStart"/>
      <w:r w:rsidR="00462CC1">
        <w:rPr>
          <w:rFonts w:ascii="Times New Roman" w:hAnsi="Times New Roman" w:cs="Times New Roman"/>
          <w:sz w:val="24"/>
          <w:szCs w:val="24"/>
          <w:u w:val="single"/>
        </w:rPr>
        <w:t>intergenerational</w:t>
      </w:r>
      <w:r w:rsidRPr="00BA20C5">
        <w:rPr>
          <w:rFonts w:ascii="Times New Roman" w:hAnsi="Times New Roman" w:cs="Times New Roman"/>
          <w:sz w:val="24"/>
          <w:szCs w:val="24"/>
          <w:u w:val="single"/>
        </w:rPr>
        <w:t>ly</w:t>
      </w:r>
      <w:proofErr w:type="spellEnd"/>
      <w:r w:rsidRPr="00BA20C5">
        <w:rPr>
          <w:rFonts w:ascii="Times New Roman" w:hAnsi="Times New Roman" w:cs="Times New Roman"/>
          <w:sz w:val="24"/>
          <w:szCs w:val="24"/>
          <w:u w:val="single"/>
        </w:rPr>
        <w:t xml:space="preserve"> linked through altruistic transfers</w:t>
      </w:r>
    </w:p>
    <w:p w:rsidR="004A1EFF" w:rsidRDefault="004A1EFF"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(1974) used the assumption that when generations are linked through “a chain of operative intergenerational </w:t>
      </w:r>
      <w:proofErr w:type="spellStart"/>
      <w:r>
        <w:rPr>
          <w:rFonts w:ascii="Times New Roman" w:hAnsi="Times New Roman" w:cs="Times New Roman"/>
          <w:sz w:val="24"/>
          <w:szCs w:val="24"/>
        </w:rPr>
        <w:t>trasnfers</w:t>
      </w:r>
      <w:proofErr w:type="spellEnd"/>
      <w:r>
        <w:rPr>
          <w:rFonts w:ascii="Times New Roman" w:hAnsi="Times New Roman" w:cs="Times New Roman"/>
          <w:sz w:val="24"/>
          <w:szCs w:val="24"/>
        </w:rPr>
        <w:t xml:space="preserve">” the increase in government debt through bonds issue is not perceived by the current generation as net wealth increase and hence has no effect on consumption and aggregate demand. The reasoning behind this argument is that since the current generation knows that the government bond issue will raise the need for future taxes so as the debt increase to be paid back is not increasing its current consumption. Contrary, being altruistically motivated, current households prefer to make </w:t>
      </w:r>
      <w:r w:rsidR="008840C6">
        <w:rPr>
          <w:rFonts w:ascii="Times New Roman" w:hAnsi="Times New Roman" w:cs="Times New Roman"/>
          <w:sz w:val="24"/>
          <w:szCs w:val="24"/>
        </w:rPr>
        <w:t xml:space="preserve">a </w:t>
      </w:r>
      <w:r>
        <w:rPr>
          <w:rFonts w:ascii="Times New Roman" w:hAnsi="Times New Roman" w:cs="Times New Roman"/>
          <w:sz w:val="24"/>
          <w:szCs w:val="24"/>
        </w:rPr>
        <w:t xml:space="preserve">transfer to their descendants to alleviate their increased taxes burden and hence act as infinitely lived. According to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these transfers could not only take the form of bequests but also the form of parental expenses towards their children needs</w:t>
      </w:r>
      <w:r>
        <w:rPr>
          <w:rStyle w:val="a8"/>
          <w:rFonts w:ascii="Times New Roman" w:hAnsi="Times New Roman" w:cs="Times New Roman"/>
          <w:sz w:val="24"/>
          <w:szCs w:val="24"/>
        </w:rPr>
        <w:footnoteReference w:id="3"/>
      </w:r>
      <w:r>
        <w:rPr>
          <w:rFonts w:ascii="Times New Roman" w:hAnsi="Times New Roman" w:cs="Times New Roman"/>
          <w:sz w:val="24"/>
          <w:szCs w:val="24"/>
        </w:rPr>
        <w:t>. Additionally, these transfers could also work at the opposite direction, as gifts from children to their parents. In case this assumption does not hold current households care only for their own welfare, make</w:t>
      </w:r>
      <w:r w:rsidR="008840C6">
        <w:rPr>
          <w:rFonts w:ascii="Times New Roman" w:hAnsi="Times New Roman" w:cs="Times New Roman"/>
          <w:sz w:val="24"/>
          <w:szCs w:val="24"/>
        </w:rPr>
        <w:t xml:space="preserve"> no transfer to their offspring</w:t>
      </w:r>
      <w:r>
        <w:rPr>
          <w:rFonts w:ascii="Times New Roman" w:hAnsi="Times New Roman" w:cs="Times New Roman"/>
          <w:sz w:val="24"/>
          <w:szCs w:val="24"/>
        </w:rPr>
        <w:t xml:space="preserve"> and hence increase their current consumption invalidating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The criticism to this assumption started with Feldstein (1976) who stated that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omitted from his analysis the role of economic growth. Feldstein stressed that when the national income increases with a rate higher than the interest rate of the government debt</w:t>
      </w:r>
      <w:r>
        <w:rPr>
          <w:rStyle w:val="a8"/>
          <w:rFonts w:ascii="Times New Roman" w:hAnsi="Times New Roman" w:cs="Times New Roman"/>
          <w:sz w:val="24"/>
          <w:szCs w:val="24"/>
        </w:rPr>
        <w:footnoteReference w:id="4"/>
      </w:r>
      <w:r>
        <w:rPr>
          <w:rFonts w:ascii="Times New Roman" w:hAnsi="Times New Roman" w:cs="Times New Roman"/>
          <w:sz w:val="24"/>
          <w:szCs w:val="24"/>
        </w:rPr>
        <w:t>, the government can increase its debt without imposing future taxes by paying the government debt interests issuing new debt</w:t>
      </w:r>
      <w:r>
        <w:rPr>
          <w:rStyle w:val="a8"/>
          <w:rFonts w:ascii="Times New Roman" w:hAnsi="Times New Roman" w:cs="Times New Roman"/>
          <w:sz w:val="24"/>
          <w:szCs w:val="24"/>
        </w:rPr>
        <w:footnoteReference w:id="5"/>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In this case the government debt increases with the rate of interest rate lower than that of </w:t>
      </w:r>
      <w:r w:rsidR="008840C6">
        <w:rPr>
          <w:rFonts w:ascii="Times New Roman" w:hAnsi="Times New Roman" w:cs="Times New Roman"/>
          <w:sz w:val="24"/>
          <w:szCs w:val="24"/>
        </w:rPr>
        <w:t xml:space="preserve">the </w:t>
      </w:r>
      <w:r>
        <w:rPr>
          <w:rFonts w:ascii="Times New Roman" w:hAnsi="Times New Roman" w:cs="Times New Roman"/>
          <w:sz w:val="24"/>
          <w:szCs w:val="24"/>
        </w:rPr>
        <w:t>economic growth.</w:t>
      </w:r>
      <w:proofErr w:type="gramEnd"/>
      <w:r>
        <w:rPr>
          <w:rFonts w:ascii="Times New Roman" w:hAnsi="Times New Roman" w:cs="Times New Roman"/>
          <w:sz w:val="24"/>
          <w:szCs w:val="24"/>
        </w:rPr>
        <w:t xml:space="preserve"> Accordingly, current generations that realize that the debt increase will not be followed by future </w:t>
      </w:r>
      <w:r w:rsidR="008840C6">
        <w:rPr>
          <w:rFonts w:ascii="Times New Roman" w:hAnsi="Times New Roman" w:cs="Times New Roman"/>
          <w:sz w:val="24"/>
          <w:szCs w:val="24"/>
        </w:rPr>
        <w:t>taxes, leave no bequests at</w:t>
      </w:r>
      <w:r>
        <w:rPr>
          <w:rFonts w:ascii="Times New Roman" w:hAnsi="Times New Roman" w:cs="Times New Roman"/>
          <w:sz w:val="24"/>
          <w:szCs w:val="24"/>
        </w:rPr>
        <w:t xml:space="preserve"> their descendants increasing their current consumption. Referring to the intergenerational transfers Feldstein pointed that these transferences do not reflect transfers of real capital described by bequests but take mostly the form of consumption support from parents towards their children at their early age.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In this direction </w:t>
      </w:r>
      <w:proofErr w:type="spellStart"/>
      <w:r>
        <w:rPr>
          <w:rFonts w:ascii="Times New Roman" w:hAnsi="Times New Roman" w:cs="Times New Roman"/>
          <w:sz w:val="24"/>
          <w:szCs w:val="24"/>
        </w:rPr>
        <w:t>Bernheim</w:t>
      </w:r>
      <w:proofErr w:type="spellEnd"/>
      <w:r>
        <w:rPr>
          <w:rFonts w:ascii="Times New Roman" w:hAnsi="Times New Roman" w:cs="Times New Roman"/>
          <w:sz w:val="24"/>
          <w:szCs w:val="24"/>
        </w:rPr>
        <w:t xml:space="preserve"> (1987) pointed that parent</w:t>
      </w:r>
      <w:r w:rsidR="00995AA4">
        <w:rPr>
          <w:rFonts w:ascii="Times New Roman" w:hAnsi="Times New Roman" w:cs="Times New Roman"/>
          <w:sz w:val="24"/>
          <w:szCs w:val="24"/>
        </w:rPr>
        <w:t>s choose to leave no bequests at</w:t>
      </w:r>
      <w:r>
        <w:rPr>
          <w:rFonts w:ascii="Times New Roman" w:hAnsi="Times New Roman" w:cs="Times New Roman"/>
          <w:sz w:val="24"/>
          <w:szCs w:val="24"/>
        </w:rPr>
        <w:t xml:space="preserve"> their children. When there are parent-child linkages all the individuals are incorporated in an </w:t>
      </w:r>
      <w:r>
        <w:rPr>
          <w:rFonts w:ascii="Times New Roman" w:hAnsi="Times New Roman" w:cs="Times New Roman"/>
          <w:sz w:val="24"/>
          <w:szCs w:val="24"/>
        </w:rPr>
        <w:lastRenderedPageBreak/>
        <w:t>“interconnected network” where the consumptio</w:t>
      </w:r>
      <w:r w:rsidR="00995AA4">
        <w:rPr>
          <w:rFonts w:ascii="Times New Roman" w:hAnsi="Times New Roman" w:cs="Times New Roman"/>
          <w:sz w:val="24"/>
          <w:szCs w:val="24"/>
        </w:rPr>
        <w:t>n of each member is based on</w:t>
      </w:r>
      <w:r>
        <w:rPr>
          <w:rFonts w:ascii="Times New Roman" w:hAnsi="Times New Roman" w:cs="Times New Roman"/>
          <w:sz w:val="24"/>
          <w:szCs w:val="24"/>
        </w:rPr>
        <w:t xml:space="preserve"> </w:t>
      </w:r>
      <w:r w:rsidR="00995AA4">
        <w:rPr>
          <w:rFonts w:ascii="Times New Roman" w:hAnsi="Times New Roman" w:cs="Times New Roman"/>
          <w:sz w:val="24"/>
          <w:szCs w:val="24"/>
        </w:rPr>
        <w:t xml:space="preserve">the </w:t>
      </w:r>
      <w:r>
        <w:rPr>
          <w:rFonts w:ascii="Times New Roman" w:hAnsi="Times New Roman" w:cs="Times New Roman"/>
          <w:sz w:val="24"/>
          <w:szCs w:val="24"/>
        </w:rPr>
        <w:t xml:space="preserve">total wealth. Hence, as the </w:t>
      </w:r>
      <w:r w:rsidR="00995AA4">
        <w:rPr>
          <w:rFonts w:ascii="Times New Roman" w:hAnsi="Times New Roman" w:cs="Times New Roman"/>
          <w:sz w:val="24"/>
          <w:szCs w:val="24"/>
        </w:rPr>
        <w:t xml:space="preserve">increase in bequest is </w:t>
      </w:r>
      <w:proofErr w:type="spellStart"/>
      <w:r>
        <w:rPr>
          <w:rFonts w:ascii="Times New Roman" w:hAnsi="Times New Roman" w:cs="Times New Roman"/>
          <w:sz w:val="24"/>
          <w:szCs w:val="24"/>
        </w:rPr>
        <w:t>devided</w:t>
      </w:r>
      <w:proofErr w:type="spellEnd"/>
      <w:r>
        <w:rPr>
          <w:rFonts w:ascii="Times New Roman" w:hAnsi="Times New Roman" w:cs="Times New Roman"/>
          <w:sz w:val="24"/>
          <w:szCs w:val="24"/>
        </w:rPr>
        <w:t xml:space="preserve"> to all the involved members leaving their consumption almost unaffected, the parents prefer to avoid making bequests. He concluded that only few individuals make some or not intentional transfers for reasons other than </w:t>
      </w:r>
      <w:r w:rsidR="00995AA4">
        <w:rPr>
          <w:rFonts w:ascii="Times New Roman" w:hAnsi="Times New Roman" w:cs="Times New Roman"/>
          <w:sz w:val="24"/>
          <w:szCs w:val="24"/>
        </w:rPr>
        <w:t>altruistic</w:t>
      </w:r>
      <w:r>
        <w:rPr>
          <w:rFonts w:ascii="Times New Roman" w:hAnsi="Times New Roman" w:cs="Times New Roman"/>
          <w:sz w:val="24"/>
          <w:szCs w:val="24"/>
        </w:rPr>
        <w:t xml:space="preserve"> such as for exchange purposes making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not to hold. Later on Feldstein (1988) referring to Feldstein (1982) stressed that operative bequests are rare since the marginal utility of parents consumption during the retirement period is higher than the marginal utility deriving from a possible bequest to their children. Furthermore, he added that beyond the altruistic motivated bequests there are other bequest motives such as strategic and stewardship bequests with different levels of altruism that have ambiguous effects on current consumption and hence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While the purpose of the strategic bequests</w:t>
      </w:r>
      <w:r>
        <w:rPr>
          <w:rStyle w:val="a8"/>
          <w:rFonts w:ascii="Times New Roman" w:hAnsi="Times New Roman" w:cs="Times New Roman"/>
          <w:sz w:val="24"/>
          <w:szCs w:val="24"/>
        </w:rPr>
        <w:footnoteReference w:id="6"/>
      </w:r>
      <w:r>
        <w:rPr>
          <w:rFonts w:ascii="Times New Roman" w:hAnsi="Times New Roman" w:cs="Times New Roman"/>
          <w:sz w:val="24"/>
          <w:szCs w:val="24"/>
        </w:rPr>
        <w:t xml:space="preserve"> is to make sure that the parents will keep receiving the attention and care from their children in the case of stewardship bequests individuals considering themselves as stewards make bequests to their children at least of the same amount of the bequest that they inherited from their parents.</w:t>
      </w:r>
    </w:p>
    <w:p w:rsidR="004A1EFF" w:rsidRDefault="004A1EFF"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Seater</w:t>
      </w:r>
      <w:proofErr w:type="spellEnd"/>
      <w:r>
        <w:rPr>
          <w:rFonts w:ascii="Times New Roman" w:hAnsi="Times New Roman" w:cs="Times New Roman"/>
          <w:sz w:val="24"/>
          <w:szCs w:val="24"/>
        </w:rPr>
        <w:t xml:space="preserve"> (1993) accepted the operative altruistic bequests as one of the fundamental conditions for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to hold. Although, the author emphasized that altruism is absent at other form of bequests such as the strategic and accidental bequests, rendering ambiguous the validity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Specifically, at strategic bequests parents use bequests as a mean to keep receiving attention from their children, threatening to disinherit them in different case. At the other side children may threaten their parents that may act in a way that reduces their welfare and hence their parents welfare unless if the later are generous enough. Accidental bequests occur when individuals die earlier than they expected leaving </w:t>
      </w:r>
      <w:r w:rsidR="00995AA4">
        <w:rPr>
          <w:rFonts w:ascii="Times New Roman" w:hAnsi="Times New Roman" w:cs="Times New Roman"/>
          <w:sz w:val="24"/>
          <w:szCs w:val="24"/>
        </w:rPr>
        <w:t>their assets to their offspring</w:t>
      </w:r>
      <w:r>
        <w:rPr>
          <w:rFonts w:ascii="Times New Roman" w:hAnsi="Times New Roman" w:cs="Times New Roman"/>
          <w:sz w:val="24"/>
          <w:szCs w:val="24"/>
        </w:rPr>
        <w:t xml:space="preserve">. In addition, although </w:t>
      </w:r>
      <w:proofErr w:type="spellStart"/>
      <w:r>
        <w:rPr>
          <w:rFonts w:ascii="Times New Roman" w:hAnsi="Times New Roman" w:cs="Times New Roman"/>
          <w:sz w:val="24"/>
          <w:szCs w:val="24"/>
        </w:rPr>
        <w:t>Seater</w:t>
      </w:r>
      <w:proofErr w:type="spellEnd"/>
      <w:r>
        <w:rPr>
          <w:rFonts w:ascii="Times New Roman" w:hAnsi="Times New Roman" w:cs="Times New Roman"/>
          <w:sz w:val="24"/>
          <w:szCs w:val="24"/>
        </w:rPr>
        <w:t xml:space="preserve"> accepts the existence of bequests admits that the level of altruis</w:t>
      </w:r>
      <w:r w:rsidR="00161CD8">
        <w:rPr>
          <w:rFonts w:ascii="Times New Roman" w:hAnsi="Times New Roman" w:cs="Times New Roman"/>
          <w:sz w:val="24"/>
          <w:szCs w:val="24"/>
        </w:rPr>
        <w:t>m in determining the bequests is</w:t>
      </w:r>
      <w:r>
        <w:rPr>
          <w:rFonts w:ascii="Times New Roman" w:hAnsi="Times New Roman" w:cs="Times New Roman"/>
          <w:sz w:val="24"/>
          <w:szCs w:val="24"/>
        </w:rPr>
        <w:t xml:space="preserve"> not clear. Regarding the two sided altruistic regime</w:t>
      </w:r>
      <w:r>
        <w:rPr>
          <w:rStyle w:val="a8"/>
          <w:rFonts w:ascii="Times New Roman" w:hAnsi="Times New Roman" w:cs="Times New Roman"/>
          <w:sz w:val="24"/>
          <w:szCs w:val="24"/>
        </w:rPr>
        <w:footnoteReference w:id="7"/>
      </w:r>
      <w:r>
        <w:rPr>
          <w:rFonts w:ascii="Times New Roman" w:hAnsi="Times New Roman" w:cs="Times New Roman"/>
          <w:sz w:val="24"/>
          <w:szCs w:val="24"/>
        </w:rPr>
        <w:t xml:space="preserve"> the author stressed that while earlier studies showed that such a regime could validate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later studies revealed a cycling problem in </w:t>
      </w:r>
      <w:r w:rsidR="00161CD8">
        <w:rPr>
          <w:rFonts w:ascii="Times New Roman" w:hAnsi="Times New Roman" w:cs="Times New Roman"/>
          <w:sz w:val="24"/>
          <w:szCs w:val="24"/>
        </w:rPr>
        <w:t xml:space="preserve">the </w:t>
      </w:r>
      <w:r>
        <w:rPr>
          <w:rFonts w:ascii="Times New Roman" w:hAnsi="Times New Roman" w:cs="Times New Roman"/>
          <w:sz w:val="24"/>
          <w:szCs w:val="24"/>
        </w:rPr>
        <w:t>model’s solution</w:t>
      </w:r>
      <w:r w:rsidR="00161CD8">
        <w:rPr>
          <w:rFonts w:ascii="Times New Roman" w:hAnsi="Times New Roman" w:cs="Times New Roman"/>
          <w:sz w:val="24"/>
          <w:szCs w:val="24"/>
        </w:rPr>
        <w:t xml:space="preserve"> offsetting </w:t>
      </w:r>
      <w:proofErr w:type="spellStart"/>
      <w:r w:rsidR="00161CD8">
        <w:rPr>
          <w:rFonts w:ascii="Times New Roman" w:hAnsi="Times New Roman" w:cs="Times New Roman"/>
          <w:sz w:val="24"/>
          <w:szCs w:val="24"/>
        </w:rPr>
        <w:t>Ricardian</w:t>
      </w:r>
      <w:proofErr w:type="spellEnd"/>
      <w:r w:rsidR="00161CD8">
        <w:rPr>
          <w:rFonts w:ascii="Times New Roman" w:hAnsi="Times New Roman" w:cs="Times New Roman"/>
          <w:sz w:val="24"/>
          <w:szCs w:val="24"/>
        </w:rPr>
        <w:t xml:space="preserve"> proposition</w:t>
      </w:r>
      <w:r>
        <w:rPr>
          <w:rFonts w:ascii="Times New Roman" w:hAnsi="Times New Roman" w:cs="Times New Roman"/>
          <w:sz w:val="24"/>
          <w:szCs w:val="24"/>
        </w:rPr>
        <w:t xml:space="preserve">. Though, </w:t>
      </w:r>
      <w:proofErr w:type="spellStart"/>
      <w:r>
        <w:rPr>
          <w:rFonts w:ascii="Times New Roman" w:hAnsi="Times New Roman" w:cs="Times New Roman"/>
          <w:sz w:val="24"/>
          <w:szCs w:val="24"/>
        </w:rPr>
        <w:t>Seater</w:t>
      </w:r>
      <w:proofErr w:type="spellEnd"/>
      <w:r>
        <w:rPr>
          <w:rFonts w:ascii="Times New Roman" w:hAnsi="Times New Roman" w:cs="Times New Roman"/>
          <w:sz w:val="24"/>
          <w:szCs w:val="24"/>
        </w:rPr>
        <w:t xml:space="preserve"> noted that the altr</w:t>
      </w:r>
      <w:r w:rsidR="00161CD8">
        <w:rPr>
          <w:rFonts w:ascii="Times New Roman" w:hAnsi="Times New Roman" w:cs="Times New Roman"/>
          <w:sz w:val="24"/>
          <w:szCs w:val="24"/>
        </w:rPr>
        <w:t>uistic transfers from offspring</w:t>
      </w:r>
      <w:r>
        <w:rPr>
          <w:rFonts w:ascii="Times New Roman" w:hAnsi="Times New Roman" w:cs="Times New Roman"/>
          <w:sz w:val="24"/>
          <w:szCs w:val="24"/>
        </w:rPr>
        <w:t xml:space="preserve"> to their parents are negligible in comparison with those of the opposite direction.  Childless families according to </w:t>
      </w:r>
      <w:proofErr w:type="spellStart"/>
      <w:r>
        <w:rPr>
          <w:rFonts w:ascii="Times New Roman" w:hAnsi="Times New Roman" w:cs="Times New Roman"/>
          <w:sz w:val="24"/>
          <w:szCs w:val="24"/>
        </w:rPr>
        <w:t>Seater</w:t>
      </w:r>
      <w:proofErr w:type="spellEnd"/>
      <w:r>
        <w:rPr>
          <w:rFonts w:ascii="Times New Roman" w:hAnsi="Times New Roman" w:cs="Times New Roman"/>
          <w:sz w:val="24"/>
          <w:szCs w:val="24"/>
        </w:rPr>
        <w:t xml:space="preserve"> that constitute a considerable fraction</w:t>
      </w:r>
      <w:r>
        <w:rPr>
          <w:rStyle w:val="a8"/>
          <w:rFonts w:ascii="Times New Roman" w:hAnsi="Times New Roman" w:cs="Times New Roman"/>
          <w:sz w:val="24"/>
          <w:szCs w:val="24"/>
        </w:rPr>
        <w:footnoteReference w:id="8"/>
      </w:r>
      <w:r>
        <w:rPr>
          <w:rFonts w:ascii="Times New Roman" w:hAnsi="Times New Roman" w:cs="Times New Roman"/>
          <w:sz w:val="24"/>
          <w:szCs w:val="24"/>
        </w:rPr>
        <w:t xml:space="preserve"> of the overall families invalidate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since having no concerns for the taxes imposed on future generations increase their current consumption as a result of a debt issue. </w:t>
      </w:r>
    </w:p>
    <w:p w:rsidR="004A1EFF" w:rsidRDefault="004A1EFF"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(1989) reacted to the objections raised regarding the assumption of operative altruistic bequests stating that despite the existence of other forms of bequests beyond the official ones they are still operative and hence support the </w:t>
      </w:r>
      <w:proofErr w:type="spellStart"/>
      <w:r>
        <w:rPr>
          <w:rFonts w:ascii="Times New Roman" w:hAnsi="Times New Roman" w:cs="Times New Roman"/>
          <w:sz w:val="24"/>
          <w:szCs w:val="24"/>
        </w:rPr>
        <w:t>R</w:t>
      </w:r>
      <w:r w:rsidR="00161CD8">
        <w:rPr>
          <w:rFonts w:ascii="Times New Roman" w:hAnsi="Times New Roman" w:cs="Times New Roman"/>
          <w:sz w:val="24"/>
          <w:szCs w:val="24"/>
        </w:rPr>
        <w:t>icardian</w:t>
      </w:r>
      <w:proofErr w:type="spellEnd"/>
      <w:r w:rsidR="00161CD8">
        <w:rPr>
          <w:rFonts w:ascii="Times New Roman" w:hAnsi="Times New Roman" w:cs="Times New Roman"/>
          <w:sz w:val="24"/>
          <w:szCs w:val="24"/>
        </w:rPr>
        <w:t xml:space="preserve"> Equivalence hypothesis</w:t>
      </w:r>
      <w:r>
        <w:rPr>
          <w:rFonts w:ascii="Times New Roman" w:hAnsi="Times New Roman" w:cs="Times New Roman"/>
          <w:sz w:val="24"/>
          <w:szCs w:val="24"/>
        </w:rPr>
        <w:t xml:space="preserve">. In the case of </w:t>
      </w:r>
      <w:r>
        <w:rPr>
          <w:rFonts w:ascii="Times New Roman" w:hAnsi="Times New Roman" w:cs="Times New Roman"/>
          <w:sz w:val="24"/>
          <w:szCs w:val="24"/>
        </w:rPr>
        <w:lastRenderedPageBreak/>
        <w:t>childless families the author pointed that the aggregate effect on private consumption caused by debt issue will be negligible due to the offsetting behavior of the families with more than the avera</w:t>
      </w:r>
      <w:r w:rsidR="00161CD8">
        <w:rPr>
          <w:rFonts w:ascii="Times New Roman" w:hAnsi="Times New Roman" w:cs="Times New Roman"/>
          <w:sz w:val="24"/>
          <w:szCs w:val="24"/>
        </w:rPr>
        <w:t>ge number of descendants</w:t>
      </w:r>
      <w:r>
        <w:rPr>
          <w:rFonts w:ascii="Times New Roman" w:hAnsi="Times New Roman" w:cs="Times New Roman"/>
          <w:sz w:val="24"/>
          <w:szCs w:val="24"/>
        </w:rPr>
        <w:t xml:space="preserve"> that will increase </w:t>
      </w:r>
      <w:r w:rsidR="00161CD8">
        <w:rPr>
          <w:rFonts w:ascii="Times New Roman" w:hAnsi="Times New Roman" w:cs="Times New Roman"/>
          <w:sz w:val="24"/>
          <w:szCs w:val="24"/>
        </w:rPr>
        <w:t>the bequest towards them</w:t>
      </w:r>
      <w:r>
        <w:rPr>
          <w:rFonts w:ascii="Times New Roman" w:hAnsi="Times New Roman" w:cs="Times New Roman"/>
          <w:sz w:val="24"/>
          <w:szCs w:val="24"/>
        </w:rPr>
        <w:t xml:space="preserve">. Referring to altruism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mentioned that the relationship between parents and children is better described by altruism and not by strict market terms that regard bequests as wages for the services that children provide to their parents. Additional</w:t>
      </w:r>
      <w:r w:rsidR="009438D5">
        <w:rPr>
          <w:rFonts w:ascii="Times New Roman" w:hAnsi="Times New Roman" w:cs="Times New Roman"/>
          <w:sz w:val="24"/>
          <w:szCs w:val="24"/>
        </w:rPr>
        <w:t>l</w:t>
      </w:r>
      <w:r>
        <w:rPr>
          <w:rFonts w:ascii="Times New Roman" w:hAnsi="Times New Roman" w:cs="Times New Roman"/>
          <w:sz w:val="24"/>
          <w:szCs w:val="24"/>
        </w:rPr>
        <w:t xml:space="preserve">y, the author concluded that strategic bequests with credible threats can also make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proposition to hold.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u w:val="single"/>
        </w:rPr>
        <w:t>Perfect capital markets - no liquidity constraints</w:t>
      </w:r>
    </w:p>
    <w:p w:rsidR="004A1EFF" w:rsidRDefault="004A1EFF" w:rsidP="004A1E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This assumption about the credit markets signifies that consumers are not credit constrained. In case of borrowing limitations consumers cannot smooth their consumption and hence increase their</w:t>
      </w:r>
      <w:r w:rsidR="00161CD8">
        <w:rPr>
          <w:rFonts w:ascii="Times New Roman" w:hAnsi="Times New Roman" w:cs="Times New Roman"/>
          <w:sz w:val="24"/>
          <w:szCs w:val="24"/>
        </w:rPr>
        <w:t xml:space="preserve"> current consumption as </w:t>
      </w:r>
      <w:r w:rsidR="00190916">
        <w:rPr>
          <w:rFonts w:ascii="Times New Roman" w:hAnsi="Times New Roman" w:cs="Times New Roman"/>
          <w:sz w:val="24"/>
          <w:szCs w:val="24"/>
        </w:rPr>
        <w:t>they perceive</w:t>
      </w:r>
      <w:r>
        <w:rPr>
          <w:rFonts w:ascii="Times New Roman" w:hAnsi="Times New Roman" w:cs="Times New Roman"/>
          <w:sz w:val="24"/>
          <w:szCs w:val="24"/>
        </w:rPr>
        <w:t xml:space="preserve"> the </w:t>
      </w:r>
      <w:r w:rsidR="00190916">
        <w:rPr>
          <w:rFonts w:ascii="Times New Roman" w:hAnsi="Times New Roman" w:cs="Times New Roman"/>
          <w:sz w:val="24"/>
          <w:szCs w:val="24"/>
        </w:rPr>
        <w:t xml:space="preserve">debt issue as net wealth. </w:t>
      </w:r>
      <w:r>
        <w:rPr>
          <w:rFonts w:ascii="Times New Roman" w:hAnsi="Times New Roman" w:cs="Times New Roman"/>
          <w:sz w:val="24"/>
          <w:szCs w:val="24"/>
        </w:rPr>
        <w:t xml:space="preserve">As a result,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framework cannot be supported.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(1974) highlighted that net wealth effects arise in the case of d</w:t>
      </w:r>
      <w:r w:rsidR="009438D5">
        <w:rPr>
          <w:rFonts w:ascii="Times New Roman" w:hAnsi="Times New Roman" w:cs="Times New Roman"/>
          <w:sz w:val="24"/>
          <w:szCs w:val="24"/>
        </w:rPr>
        <w:t>ebt issue when the government is</w:t>
      </w:r>
      <w:r>
        <w:rPr>
          <w:rFonts w:ascii="Times New Roman" w:hAnsi="Times New Roman" w:cs="Times New Roman"/>
          <w:sz w:val="24"/>
          <w:szCs w:val="24"/>
        </w:rPr>
        <w:t xml:space="preserve"> more efficient</w:t>
      </w:r>
      <w:r>
        <w:rPr>
          <w:rStyle w:val="a8"/>
          <w:rFonts w:ascii="Times New Roman" w:hAnsi="Times New Roman" w:cs="Times New Roman"/>
          <w:sz w:val="24"/>
          <w:szCs w:val="24"/>
        </w:rPr>
        <w:footnoteReference w:id="9"/>
      </w:r>
      <w:r>
        <w:rPr>
          <w:rFonts w:ascii="Times New Roman" w:hAnsi="Times New Roman" w:cs="Times New Roman"/>
          <w:sz w:val="24"/>
          <w:szCs w:val="24"/>
        </w:rPr>
        <w:t xml:space="preserve"> than the private markets in the borrowing procedure. Moreover,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investigated the effects of liquidity services provision from the government under different levels of market power and found that debt issue induces positive net wealth effects when the government acts like a Monopolist. On the contrary, when the government beh</w:t>
      </w:r>
      <w:r w:rsidR="00190916">
        <w:rPr>
          <w:rFonts w:ascii="Times New Roman" w:hAnsi="Times New Roman" w:cs="Times New Roman"/>
          <w:sz w:val="24"/>
          <w:szCs w:val="24"/>
        </w:rPr>
        <w:t>aves competitively or oversupplies</w:t>
      </w:r>
      <w:r>
        <w:rPr>
          <w:rFonts w:ascii="Times New Roman" w:hAnsi="Times New Roman" w:cs="Times New Roman"/>
          <w:sz w:val="24"/>
          <w:szCs w:val="24"/>
        </w:rPr>
        <w:t xml:space="preserve"> liquidity the wealth effects are zero and negative respectively. In the case of positive and negative wealth effects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is not supported. </w:t>
      </w:r>
    </w:p>
    <w:p w:rsidR="004A1EFF" w:rsidRDefault="004A1EFF" w:rsidP="004A1EFF">
      <w:pPr>
        <w:spacing w:after="0" w:line="240" w:lineRule="auto"/>
        <w:jc w:val="both"/>
        <w:rPr>
          <w:rFonts w:ascii="Times New Roman" w:hAnsi="Times New Roman" w:cs="Times New Roman"/>
          <w:sz w:val="24"/>
          <w:szCs w:val="24"/>
        </w:rPr>
      </w:pPr>
    </w:p>
    <w:p w:rsidR="004A1EFF" w:rsidRDefault="00875735" w:rsidP="004A1E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Heller &amp;</w:t>
      </w:r>
      <w:r w:rsidR="004A1EFF">
        <w:rPr>
          <w:rFonts w:ascii="Times New Roman" w:hAnsi="Times New Roman" w:cs="Times New Roman"/>
          <w:sz w:val="24"/>
          <w:szCs w:val="24"/>
        </w:rPr>
        <w:t xml:space="preserve"> Star (1979) examined the role of borrowing limitations on consumption and found that for a specific time period credit constrained households base their current consumption decisions on disposable income even in anticipation of higher future incomes after that period. The increased future incomes though incr</w:t>
      </w:r>
      <w:r w:rsidR="009438D5">
        <w:rPr>
          <w:rFonts w:ascii="Times New Roman" w:hAnsi="Times New Roman" w:cs="Times New Roman"/>
          <w:sz w:val="24"/>
          <w:szCs w:val="24"/>
        </w:rPr>
        <w:t>ease the amount of wealth</w:t>
      </w:r>
      <w:r w:rsidR="004A1EFF">
        <w:rPr>
          <w:rFonts w:ascii="Times New Roman" w:hAnsi="Times New Roman" w:cs="Times New Roman"/>
          <w:sz w:val="24"/>
          <w:szCs w:val="24"/>
        </w:rPr>
        <w:t xml:space="preserve"> currently </w:t>
      </w:r>
      <w:r w:rsidR="009438D5">
        <w:rPr>
          <w:rFonts w:ascii="Times New Roman" w:hAnsi="Times New Roman" w:cs="Times New Roman"/>
          <w:sz w:val="24"/>
          <w:szCs w:val="24"/>
        </w:rPr>
        <w:t xml:space="preserve">cannot </w:t>
      </w:r>
      <w:r w:rsidR="004A1EFF">
        <w:rPr>
          <w:rFonts w:ascii="Times New Roman" w:hAnsi="Times New Roman" w:cs="Times New Roman"/>
          <w:sz w:val="24"/>
          <w:szCs w:val="24"/>
        </w:rPr>
        <w:t xml:space="preserve">eliminate the credit barriers. Hence, the authors concluded that when credit constraints are binding the debt finance fiscal policy is more effective in stimulating consumption. </w:t>
      </w:r>
    </w:p>
    <w:p w:rsidR="004A1EFF" w:rsidRDefault="004A1EFF" w:rsidP="004A1EFF">
      <w:pPr>
        <w:spacing w:after="0" w:line="240" w:lineRule="auto"/>
        <w:jc w:val="both"/>
        <w:rPr>
          <w:rFonts w:ascii="Times New Roman" w:hAnsi="Times New Roman" w:cs="Times New Roman"/>
          <w:sz w:val="24"/>
          <w:szCs w:val="24"/>
        </w:rPr>
      </w:pPr>
    </w:p>
    <w:p w:rsidR="004A1EFF" w:rsidRDefault="004A1EFF" w:rsidP="004A1EFF">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(1989) at his later paper examined more extensively the necessity of pe</w:t>
      </w:r>
      <w:r w:rsidR="00190916">
        <w:rPr>
          <w:rFonts w:ascii="Times New Roman" w:hAnsi="Times New Roman" w:cs="Times New Roman"/>
          <w:sz w:val="24"/>
          <w:szCs w:val="24"/>
        </w:rPr>
        <w:t>rfect capital markets as</w:t>
      </w:r>
      <w:r>
        <w:rPr>
          <w:rFonts w:ascii="Times New Roman" w:hAnsi="Times New Roman" w:cs="Times New Roman"/>
          <w:sz w:val="24"/>
          <w:szCs w:val="24"/>
        </w:rPr>
        <w:t xml:space="preserve"> </w:t>
      </w:r>
      <w:r w:rsidR="00190916">
        <w:rPr>
          <w:rFonts w:ascii="Times New Roman" w:hAnsi="Times New Roman" w:cs="Times New Roman"/>
          <w:sz w:val="24"/>
          <w:szCs w:val="24"/>
        </w:rPr>
        <w:t xml:space="preserve">precondition </w:t>
      </w:r>
      <w:r>
        <w:rPr>
          <w:rFonts w:ascii="Times New Roman" w:hAnsi="Times New Roman" w:cs="Times New Roman"/>
          <w:sz w:val="24"/>
          <w:szCs w:val="24"/>
        </w:rPr>
        <w:t xml:space="preserve">for the validity of </w:t>
      </w:r>
      <w:r w:rsidR="00190916">
        <w:rPr>
          <w:rFonts w:ascii="Times New Roman" w:hAnsi="Times New Roman" w:cs="Times New Roman"/>
          <w:sz w:val="24"/>
          <w:szCs w:val="24"/>
        </w:rPr>
        <w:t xml:space="preserve">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proposition and concluded th</w:t>
      </w:r>
      <w:r w:rsidR="00190916">
        <w:rPr>
          <w:rFonts w:ascii="Times New Roman" w:hAnsi="Times New Roman" w:cs="Times New Roman"/>
          <w:sz w:val="24"/>
          <w:szCs w:val="24"/>
        </w:rPr>
        <w:t>at imperfect capital marke</w:t>
      </w:r>
      <w:r w:rsidR="009438D5">
        <w:rPr>
          <w:rFonts w:ascii="Times New Roman" w:hAnsi="Times New Roman" w:cs="Times New Roman"/>
          <w:sz w:val="24"/>
          <w:szCs w:val="24"/>
        </w:rPr>
        <w:t>ts was</w:t>
      </w:r>
      <w:r>
        <w:rPr>
          <w:rFonts w:ascii="Times New Roman" w:hAnsi="Times New Roman" w:cs="Times New Roman"/>
          <w:sz w:val="24"/>
          <w:szCs w:val="24"/>
        </w:rPr>
        <w:t xml:space="preserve"> not a sufficient condition for the neutrality hypothesis not to hold. Inste</w:t>
      </w:r>
      <w:r w:rsidR="00DF1DFA">
        <w:rPr>
          <w:rFonts w:ascii="Times New Roman" w:hAnsi="Times New Roman" w:cs="Times New Roman"/>
          <w:sz w:val="24"/>
          <w:szCs w:val="24"/>
        </w:rPr>
        <w:t>ad imperfect capital markets are</w:t>
      </w:r>
      <w:r>
        <w:rPr>
          <w:rFonts w:ascii="Times New Roman" w:hAnsi="Times New Roman" w:cs="Times New Roman"/>
          <w:sz w:val="24"/>
          <w:szCs w:val="24"/>
        </w:rPr>
        <w:t xml:space="preserve"> a source of failure for the </w:t>
      </w:r>
      <w:proofErr w:type="spellStart"/>
      <w:r>
        <w:rPr>
          <w:rFonts w:ascii="Times New Roman" w:hAnsi="Times New Roman" w:cs="Times New Roman"/>
          <w:sz w:val="24"/>
          <w:szCs w:val="24"/>
        </w:rPr>
        <w:t>Ricardian</w:t>
      </w:r>
      <w:proofErr w:type="spellEnd"/>
      <w:r w:rsidR="00DF1DFA">
        <w:rPr>
          <w:rFonts w:ascii="Times New Roman" w:hAnsi="Times New Roman" w:cs="Times New Roman"/>
          <w:sz w:val="24"/>
          <w:szCs w:val="24"/>
        </w:rPr>
        <w:t xml:space="preserve"> theorem only if the government intervenes</w:t>
      </w:r>
      <w:r>
        <w:rPr>
          <w:rFonts w:ascii="Times New Roman" w:hAnsi="Times New Roman" w:cs="Times New Roman"/>
          <w:sz w:val="24"/>
          <w:szCs w:val="24"/>
        </w:rPr>
        <w:t xml:space="preserve"> in the loan market with better terms than those provided by the private market. The government interventions in the loan market occur through the budget deficit channel and when this happens with better terms than those of the private sector wealth effects raise invalidating the neutrality hypothesis. </w:t>
      </w:r>
    </w:p>
    <w:p w:rsidR="004A1EFF" w:rsidRDefault="004A1EFF" w:rsidP="004A1EFF">
      <w:pPr>
        <w:spacing w:after="0" w:line="240" w:lineRule="auto"/>
        <w:jc w:val="both"/>
        <w:rPr>
          <w:rFonts w:ascii="Times New Roman" w:hAnsi="Times New Roman" w:cs="Times New Roman"/>
          <w:sz w:val="24"/>
          <w:szCs w:val="24"/>
        </w:rPr>
      </w:pPr>
    </w:p>
    <w:p w:rsidR="004A1EFF" w:rsidRDefault="004A1EFF" w:rsidP="004A1EFF">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Seater</w:t>
      </w:r>
      <w:proofErr w:type="spellEnd"/>
      <w:r>
        <w:rPr>
          <w:rFonts w:ascii="Times New Roman" w:hAnsi="Times New Roman" w:cs="Times New Roman"/>
          <w:sz w:val="24"/>
          <w:szCs w:val="24"/>
        </w:rPr>
        <w:t xml:space="preserve"> (1993) agreed with the findings of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(1989) pointing that the existence of credit constraints is itself insufficient to abolish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proposition. The author agreed with the conclusion of Hayashi (1987) and </w:t>
      </w:r>
      <w:proofErr w:type="spellStart"/>
      <w:r>
        <w:rPr>
          <w:rFonts w:ascii="Times New Roman" w:hAnsi="Times New Roman" w:cs="Times New Roman"/>
          <w:sz w:val="24"/>
          <w:szCs w:val="24"/>
        </w:rPr>
        <w:t>Yotsuzuka</w:t>
      </w:r>
      <w:proofErr w:type="spellEnd"/>
      <w:r>
        <w:rPr>
          <w:rFonts w:ascii="Times New Roman" w:hAnsi="Times New Roman" w:cs="Times New Roman"/>
          <w:sz w:val="24"/>
          <w:szCs w:val="24"/>
        </w:rPr>
        <w:t xml:space="preserve"> (1987) that the effects of borrowing barriers on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depend on the source of these constraints.  According to </w:t>
      </w:r>
      <w:proofErr w:type="spellStart"/>
      <w:r>
        <w:rPr>
          <w:rFonts w:ascii="Times New Roman" w:hAnsi="Times New Roman" w:cs="Times New Roman"/>
          <w:sz w:val="24"/>
          <w:szCs w:val="24"/>
        </w:rPr>
        <w:t>Seater</w:t>
      </w:r>
      <w:proofErr w:type="spellEnd"/>
      <w:r>
        <w:rPr>
          <w:rFonts w:ascii="Times New Roman" w:hAnsi="Times New Roman" w:cs="Times New Roman"/>
          <w:sz w:val="24"/>
          <w:szCs w:val="24"/>
        </w:rPr>
        <w:t xml:space="preserve"> the superiority of the government in loan markets as previously described by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(1989) could </w:t>
      </w:r>
      <w:r>
        <w:rPr>
          <w:rFonts w:ascii="Times New Roman" w:hAnsi="Times New Roman" w:cs="Times New Roman"/>
          <w:sz w:val="24"/>
          <w:szCs w:val="24"/>
        </w:rPr>
        <w:lastRenderedPageBreak/>
        <w:t xml:space="preserve">take the form of lower transaction costs and the limitation of the adverse selection problem. In these cases the debt issue alleviates the problem of credit constraints, yields wealth effects and hence makes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w:t>
      </w:r>
      <w:r w:rsidR="009438D5">
        <w:rPr>
          <w:rFonts w:ascii="Times New Roman" w:hAnsi="Times New Roman" w:cs="Times New Roman"/>
          <w:sz w:val="24"/>
          <w:szCs w:val="24"/>
        </w:rPr>
        <w:t xml:space="preserve">equivalence </w:t>
      </w:r>
      <w:r>
        <w:rPr>
          <w:rFonts w:ascii="Times New Roman" w:hAnsi="Times New Roman" w:cs="Times New Roman"/>
          <w:sz w:val="24"/>
          <w:szCs w:val="24"/>
        </w:rPr>
        <w:t>hypothesis to fail. Contrary, when borrowing constraints derive from future incomes uncertainty, debt issue that is not affecting the income uncertainty leaves the liquidi</w:t>
      </w:r>
      <w:r w:rsidR="009438D5">
        <w:rPr>
          <w:rFonts w:ascii="Times New Roman" w:hAnsi="Times New Roman" w:cs="Times New Roman"/>
          <w:sz w:val="24"/>
          <w:szCs w:val="24"/>
        </w:rPr>
        <w:t>ty constraints unaffected and hence</w:t>
      </w:r>
      <w:r>
        <w:rPr>
          <w:rFonts w:ascii="Times New Roman" w:hAnsi="Times New Roman" w:cs="Times New Roman"/>
          <w:sz w:val="24"/>
          <w:szCs w:val="24"/>
        </w:rPr>
        <w:t xml:space="preserve"> the neutrality hypothesis still holds. </w:t>
      </w:r>
    </w:p>
    <w:p w:rsidR="004A1EFF" w:rsidRDefault="004A1EFF" w:rsidP="004A1EFF">
      <w:pPr>
        <w:spacing w:after="0" w:line="240" w:lineRule="auto"/>
        <w:jc w:val="both"/>
        <w:rPr>
          <w:rFonts w:ascii="Times New Roman" w:hAnsi="Times New Roman" w:cs="Times New Roman"/>
          <w:sz w:val="24"/>
          <w:szCs w:val="24"/>
        </w:rPr>
      </w:pPr>
    </w:p>
    <w:p w:rsidR="004A1EFF" w:rsidRDefault="00600BC4" w:rsidP="004A1E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Cox &amp;</w:t>
      </w:r>
      <w:r w:rsidR="004A1EFF">
        <w:rPr>
          <w:rFonts w:ascii="Times New Roman" w:hAnsi="Times New Roman" w:cs="Times New Roman"/>
          <w:sz w:val="24"/>
          <w:szCs w:val="24"/>
        </w:rPr>
        <w:t xml:space="preserve"> </w:t>
      </w:r>
      <w:proofErr w:type="spellStart"/>
      <w:r w:rsidR="004A1EFF">
        <w:rPr>
          <w:rFonts w:ascii="Times New Roman" w:hAnsi="Times New Roman" w:cs="Times New Roman"/>
          <w:sz w:val="24"/>
          <w:szCs w:val="24"/>
        </w:rPr>
        <w:t>Japelli</w:t>
      </w:r>
      <w:proofErr w:type="spellEnd"/>
      <w:r w:rsidR="004A1EFF">
        <w:rPr>
          <w:rFonts w:ascii="Times New Roman" w:hAnsi="Times New Roman" w:cs="Times New Roman"/>
          <w:sz w:val="24"/>
          <w:szCs w:val="24"/>
        </w:rPr>
        <w:t xml:space="preserve"> (1990) studied the relationship between borrowing constraints and intergenerational transfers and revealed a positive relationship between them. Specifically, they found that liquidity constrained individuals are more likely to receive a transfer than individuals with access to credit m</w:t>
      </w:r>
      <w:r w:rsidR="009438D5">
        <w:rPr>
          <w:rFonts w:ascii="Times New Roman" w:hAnsi="Times New Roman" w:cs="Times New Roman"/>
          <w:sz w:val="24"/>
          <w:szCs w:val="24"/>
        </w:rPr>
        <w:t>arket. Though, the transfers were</w:t>
      </w:r>
      <w:r w:rsidR="004A1EFF">
        <w:rPr>
          <w:rFonts w:ascii="Times New Roman" w:hAnsi="Times New Roman" w:cs="Times New Roman"/>
          <w:sz w:val="24"/>
          <w:szCs w:val="24"/>
        </w:rPr>
        <w:t xml:space="preserve"> sufficient to eliminate the credit rationing problem for only a small fraction of the credit constrained individuals. </w:t>
      </w:r>
    </w:p>
    <w:p w:rsidR="004A1EFF" w:rsidRDefault="004A1EFF" w:rsidP="004A1EFF">
      <w:pPr>
        <w:spacing w:after="0" w:line="240" w:lineRule="auto"/>
        <w:jc w:val="both"/>
        <w:rPr>
          <w:rFonts w:ascii="Times New Roman" w:hAnsi="Times New Roman" w:cs="Times New Roman"/>
          <w:sz w:val="24"/>
          <w:szCs w:val="24"/>
        </w:rPr>
      </w:pPr>
    </w:p>
    <w:p w:rsidR="004A1EFF" w:rsidRDefault="004A1EFF" w:rsidP="00905F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More recently </w:t>
      </w:r>
      <w:proofErr w:type="spellStart"/>
      <w:r>
        <w:rPr>
          <w:rFonts w:ascii="Times New Roman" w:hAnsi="Times New Roman" w:cs="Times New Roman"/>
          <w:sz w:val="24"/>
          <w:szCs w:val="24"/>
        </w:rPr>
        <w:t>Rohn</w:t>
      </w:r>
      <w:proofErr w:type="spellEnd"/>
      <w:r>
        <w:rPr>
          <w:rFonts w:ascii="Times New Roman" w:hAnsi="Times New Roman" w:cs="Times New Roman"/>
          <w:sz w:val="24"/>
          <w:szCs w:val="24"/>
        </w:rPr>
        <w:t xml:space="preserve"> (2010) stressed the importance of liquidity unconstrained individuals as a precondition for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w:t>
      </w:r>
      <w:proofErr w:type="spellStart"/>
      <w:r>
        <w:rPr>
          <w:rFonts w:ascii="Times New Roman" w:hAnsi="Times New Roman" w:cs="Times New Roman"/>
          <w:sz w:val="24"/>
          <w:szCs w:val="24"/>
        </w:rPr>
        <w:t>Rohn</w:t>
      </w:r>
      <w:proofErr w:type="spellEnd"/>
      <w:r>
        <w:rPr>
          <w:rFonts w:ascii="Times New Roman" w:hAnsi="Times New Roman" w:cs="Times New Roman"/>
          <w:sz w:val="24"/>
          <w:szCs w:val="24"/>
        </w:rPr>
        <w:t xml:space="preserve"> found that when financial markets are more developed in the sense of credit barriers absence, private savings offsets are more robust following a change in fiscal policy. On the contrary when individuals face borrowing</w:t>
      </w:r>
      <w:r w:rsidR="00C679FB">
        <w:rPr>
          <w:rFonts w:ascii="Times New Roman" w:hAnsi="Times New Roman" w:cs="Times New Roman"/>
          <w:sz w:val="24"/>
          <w:szCs w:val="24"/>
        </w:rPr>
        <w:t xml:space="preserve"> constraints the savings offsets are</w:t>
      </w:r>
      <w:r w:rsidR="00905F12">
        <w:rPr>
          <w:rFonts w:ascii="Times New Roman" w:hAnsi="Times New Roman" w:cs="Times New Roman"/>
          <w:sz w:val="24"/>
          <w:szCs w:val="24"/>
        </w:rPr>
        <w:t xml:space="preserve"> </w:t>
      </w:r>
      <w:r>
        <w:rPr>
          <w:rFonts w:ascii="Times New Roman" w:hAnsi="Times New Roman" w:cs="Times New Roman"/>
          <w:sz w:val="24"/>
          <w:szCs w:val="24"/>
        </w:rPr>
        <w:t>weak</w:t>
      </w:r>
      <w:r w:rsidR="00905F12">
        <w:rPr>
          <w:rFonts w:ascii="Times New Roman" w:hAnsi="Times New Roman" w:cs="Times New Roman"/>
          <w:sz w:val="24"/>
          <w:szCs w:val="24"/>
        </w:rPr>
        <w:t>er</w:t>
      </w:r>
      <w:r>
        <w:rPr>
          <w:rFonts w:ascii="Times New Roman" w:hAnsi="Times New Roman" w:cs="Times New Roman"/>
          <w:sz w:val="24"/>
          <w:szCs w:val="24"/>
        </w:rPr>
        <w:t xml:space="preserve"> as individuals use the debt financed tax cut</w:t>
      </w:r>
      <w:r w:rsidR="00C679FB">
        <w:rPr>
          <w:rFonts w:ascii="Times New Roman" w:hAnsi="Times New Roman" w:cs="Times New Roman"/>
          <w:sz w:val="24"/>
          <w:szCs w:val="24"/>
        </w:rPr>
        <w:t>s which imply</w:t>
      </w:r>
      <w:r>
        <w:rPr>
          <w:rFonts w:ascii="Times New Roman" w:hAnsi="Times New Roman" w:cs="Times New Roman"/>
          <w:sz w:val="24"/>
          <w:szCs w:val="24"/>
        </w:rPr>
        <w:t xml:space="preserve"> raise on their disposable income to increase their consumption. Hence, the author concluded that in cases of credit barriers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hypothesis does not hold while fiscal policy becomes more potent.    </w:t>
      </w:r>
    </w:p>
    <w:p w:rsidR="00905F12" w:rsidRDefault="00905F12" w:rsidP="00905F12">
      <w:pPr>
        <w:spacing w:after="0" w:line="240" w:lineRule="auto"/>
        <w:jc w:val="both"/>
        <w:rPr>
          <w:rFonts w:ascii="Times New Roman" w:hAnsi="Times New Roman" w:cs="Times New Roman"/>
          <w:sz w:val="24"/>
          <w:szCs w:val="24"/>
        </w:rPr>
      </w:pPr>
    </w:p>
    <w:p w:rsidR="004A1EFF" w:rsidRDefault="004A1EFF" w:rsidP="004A1EFF">
      <w:pPr>
        <w:jc w:val="both"/>
        <w:rPr>
          <w:rFonts w:ascii="Times New Roman" w:hAnsi="Times New Roman" w:cs="Times New Roman"/>
          <w:sz w:val="24"/>
          <w:szCs w:val="24"/>
        </w:rPr>
      </w:pPr>
      <w:r w:rsidRPr="00F326A5">
        <w:rPr>
          <w:rFonts w:ascii="Times New Roman" w:hAnsi="Times New Roman" w:cs="Times New Roman"/>
          <w:sz w:val="24"/>
          <w:szCs w:val="24"/>
          <w:u w:val="single"/>
        </w:rPr>
        <w:t xml:space="preserve">The taxes should be lump-sum, not </w:t>
      </w:r>
      <w:proofErr w:type="spellStart"/>
      <w:r w:rsidRPr="00F326A5">
        <w:rPr>
          <w:rFonts w:ascii="Times New Roman" w:hAnsi="Times New Roman" w:cs="Times New Roman"/>
          <w:sz w:val="24"/>
          <w:szCs w:val="24"/>
          <w:u w:val="single"/>
        </w:rPr>
        <w:t>distortionary</w:t>
      </w:r>
      <w:proofErr w:type="spellEnd"/>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This assumption implies that the amount of tax imposed on households should be fixed and not determined according to their income. This assumption is considered to be very strict since the majority of taxes in the real world are progressiv</w:t>
      </w:r>
      <w:r w:rsidR="00C679FB">
        <w:rPr>
          <w:rFonts w:ascii="Times New Roman" w:hAnsi="Times New Roman" w:cs="Times New Roman"/>
          <w:sz w:val="24"/>
          <w:szCs w:val="24"/>
        </w:rPr>
        <w:t>e which means</w:t>
      </w:r>
      <w:r>
        <w:rPr>
          <w:rFonts w:ascii="Times New Roman" w:hAnsi="Times New Roman" w:cs="Times New Roman"/>
          <w:sz w:val="24"/>
          <w:szCs w:val="24"/>
        </w:rPr>
        <w:t xml:space="preserve"> that are set according to the income level, for example the income taxes.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(1974) based his findings regarding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assuming lump-sum taxes in order the interest rates arising from the debt issue to be paid back. To this end Chan (1983) when using the assumption of lump-sum taxes accepted the </w:t>
      </w:r>
      <w:proofErr w:type="spellStart"/>
      <w:r>
        <w:rPr>
          <w:rFonts w:ascii="Times New Roman" w:hAnsi="Times New Roman" w:cs="Times New Roman"/>
          <w:sz w:val="24"/>
          <w:szCs w:val="24"/>
        </w:rPr>
        <w:t>R</w:t>
      </w:r>
      <w:r w:rsidR="00C679FB">
        <w:rPr>
          <w:rFonts w:ascii="Times New Roman" w:hAnsi="Times New Roman" w:cs="Times New Roman"/>
          <w:sz w:val="24"/>
          <w:szCs w:val="24"/>
        </w:rPr>
        <w:t>icardian</w:t>
      </w:r>
      <w:proofErr w:type="spellEnd"/>
      <w:r w:rsidR="00C679FB">
        <w:rPr>
          <w:rFonts w:ascii="Times New Roman" w:hAnsi="Times New Roman" w:cs="Times New Roman"/>
          <w:sz w:val="24"/>
          <w:szCs w:val="24"/>
        </w:rPr>
        <w:t xml:space="preserve"> Equivalence proposition while</w:t>
      </w:r>
      <w:r w:rsidR="003C4B74">
        <w:rPr>
          <w:rFonts w:ascii="Times New Roman" w:hAnsi="Times New Roman" w:cs="Times New Roman"/>
          <w:sz w:val="24"/>
          <w:szCs w:val="24"/>
        </w:rPr>
        <w:t xml:space="preserve"> when</w:t>
      </w:r>
      <w:r>
        <w:rPr>
          <w:rFonts w:ascii="Times New Roman" w:hAnsi="Times New Roman" w:cs="Times New Roman"/>
          <w:sz w:val="24"/>
          <w:szCs w:val="24"/>
        </w:rPr>
        <w:t xml:space="preserve"> leaving the tax burden to be positively correlated with the income he found opposite results since according to his findings current consumption increased. </w:t>
      </w:r>
    </w:p>
    <w:p w:rsidR="004A1EFF" w:rsidRDefault="004A1EFF"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(1989) elaborated more on the assumption of lump-sum taxes using an example with income taxes with the assumption of absent expenditures taxation to show that budget deficits change the timing of taxes and hence affect the economic decisions of the individuals. Specifically, a decrease in labor income tax the current period followed by an equivalent increase the next period incentivizes individuals to work more the current period and less the latter one. As a result the national savings </w:t>
      </w:r>
      <w:r w:rsidR="003C4B74">
        <w:rPr>
          <w:rFonts w:ascii="Times New Roman" w:hAnsi="Times New Roman" w:cs="Times New Roman"/>
          <w:sz w:val="24"/>
          <w:szCs w:val="24"/>
        </w:rPr>
        <w:t>will increase the current</w:t>
      </w:r>
      <w:r>
        <w:rPr>
          <w:rFonts w:ascii="Times New Roman" w:hAnsi="Times New Roman" w:cs="Times New Roman"/>
          <w:sz w:val="24"/>
          <w:szCs w:val="24"/>
        </w:rPr>
        <w:t xml:space="preserve"> and will follow the opposite pattern the next </w:t>
      </w:r>
      <w:r w:rsidR="003C4B74">
        <w:rPr>
          <w:rFonts w:ascii="Times New Roman" w:hAnsi="Times New Roman" w:cs="Times New Roman"/>
          <w:sz w:val="24"/>
          <w:szCs w:val="24"/>
        </w:rPr>
        <w:t xml:space="preserve">period </w:t>
      </w:r>
      <w:r>
        <w:rPr>
          <w:rFonts w:ascii="Times New Roman" w:hAnsi="Times New Roman" w:cs="Times New Roman"/>
          <w:sz w:val="24"/>
          <w:szCs w:val="24"/>
        </w:rPr>
        <w:t xml:space="preserve">invalidating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Concerning the latter argument, </w:t>
      </w:r>
      <w:proofErr w:type="spellStart"/>
      <w:r>
        <w:rPr>
          <w:rFonts w:ascii="Times New Roman" w:hAnsi="Times New Roman" w:cs="Times New Roman"/>
          <w:sz w:val="24"/>
          <w:szCs w:val="24"/>
        </w:rPr>
        <w:t>Seater</w:t>
      </w:r>
      <w:proofErr w:type="spellEnd"/>
      <w:r>
        <w:rPr>
          <w:rFonts w:ascii="Times New Roman" w:hAnsi="Times New Roman" w:cs="Times New Roman"/>
          <w:sz w:val="24"/>
          <w:szCs w:val="24"/>
        </w:rPr>
        <w:t xml:space="preserve"> (1993) expressed a different opinion trying to disconnect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and the changes o</w:t>
      </w:r>
      <w:r w:rsidR="0055540B">
        <w:rPr>
          <w:rFonts w:ascii="Times New Roman" w:hAnsi="Times New Roman" w:cs="Times New Roman"/>
          <w:sz w:val="24"/>
          <w:szCs w:val="24"/>
        </w:rPr>
        <w:t xml:space="preserve">f marginal tax rates. </w:t>
      </w:r>
      <w:proofErr w:type="spellStart"/>
      <w:r w:rsidR="0055540B">
        <w:rPr>
          <w:rFonts w:ascii="Times New Roman" w:hAnsi="Times New Roman" w:cs="Times New Roman"/>
          <w:sz w:val="24"/>
          <w:szCs w:val="24"/>
        </w:rPr>
        <w:t>Seater</w:t>
      </w:r>
      <w:proofErr w:type="spellEnd"/>
      <w:r>
        <w:rPr>
          <w:rFonts w:ascii="Times New Roman" w:hAnsi="Times New Roman" w:cs="Times New Roman"/>
          <w:sz w:val="24"/>
          <w:szCs w:val="24"/>
        </w:rPr>
        <w:t xml:space="preserve"> stated that what matt</w:t>
      </w:r>
      <w:r w:rsidR="003C4B74">
        <w:rPr>
          <w:rFonts w:ascii="Times New Roman" w:hAnsi="Times New Roman" w:cs="Times New Roman"/>
          <w:sz w:val="24"/>
          <w:szCs w:val="24"/>
        </w:rPr>
        <w:t xml:space="preserve">ers for the </w:t>
      </w:r>
      <w:proofErr w:type="spellStart"/>
      <w:r w:rsidR="003C4B74">
        <w:rPr>
          <w:rFonts w:ascii="Times New Roman" w:hAnsi="Times New Roman" w:cs="Times New Roman"/>
          <w:sz w:val="24"/>
          <w:szCs w:val="24"/>
        </w:rPr>
        <w:t>Ricardian</w:t>
      </w:r>
      <w:proofErr w:type="spellEnd"/>
      <w:r w:rsidR="003C4B74">
        <w:rPr>
          <w:rFonts w:ascii="Times New Roman" w:hAnsi="Times New Roman" w:cs="Times New Roman"/>
          <w:sz w:val="24"/>
          <w:szCs w:val="24"/>
        </w:rPr>
        <w:t xml:space="preserve"> proposition’s </w:t>
      </w:r>
      <w:r>
        <w:rPr>
          <w:rFonts w:ascii="Times New Roman" w:hAnsi="Times New Roman" w:cs="Times New Roman"/>
          <w:sz w:val="24"/>
          <w:szCs w:val="24"/>
        </w:rPr>
        <w:t xml:space="preserve">validity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the path of debt and not the path of marginal tax rates stressing that a change in debt is not necessarily accompanied by changes in marginal tax rates. </w:t>
      </w:r>
      <w:r>
        <w:rPr>
          <w:rFonts w:ascii="Times New Roman" w:hAnsi="Times New Roman" w:cs="Times New Roman"/>
          <w:sz w:val="24"/>
          <w:szCs w:val="24"/>
        </w:rPr>
        <w:lastRenderedPageBreak/>
        <w:t xml:space="preserve">Hence, changes in economic decisions of the individuals caused by marginal tax rate changes do not necessarily imply invalidation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framework.</w:t>
      </w:r>
    </w:p>
    <w:p w:rsidR="004A1EFF" w:rsidRDefault="004A1EFF" w:rsidP="004A1EFF">
      <w:pPr>
        <w:jc w:val="both"/>
        <w:rPr>
          <w:rFonts w:ascii="Times New Roman" w:hAnsi="Times New Roman" w:cs="Times New Roman"/>
          <w:sz w:val="24"/>
          <w:szCs w:val="24"/>
        </w:rPr>
      </w:pPr>
      <w:r w:rsidRPr="00522A90">
        <w:rPr>
          <w:rFonts w:ascii="Times New Roman" w:hAnsi="Times New Roman" w:cs="Times New Roman"/>
          <w:sz w:val="24"/>
          <w:szCs w:val="24"/>
          <w:u w:val="single"/>
        </w:rPr>
        <w:t>Certainty about future tax liabilities and incomes</w:t>
      </w:r>
      <w:r>
        <w:rPr>
          <w:rFonts w:ascii="Times New Roman" w:hAnsi="Times New Roman" w:cs="Times New Roman"/>
          <w:sz w:val="24"/>
          <w:szCs w:val="24"/>
        </w:rPr>
        <w:t xml:space="preserve">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This means that individuals should anticipate with certainty both the future incomes and the tax liabilities derived from the government debt interest payments. According to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(1974) uncertainty in tax lia</w:t>
      </w:r>
      <w:r w:rsidR="003C4B74">
        <w:rPr>
          <w:rFonts w:ascii="Times New Roman" w:hAnsi="Times New Roman" w:cs="Times New Roman"/>
          <w:sz w:val="24"/>
          <w:szCs w:val="24"/>
        </w:rPr>
        <w:t>bilities increases the risk</w:t>
      </w:r>
      <w:r>
        <w:rPr>
          <w:rFonts w:ascii="Times New Roman" w:hAnsi="Times New Roman" w:cs="Times New Roman"/>
          <w:sz w:val="24"/>
          <w:szCs w:val="24"/>
        </w:rPr>
        <w:t xml:space="preserve"> in</w:t>
      </w:r>
      <w:r w:rsidR="00C531F7">
        <w:rPr>
          <w:rFonts w:ascii="Times New Roman" w:hAnsi="Times New Roman" w:cs="Times New Roman"/>
          <w:sz w:val="24"/>
          <w:szCs w:val="24"/>
        </w:rPr>
        <w:t xml:space="preserve"> the household’s balance sheet</w:t>
      </w:r>
      <w:r>
        <w:rPr>
          <w:rFonts w:ascii="Times New Roman" w:hAnsi="Times New Roman" w:cs="Times New Roman"/>
          <w:sz w:val="24"/>
          <w:szCs w:val="24"/>
        </w:rPr>
        <w:t xml:space="preserve"> and </w:t>
      </w:r>
      <w:r w:rsidR="003C4B74">
        <w:rPr>
          <w:rFonts w:ascii="Times New Roman" w:hAnsi="Times New Roman" w:cs="Times New Roman"/>
          <w:sz w:val="24"/>
          <w:szCs w:val="24"/>
        </w:rPr>
        <w:t xml:space="preserve">hence </w:t>
      </w:r>
      <w:r>
        <w:rPr>
          <w:rFonts w:ascii="Times New Roman" w:hAnsi="Times New Roman" w:cs="Times New Roman"/>
          <w:sz w:val="24"/>
          <w:szCs w:val="24"/>
        </w:rPr>
        <w:t xml:space="preserve">decreases the household wealth. As a result the household tend to increase its savings. On the contrary when the variations of tax liabilities derive from changes in income, tax variations decrease the volatility of disposable income and hence the uncertainty of the household balance </w:t>
      </w:r>
      <w:r w:rsidR="00C531F7">
        <w:rPr>
          <w:rFonts w:ascii="Times New Roman" w:hAnsi="Times New Roman" w:cs="Times New Roman"/>
          <w:sz w:val="24"/>
          <w:szCs w:val="24"/>
        </w:rPr>
        <w:t xml:space="preserve">sheet </w:t>
      </w:r>
      <w:proofErr w:type="spellStart"/>
      <w:r w:rsidR="00C531F7">
        <w:rPr>
          <w:rFonts w:ascii="Times New Roman" w:hAnsi="Times New Roman" w:cs="Times New Roman"/>
          <w:sz w:val="24"/>
          <w:szCs w:val="24"/>
        </w:rPr>
        <w:t>disincentiviz</w:t>
      </w:r>
      <w:r>
        <w:rPr>
          <w:rFonts w:ascii="Times New Roman" w:hAnsi="Times New Roman" w:cs="Times New Roman"/>
          <w:sz w:val="24"/>
          <w:szCs w:val="24"/>
        </w:rPr>
        <w:t>ing</w:t>
      </w:r>
      <w:proofErr w:type="spellEnd"/>
      <w:r>
        <w:rPr>
          <w:rFonts w:ascii="Times New Roman" w:hAnsi="Times New Roman" w:cs="Times New Roman"/>
          <w:sz w:val="24"/>
          <w:szCs w:val="24"/>
        </w:rPr>
        <w:t xml:space="preserve"> savings. Consequently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stressed that the overall impact of tax uncertainty on household risk and </w:t>
      </w:r>
      <w:r w:rsidR="00437DDD">
        <w:rPr>
          <w:rFonts w:ascii="Times New Roman" w:hAnsi="Times New Roman" w:cs="Times New Roman"/>
          <w:sz w:val="24"/>
          <w:szCs w:val="24"/>
        </w:rPr>
        <w:t>hence consumption</w:t>
      </w:r>
      <w:r>
        <w:rPr>
          <w:rFonts w:ascii="Times New Roman" w:hAnsi="Times New Roman" w:cs="Times New Roman"/>
          <w:sz w:val="24"/>
          <w:szCs w:val="24"/>
        </w:rPr>
        <w:t xml:space="preserve"> is ambiguous and dependant on the nature of the tax system.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Chan (1983) reached to similar conclusion as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Specifically, he found that uncertainty about the future taxes induces income uncertainty which leads to increased savings and henc</w:t>
      </w:r>
      <w:r w:rsidR="00437DDD">
        <w:rPr>
          <w:rFonts w:ascii="Times New Roman" w:hAnsi="Times New Roman" w:cs="Times New Roman"/>
          <w:sz w:val="24"/>
          <w:szCs w:val="24"/>
        </w:rPr>
        <w:t>e decreased consumption. For</w:t>
      </w:r>
      <w:r>
        <w:rPr>
          <w:rFonts w:ascii="Times New Roman" w:hAnsi="Times New Roman" w:cs="Times New Roman"/>
          <w:sz w:val="24"/>
          <w:szCs w:val="24"/>
        </w:rPr>
        <w:t xml:space="preserve"> taxes that change according to the income level the author pointed that while lead to increased current consumption due to the decrease in income uncertainty the overall outcome is ambiguous.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(1989) elaborated more on the findings of Chan (1983) and concluded that budget deficits raise the uncertainty level imposed on the individual disposable income making people reduce their consumption thus increasing their savings by more than the tax. On the other side, in </w:t>
      </w:r>
      <w:r w:rsidR="00437DDD">
        <w:rPr>
          <w:rFonts w:ascii="Times New Roman" w:hAnsi="Times New Roman" w:cs="Times New Roman"/>
          <w:sz w:val="24"/>
          <w:szCs w:val="24"/>
        </w:rPr>
        <w:t xml:space="preserve">the </w:t>
      </w:r>
      <w:r>
        <w:rPr>
          <w:rFonts w:ascii="Times New Roman" w:hAnsi="Times New Roman" w:cs="Times New Roman"/>
          <w:sz w:val="24"/>
          <w:szCs w:val="24"/>
        </w:rPr>
        <w:t>case of income taxation, budget deficits decrease the income uncertainty “as the government shares more risks about the individ</w:t>
      </w:r>
      <w:r w:rsidR="00437DDD">
        <w:rPr>
          <w:rFonts w:ascii="Times New Roman" w:hAnsi="Times New Roman" w:cs="Times New Roman"/>
          <w:sz w:val="24"/>
          <w:szCs w:val="24"/>
        </w:rPr>
        <w:t xml:space="preserve">ual disposable income” with </w:t>
      </w:r>
      <w:r>
        <w:rPr>
          <w:rFonts w:ascii="Times New Roman" w:hAnsi="Times New Roman" w:cs="Times New Roman"/>
          <w:sz w:val="24"/>
          <w:szCs w:val="24"/>
        </w:rPr>
        <w:t xml:space="preserve">adverse results on consumption and savings. Hence, in these cases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does not hold since the budget deficits exert wealth effects.</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Feldstein (1988) investigated the role of future income uncertainty spe</w:t>
      </w:r>
      <w:r w:rsidR="0055540B">
        <w:rPr>
          <w:rFonts w:ascii="Times New Roman" w:hAnsi="Times New Roman" w:cs="Times New Roman"/>
          <w:sz w:val="24"/>
          <w:szCs w:val="24"/>
        </w:rPr>
        <w:t>cifically on bequests. Feldstein</w:t>
      </w:r>
      <w:r>
        <w:rPr>
          <w:rFonts w:ascii="Times New Roman" w:hAnsi="Times New Roman" w:cs="Times New Roman"/>
          <w:sz w:val="24"/>
          <w:szCs w:val="24"/>
        </w:rPr>
        <w:t xml:space="preserve"> found that future incomes uncertainty renders uncertain also the bequests leading the current consumption to increase. Using a numerical example he showed that the introduction of income uncertainty makes the current consumption, the savings for precautionary reasons and the bequests to increase. Most importantly, under the regime of deficit financed tax cut and income uncertainty, the current consumption raises and so the bequests though not sufficiently to compensate the next generation for the welfare loss imposed by the taxation burden. As a result the </w:t>
      </w:r>
      <w:proofErr w:type="spellStart"/>
      <w:r>
        <w:rPr>
          <w:rFonts w:ascii="Times New Roman" w:hAnsi="Times New Roman" w:cs="Times New Roman"/>
          <w:sz w:val="24"/>
          <w:szCs w:val="24"/>
        </w:rPr>
        <w:t>Ri</w:t>
      </w:r>
      <w:r w:rsidR="002529E6">
        <w:rPr>
          <w:rFonts w:ascii="Times New Roman" w:hAnsi="Times New Roman" w:cs="Times New Roman"/>
          <w:sz w:val="24"/>
          <w:szCs w:val="24"/>
        </w:rPr>
        <w:t>cardian</w:t>
      </w:r>
      <w:proofErr w:type="spellEnd"/>
      <w:r w:rsidR="002529E6">
        <w:rPr>
          <w:rFonts w:ascii="Times New Roman" w:hAnsi="Times New Roman" w:cs="Times New Roman"/>
          <w:sz w:val="24"/>
          <w:szCs w:val="24"/>
        </w:rPr>
        <w:t xml:space="preserve"> Equivalence does not hold</w:t>
      </w:r>
      <w:r>
        <w:rPr>
          <w:rFonts w:ascii="Times New Roman" w:hAnsi="Times New Roman" w:cs="Times New Roman"/>
          <w:sz w:val="24"/>
          <w:szCs w:val="24"/>
        </w:rPr>
        <w:t>.</w:t>
      </w:r>
    </w:p>
    <w:p w:rsidR="001A060A" w:rsidRDefault="001A060A" w:rsidP="004A1EFF">
      <w:pPr>
        <w:jc w:val="both"/>
        <w:rPr>
          <w:rFonts w:ascii="Times New Roman" w:hAnsi="Times New Roman" w:cs="Times New Roman"/>
          <w:sz w:val="24"/>
          <w:szCs w:val="24"/>
        </w:rPr>
      </w:pPr>
    </w:p>
    <w:p w:rsidR="004A1EFF" w:rsidRDefault="004A1EFF" w:rsidP="004A1EFF">
      <w:pPr>
        <w:jc w:val="both"/>
        <w:rPr>
          <w:rFonts w:ascii="Times New Roman" w:hAnsi="Times New Roman" w:cs="Times New Roman"/>
          <w:sz w:val="24"/>
          <w:szCs w:val="24"/>
        </w:rPr>
      </w:pPr>
      <w:r w:rsidRPr="00A81A6E">
        <w:rPr>
          <w:rFonts w:ascii="Times New Roman" w:hAnsi="Times New Roman" w:cs="Times New Roman"/>
          <w:sz w:val="24"/>
          <w:szCs w:val="24"/>
          <w:u w:val="single"/>
        </w:rPr>
        <w:t>The consumers have to be rational and farsighted</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This assumption implies that individuals should take their economic decisions based on available information about the future and not only the present. This means that in the case</w:t>
      </w:r>
      <w:r w:rsidR="001D046F">
        <w:rPr>
          <w:rFonts w:ascii="Times New Roman" w:hAnsi="Times New Roman" w:cs="Times New Roman"/>
          <w:sz w:val="24"/>
          <w:szCs w:val="24"/>
        </w:rPr>
        <w:t xml:space="preserve"> of </w:t>
      </w:r>
      <w:r>
        <w:rPr>
          <w:rFonts w:ascii="Times New Roman" w:hAnsi="Times New Roman" w:cs="Times New Roman"/>
          <w:sz w:val="24"/>
          <w:szCs w:val="24"/>
        </w:rPr>
        <w:t xml:space="preserve">debt issue rational and farsighted individuals anticipate increased future taxes deriving from the </w:t>
      </w:r>
      <w:r>
        <w:rPr>
          <w:rFonts w:ascii="Times New Roman" w:hAnsi="Times New Roman" w:cs="Times New Roman"/>
          <w:sz w:val="24"/>
          <w:szCs w:val="24"/>
        </w:rPr>
        <w:lastRenderedPageBreak/>
        <w:t>gover</w:t>
      </w:r>
      <w:r w:rsidR="001D046F">
        <w:rPr>
          <w:rFonts w:ascii="Times New Roman" w:hAnsi="Times New Roman" w:cs="Times New Roman"/>
          <w:sz w:val="24"/>
          <w:szCs w:val="24"/>
        </w:rPr>
        <w:t xml:space="preserve">nment debt repayment </w:t>
      </w:r>
      <w:r>
        <w:rPr>
          <w:rFonts w:ascii="Times New Roman" w:hAnsi="Times New Roman" w:cs="Times New Roman"/>
          <w:sz w:val="24"/>
          <w:szCs w:val="24"/>
        </w:rPr>
        <w:t>and so adjust their behavior accordingly. Hence</w:t>
      </w:r>
      <w:r w:rsidR="001D046F">
        <w:rPr>
          <w:rFonts w:ascii="Times New Roman" w:hAnsi="Times New Roman" w:cs="Times New Roman"/>
          <w:sz w:val="24"/>
          <w:szCs w:val="24"/>
        </w:rPr>
        <w:t>, they</w:t>
      </w:r>
      <w:r>
        <w:rPr>
          <w:rFonts w:ascii="Times New Roman" w:hAnsi="Times New Roman" w:cs="Times New Roman"/>
          <w:sz w:val="24"/>
          <w:szCs w:val="24"/>
        </w:rPr>
        <w:t xml:space="preserve"> do n</w:t>
      </w:r>
      <w:r w:rsidR="001D046F">
        <w:rPr>
          <w:rFonts w:ascii="Times New Roman" w:hAnsi="Times New Roman" w:cs="Times New Roman"/>
          <w:sz w:val="24"/>
          <w:szCs w:val="24"/>
        </w:rPr>
        <w:t>ot increase their current consumption but instead</w:t>
      </w:r>
      <w:r>
        <w:rPr>
          <w:rFonts w:ascii="Times New Roman" w:hAnsi="Times New Roman" w:cs="Times New Roman"/>
          <w:sz w:val="24"/>
          <w:szCs w:val="24"/>
        </w:rPr>
        <w:t xml:space="preserve"> increase their savings in order to make bequests to their descendants offsetting in this way the welfare loss imposed to them by the future tax burden. The debate followed the foresight assumption started from David Ricardo </w:t>
      </w:r>
      <w:r w:rsidR="001D046F">
        <w:rPr>
          <w:rFonts w:ascii="Times New Roman" w:hAnsi="Times New Roman" w:cs="Times New Roman"/>
          <w:sz w:val="24"/>
          <w:szCs w:val="24"/>
        </w:rPr>
        <w:t xml:space="preserve">(1820) </w:t>
      </w:r>
      <w:r>
        <w:rPr>
          <w:rFonts w:ascii="Times New Roman" w:hAnsi="Times New Roman" w:cs="Times New Roman"/>
          <w:sz w:val="24"/>
          <w:szCs w:val="24"/>
        </w:rPr>
        <w:t xml:space="preserve">himself who established the theorem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Specifically, </w:t>
      </w:r>
      <w:r w:rsidR="001D046F">
        <w:rPr>
          <w:rFonts w:ascii="Times New Roman" w:hAnsi="Times New Roman" w:cs="Times New Roman"/>
          <w:sz w:val="24"/>
          <w:szCs w:val="24"/>
        </w:rPr>
        <w:t>David Ricardo</w:t>
      </w:r>
      <w:r>
        <w:rPr>
          <w:rFonts w:ascii="Times New Roman" w:hAnsi="Times New Roman" w:cs="Times New Roman"/>
          <w:sz w:val="24"/>
          <w:szCs w:val="24"/>
        </w:rPr>
        <w:t xml:space="preserve"> at his notes</w:t>
      </w:r>
      <w:r>
        <w:rPr>
          <w:rStyle w:val="a8"/>
          <w:rFonts w:ascii="Times New Roman" w:hAnsi="Times New Roman" w:cs="Times New Roman"/>
          <w:sz w:val="24"/>
          <w:szCs w:val="24"/>
        </w:rPr>
        <w:footnoteReference w:id="10"/>
      </w:r>
      <w:r>
        <w:rPr>
          <w:rFonts w:ascii="Times New Roman" w:hAnsi="Times New Roman" w:cs="Times New Roman"/>
          <w:sz w:val="24"/>
          <w:szCs w:val="24"/>
        </w:rPr>
        <w:t xml:space="preserve"> on his fundamental paper “Funding System” expressed doubts on if individuals base their economic decisions taking into consideration the tax payments stating that the individuals “never estimate the taxes that they pay and hence do not manage accordingly their economic cases”. </w:t>
      </w:r>
    </w:p>
    <w:p w:rsidR="004A1EFF" w:rsidRDefault="004A1EFF"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Bernheim</w:t>
      </w:r>
      <w:proofErr w:type="spellEnd"/>
      <w:r>
        <w:rPr>
          <w:rFonts w:ascii="Times New Roman" w:hAnsi="Times New Roman" w:cs="Times New Roman"/>
          <w:sz w:val="24"/>
          <w:szCs w:val="24"/>
        </w:rPr>
        <w:t xml:space="preserve"> (1987) described the rationality</w:t>
      </w:r>
      <w:r w:rsidR="001D046F">
        <w:rPr>
          <w:rFonts w:ascii="Times New Roman" w:hAnsi="Times New Roman" w:cs="Times New Roman"/>
          <w:sz w:val="24"/>
          <w:szCs w:val="24"/>
        </w:rPr>
        <w:t xml:space="preserve"> as an “in vogue” assumption noting</w:t>
      </w:r>
      <w:r>
        <w:rPr>
          <w:rFonts w:ascii="Times New Roman" w:hAnsi="Times New Roman" w:cs="Times New Roman"/>
          <w:sz w:val="24"/>
          <w:szCs w:val="24"/>
        </w:rPr>
        <w:t xml:space="preserve"> that in case individuals fail to incorporate in their economic decisions the future tax liabilities deriving from the budget deficit they base their consumption on the current disposable income. Hence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does not hold and the economy obtains Keynesian characteristics. To this </w:t>
      </w:r>
      <w:r w:rsidR="00600BC4">
        <w:rPr>
          <w:rFonts w:ascii="Times New Roman" w:hAnsi="Times New Roman" w:cs="Times New Roman"/>
          <w:sz w:val="24"/>
          <w:szCs w:val="24"/>
        </w:rPr>
        <w:t>end Modigliani &amp;</w:t>
      </w:r>
      <w:r>
        <w:rPr>
          <w:rFonts w:ascii="Times New Roman" w:hAnsi="Times New Roman" w:cs="Times New Roman"/>
          <w:sz w:val="24"/>
          <w:szCs w:val="24"/>
        </w:rPr>
        <w:t xml:space="preserve"> Sterling (1990) investigating the effects of temporary and permanent taxes on consumpt</w:t>
      </w:r>
      <w:r w:rsidR="00822D2D">
        <w:rPr>
          <w:rFonts w:ascii="Times New Roman" w:hAnsi="Times New Roman" w:cs="Times New Roman"/>
          <w:sz w:val="24"/>
          <w:szCs w:val="24"/>
        </w:rPr>
        <w:t>ion</w:t>
      </w:r>
      <w:r>
        <w:rPr>
          <w:rFonts w:ascii="Times New Roman" w:hAnsi="Times New Roman" w:cs="Times New Roman"/>
          <w:sz w:val="24"/>
          <w:szCs w:val="24"/>
        </w:rPr>
        <w:t xml:space="preserve"> found that individuals define their disposable income, wealth and consumption level ignoring the government expenditures and the budget deficit. These finding in line with the doubts of Davi</w:t>
      </w:r>
      <w:r w:rsidR="00822D2D">
        <w:rPr>
          <w:rFonts w:ascii="Times New Roman" w:hAnsi="Times New Roman" w:cs="Times New Roman"/>
          <w:sz w:val="24"/>
          <w:szCs w:val="24"/>
        </w:rPr>
        <w:t xml:space="preserve">d Ricardo (1820) described above </w:t>
      </w:r>
      <w:r>
        <w:rPr>
          <w:rFonts w:ascii="Times New Roman" w:hAnsi="Times New Roman" w:cs="Times New Roman"/>
          <w:sz w:val="24"/>
          <w:szCs w:val="24"/>
        </w:rPr>
        <w:t xml:space="preserve">were against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which implies that individuals base their economic decisions taking into consideration the tax liabilities stemming from the fiscal policies of the government. </w:t>
      </w:r>
    </w:p>
    <w:p w:rsidR="004A1EFF" w:rsidRDefault="00EF4912"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Seater</w:t>
      </w:r>
      <w:proofErr w:type="spellEnd"/>
      <w:r>
        <w:rPr>
          <w:rFonts w:ascii="Times New Roman" w:hAnsi="Times New Roman" w:cs="Times New Roman"/>
          <w:sz w:val="24"/>
          <w:szCs w:val="24"/>
        </w:rPr>
        <w:t xml:space="preserve"> (1993) that referred to</w:t>
      </w:r>
      <w:r w:rsidR="004A1EFF">
        <w:rPr>
          <w:rFonts w:ascii="Times New Roman" w:hAnsi="Times New Roman" w:cs="Times New Roman"/>
          <w:sz w:val="24"/>
          <w:szCs w:val="24"/>
        </w:rPr>
        <w:t xml:space="preserve"> the findings of Modigliani and Sterling commented as extreme the rationality and foresight assumptions doubting the existence of a theory that could sufficiently describe the behavior within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framework. More recently Chow (2011) although admitted that rational expectations assumption was not necessarily incorrect as could be applied in many cases, stressed the fact that rational expectations hypothesis was widely accepted without adequate empirical evidence. Instead, Chow providing econometric evidence in favor of the adaptive expectations hypothesis stated</w:t>
      </w:r>
      <w:r>
        <w:rPr>
          <w:rFonts w:ascii="Times New Roman" w:hAnsi="Times New Roman" w:cs="Times New Roman"/>
          <w:sz w:val="24"/>
          <w:szCs w:val="24"/>
        </w:rPr>
        <w:t xml:space="preserve"> that this specific hypothesis was superior </w:t>
      </w:r>
      <w:proofErr w:type="gramStart"/>
      <w:r>
        <w:rPr>
          <w:rFonts w:ascii="Times New Roman" w:hAnsi="Times New Roman" w:cs="Times New Roman"/>
          <w:sz w:val="24"/>
          <w:szCs w:val="24"/>
        </w:rPr>
        <w:t>than</w:t>
      </w:r>
      <w:proofErr w:type="gramEnd"/>
      <w:r>
        <w:rPr>
          <w:rFonts w:ascii="Times New Roman" w:hAnsi="Times New Roman" w:cs="Times New Roman"/>
          <w:sz w:val="24"/>
          <w:szCs w:val="24"/>
        </w:rPr>
        <w:t xml:space="preserve"> the </w:t>
      </w:r>
      <w:r w:rsidR="004A1EFF">
        <w:rPr>
          <w:rFonts w:ascii="Times New Roman" w:hAnsi="Times New Roman" w:cs="Times New Roman"/>
          <w:sz w:val="24"/>
          <w:szCs w:val="24"/>
        </w:rPr>
        <w:t xml:space="preserve">rational expectations assumption as a proxy for psychological expectations in economic behavior studies.  </w:t>
      </w:r>
    </w:p>
    <w:p w:rsidR="004A1EFF" w:rsidRPr="004A1EFF" w:rsidRDefault="004A1EFF" w:rsidP="004A1EFF">
      <w:pPr>
        <w:pStyle w:val="a9"/>
        <w:numPr>
          <w:ilvl w:val="0"/>
          <w:numId w:val="1"/>
        </w:numPr>
        <w:ind w:left="0"/>
        <w:jc w:val="both"/>
        <w:rPr>
          <w:rFonts w:ascii="Times New Roman" w:hAnsi="Times New Roman" w:cs="Times New Roman"/>
          <w:sz w:val="24"/>
          <w:szCs w:val="24"/>
        </w:rPr>
      </w:pPr>
      <w:r w:rsidRPr="00905F12">
        <w:rPr>
          <w:rFonts w:ascii="Times New Roman" w:hAnsi="Times New Roman" w:cs="Times New Roman"/>
          <w:b/>
          <w:sz w:val="24"/>
          <w:szCs w:val="24"/>
        </w:rPr>
        <w:t>Literature review</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After the initial enouncement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by David Ricardo on 1920 and the fundamental paper of </w:t>
      </w: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on 1974, a number of studies were performed in order to test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theorem applying various estimation methods and using different group of countries.  Due to this heterogeneity of the estimation approaches these surveys yielded different and in many cases conflicting results. In this part we will report the studies that focused mainly on</w:t>
      </w:r>
      <w:r w:rsidR="0055540B">
        <w:rPr>
          <w:rFonts w:ascii="Times New Roman" w:hAnsi="Times New Roman" w:cs="Times New Roman"/>
          <w:sz w:val="24"/>
          <w:szCs w:val="24"/>
        </w:rPr>
        <w:t xml:space="preserve"> the European countries and</w:t>
      </w:r>
      <w:r>
        <w:rPr>
          <w:rFonts w:ascii="Times New Roman" w:hAnsi="Times New Roman" w:cs="Times New Roman"/>
          <w:sz w:val="24"/>
          <w:szCs w:val="24"/>
        </w:rPr>
        <w:t xml:space="preserve"> took into consideration the government debt parameter.</w:t>
      </w:r>
    </w:p>
    <w:p w:rsidR="004A1EFF" w:rsidRDefault="004A1EFF" w:rsidP="004A1EFF">
      <w:pPr>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Afonso</w:t>
      </w:r>
      <w:proofErr w:type="spellEnd"/>
      <w:r>
        <w:rPr>
          <w:rFonts w:ascii="Times New Roman" w:hAnsi="Times New Roman" w:cs="Times New Roman"/>
          <w:sz w:val="24"/>
          <w:szCs w:val="24"/>
        </w:rPr>
        <w:t xml:space="preserve"> (2001) was the first that investigated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exclusively for European economies</w:t>
      </w:r>
      <w:r>
        <w:rPr>
          <w:rStyle w:val="a8"/>
          <w:rFonts w:ascii="Times New Roman" w:hAnsi="Times New Roman" w:cs="Times New Roman"/>
          <w:sz w:val="24"/>
          <w:szCs w:val="24"/>
        </w:rPr>
        <w:footnoteReference w:id="11"/>
      </w:r>
      <w:r>
        <w:rPr>
          <w:rFonts w:ascii="Times New Roman" w:hAnsi="Times New Roman" w:cs="Times New Roman"/>
          <w:sz w:val="24"/>
          <w:szCs w:val="24"/>
        </w:rPr>
        <w:t>. Specifically</w:t>
      </w:r>
      <w:r w:rsidR="0055540B">
        <w:rPr>
          <w:rFonts w:ascii="Times New Roman" w:hAnsi="Times New Roman" w:cs="Times New Roman"/>
          <w:sz w:val="24"/>
          <w:szCs w:val="24"/>
        </w:rPr>
        <w:t xml:space="preserve">, </w:t>
      </w:r>
      <w:proofErr w:type="spellStart"/>
      <w:r w:rsidR="0055540B">
        <w:rPr>
          <w:rFonts w:ascii="Times New Roman" w:hAnsi="Times New Roman" w:cs="Times New Roman"/>
          <w:sz w:val="24"/>
          <w:szCs w:val="24"/>
        </w:rPr>
        <w:t>Afonso</w:t>
      </w:r>
      <w:proofErr w:type="spellEnd"/>
      <w:r>
        <w:rPr>
          <w:rFonts w:ascii="Times New Roman" w:hAnsi="Times New Roman" w:cs="Times New Roman"/>
          <w:sz w:val="24"/>
          <w:szCs w:val="24"/>
        </w:rPr>
        <w:t xml:space="preserve"> estimated private consumption Euler equations that derived from the </w:t>
      </w:r>
      <w:proofErr w:type="spellStart"/>
      <w:r>
        <w:rPr>
          <w:rFonts w:ascii="Times New Roman" w:hAnsi="Times New Roman" w:cs="Times New Roman"/>
          <w:sz w:val="24"/>
          <w:szCs w:val="24"/>
        </w:rPr>
        <w:t>intertemporal</w:t>
      </w:r>
      <w:proofErr w:type="spellEnd"/>
      <w:r>
        <w:rPr>
          <w:rFonts w:ascii="Times New Roman" w:hAnsi="Times New Roman" w:cs="Times New Roman"/>
          <w:sz w:val="24"/>
          <w:szCs w:val="24"/>
        </w:rPr>
        <w:t xml:space="preserve"> consumer’s maximization problem first introduced by Hall (1978), using a panel data approach for the period 1970-2000. As a first step he divided the countries in two groups the “less indebted”</w:t>
      </w:r>
      <w:r>
        <w:rPr>
          <w:rStyle w:val="a8"/>
          <w:rFonts w:ascii="Times New Roman" w:hAnsi="Times New Roman" w:cs="Times New Roman"/>
          <w:sz w:val="24"/>
          <w:szCs w:val="24"/>
        </w:rPr>
        <w:footnoteReference w:id="12"/>
      </w:r>
      <w:r>
        <w:rPr>
          <w:rFonts w:ascii="Times New Roman" w:hAnsi="Times New Roman" w:cs="Times New Roman"/>
          <w:sz w:val="24"/>
          <w:szCs w:val="24"/>
        </w:rPr>
        <w:t xml:space="preserve"> and the “more indebted”</w:t>
      </w:r>
      <w:r>
        <w:rPr>
          <w:rStyle w:val="a8"/>
          <w:rFonts w:ascii="Times New Roman" w:hAnsi="Times New Roman" w:cs="Times New Roman"/>
          <w:sz w:val="24"/>
          <w:szCs w:val="24"/>
        </w:rPr>
        <w:footnoteReference w:id="13"/>
      </w:r>
      <w:r>
        <w:rPr>
          <w:rFonts w:ascii="Times New Roman" w:hAnsi="Times New Roman" w:cs="Times New Roman"/>
          <w:sz w:val="24"/>
          <w:szCs w:val="24"/>
        </w:rPr>
        <w:t xml:space="preserve"> based on the criterion imposed by the Maastricht Treaty. Furthermore </w:t>
      </w:r>
      <w:proofErr w:type="spellStart"/>
      <w:r>
        <w:rPr>
          <w:rFonts w:ascii="Times New Roman" w:hAnsi="Times New Roman" w:cs="Times New Roman"/>
          <w:sz w:val="24"/>
          <w:szCs w:val="24"/>
        </w:rPr>
        <w:t>Afonso</w:t>
      </w:r>
      <w:proofErr w:type="spellEnd"/>
      <w:r>
        <w:rPr>
          <w:rFonts w:ascii="Times New Roman" w:hAnsi="Times New Roman" w:cs="Times New Roman"/>
          <w:sz w:val="24"/>
          <w:szCs w:val="24"/>
        </w:rPr>
        <w:t xml:space="preserve"> applied the fixed effects specification due to the common characteristics of the countries in the sample. According to his main findings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was rejected for all the countries in the sample as a positive relation between government debt and the private consumption was revealed. In addition, while for moderate levels of debt the effect of government debt on private consumption was considerable, for higher debt levels the impact on private consumption was more moderate leading to the conclusion that in high debt countries: “consumers might become m</w:t>
      </w:r>
      <w:r w:rsidR="00FB1E49">
        <w:rPr>
          <w:rFonts w:ascii="Times New Roman" w:hAnsi="Times New Roman" w:cs="Times New Roman"/>
          <w:sz w:val="24"/>
          <w:szCs w:val="24"/>
        </w:rPr>
        <w:t xml:space="preserve">ore </w:t>
      </w:r>
      <w:proofErr w:type="spellStart"/>
      <w:r w:rsidR="00FB1E49">
        <w:rPr>
          <w:rFonts w:ascii="Times New Roman" w:hAnsi="Times New Roman" w:cs="Times New Roman"/>
          <w:sz w:val="24"/>
          <w:szCs w:val="24"/>
        </w:rPr>
        <w:t>Ricardian</w:t>
      </w:r>
      <w:proofErr w:type="spellEnd"/>
      <w:r w:rsidR="00FB1E49">
        <w:rPr>
          <w:rFonts w:ascii="Times New Roman" w:hAnsi="Times New Roman" w:cs="Times New Roman"/>
          <w:sz w:val="24"/>
          <w:szCs w:val="24"/>
        </w:rPr>
        <w:t xml:space="preserve">”. According to </w:t>
      </w:r>
      <w:proofErr w:type="spellStart"/>
      <w:r w:rsidR="00FB1E49">
        <w:rPr>
          <w:rFonts w:ascii="Times New Roman" w:hAnsi="Times New Roman" w:cs="Times New Roman"/>
          <w:sz w:val="24"/>
          <w:szCs w:val="24"/>
        </w:rPr>
        <w:t>Afonso’s</w:t>
      </w:r>
      <w:proofErr w:type="spellEnd"/>
      <w:r>
        <w:rPr>
          <w:rFonts w:ascii="Times New Roman" w:hAnsi="Times New Roman" w:cs="Times New Roman"/>
          <w:sz w:val="24"/>
          <w:szCs w:val="24"/>
        </w:rPr>
        <w:t xml:space="preserve"> estimations a government debt increase of 1000 Euros </w:t>
      </w:r>
      <w:proofErr w:type="gramStart"/>
      <w:r>
        <w:rPr>
          <w:rFonts w:ascii="Times New Roman" w:hAnsi="Times New Roman" w:cs="Times New Roman"/>
          <w:sz w:val="24"/>
          <w:szCs w:val="24"/>
        </w:rPr>
        <w:t>rise</w:t>
      </w:r>
      <w:proofErr w:type="gramEnd"/>
      <w:r>
        <w:rPr>
          <w:rFonts w:ascii="Times New Roman" w:hAnsi="Times New Roman" w:cs="Times New Roman"/>
          <w:sz w:val="24"/>
          <w:szCs w:val="24"/>
        </w:rPr>
        <w:t xml:space="preserve"> private consumption by 44 Euros in low debt countries and by 29 Euros in the more indebted countries. Furthermore, </w:t>
      </w:r>
      <w:proofErr w:type="spellStart"/>
      <w:r>
        <w:rPr>
          <w:rFonts w:ascii="Times New Roman" w:hAnsi="Times New Roman" w:cs="Times New Roman"/>
          <w:sz w:val="24"/>
          <w:szCs w:val="24"/>
        </w:rPr>
        <w:t>Afonso</w:t>
      </w:r>
      <w:proofErr w:type="spellEnd"/>
      <w:r>
        <w:rPr>
          <w:rFonts w:ascii="Times New Roman" w:hAnsi="Times New Roman" w:cs="Times New Roman"/>
          <w:sz w:val="24"/>
          <w:szCs w:val="24"/>
        </w:rPr>
        <w:t xml:space="preserve"> repeated the estimation process applying alternative thresholds regarding the Debt to GDP</w:t>
      </w:r>
      <w:r>
        <w:rPr>
          <w:rStyle w:val="a8"/>
          <w:rFonts w:ascii="Times New Roman" w:hAnsi="Times New Roman" w:cs="Times New Roman"/>
          <w:sz w:val="24"/>
          <w:szCs w:val="24"/>
        </w:rPr>
        <w:footnoteReference w:id="14"/>
      </w:r>
      <w:r>
        <w:rPr>
          <w:rFonts w:ascii="Times New Roman" w:hAnsi="Times New Roman" w:cs="Times New Roman"/>
          <w:sz w:val="24"/>
          <w:szCs w:val="24"/>
        </w:rPr>
        <w:t xml:space="preserve"> ratio. The 50% threshold yielded statistically and quantitatively more significant results regarding the government debt coefficient, suggesting that above the 50% debt to GDP ratio individuals are more concerned about the “future consequences of government indebtedness”.  </w:t>
      </w:r>
    </w:p>
    <w:p w:rsidR="004A1EFF" w:rsidRDefault="00600BC4"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Reitschuler</w:t>
      </w:r>
      <w:proofErr w:type="spellEnd"/>
      <w:r>
        <w:rPr>
          <w:rFonts w:ascii="Times New Roman" w:hAnsi="Times New Roman" w:cs="Times New Roman"/>
          <w:sz w:val="24"/>
          <w:szCs w:val="24"/>
        </w:rPr>
        <w:t xml:space="preserve"> &amp;</w:t>
      </w:r>
      <w:r w:rsidR="004A1EFF">
        <w:rPr>
          <w:rFonts w:ascii="Times New Roman" w:hAnsi="Times New Roman" w:cs="Times New Roman"/>
          <w:sz w:val="24"/>
          <w:szCs w:val="24"/>
        </w:rPr>
        <w:t xml:space="preserve"> </w:t>
      </w:r>
      <w:proofErr w:type="spellStart"/>
      <w:r w:rsidR="004A1EFF">
        <w:rPr>
          <w:rFonts w:ascii="Times New Roman" w:hAnsi="Times New Roman" w:cs="Times New Roman"/>
          <w:sz w:val="24"/>
          <w:szCs w:val="24"/>
        </w:rPr>
        <w:t>Cuaresma</w:t>
      </w:r>
      <w:proofErr w:type="spellEnd"/>
      <w:r w:rsidR="004A1EFF">
        <w:rPr>
          <w:rFonts w:ascii="Times New Roman" w:hAnsi="Times New Roman" w:cs="Times New Roman"/>
          <w:sz w:val="24"/>
          <w:szCs w:val="24"/>
        </w:rPr>
        <w:t xml:space="preserve"> (2004</w:t>
      </w:r>
      <w:proofErr w:type="gramStart"/>
      <w:r w:rsidR="004A1EFF">
        <w:rPr>
          <w:rFonts w:ascii="Times New Roman" w:hAnsi="Times New Roman" w:cs="Times New Roman"/>
          <w:sz w:val="24"/>
          <w:szCs w:val="24"/>
        </w:rPr>
        <w:t>),</w:t>
      </w:r>
      <w:proofErr w:type="gramEnd"/>
      <w:r w:rsidR="004A1EFF">
        <w:rPr>
          <w:rFonts w:ascii="Times New Roman" w:hAnsi="Times New Roman" w:cs="Times New Roman"/>
          <w:sz w:val="24"/>
          <w:szCs w:val="24"/>
        </w:rPr>
        <w:t xml:space="preserve"> tested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hypothesis for 26</w:t>
      </w:r>
      <w:r w:rsidR="004A1EFF">
        <w:rPr>
          <w:rStyle w:val="a8"/>
          <w:rFonts w:ascii="Times New Roman" w:hAnsi="Times New Roman" w:cs="Times New Roman"/>
          <w:sz w:val="24"/>
          <w:szCs w:val="24"/>
        </w:rPr>
        <w:footnoteReference w:id="15"/>
      </w:r>
      <w:r w:rsidR="004A1EFF">
        <w:rPr>
          <w:rFonts w:ascii="Times New Roman" w:hAnsi="Times New Roman" w:cs="Times New Roman"/>
          <w:sz w:val="24"/>
          <w:szCs w:val="24"/>
        </w:rPr>
        <w:t xml:space="preserve"> OECD countries for the period 1960-2002. Their estimation approach was based on the dynamic optimizing </w:t>
      </w:r>
      <w:proofErr w:type="gramStart"/>
      <w:r w:rsidR="004A1EFF">
        <w:rPr>
          <w:rFonts w:ascii="Times New Roman" w:hAnsi="Times New Roman" w:cs="Times New Roman"/>
          <w:sz w:val="24"/>
          <w:szCs w:val="24"/>
        </w:rPr>
        <w:t>agents</w:t>
      </w:r>
      <w:proofErr w:type="gramEnd"/>
      <w:r w:rsidR="004A1EFF">
        <w:rPr>
          <w:rFonts w:ascii="Times New Roman" w:hAnsi="Times New Roman" w:cs="Times New Roman"/>
          <w:sz w:val="24"/>
          <w:szCs w:val="24"/>
        </w:rPr>
        <w:t xml:space="preserve"> th</w:t>
      </w:r>
      <w:r>
        <w:rPr>
          <w:rFonts w:ascii="Times New Roman" w:hAnsi="Times New Roman" w:cs="Times New Roman"/>
          <w:sz w:val="24"/>
          <w:szCs w:val="24"/>
        </w:rPr>
        <w:t xml:space="preserve">eoretical model of </w:t>
      </w:r>
      <w:proofErr w:type="spellStart"/>
      <w:r>
        <w:rPr>
          <w:rFonts w:ascii="Times New Roman" w:hAnsi="Times New Roman" w:cs="Times New Roman"/>
          <w:sz w:val="24"/>
          <w:szCs w:val="24"/>
        </w:rPr>
        <w:t>Leiderman</w:t>
      </w:r>
      <w:proofErr w:type="spellEnd"/>
      <w:r>
        <w:rPr>
          <w:rFonts w:ascii="Times New Roman" w:hAnsi="Times New Roman" w:cs="Times New Roman"/>
          <w:sz w:val="24"/>
          <w:szCs w:val="24"/>
        </w:rPr>
        <w:t xml:space="preserve"> &amp;</w:t>
      </w:r>
      <w:r w:rsidR="004A1EFF">
        <w:rPr>
          <w:rFonts w:ascii="Times New Roman" w:hAnsi="Times New Roman" w:cs="Times New Roman"/>
          <w:sz w:val="24"/>
          <w:szCs w:val="24"/>
        </w:rPr>
        <w:t xml:space="preserve"> </w:t>
      </w:r>
      <w:proofErr w:type="spellStart"/>
      <w:r w:rsidR="004A1EFF">
        <w:rPr>
          <w:rFonts w:ascii="Times New Roman" w:hAnsi="Times New Roman" w:cs="Times New Roman"/>
          <w:sz w:val="24"/>
          <w:szCs w:val="24"/>
        </w:rPr>
        <w:t>Razin</w:t>
      </w:r>
      <w:proofErr w:type="spellEnd"/>
      <w:r w:rsidR="004A1EFF">
        <w:rPr>
          <w:rFonts w:ascii="Times New Roman" w:hAnsi="Times New Roman" w:cs="Times New Roman"/>
          <w:sz w:val="24"/>
          <w:szCs w:val="24"/>
        </w:rPr>
        <w:t xml:space="preserve"> (1988) that was later developed by Khalid (1996). This specific model was allowing for the existence of two types of consumers</w:t>
      </w:r>
      <w:r w:rsidR="004A1EFF">
        <w:rPr>
          <w:rStyle w:val="a8"/>
          <w:rFonts w:ascii="Times New Roman" w:hAnsi="Times New Roman" w:cs="Times New Roman"/>
          <w:sz w:val="24"/>
          <w:szCs w:val="24"/>
        </w:rPr>
        <w:footnoteReference w:id="16"/>
      </w:r>
      <w:r w:rsidR="004A1EFF">
        <w:rPr>
          <w:rFonts w:ascii="Times New Roman" w:hAnsi="Times New Roman" w:cs="Times New Roman"/>
          <w:sz w:val="24"/>
          <w:szCs w:val="24"/>
        </w:rPr>
        <w:t xml:space="preserve"> depending on their access to credit. </w:t>
      </w:r>
      <w:r w:rsidR="00FB1E49">
        <w:rPr>
          <w:rFonts w:ascii="Times New Roman" w:hAnsi="Times New Roman" w:cs="Times New Roman"/>
          <w:sz w:val="24"/>
          <w:szCs w:val="24"/>
        </w:rPr>
        <w:t>The empiric</w:t>
      </w:r>
      <w:r>
        <w:rPr>
          <w:rFonts w:ascii="Times New Roman" w:hAnsi="Times New Roman" w:cs="Times New Roman"/>
          <w:sz w:val="24"/>
          <w:szCs w:val="24"/>
        </w:rPr>
        <w:t xml:space="preserve">al analysis that </w:t>
      </w:r>
      <w:proofErr w:type="spellStart"/>
      <w:r>
        <w:rPr>
          <w:rFonts w:ascii="Times New Roman" w:hAnsi="Times New Roman" w:cs="Times New Roman"/>
          <w:sz w:val="24"/>
          <w:szCs w:val="24"/>
        </w:rPr>
        <w:t>Reitschuler</w:t>
      </w:r>
      <w:proofErr w:type="spellEnd"/>
      <w:r>
        <w:rPr>
          <w:rFonts w:ascii="Times New Roman" w:hAnsi="Times New Roman" w:cs="Times New Roman"/>
          <w:sz w:val="24"/>
          <w:szCs w:val="24"/>
        </w:rPr>
        <w:t xml:space="preserve"> &amp;</w:t>
      </w:r>
      <w:r w:rsidR="00FB1E49">
        <w:rPr>
          <w:rFonts w:ascii="Times New Roman" w:hAnsi="Times New Roman" w:cs="Times New Roman"/>
          <w:sz w:val="24"/>
          <w:szCs w:val="24"/>
        </w:rPr>
        <w:t xml:space="preserve"> </w:t>
      </w:r>
      <w:proofErr w:type="spellStart"/>
      <w:r w:rsidR="00FB1E49">
        <w:rPr>
          <w:rFonts w:ascii="Times New Roman" w:hAnsi="Times New Roman" w:cs="Times New Roman"/>
          <w:sz w:val="24"/>
          <w:szCs w:val="24"/>
        </w:rPr>
        <w:t>Cuaresma</w:t>
      </w:r>
      <w:proofErr w:type="spellEnd"/>
      <w:r w:rsidR="00FB1E49">
        <w:rPr>
          <w:rFonts w:ascii="Times New Roman" w:hAnsi="Times New Roman" w:cs="Times New Roman"/>
          <w:sz w:val="24"/>
          <w:szCs w:val="24"/>
        </w:rPr>
        <w:t xml:space="preserve"> (2004)</w:t>
      </w:r>
      <w:r w:rsidR="004A1EFF">
        <w:rPr>
          <w:rFonts w:ascii="Times New Roman" w:hAnsi="Times New Roman" w:cs="Times New Roman"/>
          <w:sz w:val="24"/>
          <w:szCs w:val="24"/>
        </w:rPr>
        <w:t xml:space="preserve"> followed was allowing them to directly test for the validity of the main assumptions implying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proposition that is whether the economic agents have infinite planning horizons and the absence of liquidity constraints. The estimation of the model’s structural parameters that was determining the validity of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conditions was based on the full information maximum likelihood. According to their estimations,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hypothesis could not be rejected for 10 out of the 26 OECD countries. Most importantly the majority of these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economies</w:t>
      </w:r>
      <w:r w:rsidR="004A1EFF">
        <w:rPr>
          <w:rStyle w:val="a8"/>
          <w:rFonts w:ascii="Times New Roman" w:hAnsi="Times New Roman" w:cs="Times New Roman"/>
          <w:sz w:val="24"/>
          <w:szCs w:val="24"/>
        </w:rPr>
        <w:footnoteReference w:id="17"/>
      </w:r>
      <w:r w:rsidR="004A1EFF">
        <w:rPr>
          <w:rFonts w:ascii="Times New Roman" w:hAnsi="Times New Roman" w:cs="Times New Roman"/>
          <w:sz w:val="24"/>
          <w:szCs w:val="24"/>
        </w:rPr>
        <w:t xml:space="preserve"> were Eu</w:t>
      </w:r>
      <w:r w:rsidR="00FB1E49">
        <w:rPr>
          <w:rFonts w:ascii="Times New Roman" w:hAnsi="Times New Roman" w:cs="Times New Roman"/>
          <w:sz w:val="24"/>
          <w:szCs w:val="24"/>
        </w:rPr>
        <w:t>ropean. According to</w:t>
      </w:r>
      <w:r>
        <w:rPr>
          <w:rFonts w:ascii="Times New Roman" w:hAnsi="Times New Roman" w:cs="Times New Roman"/>
          <w:sz w:val="24"/>
          <w:szCs w:val="24"/>
        </w:rPr>
        <w:t xml:space="preserve"> </w:t>
      </w:r>
      <w:proofErr w:type="spellStart"/>
      <w:r>
        <w:rPr>
          <w:rFonts w:ascii="Times New Roman" w:hAnsi="Times New Roman" w:cs="Times New Roman"/>
          <w:sz w:val="24"/>
          <w:szCs w:val="24"/>
        </w:rPr>
        <w:lastRenderedPageBreak/>
        <w:t>Reitschuler</w:t>
      </w:r>
      <w:proofErr w:type="spellEnd"/>
      <w:r>
        <w:rPr>
          <w:rFonts w:ascii="Times New Roman" w:hAnsi="Times New Roman" w:cs="Times New Roman"/>
          <w:sz w:val="24"/>
          <w:szCs w:val="24"/>
        </w:rPr>
        <w:t xml:space="preserve"> and</w:t>
      </w:r>
      <w:r w:rsidR="00FB1E49">
        <w:rPr>
          <w:rFonts w:ascii="Times New Roman" w:hAnsi="Times New Roman" w:cs="Times New Roman"/>
          <w:sz w:val="24"/>
          <w:szCs w:val="24"/>
        </w:rPr>
        <w:t xml:space="preserve"> </w:t>
      </w:r>
      <w:proofErr w:type="spellStart"/>
      <w:r w:rsidR="00FB1E49">
        <w:rPr>
          <w:rFonts w:ascii="Times New Roman" w:hAnsi="Times New Roman" w:cs="Times New Roman"/>
          <w:sz w:val="24"/>
          <w:szCs w:val="24"/>
        </w:rPr>
        <w:t>Cuaresma</w:t>
      </w:r>
      <w:proofErr w:type="spellEnd"/>
      <w:r w:rsidR="004A1EFF">
        <w:rPr>
          <w:rFonts w:ascii="Times New Roman" w:hAnsi="Times New Roman" w:cs="Times New Roman"/>
          <w:sz w:val="24"/>
          <w:szCs w:val="24"/>
        </w:rPr>
        <w:t xml:space="preserve"> “fiscal frameworks…in Europe may have led to reduced myopia among European Households”. </w:t>
      </w:r>
    </w:p>
    <w:p w:rsidR="004A1EFF" w:rsidRDefault="00600BC4"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Reitschuler</w:t>
      </w:r>
      <w:proofErr w:type="spellEnd"/>
      <w:r>
        <w:rPr>
          <w:rFonts w:ascii="Times New Roman" w:hAnsi="Times New Roman" w:cs="Times New Roman"/>
          <w:sz w:val="24"/>
          <w:szCs w:val="24"/>
        </w:rPr>
        <w:t xml:space="preserve"> &amp;</w:t>
      </w:r>
      <w:r w:rsidR="004A1EFF">
        <w:rPr>
          <w:rFonts w:ascii="Times New Roman" w:hAnsi="Times New Roman" w:cs="Times New Roman"/>
          <w:sz w:val="24"/>
          <w:szCs w:val="24"/>
        </w:rPr>
        <w:t xml:space="preserve"> </w:t>
      </w:r>
      <w:proofErr w:type="spellStart"/>
      <w:r w:rsidR="004A1EFF">
        <w:rPr>
          <w:rFonts w:ascii="Times New Roman" w:hAnsi="Times New Roman" w:cs="Times New Roman"/>
          <w:sz w:val="24"/>
          <w:szCs w:val="24"/>
        </w:rPr>
        <w:t>Cuaresma</w:t>
      </w:r>
      <w:proofErr w:type="spellEnd"/>
      <w:r w:rsidR="004A1EFF">
        <w:rPr>
          <w:rFonts w:ascii="Times New Roman" w:hAnsi="Times New Roman" w:cs="Times New Roman"/>
          <w:sz w:val="24"/>
          <w:szCs w:val="24"/>
        </w:rPr>
        <w:t xml:space="preserve"> (2006) on their later work using the same theoretical </w:t>
      </w:r>
      <w:r>
        <w:rPr>
          <w:rFonts w:ascii="Times New Roman" w:hAnsi="Times New Roman" w:cs="Times New Roman"/>
          <w:sz w:val="24"/>
          <w:szCs w:val="24"/>
        </w:rPr>
        <w:t xml:space="preserve">model developed by </w:t>
      </w:r>
      <w:proofErr w:type="spellStart"/>
      <w:r>
        <w:rPr>
          <w:rFonts w:ascii="Times New Roman" w:hAnsi="Times New Roman" w:cs="Times New Roman"/>
          <w:sz w:val="24"/>
          <w:szCs w:val="24"/>
        </w:rPr>
        <w:t>Leiderman</w:t>
      </w:r>
      <w:proofErr w:type="spellEnd"/>
      <w:r>
        <w:rPr>
          <w:rFonts w:ascii="Times New Roman" w:hAnsi="Times New Roman" w:cs="Times New Roman"/>
          <w:sz w:val="24"/>
          <w:szCs w:val="24"/>
        </w:rPr>
        <w:t xml:space="preserve"> &amp;</w:t>
      </w:r>
      <w:r w:rsidR="004A1EFF">
        <w:rPr>
          <w:rFonts w:ascii="Times New Roman" w:hAnsi="Times New Roman" w:cs="Times New Roman"/>
          <w:sz w:val="24"/>
          <w:szCs w:val="24"/>
        </w:rPr>
        <w:t xml:space="preserve"> </w:t>
      </w:r>
      <w:proofErr w:type="spellStart"/>
      <w:r w:rsidR="004A1EFF">
        <w:rPr>
          <w:rFonts w:ascii="Times New Roman" w:hAnsi="Times New Roman" w:cs="Times New Roman"/>
          <w:sz w:val="24"/>
          <w:szCs w:val="24"/>
        </w:rPr>
        <w:t>Razin</w:t>
      </w:r>
      <w:proofErr w:type="spellEnd"/>
      <w:r w:rsidR="004A1EFF">
        <w:rPr>
          <w:rFonts w:ascii="Times New Roman" w:hAnsi="Times New Roman" w:cs="Times New Roman"/>
          <w:sz w:val="24"/>
          <w:szCs w:val="24"/>
        </w:rPr>
        <w:t xml:space="preserve"> (1988) tested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proposition exclusively this time for European countries</w:t>
      </w:r>
      <w:r w:rsidR="004A1EFF">
        <w:rPr>
          <w:rStyle w:val="a8"/>
          <w:rFonts w:ascii="Times New Roman" w:hAnsi="Times New Roman" w:cs="Times New Roman"/>
          <w:sz w:val="24"/>
          <w:szCs w:val="24"/>
        </w:rPr>
        <w:footnoteReference w:id="18"/>
      </w:r>
      <w:r w:rsidR="004A1EFF">
        <w:rPr>
          <w:rFonts w:ascii="Times New Roman" w:hAnsi="Times New Roman" w:cs="Times New Roman"/>
          <w:sz w:val="24"/>
          <w:szCs w:val="24"/>
        </w:rPr>
        <w:t xml:space="preserve"> for the period 196</w:t>
      </w:r>
      <w:r w:rsidR="00FB1E49">
        <w:rPr>
          <w:rFonts w:ascii="Times New Roman" w:hAnsi="Times New Roman" w:cs="Times New Roman"/>
          <w:sz w:val="24"/>
          <w:szCs w:val="24"/>
        </w:rPr>
        <w:t xml:space="preserve">0-2002. Additionally </w:t>
      </w:r>
      <w:proofErr w:type="spellStart"/>
      <w:r w:rsidR="00FB1E49">
        <w:rPr>
          <w:rFonts w:ascii="Times New Roman" w:hAnsi="Times New Roman" w:cs="Times New Roman"/>
          <w:sz w:val="24"/>
          <w:szCs w:val="24"/>
        </w:rPr>
        <w:t>Reitschuler</w:t>
      </w:r>
      <w:proofErr w:type="spellEnd"/>
      <w:r w:rsidR="00FB1E49">
        <w:rPr>
          <w:rFonts w:ascii="Times New Roman" w:hAnsi="Times New Roman" w:cs="Times New Roman"/>
          <w:sz w:val="24"/>
          <w:szCs w:val="24"/>
        </w:rPr>
        <w:t xml:space="preserve"> and </w:t>
      </w:r>
      <w:proofErr w:type="spellStart"/>
      <w:r w:rsidR="00FB1E49">
        <w:rPr>
          <w:rFonts w:ascii="Times New Roman" w:hAnsi="Times New Roman" w:cs="Times New Roman"/>
          <w:sz w:val="24"/>
          <w:szCs w:val="24"/>
        </w:rPr>
        <w:t>Cuaresma</w:t>
      </w:r>
      <w:proofErr w:type="spellEnd"/>
      <w:r w:rsidR="004A1EFF">
        <w:rPr>
          <w:rFonts w:ascii="Times New Roman" w:hAnsi="Times New Roman" w:cs="Times New Roman"/>
          <w:sz w:val="24"/>
          <w:szCs w:val="24"/>
        </w:rPr>
        <w:t xml:space="preserve"> tested for a structural break in the behavior of the individuals in the 1990’s due to the introduction of the Maastricht treaty and the Stability Growth Pact applying the approach proposed by Andrews and Kim (2003) to identify possible end of sample </w:t>
      </w:r>
      <w:proofErr w:type="spellStart"/>
      <w:r w:rsidR="004A1EFF">
        <w:rPr>
          <w:rFonts w:ascii="Times New Roman" w:hAnsi="Times New Roman" w:cs="Times New Roman"/>
          <w:sz w:val="24"/>
          <w:szCs w:val="24"/>
        </w:rPr>
        <w:t>cointegration</w:t>
      </w:r>
      <w:proofErr w:type="spellEnd"/>
      <w:r w:rsidR="004A1EFF">
        <w:rPr>
          <w:rFonts w:ascii="Times New Roman" w:hAnsi="Times New Roman" w:cs="Times New Roman"/>
          <w:sz w:val="24"/>
          <w:szCs w:val="24"/>
        </w:rPr>
        <w:t xml:space="preserve"> breakdown. As in their earlier study they estimated the structural parameters of the model applying the full information maximum likelihood. According to their main results,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hypothesis was accepted for the eight</w:t>
      </w:r>
      <w:r w:rsidR="004A1EFF">
        <w:rPr>
          <w:rStyle w:val="a8"/>
          <w:rFonts w:ascii="Times New Roman" w:hAnsi="Times New Roman" w:cs="Times New Roman"/>
          <w:sz w:val="24"/>
          <w:szCs w:val="24"/>
        </w:rPr>
        <w:footnoteReference w:id="19"/>
      </w:r>
      <w:r w:rsidR="004A1EFF">
        <w:rPr>
          <w:rFonts w:ascii="Times New Roman" w:hAnsi="Times New Roman" w:cs="Times New Roman"/>
          <w:sz w:val="24"/>
          <w:szCs w:val="24"/>
        </w:rPr>
        <w:t xml:space="preserve"> out of 15 European countries. Furthermore, the estimations for the structural break in the behavior of the individuals were contradictory. Specifically, for France and Netherlands while the REP was rejected for the pre break period, could not be rejected for the post break period, leading to the conclusion that individuals became more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On the contrary for Austria and Ireland the authors revealed an opposi</w:t>
      </w:r>
      <w:r w:rsidR="004D4641">
        <w:rPr>
          <w:rFonts w:ascii="Times New Roman" w:hAnsi="Times New Roman" w:cs="Times New Roman"/>
          <w:sz w:val="24"/>
          <w:szCs w:val="24"/>
        </w:rPr>
        <w:t>te change of the behavior and got</w:t>
      </w:r>
      <w:r w:rsidR="004A1EFF">
        <w:rPr>
          <w:rFonts w:ascii="Times New Roman" w:hAnsi="Times New Roman" w:cs="Times New Roman"/>
          <w:sz w:val="24"/>
          <w:szCs w:val="24"/>
        </w:rPr>
        <w:t xml:space="preserve"> </w:t>
      </w:r>
      <w:r w:rsidR="004D4641">
        <w:rPr>
          <w:rFonts w:ascii="Times New Roman" w:hAnsi="Times New Roman" w:cs="Times New Roman"/>
          <w:sz w:val="24"/>
          <w:szCs w:val="24"/>
        </w:rPr>
        <w:t xml:space="preserve">no </w:t>
      </w:r>
      <w:r w:rsidR="004A1EFF">
        <w:rPr>
          <w:rFonts w:ascii="Times New Roman" w:hAnsi="Times New Roman" w:cs="Times New Roman"/>
          <w:sz w:val="24"/>
          <w:szCs w:val="24"/>
        </w:rPr>
        <w:t xml:space="preserve">meaningful results for the rest of the countries. According to the authors the change in behavior towards a more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perspective after the imposition of fiscal rul</w:t>
      </w:r>
      <w:r w:rsidR="00EF0DCB">
        <w:rPr>
          <w:rFonts w:ascii="Times New Roman" w:hAnsi="Times New Roman" w:cs="Times New Roman"/>
          <w:sz w:val="24"/>
          <w:szCs w:val="24"/>
        </w:rPr>
        <w:t xml:space="preserve">es was attributed </w:t>
      </w:r>
      <w:r w:rsidR="004A1EFF">
        <w:rPr>
          <w:rFonts w:ascii="Times New Roman" w:hAnsi="Times New Roman" w:cs="Times New Roman"/>
          <w:sz w:val="24"/>
          <w:szCs w:val="24"/>
        </w:rPr>
        <w:t xml:space="preserve">to the fact that the consumers became more forward looking.  </w:t>
      </w:r>
    </w:p>
    <w:p w:rsidR="004A1EFF" w:rsidRDefault="004A1EFF"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Pozzi</w:t>
      </w:r>
      <w:proofErr w:type="spellEnd"/>
      <w:r>
        <w:rPr>
          <w:rFonts w:ascii="Times New Roman" w:hAnsi="Times New Roman" w:cs="Times New Roman"/>
          <w:sz w:val="24"/>
          <w:szCs w:val="24"/>
        </w:rPr>
        <w:t xml:space="preserve"> et al. (2004) investigated the impact of government debt on the excess sensitivity of private consumption applying the methodology of Campbell and </w:t>
      </w:r>
      <w:proofErr w:type="spellStart"/>
      <w:r>
        <w:rPr>
          <w:rFonts w:ascii="Times New Roman" w:hAnsi="Times New Roman" w:cs="Times New Roman"/>
          <w:sz w:val="24"/>
          <w:szCs w:val="24"/>
        </w:rPr>
        <w:t>Mankiw</w:t>
      </w:r>
      <w:proofErr w:type="spellEnd"/>
      <w:r>
        <w:rPr>
          <w:rFonts w:ascii="Times New Roman" w:hAnsi="Times New Roman" w:cs="Times New Roman"/>
          <w:sz w:val="24"/>
          <w:szCs w:val="24"/>
        </w:rPr>
        <w:t xml:space="preserve"> (1990) that was an extension of Hall’s (1978) Euler equation approach and then they implemented panel estimation techniques for a dataset of 19 OECD countries for the period 1990-1999. The motivation of their study was to reveal the main factors that were determining the excess sensitivity of consumption especially in situ</w:t>
      </w:r>
      <w:r w:rsidR="004D4641">
        <w:rPr>
          <w:rFonts w:ascii="Times New Roman" w:hAnsi="Times New Roman" w:cs="Times New Roman"/>
          <w:sz w:val="24"/>
          <w:szCs w:val="24"/>
        </w:rPr>
        <w:t xml:space="preserve">ations of high government debt. According to </w:t>
      </w:r>
      <w:proofErr w:type="spellStart"/>
      <w:r w:rsidR="004D4641">
        <w:rPr>
          <w:rFonts w:ascii="Times New Roman" w:hAnsi="Times New Roman" w:cs="Times New Roman"/>
          <w:sz w:val="24"/>
          <w:szCs w:val="24"/>
        </w:rPr>
        <w:t>Pozzi</w:t>
      </w:r>
      <w:proofErr w:type="spellEnd"/>
      <w:r w:rsidR="004D4641">
        <w:rPr>
          <w:rFonts w:ascii="Times New Roman" w:hAnsi="Times New Roman" w:cs="Times New Roman"/>
          <w:sz w:val="24"/>
          <w:szCs w:val="24"/>
        </w:rPr>
        <w:t xml:space="preserve"> et al. (2004)</w:t>
      </w:r>
      <w:r>
        <w:rPr>
          <w:rFonts w:ascii="Times New Roman" w:hAnsi="Times New Roman" w:cs="Times New Roman"/>
          <w:sz w:val="24"/>
          <w:szCs w:val="24"/>
        </w:rPr>
        <w:t xml:space="preserve"> in </w:t>
      </w:r>
      <w:r w:rsidR="004D4641">
        <w:rPr>
          <w:rFonts w:ascii="Times New Roman" w:hAnsi="Times New Roman" w:cs="Times New Roman"/>
          <w:sz w:val="24"/>
          <w:szCs w:val="24"/>
        </w:rPr>
        <w:t>the cases of high government debt</w:t>
      </w:r>
      <w:r>
        <w:rPr>
          <w:rFonts w:ascii="Times New Roman" w:hAnsi="Times New Roman" w:cs="Times New Roman"/>
          <w:sz w:val="24"/>
          <w:szCs w:val="24"/>
        </w:rPr>
        <w:t xml:space="preserve"> the </w:t>
      </w:r>
      <w:proofErr w:type="gramStart"/>
      <w:r>
        <w:rPr>
          <w:rFonts w:ascii="Times New Roman" w:hAnsi="Times New Roman" w:cs="Times New Roman"/>
          <w:sz w:val="24"/>
          <w:szCs w:val="24"/>
        </w:rPr>
        <w:t>fraction of liquidity constrained consumers increases and at the same time</w:t>
      </w:r>
      <w:proofErr w:type="gramEnd"/>
      <w:r>
        <w:rPr>
          <w:rFonts w:ascii="Times New Roman" w:hAnsi="Times New Roman" w:cs="Times New Roman"/>
          <w:sz w:val="24"/>
          <w:szCs w:val="24"/>
        </w:rPr>
        <w:t xml:space="preserve"> the fraction of myopic consumers decreases. Hence</w:t>
      </w:r>
      <w:r w:rsidR="004D4641">
        <w:rPr>
          <w:rFonts w:ascii="Times New Roman" w:hAnsi="Times New Roman" w:cs="Times New Roman"/>
          <w:sz w:val="24"/>
          <w:szCs w:val="24"/>
        </w:rPr>
        <w:t>,</w:t>
      </w:r>
      <w:r>
        <w:rPr>
          <w:rFonts w:ascii="Times New Roman" w:hAnsi="Times New Roman" w:cs="Times New Roman"/>
          <w:sz w:val="24"/>
          <w:szCs w:val="24"/>
        </w:rPr>
        <w:t xml:space="preserve"> the final effect on the excess sensitivity of consumption is equivocal since the increase in liquidity constrained individuals tends to raise the excess sensitivity of consumption while the decrease in the number of less forward looking consumers exerts the opposite effect. Regarding the</w:t>
      </w:r>
      <w:r w:rsidR="004E1E05">
        <w:rPr>
          <w:rFonts w:ascii="Times New Roman" w:hAnsi="Times New Roman" w:cs="Times New Roman"/>
          <w:sz w:val="24"/>
          <w:szCs w:val="24"/>
        </w:rPr>
        <w:t xml:space="preserve"> financial liberalization</w:t>
      </w:r>
      <w:r>
        <w:rPr>
          <w:rFonts w:ascii="Times New Roman" w:hAnsi="Times New Roman" w:cs="Times New Roman"/>
          <w:sz w:val="24"/>
          <w:szCs w:val="24"/>
        </w:rPr>
        <w:t>, the expected effect on the excess sensitivity of consumption is negative since the financial liberalization reduces the</w:t>
      </w:r>
      <w:r w:rsidR="004E1E05">
        <w:rPr>
          <w:rFonts w:ascii="Times New Roman" w:hAnsi="Times New Roman" w:cs="Times New Roman"/>
          <w:sz w:val="24"/>
          <w:szCs w:val="24"/>
        </w:rPr>
        <w:t xml:space="preserve"> credit constraints. </w:t>
      </w:r>
      <w:proofErr w:type="spellStart"/>
      <w:r w:rsidR="004E1E05">
        <w:rPr>
          <w:rFonts w:ascii="Times New Roman" w:hAnsi="Times New Roman" w:cs="Times New Roman"/>
          <w:sz w:val="24"/>
          <w:szCs w:val="24"/>
        </w:rPr>
        <w:t>Pozzi</w:t>
      </w:r>
      <w:proofErr w:type="spellEnd"/>
      <w:r w:rsidR="004E1E05">
        <w:rPr>
          <w:rFonts w:ascii="Times New Roman" w:hAnsi="Times New Roman" w:cs="Times New Roman"/>
          <w:sz w:val="24"/>
          <w:szCs w:val="24"/>
        </w:rPr>
        <w:t xml:space="preserve"> et al. (2004)</w:t>
      </w:r>
      <w:r>
        <w:rPr>
          <w:rFonts w:ascii="Times New Roman" w:hAnsi="Times New Roman" w:cs="Times New Roman"/>
          <w:sz w:val="24"/>
          <w:szCs w:val="24"/>
        </w:rPr>
        <w:t xml:space="preserve"> revealed a negative relation between changes in government debt to GDP ratio and the amount of credit provided at the private sector. The main result of the study was that an increase in the government debt level raises the excess sensitivity of consumption due to the rise of the liquidity constrained consumers fraction. The opposite effect caused by the decrease in the myopic consumers is being entirely offset by the liquidity constraints effect. Regarding the results for the financial liberalization parameter the authors didn’t reveal a significant negative relation between the financial liberalization and the excess </w:t>
      </w:r>
      <w:r>
        <w:rPr>
          <w:rFonts w:ascii="Times New Roman" w:hAnsi="Times New Roman" w:cs="Times New Roman"/>
          <w:sz w:val="24"/>
          <w:szCs w:val="24"/>
        </w:rPr>
        <w:lastRenderedPageBreak/>
        <w:t>sensitivity of consumption. According to the authors at high government debt cases fiscal policy becomes more effective</w:t>
      </w:r>
      <w:r>
        <w:rPr>
          <w:rStyle w:val="a8"/>
          <w:rFonts w:ascii="Times New Roman" w:hAnsi="Times New Roman" w:cs="Times New Roman"/>
          <w:sz w:val="24"/>
          <w:szCs w:val="24"/>
        </w:rPr>
        <w:footnoteReference w:id="20"/>
      </w:r>
      <w:r>
        <w:rPr>
          <w:rFonts w:ascii="Times New Roman" w:hAnsi="Times New Roman" w:cs="Times New Roman"/>
          <w:sz w:val="24"/>
          <w:szCs w:val="24"/>
        </w:rPr>
        <w:t xml:space="preserve"> obtaining Keynesian characteristics</w:t>
      </w:r>
      <w:r>
        <w:rPr>
          <w:rStyle w:val="a8"/>
          <w:rFonts w:ascii="Times New Roman" w:hAnsi="Times New Roman" w:cs="Times New Roman"/>
          <w:sz w:val="24"/>
          <w:szCs w:val="24"/>
        </w:rPr>
        <w:footnoteReference w:id="21"/>
      </w:r>
      <w:r>
        <w:rPr>
          <w:rFonts w:ascii="Times New Roman" w:hAnsi="Times New Roman" w:cs="Times New Roman"/>
          <w:sz w:val="24"/>
          <w:szCs w:val="24"/>
        </w:rPr>
        <w:t xml:space="preserve">.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Hogan (2004) tested the validity of the Expansionary Fiscal Contractions Hypothesis</w:t>
      </w:r>
      <w:r>
        <w:rPr>
          <w:rStyle w:val="a8"/>
          <w:rFonts w:ascii="Times New Roman" w:hAnsi="Times New Roman" w:cs="Times New Roman"/>
          <w:sz w:val="24"/>
          <w:szCs w:val="24"/>
        </w:rPr>
        <w:footnoteReference w:id="22"/>
      </w:r>
      <w:r>
        <w:rPr>
          <w:rFonts w:ascii="Times New Roman" w:hAnsi="Times New Roman" w:cs="Times New Roman"/>
          <w:sz w:val="24"/>
          <w:szCs w:val="24"/>
        </w:rPr>
        <w:t xml:space="preserve">using consumption functions for 18 OECD countries for </w:t>
      </w:r>
      <w:r w:rsidR="004E1E05">
        <w:rPr>
          <w:rFonts w:ascii="Times New Roman" w:hAnsi="Times New Roman" w:cs="Times New Roman"/>
          <w:sz w:val="24"/>
          <w:szCs w:val="24"/>
        </w:rPr>
        <w:t xml:space="preserve">the period 1970-1999. </w:t>
      </w:r>
      <w:proofErr w:type="gramStart"/>
      <w:r w:rsidR="004E1E05">
        <w:rPr>
          <w:rFonts w:ascii="Times New Roman" w:hAnsi="Times New Roman" w:cs="Times New Roman"/>
          <w:sz w:val="24"/>
          <w:szCs w:val="24"/>
        </w:rPr>
        <w:t>Hogan,</w:t>
      </w:r>
      <w:proofErr w:type="gramEnd"/>
      <w:r>
        <w:rPr>
          <w:rFonts w:ascii="Times New Roman" w:hAnsi="Times New Roman" w:cs="Times New Roman"/>
          <w:sz w:val="24"/>
          <w:szCs w:val="24"/>
        </w:rPr>
        <w:t xml:space="preserve"> rejected the choice of the panel data estimation approach and especially the fixed effects for concerns related to inconsistency. Following </w:t>
      </w:r>
      <w:proofErr w:type="spellStart"/>
      <w:r>
        <w:rPr>
          <w:rFonts w:ascii="Times New Roman" w:hAnsi="Times New Roman" w:cs="Times New Roman"/>
          <w:sz w:val="24"/>
          <w:szCs w:val="24"/>
        </w:rPr>
        <w:t>Pesaran</w:t>
      </w:r>
      <w:proofErr w:type="spellEnd"/>
      <w:r>
        <w:rPr>
          <w:rFonts w:ascii="Times New Roman" w:hAnsi="Times New Roman" w:cs="Times New Roman"/>
          <w:sz w:val="24"/>
          <w:szCs w:val="24"/>
        </w:rPr>
        <w:t xml:space="preserve"> and Smith (1995), he applied the Mean Group estimator. According to Hogan</w:t>
      </w:r>
      <w:r w:rsidR="004E1E05">
        <w:rPr>
          <w:rFonts w:ascii="Times New Roman" w:hAnsi="Times New Roman" w:cs="Times New Roman"/>
          <w:sz w:val="24"/>
          <w:szCs w:val="24"/>
        </w:rPr>
        <w:t xml:space="preserve"> (2004)</w:t>
      </w:r>
      <w:r>
        <w:rPr>
          <w:rFonts w:ascii="Times New Roman" w:hAnsi="Times New Roman" w:cs="Times New Roman"/>
          <w:sz w:val="24"/>
          <w:szCs w:val="24"/>
        </w:rPr>
        <w:t>, the assumption that the impact of fiscal policy on private consumption is the same in different countries is not valid. The logic behind this study is that when government debt is at unsustainably high level, individuals increase their savings and h</w:t>
      </w:r>
      <w:r w:rsidR="004E1E05">
        <w:rPr>
          <w:rFonts w:ascii="Times New Roman" w:hAnsi="Times New Roman" w:cs="Times New Roman"/>
          <w:sz w:val="24"/>
          <w:szCs w:val="24"/>
        </w:rPr>
        <w:t>ence decrease consumption on</w:t>
      </w:r>
      <w:r>
        <w:rPr>
          <w:rFonts w:ascii="Times New Roman" w:hAnsi="Times New Roman" w:cs="Times New Roman"/>
          <w:sz w:val="24"/>
          <w:szCs w:val="24"/>
        </w:rPr>
        <w:t xml:space="preserve"> anticipation of the f</w:t>
      </w:r>
      <w:r w:rsidR="004E1E05">
        <w:rPr>
          <w:rFonts w:ascii="Times New Roman" w:hAnsi="Times New Roman" w:cs="Times New Roman"/>
          <w:sz w:val="24"/>
          <w:szCs w:val="24"/>
        </w:rPr>
        <w:t>orthcoming crisis. In this case</w:t>
      </w:r>
      <w:r>
        <w:rPr>
          <w:rFonts w:ascii="Times New Roman" w:hAnsi="Times New Roman" w:cs="Times New Roman"/>
          <w:sz w:val="24"/>
          <w:szCs w:val="24"/>
        </w:rPr>
        <w:t xml:space="preserve"> a decrease in the deficit that could change </w:t>
      </w:r>
      <w:r w:rsidR="004E1E05">
        <w:rPr>
          <w:rFonts w:ascii="Times New Roman" w:hAnsi="Times New Roman" w:cs="Times New Roman"/>
          <w:sz w:val="24"/>
          <w:szCs w:val="24"/>
        </w:rPr>
        <w:t>the expectations</w:t>
      </w:r>
      <w:r>
        <w:rPr>
          <w:rFonts w:ascii="Times New Roman" w:hAnsi="Times New Roman" w:cs="Times New Roman"/>
          <w:sz w:val="24"/>
          <w:szCs w:val="24"/>
        </w:rPr>
        <w:t xml:space="preserve"> </w:t>
      </w:r>
      <w:r w:rsidR="004E1E05">
        <w:rPr>
          <w:rFonts w:ascii="Times New Roman" w:hAnsi="Times New Roman" w:cs="Times New Roman"/>
          <w:sz w:val="24"/>
          <w:szCs w:val="24"/>
        </w:rPr>
        <w:t xml:space="preserve">of individuals </w:t>
      </w:r>
      <w:r>
        <w:rPr>
          <w:rFonts w:ascii="Times New Roman" w:hAnsi="Times New Roman" w:cs="Times New Roman"/>
          <w:sz w:val="24"/>
          <w:szCs w:val="24"/>
        </w:rPr>
        <w:t>regarding</w:t>
      </w:r>
      <w:r w:rsidR="004E1E05">
        <w:rPr>
          <w:rFonts w:ascii="Times New Roman" w:hAnsi="Times New Roman" w:cs="Times New Roman"/>
          <w:sz w:val="24"/>
          <w:szCs w:val="24"/>
        </w:rPr>
        <w:t xml:space="preserve"> the avoidance of the crisis could</w:t>
      </w:r>
      <w:r>
        <w:rPr>
          <w:rFonts w:ascii="Times New Roman" w:hAnsi="Times New Roman" w:cs="Times New Roman"/>
          <w:sz w:val="24"/>
          <w:szCs w:val="24"/>
        </w:rPr>
        <w:t xml:space="preserve"> be expansionary. The estimation results showed tha</w:t>
      </w:r>
      <w:r w:rsidR="004E1E05">
        <w:rPr>
          <w:rFonts w:ascii="Times New Roman" w:hAnsi="Times New Roman" w:cs="Times New Roman"/>
          <w:sz w:val="24"/>
          <w:szCs w:val="24"/>
        </w:rPr>
        <w:t>t an increase in taxation yielded</w:t>
      </w:r>
      <w:r>
        <w:rPr>
          <w:rFonts w:ascii="Times New Roman" w:hAnsi="Times New Roman" w:cs="Times New Roman"/>
          <w:sz w:val="24"/>
          <w:szCs w:val="24"/>
        </w:rPr>
        <w:t xml:space="preserve"> a statistically significant raise in private consumption contributing to the validity of the EFC hypothesis. On the contrary, the statistical significant and positive relation between the government and the private consumption found was against the EFC hypothesis. Accounting for the debt parameter on the effectiveness of fiscal policy Hogan examined two cases regarding the level of debt</w:t>
      </w:r>
      <w:r>
        <w:rPr>
          <w:rStyle w:val="a8"/>
          <w:rFonts w:ascii="Times New Roman" w:hAnsi="Times New Roman" w:cs="Times New Roman"/>
          <w:sz w:val="24"/>
          <w:szCs w:val="24"/>
        </w:rPr>
        <w:footnoteReference w:id="23"/>
      </w:r>
      <w:r>
        <w:rPr>
          <w:rFonts w:ascii="Times New Roman" w:hAnsi="Times New Roman" w:cs="Times New Roman"/>
          <w:sz w:val="24"/>
          <w:szCs w:val="24"/>
        </w:rPr>
        <w:t xml:space="preserve">. According to his results, while in the low debt case an increase </w:t>
      </w:r>
      <w:r w:rsidR="00207987">
        <w:rPr>
          <w:rFonts w:ascii="Times New Roman" w:hAnsi="Times New Roman" w:cs="Times New Roman"/>
          <w:sz w:val="24"/>
          <w:szCs w:val="24"/>
        </w:rPr>
        <w:t>in the government consumption was</w:t>
      </w:r>
      <w:r>
        <w:rPr>
          <w:rFonts w:ascii="Times New Roman" w:hAnsi="Times New Roman" w:cs="Times New Roman"/>
          <w:sz w:val="24"/>
          <w:szCs w:val="24"/>
        </w:rPr>
        <w:t xml:space="preserve"> followed by a raise in the private consumption, in the hig</w:t>
      </w:r>
      <w:r w:rsidR="00207987">
        <w:rPr>
          <w:rFonts w:ascii="Times New Roman" w:hAnsi="Times New Roman" w:cs="Times New Roman"/>
          <w:sz w:val="24"/>
          <w:szCs w:val="24"/>
        </w:rPr>
        <w:t>h debt cases this relation turned</w:t>
      </w:r>
      <w:r>
        <w:rPr>
          <w:rFonts w:ascii="Times New Roman" w:hAnsi="Times New Roman" w:cs="Times New Roman"/>
          <w:sz w:val="24"/>
          <w:szCs w:val="24"/>
        </w:rPr>
        <w:t xml:space="preserve"> negative leading the private consumption to decrease. The interpretation behind the later result that supports the hypothesis of the expansionary fiscal </w:t>
      </w:r>
      <w:proofErr w:type="gramStart"/>
      <w:r>
        <w:rPr>
          <w:rFonts w:ascii="Times New Roman" w:hAnsi="Times New Roman" w:cs="Times New Roman"/>
          <w:sz w:val="24"/>
          <w:szCs w:val="24"/>
        </w:rPr>
        <w:t>contractions,</w:t>
      </w:r>
      <w:proofErr w:type="gramEnd"/>
      <w:r>
        <w:rPr>
          <w:rFonts w:ascii="Times New Roman" w:hAnsi="Times New Roman" w:cs="Times New Roman"/>
          <w:sz w:val="24"/>
          <w:szCs w:val="24"/>
        </w:rPr>
        <w:t xml:space="preserve"> is that when the government debt is already in high level and the government consumption increases the fiscal crisis escalates leading the individuals to reduce their private consumption and increase their precautionary savings. </w:t>
      </w:r>
    </w:p>
    <w:p w:rsidR="00B93788" w:rsidRDefault="00B93788" w:rsidP="004A1EFF">
      <w:pPr>
        <w:jc w:val="both"/>
        <w:rPr>
          <w:rFonts w:ascii="Times New Roman" w:hAnsi="Times New Roman" w:cs="Times New Roman"/>
          <w:sz w:val="24"/>
          <w:szCs w:val="24"/>
        </w:rPr>
      </w:pPr>
    </w:p>
    <w:p w:rsidR="00207987" w:rsidRDefault="00600BC4"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Berben</w:t>
      </w:r>
      <w:proofErr w:type="spellEnd"/>
      <w:r>
        <w:rPr>
          <w:rFonts w:ascii="Times New Roman" w:hAnsi="Times New Roman" w:cs="Times New Roman"/>
          <w:sz w:val="24"/>
          <w:szCs w:val="24"/>
        </w:rPr>
        <w:t xml:space="preserve"> &amp;</w:t>
      </w:r>
      <w:r w:rsidR="004A1EFF">
        <w:rPr>
          <w:rFonts w:ascii="Times New Roman" w:hAnsi="Times New Roman" w:cs="Times New Roman"/>
          <w:sz w:val="24"/>
          <w:szCs w:val="24"/>
        </w:rPr>
        <w:t xml:space="preserve"> </w:t>
      </w:r>
      <w:proofErr w:type="spellStart"/>
      <w:r w:rsidR="004A1EFF">
        <w:rPr>
          <w:rFonts w:ascii="Times New Roman" w:hAnsi="Times New Roman" w:cs="Times New Roman"/>
          <w:sz w:val="24"/>
          <w:szCs w:val="24"/>
        </w:rPr>
        <w:t>Brosens</w:t>
      </w:r>
      <w:proofErr w:type="spellEnd"/>
      <w:r w:rsidR="004A1EFF">
        <w:rPr>
          <w:rFonts w:ascii="Times New Roman" w:hAnsi="Times New Roman" w:cs="Times New Roman"/>
          <w:sz w:val="24"/>
          <w:szCs w:val="24"/>
        </w:rPr>
        <w:t xml:space="preserve"> (2007)</w:t>
      </w:r>
      <w:r w:rsidR="004A1EFF">
        <w:rPr>
          <w:rStyle w:val="a8"/>
          <w:rFonts w:ascii="Times New Roman" w:hAnsi="Times New Roman" w:cs="Times New Roman"/>
          <w:sz w:val="24"/>
          <w:szCs w:val="24"/>
        </w:rPr>
        <w:footnoteReference w:id="24"/>
      </w:r>
      <w:proofErr w:type="gramStart"/>
      <w:r w:rsidR="004A1EFF">
        <w:rPr>
          <w:rFonts w:ascii="Times New Roman" w:hAnsi="Times New Roman" w:cs="Times New Roman"/>
          <w:sz w:val="24"/>
          <w:szCs w:val="24"/>
        </w:rPr>
        <w:t>,</w:t>
      </w:r>
      <w:proofErr w:type="gramEnd"/>
      <w:r w:rsidR="004A1EFF">
        <w:rPr>
          <w:rFonts w:ascii="Times New Roman" w:hAnsi="Times New Roman" w:cs="Times New Roman"/>
          <w:sz w:val="24"/>
          <w:szCs w:val="24"/>
        </w:rPr>
        <w:t xml:space="preserve"> investigated the role of government debt on the effectiveness of fiscal policy using data for 17 OECD countries for the time period 1983-2003. Sp</w:t>
      </w:r>
      <w:r>
        <w:rPr>
          <w:rFonts w:ascii="Times New Roman" w:hAnsi="Times New Roman" w:cs="Times New Roman"/>
          <w:sz w:val="24"/>
          <w:szCs w:val="24"/>
        </w:rPr>
        <w:t xml:space="preserve">ecifically, </w:t>
      </w:r>
      <w:proofErr w:type="spellStart"/>
      <w:r>
        <w:rPr>
          <w:rFonts w:ascii="Times New Roman" w:hAnsi="Times New Roman" w:cs="Times New Roman"/>
          <w:sz w:val="24"/>
          <w:szCs w:val="24"/>
        </w:rPr>
        <w:t>Berben</w:t>
      </w:r>
      <w:proofErr w:type="spellEnd"/>
      <w:r>
        <w:rPr>
          <w:rFonts w:ascii="Times New Roman" w:hAnsi="Times New Roman" w:cs="Times New Roman"/>
          <w:sz w:val="24"/>
          <w:szCs w:val="24"/>
        </w:rPr>
        <w:t xml:space="preserve"> &amp;</w:t>
      </w:r>
      <w:r w:rsidR="00207987">
        <w:rPr>
          <w:rFonts w:ascii="Times New Roman" w:hAnsi="Times New Roman" w:cs="Times New Roman"/>
          <w:sz w:val="24"/>
          <w:szCs w:val="24"/>
        </w:rPr>
        <w:t xml:space="preserve"> </w:t>
      </w:r>
      <w:proofErr w:type="spellStart"/>
      <w:r w:rsidR="00207987">
        <w:rPr>
          <w:rFonts w:ascii="Times New Roman" w:hAnsi="Times New Roman" w:cs="Times New Roman"/>
          <w:sz w:val="24"/>
          <w:szCs w:val="24"/>
        </w:rPr>
        <w:t>Brosens</w:t>
      </w:r>
      <w:proofErr w:type="spellEnd"/>
      <w:r w:rsidR="00207987">
        <w:rPr>
          <w:rFonts w:ascii="Times New Roman" w:hAnsi="Times New Roman" w:cs="Times New Roman"/>
          <w:sz w:val="24"/>
          <w:szCs w:val="24"/>
        </w:rPr>
        <w:t xml:space="preserve"> (2007)</w:t>
      </w:r>
      <w:r w:rsidR="004A1EFF">
        <w:rPr>
          <w:rFonts w:ascii="Times New Roman" w:hAnsi="Times New Roman" w:cs="Times New Roman"/>
          <w:sz w:val="24"/>
          <w:szCs w:val="24"/>
        </w:rPr>
        <w:t xml:space="preserve"> estimated how the level of government debt affects the private consumption by applying the panel data estimation approach assuming the same long run consumption function for all the countries in their sample. Additionally, in order also to investigate the short-run effects they incorporated this relationship in an autoregressive </w:t>
      </w:r>
      <w:r w:rsidR="004A1EFF">
        <w:rPr>
          <w:rFonts w:ascii="Times New Roman" w:hAnsi="Times New Roman" w:cs="Times New Roman"/>
          <w:sz w:val="24"/>
          <w:szCs w:val="24"/>
        </w:rPr>
        <w:lastRenderedPageBreak/>
        <w:t xml:space="preserve">distributed lag model in an error correction form.  The long run relationship that they used determined the private consumption as follows: </w:t>
      </w:r>
    </w:p>
    <w:p w:rsidR="00207987" w:rsidRDefault="004A1EFF" w:rsidP="004A1EFF">
      <w:pPr>
        <w:jc w:val="both"/>
        <w:rPr>
          <w:rFonts w:ascii="Times New Roman" w:hAnsi="Times New Roman" w:cs="Times New Roman"/>
          <w:sz w:val="24"/>
          <w:szCs w:val="24"/>
        </w:rPr>
      </w:pPr>
      <w:r>
        <w:rPr>
          <w:rFonts w:ascii="Cambria Math" w:eastAsiaTheme="minorEastAsia" w:hAnsi="Cambria Math" w:cs="Times New Roman"/>
          <w:sz w:val="24"/>
          <w:szCs w:val="24"/>
        </w:rPr>
        <w:br/>
      </w:r>
      <m:oMathPara>
        <m:oMathParaPr>
          <m:jc m:val="center"/>
        </m:oMathParaPr>
        <m:oMath>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m:rPr>
                  <m:sty m:val="p"/>
                </m:rPr>
                <w:rPr>
                  <w:rFonts w:ascii="Cambria Math" w:hAnsi="Cambria Math" w:cs="Times New Roman"/>
                  <w:sz w:val="24"/>
                  <w:szCs w:val="24"/>
                </w:rPr>
                <m:t>i,t</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α</m:t>
              </m:r>
            </m:e>
            <m:sub>
              <m:r>
                <m:rPr>
                  <m:sty m:val="p"/>
                </m:rPr>
                <w:rPr>
                  <w:rFonts w:ascii="Cambria Math" w:hAnsi="Cambria Math" w:cs="Times New Roman"/>
                  <w:sz w:val="24"/>
                  <w:szCs w:val="24"/>
                </w:rPr>
                <m:t>i</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β</m:t>
              </m:r>
            </m:e>
            <m:sub>
              <m:r>
                <m:rPr>
                  <m:sty m:val="p"/>
                </m:rPr>
                <w:rPr>
                  <w:rFonts w:ascii="Cambria Math" w:hAnsi="Cambria Math" w:cs="Times New Roman"/>
                  <w:sz w:val="24"/>
                  <w:szCs w:val="24"/>
                </w:rPr>
                <m:t>1</m:t>
              </m:r>
            </m:sub>
          </m:sSub>
          <m:sSubSup>
            <m:sSubSupPr>
              <m:ctrlPr>
                <w:rPr>
                  <w:rFonts w:ascii="Cambria Math" w:hAnsi="Cambria Math" w:cs="Times New Roman"/>
                  <w:sz w:val="24"/>
                  <w:szCs w:val="24"/>
                </w:rPr>
              </m:ctrlPr>
            </m:sSubSupPr>
            <m:e>
              <m:r>
                <m:rPr>
                  <m:sty m:val="p"/>
                </m:rPr>
                <w:rPr>
                  <w:rFonts w:ascii="Cambria Math" w:hAnsi="Cambria Math" w:cs="Times New Roman"/>
                  <w:sz w:val="24"/>
                  <w:szCs w:val="24"/>
                </w:rPr>
                <m:t>y</m:t>
              </m:r>
            </m:e>
            <m:sub>
              <m:r>
                <m:rPr>
                  <m:sty m:val="p"/>
                </m:rPr>
                <w:rPr>
                  <w:rFonts w:ascii="Cambria Math" w:hAnsi="Cambria Math" w:cs="Times New Roman"/>
                  <w:sz w:val="24"/>
                  <w:szCs w:val="24"/>
                </w:rPr>
                <m:t>t,i</m:t>
              </m:r>
            </m:sub>
            <m:sup>
              <m:r>
                <m:rPr>
                  <m:sty m:val="p"/>
                </m:rPr>
                <w:rPr>
                  <w:rFonts w:ascii="Cambria Math" w:hAnsi="Cambria Math" w:cs="Times New Roman"/>
                  <w:sz w:val="24"/>
                  <w:szCs w:val="24"/>
                </w:rPr>
                <m:t>d</m:t>
              </m:r>
            </m:sup>
          </m:sSubSup>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β</m:t>
              </m:r>
            </m:e>
            <m:sub>
              <m:r>
                <m:rPr>
                  <m:sty m:val="p"/>
                </m:rPr>
                <w:rPr>
                  <w:rFonts w:ascii="Cambria Math" w:hAnsi="Cambria Math" w:cs="Times New Roman"/>
                  <w:sz w:val="24"/>
                  <w:szCs w:val="24"/>
                </w:rPr>
                <m:t>2</m:t>
              </m:r>
            </m:sub>
          </m:sSub>
          <m:sSubSup>
            <m:sSubSupPr>
              <m:ctrlPr>
                <w:rPr>
                  <w:rFonts w:ascii="Cambria Math" w:hAnsi="Cambria Math" w:cs="Times New Roman"/>
                  <w:sz w:val="24"/>
                  <w:szCs w:val="24"/>
                </w:rPr>
              </m:ctrlPr>
            </m:sSubSupPr>
            <m:e>
              <m:r>
                <m:rPr>
                  <m:sty m:val="p"/>
                </m:rPr>
                <w:rPr>
                  <w:rFonts w:ascii="Cambria Math" w:hAnsi="Cambria Math" w:cs="Times New Roman"/>
                  <w:sz w:val="24"/>
                  <w:szCs w:val="24"/>
                </w:rPr>
                <m:t>w</m:t>
              </m:r>
            </m:e>
            <m:sub>
              <m:r>
                <m:rPr>
                  <m:sty m:val="p"/>
                </m:rPr>
                <w:rPr>
                  <w:rFonts w:ascii="Cambria Math" w:hAnsi="Cambria Math" w:cs="Times New Roman"/>
                  <w:sz w:val="24"/>
                  <w:szCs w:val="24"/>
                </w:rPr>
                <m:t>t,i</m:t>
              </m:r>
            </m:sub>
            <m:sup>
              <m:r>
                <m:rPr>
                  <m:sty m:val="p"/>
                </m:rPr>
                <w:rPr>
                  <w:rFonts w:ascii="Cambria Math" w:hAnsi="Cambria Math" w:cs="Times New Roman"/>
                  <w:sz w:val="24"/>
                  <w:szCs w:val="24"/>
                </w:rPr>
                <m:t>e</m:t>
              </m:r>
            </m:sup>
          </m:sSubSup>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β</m:t>
              </m:r>
            </m:e>
            <m:sub>
              <m:r>
                <m:rPr>
                  <m:sty m:val="p"/>
                </m:rPr>
                <w:rPr>
                  <w:rFonts w:ascii="Cambria Math" w:hAnsi="Cambria Math" w:cs="Times New Roman"/>
                  <w:sz w:val="24"/>
                  <w:szCs w:val="24"/>
                </w:rPr>
                <m:t>3</m:t>
              </m:r>
            </m:sub>
          </m:sSub>
          <m:sSubSup>
            <m:sSubSupPr>
              <m:ctrlPr>
                <w:rPr>
                  <w:rFonts w:ascii="Cambria Math" w:hAnsi="Cambria Math" w:cs="Times New Roman"/>
                  <w:sz w:val="24"/>
                  <w:szCs w:val="24"/>
                </w:rPr>
              </m:ctrlPr>
            </m:sSubSupPr>
            <m:e>
              <m:r>
                <m:rPr>
                  <m:sty m:val="p"/>
                </m:rPr>
                <w:rPr>
                  <w:rFonts w:ascii="Cambria Math" w:hAnsi="Cambria Math" w:cs="Times New Roman"/>
                  <w:sz w:val="24"/>
                  <w:szCs w:val="24"/>
                </w:rPr>
                <m:t>w</m:t>
              </m:r>
            </m:e>
            <m:sub>
              <m:r>
                <m:rPr>
                  <m:sty m:val="p"/>
                </m:rPr>
                <w:rPr>
                  <w:rFonts w:ascii="Cambria Math" w:hAnsi="Cambria Math" w:cs="Times New Roman"/>
                  <w:sz w:val="24"/>
                  <w:szCs w:val="24"/>
                </w:rPr>
                <m:t>t,i</m:t>
              </m:r>
            </m:sub>
            <m:sup>
              <m:r>
                <m:rPr>
                  <m:sty m:val="p"/>
                </m:rPr>
                <w:rPr>
                  <w:rFonts w:ascii="Cambria Math" w:hAnsi="Cambria Math" w:cs="Times New Roman"/>
                  <w:sz w:val="24"/>
                  <w:szCs w:val="24"/>
                </w:rPr>
                <m:t>h</m:t>
              </m:r>
            </m:sup>
          </m:sSubSup>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β</m:t>
              </m:r>
            </m:e>
            <m:sub>
              <m:r>
                <m:rPr>
                  <m:sty m:val="p"/>
                </m:rPr>
                <w:rPr>
                  <w:rFonts w:ascii="Cambria Math" w:hAnsi="Cambria Math" w:cs="Times New Roman"/>
                  <w:sz w:val="24"/>
                  <w:szCs w:val="24"/>
                </w:rPr>
                <m:t>4</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g</m:t>
              </m:r>
            </m:e>
            <m:sub>
              <m:r>
                <m:rPr>
                  <m:sty m:val="p"/>
                </m:rPr>
                <w:rPr>
                  <w:rFonts w:ascii="Cambria Math" w:hAnsi="Cambria Math" w:cs="Times New Roman"/>
                  <w:sz w:val="24"/>
                  <w:szCs w:val="24"/>
                </w:rPr>
                <m:t>t,i</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r>
                <m:rPr>
                  <m:sty m:val="p"/>
                </m:rPr>
                <w:rPr>
                  <w:rFonts w:ascii="Cambria Math" w:hAnsi="Cambria Math" w:cs="Times New Roman"/>
                  <w:sz w:val="24"/>
                  <w:szCs w:val="24"/>
                </w:rPr>
                <m:t>t,1</m:t>
              </m:r>
            </m:sub>
          </m:sSub>
          <m:r>
            <m:rPr>
              <m:sty m:val="p"/>
            </m:rPr>
            <w:rPr>
              <w:rFonts w:ascii="Cambria Math" w:hAnsi="Cambria Math" w:cs="Times New Roman"/>
              <w:sz w:val="24"/>
              <w:szCs w:val="24"/>
            </w:rPr>
            <m:t xml:space="preserve">        (5)</m:t>
          </m:r>
        </m:oMath>
      </m:oMathPara>
    </w:p>
    <w:p w:rsidR="004A1EFF" w:rsidRDefault="004A1EFF" w:rsidP="004A1EFF">
      <w:pPr>
        <w:jc w:val="both"/>
        <w:rPr>
          <w:rFonts w:ascii="Times New Roman" w:hAnsi="Times New Roman" w:cs="Times New Roman"/>
          <w:sz w:val="24"/>
          <w:szCs w:val="24"/>
        </w:rPr>
      </w:pPr>
      <w:r w:rsidRPr="0042545D">
        <w:rPr>
          <w:rFonts w:ascii="Times New Roman" w:hAnsi="Times New Roman" w:cs="Times New Roman"/>
          <w:sz w:val="24"/>
          <w:szCs w:val="24"/>
        </w:rPr>
        <w:t xml:space="preserve">Where, </w:t>
      </w:r>
      <w:proofErr w:type="spellStart"/>
      <w:r w:rsidRPr="0042545D">
        <w:rPr>
          <w:rFonts w:ascii="Times New Roman" w:hAnsi="Times New Roman" w:cs="Times New Roman"/>
          <w:sz w:val="24"/>
          <w:szCs w:val="24"/>
        </w:rPr>
        <w:t>i</w:t>
      </w:r>
      <w:proofErr w:type="spellEnd"/>
      <w:r w:rsidRPr="0042545D">
        <w:rPr>
          <w:rFonts w:ascii="Times New Roman" w:hAnsi="Times New Roman" w:cs="Times New Roman"/>
          <w:sz w:val="24"/>
          <w:szCs w:val="24"/>
        </w:rPr>
        <w:t xml:space="preserve"> and t depict the country and time, c, </w:t>
      </w:r>
      <m:oMath>
        <m:sSup>
          <m:sSupPr>
            <m:ctrlPr>
              <w:rPr>
                <w:rFonts w:ascii="Cambria Math" w:hAnsi="Times New Roman" w:cs="Times New Roman"/>
                <w:sz w:val="24"/>
                <w:szCs w:val="24"/>
              </w:rPr>
            </m:ctrlPr>
          </m:sSupPr>
          <m:e>
            <m:r>
              <m:rPr>
                <m:sty m:val="p"/>
              </m:rPr>
              <w:rPr>
                <w:rFonts w:ascii="Cambria Math" w:hAnsi="Cambria Math" w:cs="Times New Roman"/>
                <w:sz w:val="24"/>
                <w:szCs w:val="24"/>
              </w:rPr>
              <m:t>y</m:t>
            </m:r>
          </m:e>
          <m:sup>
            <m:r>
              <m:rPr>
                <m:sty m:val="p"/>
              </m:rPr>
              <w:rPr>
                <w:rFonts w:ascii="Cambria Math" w:hAnsi="Cambria Math" w:cs="Times New Roman"/>
                <w:sz w:val="24"/>
                <w:szCs w:val="24"/>
              </w:rPr>
              <m:t>d</m:t>
            </m:r>
          </m:sup>
        </m:sSup>
      </m:oMath>
      <w:r w:rsidR="00207987">
        <w:rPr>
          <w:rFonts w:ascii="Times New Roman" w:hAnsi="Times New Roman" w:cs="Times New Roman"/>
          <w:sz w:val="24"/>
          <w:szCs w:val="24"/>
        </w:rPr>
        <w:t xml:space="preserve"> </w:t>
      </w:r>
      <m:oMath>
        <m:sSup>
          <m:sSupPr>
            <m:ctrlPr>
              <w:rPr>
                <w:rFonts w:ascii="Cambria Math" w:hAnsi="Times New Roman" w:cs="Times New Roman"/>
                <w:sz w:val="24"/>
                <w:szCs w:val="24"/>
              </w:rPr>
            </m:ctrlPr>
          </m:sSupPr>
          <m:e>
            <m:r>
              <m:rPr>
                <m:sty m:val="p"/>
              </m:rPr>
              <w:rPr>
                <w:rFonts w:ascii="Cambria Math" w:hAnsi="Cambria Math" w:cs="Times New Roman"/>
                <w:sz w:val="24"/>
                <w:szCs w:val="24"/>
              </w:rPr>
              <m:t>w</m:t>
            </m:r>
          </m:e>
          <m:sup>
            <m:r>
              <m:rPr>
                <m:sty m:val="p"/>
              </m:rPr>
              <w:rPr>
                <w:rFonts w:ascii="Cambria Math" w:hAnsi="Cambria Math" w:cs="Times New Roman"/>
                <w:sz w:val="24"/>
                <w:szCs w:val="24"/>
              </w:rPr>
              <m:t>e</m:t>
            </m:r>
          </m:sup>
        </m:sSup>
      </m:oMath>
      <w:r w:rsidR="00207987" w:rsidRPr="0042545D">
        <w:rPr>
          <w:rFonts w:ascii="Times New Roman" w:hAnsi="Times New Roman" w:cs="Times New Roman"/>
          <w:sz w:val="24"/>
          <w:szCs w:val="24"/>
        </w:rPr>
        <w:t xml:space="preserve">, </w:t>
      </w:r>
      <m:oMath>
        <m:sSup>
          <m:sSupPr>
            <m:ctrlPr>
              <w:rPr>
                <w:rFonts w:ascii="Cambria Math" w:hAnsi="Times New Roman" w:cs="Times New Roman"/>
                <w:sz w:val="24"/>
                <w:szCs w:val="24"/>
              </w:rPr>
            </m:ctrlPr>
          </m:sSupPr>
          <m:e>
            <m:r>
              <m:rPr>
                <m:sty m:val="p"/>
              </m:rPr>
              <w:rPr>
                <w:rFonts w:ascii="Cambria Math" w:hAnsi="Cambria Math" w:cs="Times New Roman"/>
                <w:sz w:val="24"/>
                <w:szCs w:val="24"/>
              </w:rPr>
              <m:t>w</m:t>
            </m:r>
          </m:e>
          <m:sup>
            <m:r>
              <m:rPr>
                <m:sty m:val="p"/>
              </m:rPr>
              <w:rPr>
                <w:rFonts w:ascii="Times New Roman" w:hAnsi="Cambria Math" w:cs="Times New Roman"/>
                <w:sz w:val="24"/>
                <w:szCs w:val="24"/>
              </w:rPr>
              <m:t>h</m:t>
            </m:r>
          </m:sup>
        </m:sSup>
      </m:oMath>
      <w:r w:rsidR="00684B8A">
        <w:rPr>
          <w:rFonts w:ascii="Times New Roman" w:hAnsi="Times New Roman" w:cs="Times New Roman"/>
          <w:sz w:val="24"/>
          <w:szCs w:val="24"/>
        </w:rPr>
        <w:t xml:space="preserve"> and g stand for the</w:t>
      </w:r>
      <w:r w:rsidRPr="0042545D">
        <w:rPr>
          <w:rFonts w:ascii="Times New Roman" w:hAnsi="Times New Roman" w:cs="Times New Roman"/>
          <w:sz w:val="24"/>
          <w:szCs w:val="24"/>
        </w:rPr>
        <w:t xml:space="preserve"> private consumption, disposable household income, equity wealth, </w:t>
      </w:r>
      <w:r>
        <w:rPr>
          <w:rFonts w:ascii="Times New Roman" w:hAnsi="Times New Roman" w:cs="Times New Roman"/>
          <w:sz w:val="24"/>
          <w:szCs w:val="24"/>
        </w:rPr>
        <w:t>housing wealth and</w:t>
      </w:r>
      <w:r w:rsidRPr="0042545D">
        <w:rPr>
          <w:rFonts w:ascii="Times New Roman" w:hAnsi="Times New Roman" w:cs="Times New Roman"/>
          <w:sz w:val="24"/>
          <w:szCs w:val="24"/>
        </w:rPr>
        <w:t xml:space="preserve"> </w:t>
      </w:r>
      <w:r w:rsidR="00684B8A">
        <w:rPr>
          <w:rFonts w:ascii="Times New Roman" w:hAnsi="Times New Roman" w:cs="Times New Roman"/>
          <w:sz w:val="24"/>
          <w:szCs w:val="24"/>
        </w:rPr>
        <w:t xml:space="preserve">the </w:t>
      </w:r>
      <w:r w:rsidRPr="0042545D">
        <w:rPr>
          <w:rFonts w:ascii="Times New Roman" w:hAnsi="Times New Roman" w:cs="Times New Roman"/>
          <w:sz w:val="24"/>
          <w:szCs w:val="24"/>
        </w:rPr>
        <w:t>g</w:t>
      </w:r>
      <w:r w:rsidR="00684B8A">
        <w:rPr>
          <w:rFonts w:ascii="Times New Roman" w:hAnsi="Times New Roman" w:cs="Times New Roman"/>
          <w:sz w:val="24"/>
          <w:szCs w:val="24"/>
        </w:rPr>
        <w:t>overnment debt respectively while e depicts</w:t>
      </w:r>
      <w:r w:rsidRPr="0042545D">
        <w:rPr>
          <w:rFonts w:ascii="Times New Roman" w:hAnsi="Times New Roman" w:cs="Times New Roman"/>
          <w:sz w:val="24"/>
          <w:szCs w:val="24"/>
        </w:rPr>
        <w:t xml:space="preserve"> the error term.</w:t>
      </w:r>
      <w:r>
        <w:rPr>
          <w:rFonts w:ascii="Times New Roman" w:hAnsi="Times New Roman" w:cs="Times New Roman"/>
          <w:sz w:val="24"/>
          <w:szCs w:val="24"/>
        </w:rPr>
        <w:t xml:space="preserve"> </w:t>
      </w:r>
      <w:r w:rsidR="00684B8A">
        <w:rPr>
          <w:rFonts w:ascii="Times New Roman" w:hAnsi="Times New Roman" w:cs="Times New Roman"/>
          <w:sz w:val="24"/>
          <w:szCs w:val="24"/>
        </w:rPr>
        <w:t xml:space="preserve">All the variables are per capita, in real terms and logarithms. </w:t>
      </w:r>
      <w:r>
        <w:rPr>
          <w:rFonts w:ascii="Times New Roman" w:hAnsi="Times New Roman" w:cs="Times New Roman"/>
          <w:sz w:val="24"/>
          <w:szCs w:val="24"/>
        </w:rPr>
        <w:t xml:space="preserve">After testing for </w:t>
      </w:r>
      <w:proofErr w:type="spellStart"/>
      <w:r>
        <w:rPr>
          <w:rFonts w:ascii="Times New Roman" w:hAnsi="Times New Roman" w:cs="Times New Roman"/>
          <w:sz w:val="24"/>
          <w:szCs w:val="24"/>
        </w:rPr>
        <w:t>stationarity</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and found that all the variables were </w:t>
      </w:r>
      <w:proofErr w:type="gramStart"/>
      <w:r>
        <w:rPr>
          <w:rFonts w:ascii="Times New Roman" w:hAnsi="Times New Roman" w:cs="Times New Roman"/>
          <w:sz w:val="24"/>
          <w:szCs w:val="24"/>
        </w:rPr>
        <w:t>I(</w:t>
      </w:r>
      <w:proofErr w:type="gramEnd"/>
      <w:r>
        <w:rPr>
          <w:rFonts w:ascii="Times New Roman" w:hAnsi="Times New Roman" w:cs="Times New Roman"/>
          <w:sz w:val="24"/>
          <w:szCs w:val="24"/>
        </w:rPr>
        <w:t xml:space="preserve">1) with a </w:t>
      </w:r>
      <w:proofErr w:type="spellStart"/>
      <w:r>
        <w:rPr>
          <w:rFonts w:ascii="Times New Roman" w:hAnsi="Times New Roman" w:cs="Times New Roman"/>
          <w:sz w:val="24"/>
          <w:szCs w:val="24"/>
        </w:rPr>
        <w:t>cointegrating</w:t>
      </w:r>
      <w:proofErr w:type="spellEnd"/>
      <w:r>
        <w:rPr>
          <w:rFonts w:ascii="Times New Roman" w:hAnsi="Times New Roman" w:cs="Times New Roman"/>
          <w:sz w:val="24"/>
          <w:szCs w:val="24"/>
        </w:rPr>
        <w:t xml:space="preserve"> relationship they applied the pooled mean group estimator following </w:t>
      </w:r>
      <w:proofErr w:type="spellStart"/>
      <w:r>
        <w:rPr>
          <w:rFonts w:ascii="Times New Roman" w:hAnsi="Times New Roman" w:cs="Times New Roman"/>
          <w:sz w:val="24"/>
          <w:szCs w:val="24"/>
        </w:rPr>
        <w:t>Pesaran</w:t>
      </w:r>
      <w:proofErr w:type="spellEnd"/>
      <w:r>
        <w:rPr>
          <w:rFonts w:ascii="Times New Roman" w:hAnsi="Times New Roman" w:cs="Times New Roman"/>
          <w:sz w:val="24"/>
          <w:szCs w:val="24"/>
        </w:rPr>
        <w:t xml:space="preserve">, Shin and Smith </w:t>
      </w:r>
      <w:r w:rsidR="00684B8A">
        <w:rPr>
          <w:rFonts w:ascii="Times New Roman" w:hAnsi="Times New Roman" w:cs="Times New Roman"/>
          <w:sz w:val="24"/>
          <w:szCs w:val="24"/>
        </w:rPr>
        <w:t>(19</w:t>
      </w:r>
      <w:r w:rsidR="00600BC4">
        <w:rPr>
          <w:rFonts w:ascii="Times New Roman" w:hAnsi="Times New Roman" w:cs="Times New Roman"/>
          <w:sz w:val="24"/>
          <w:szCs w:val="24"/>
        </w:rPr>
        <w:t xml:space="preserve">99). Furthermore, the </w:t>
      </w:r>
      <w:proofErr w:type="spellStart"/>
      <w:r w:rsidR="00600BC4">
        <w:rPr>
          <w:rFonts w:ascii="Times New Roman" w:hAnsi="Times New Roman" w:cs="Times New Roman"/>
          <w:sz w:val="24"/>
          <w:szCs w:val="24"/>
        </w:rPr>
        <w:t>Berben</w:t>
      </w:r>
      <w:proofErr w:type="spellEnd"/>
      <w:r w:rsidR="00600BC4">
        <w:rPr>
          <w:rFonts w:ascii="Times New Roman" w:hAnsi="Times New Roman" w:cs="Times New Roman"/>
          <w:sz w:val="24"/>
          <w:szCs w:val="24"/>
        </w:rPr>
        <w:t xml:space="preserve"> &amp;</w:t>
      </w:r>
      <w:r w:rsidR="00684B8A">
        <w:rPr>
          <w:rFonts w:ascii="Times New Roman" w:hAnsi="Times New Roman" w:cs="Times New Roman"/>
          <w:sz w:val="24"/>
          <w:szCs w:val="24"/>
        </w:rPr>
        <w:t xml:space="preserve"> </w:t>
      </w:r>
      <w:proofErr w:type="spellStart"/>
      <w:r w:rsidR="00684B8A">
        <w:rPr>
          <w:rFonts w:ascii="Times New Roman" w:hAnsi="Times New Roman" w:cs="Times New Roman"/>
          <w:sz w:val="24"/>
          <w:szCs w:val="24"/>
        </w:rPr>
        <w:t>Brosens</w:t>
      </w:r>
      <w:proofErr w:type="spellEnd"/>
      <w:r w:rsidR="00684B8A">
        <w:rPr>
          <w:rFonts w:ascii="Times New Roman" w:hAnsi="Times New Roman" w:cs="Times New Roman"/>
          <w:sz w:val="24"/>
          <w:szCs w:val="24"/>
        </w:rPr>
        <w:t xml:space="preserve"> (2007)</w:t>
      </w:r>
      <w:r>
        <w:rPr>
          <w:rFonts w:ascii="Times New Roman" w:hAnsi="Times New Roman" w:cs="Times New Roman"/>
          <w:sz w:val="24"/>
          <w:szCs w:val="24"/>
        </w:rPr>
        <w:t xml:space="preserve"> categorized the countries into three groups</w:t>
      </w:r>
      <w:r>
        <w:rPr>
          <w:rStyle w:val="a8"/>
          <w:rFonts w:ascii="Times New Roman" w:hAnsi="Times New Roman" w:cs="Times New Roman"/>
          <w:sz w:val="24"/>
          <w:szCs w:val="24"/>
        </w:rPr>
        <w:footnoteReference w:id="25"/>
      </w:r>
      <w:r>
        <w:rPr>
          <w:rFonts w:ascii="Times New Roman" w:hAnsi="Times New Roman" w:cs="Times New Roman"/>
          <w:sz w:val="24"/>
          <w:szCs w:val="24"/>
        </w:rPr>
        <w:t xml:space="preserve"> taking into consideration the level of government debt as depicted by debt to GDP</w:t>
      </w:r>
      <w:r w:rsidR="00684B8A">
        <w:rPr>
          <w:rFonts w:ascii="Times New Roman" w:hAnsi="Times New Roman" w:cs="Times New Roman"/>
          <w:sz w:val="24"/>
          <w:szCs w:val="24"/>
        </w:rPr>
        <w:t xml:space="preserve"> ratio. According to their</w:t>
      </w:r>
      <w:r>
        <w:rPr>
          <w:rFonts w:ascii="Times New Roman" w:hAnsi="Times New Roman" w:cs="Times New Roman"/>
          <w:sz w:val="24"/>
          <w:szCs w:val="24"/>
        </w:rPr>
        <w:t xml:space="preserve"> estimations the level of government</w:t>
      </w:r>
      <w:r w:rsidR="00684B8A">
        <w:rPr>
          <w:rFonts w:ascii="Times New Roman" w:hAnsi="Times New Roman" w:cs="Times New Roman"/>
          <w:sz w:val="24"/>
          <w:szCs w:val="24"/>
        </w:rPr>
        <w:t xml:space="preserve"> debt was</w:t>
      </w:r>
      <w:r>
        <w:rPr>
          <w:rFonts w:ascii="Times New Roman" w:hAnsi="Times New Roman" w:cs="Times New Roman"/>
          <w:sz w:val="24"/>
          <w:szCs w:val="24"/>
        </w:rPr>
        <w:t xml:space="preserve"> affecting significantly and negatively the private consumption. From their estimations they draw the conclusion that in low debt countries the government debt exerts no significant impact on private consumption, while in the high debt countries the effect is significant and negative, undermining the effectiveness o</w:t>
      </w:r>
      <w:r w:rsidR="00684B8A">
        <w:rPr>
          <w:rFonts w:ascii="Times New Roman" w:hAnsi="Times New Roman" w:cs="Times New Roman"/>
          <w:sz w:val="24"/>
          <w:szCs w:val="24"/>
        </w:rPr>
        <w:t xml:space="preserve">f the fiscal policy. </w:t>
      </w:r>
      <w:proofErr w:type="spellStart"/>
      <w:r w:rsidR="00684B8A">
        <w:rPr>
          <w:rFonts w:ascii="Times New Roman" w:hAnsi="Times New Roman" w:cs="Times New Roman"/>
          <w:sz w:val="24"/>
          <w:szCs w:val="24"/>
        </w:rPr>
        <w:t>Berben</w:t>
      </w:r>
      <w:proofErr w:type="spellEnd"/>
      <w:r w:rsidR="00684B8A">
        <w:rPr>
          <w:rFonts w:ascii="Times New Roman" w:hAnsi="Times New Roman" w:cs="Times New Roman"/>
          <w:sz w:val="24"/>
          <w:szCs w:val="24"/>
        </w:rPr>
        <w:t xml:space="preserve"> and </w:t>
      </w:r>
      <w:proofErr w:type="spellStart"/>
      <w:r w:rsidR="00684B8A">
        <w:rPr>
          <w:rFonts w:ascii="Times New Roman" w:hAnsi="Times New Roman" w:cs="Times New Roman"/>
          <w:sz w:val="24"/>
          <w:szCs w:val="24"/>
        </w:rPr>
        <w:t>Brosens</w:t>
      </w:r>
      <w:proofErr w:type="spellEnd"/>
      <w:r w:rsidR="00684B8A">
        <w:rPr>
          <w:rFonts w:ascii="Times New Roman" w:hAnsi="Times New Roman" w:cs="Times New Roman"/>
          <w:sz w:val="24"/>
          <w:szCs w:val="24"/>
        </w:rPr>
        <w:t xml:space="preserve"> (2007)</w:t>
      </w:r>
      <w:r>
        <w:rPr>
          <w:rFonts w:ascii="Times New Roman" w:hAnsi="Times New Roman" w:cs="Times New Roman"/>
          <w:sz w:val="24"/>
          <w:szCs w:val="24"/>
        </w:rPr>
        <w:t xml:space="preserve"> anticipated these outcomes since in high debt countries individuals are more concerned about the “sustainability of government debt”</w:t>
      </w:r>
      <w:r>
        <w:rPr>
          <w:rStyle w:val="a8"/>
          <w:rFonts w:ascii="Times New Roman" w:hAnsi="Times New Roman" w:cs="Times New Roman"/>
          <w:sz w:val="24"/>
          <w:szCs w:val="24"/>
        </w:rPr>
        <w:footnoteReference w:id="26"/>
      </w:r>
      <w:r>
        <w:rPr>
          <w:rFonts w:ascii="Times New Roman" w:hAnsi="Times New Roman" w:cs="Times New Roman"/>
          <w:sz w:val="24"/>
          <w:szCs w:val="24"/>
        </w:rPr>
        <w:t>.</w:t>
      </w:r>
    </w:p>
    <w:p w:rsidR="004A1EFF" w:rsidRDefault="00600BC4" w:rsidP="004A1EFF">
      <w:pPr>
        <w:jc w:val="both"/>
        <w:rPr>
          <w:rFonts w:ascii="Times New Roman" w:hAnsi="Times New Roman" w:cs="Times New Roman"/>
          <w:sz w:val="24"/>
          <w:szCs w:val="24"/>
        </w:rPr>
      </w:pPr>
      <w:r>
        <w:rPr>
          <w:rFonts w:ascii="Times New Roman" w:hAnsi="Times New Roman" w:cs="Times New Roman"/>
          <w:sz w:val="24"/>
          <w:szCs w:val="24"/>
        </w:rPr>
        <w:t>Nickel &amp;</w:t>
      </w:r>
      <w:r w:rsidR="004A1EFF">
        <w:rPr>
          <w:rFonts w:ascii="Times New Roman" w:hAnsi="Times New Roman" w:cs="Times New Roman"/>
          <w:sz w:val="24"/>
          <w:szCs w:val="24"/>
        </w:rPr>
        <w:t xml:space="preserve"> </w:t>
      </w:r>
      <w:proofErr w:type="spellStart"/>
      <w:r w:rsidR="004A1EFF">
        <w:rPr>
          <w:rFonts w:ascii="Times New Roman" w:hAnsi="Times New Roman" w:cs="Times New Roman"/>
          <w:sz w:val="24"/>
          <w:szCs w:val="24"/>
        </w:rPr>
        <w:t>Vansteenkiste</w:t>
      </w:r>
      <w:proofErr w:type="spellEnd"/>
      <w:r w:rsidR="004A1EFF">
        <w:rPr>
          <w:rFonts w:ascii="Times New Roman" w:hAnsi="Times New Roman" w:cs="Times New Roman"/>
          <w:sz w:val="24"/>
          <w:szCs w:val="24"/>
        </w:rPr>
        <w:t xml:space="preserve"> (2008</w:t>
      </w:r>
      <w:proofErr w:type="gramStart"/>
      <w:r w:rsidR="004A1EFF">
        <w:rPr>
          <w:rFonts w:ascii="Times New Roman" w:hAnsi="Times New Roman" w:cs="Times New Roman"/>
          <w:sz w:val="24"/>
          <w:szCs w:val="24"/>
        </w:rPr>
        <w:t>),</w:t>
      </w:r>
      <w:proofErr w:type="gramEnd"/>
      <w:r w:rsidR="004A1EFF">
        <w:rPr>
          <w:rFonts w:ascii="Times New Roman" w:hAnsi="Times New Roman" w:cs="Times New Roman"/>
          <w:sz w:val="24"/>
          <w:szCs w:val="24"/>
        </w:rPr>
        <w:t xml:space="preserve"> approached the validity of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proposition matter using an alternative methodology. Specifically, they investigated the relationship between the fiscal balance and</w:t>
      </w:r>
      <w:r w:rsidR="00300E9A">
        <w:rPr>
          <w:rFonts w:ascii="Times New Roman" w:hAnsi="Times New Roman" w:cs="Times New Roman"/>
          <w:sz w:val="24"/>
          <w:szCs w:val="24"/>
        </w:rPr>
        <w:t xml:space="preserve"> the current account for different</w:t>
      </w:r>
      <w:r w:rsidR="004A1EFF">
        <w:rPr>
          <w:rFonts w:ascii="Times New Roman" w:hAnsi="Times New Roman" w:cs="Times New Roman"/>
          <w:sz w:val="24"/>
          <w:szCs w:val="24"/>
        </w:rPr>
        <w:t xml:space="preserve"> levels of government debt</w:t>
      </w:r>
      <w:r w:rsidR="004A1EFF">
        <w:rPr>
          <w:rStyle w:val="a8"/>
          <w:rFonts w:ascii="Times New Roman" w:hAnsi="Times New Roman" w:cs="Times New Roman"/>
          <w:sz w:val="24"/>
          <w:szCs w:val="24"/>
        </w:rPr>
        <w:footnoteReference w:id="27"/>
      </w:r>
      <w:r w:rsidR="00454D3E">
        <w:rPr>
          <w:rFonts w:ascii="Times New Roman" w:hAnsi="Times New Roman" w:cs="Times New Roman"/>
          <w:sz w:val="24"/>
          <w:szCs w:val="24"/>
        </w:rPr>
        <w:t>. To this end,</w:t>
      </w:r>
      <w:r w:rsidR="00300E9A" w:rsidRPr="00300E9A">
        <w:rPr>
          <w:rFonts w:ascii="Times New Roman" w:hAnsi="Times New Roman" w:cs="Times New Roman"/>
          <w:sz w:val="24"/>
          <w:szCs w:val="24"/>
        </w:rPr>
        <w:t xml:space="preserve"> </w:t>
      </w:r>
      <w:r w:rsidR="00300E9A">
        <w:rPr>
          <w:rFonts w:ascii="Times New Roman" w:hAnsi="Times New Roman" w:cs="Times New Roman"/>
          <w:sz w:val="24"/>
          <w:szCs w:val="24"/>
        </w:rPr>
        <w:t xml:space="preserve">Nickel and </w:t>
      </w:r>
      <w:proofErr w:type="spellStart"/>
      <w:r w:rsidR="00300E9A">
        <w:rPr>
          <w:rFonts w:ascii="Times New Roman" w:hAnsi="Times New Roman" w:cs="Times New Roman"/>
          <w:sz w:val="24"/>
          <w:szCs w:val="24"/>
        </w:rPr>
        <w:t>Vansteenkiste</w:t>
      </w:r>
      <w:proofErr w:type="spellEnd"/>
      <w:r w:rsidR="004A1EFF">
        <w:rPr>
          <w:rFonts w:ascii="Times New Roman" w:hAnsi="Times New Roman" w:cs="Times New Roman"/>
          <w:sz w:val="24"/>
          <w:szCs w:val="24"/>
        </w:rPr>
        <w:t xml:space="preserve"> applied a dynamic panel threshold model</w:t>
      </w:r>
      <w:r w:rsidR="004A1EFF">
        <w:rPr>
          <w:rStyle w:val="a8"/>
          <w:rFonts w:ascii="Times New Roman" w:hAnsi="Times New Roman" w:cs="Times New Roman"/>
          <w:sz w:val="24"/>
          <w:szCs w:val="24"/>
        </w:rPr>
        <w:footnoteReference w:id="28"/>
      </w:r>
      <w:r w:rsidR="004A1EFF">
        <w:rPr>
          <w:rFonts w:ascii="Times New Roman" w:hAnsi="Times New Roman" w:cs="Times New Roman"/>
          <w:sz w:val="24"/>
          <w:szCs w:val="24"/>
        </w:rPr>
        <w:t xml:space="preserve"> for 22 industrialized</w:t>
      </w:r>
      <w:r w:rsidR="004A1EFF">
        <w:rPr>
          <w:rStyle w:val="a8"/>
          <w:rFonts w:ascii="Times New Roman" w:hAnsi="Times New Roman" w:cs="Times New Roman"/>
          <w:sz w:val="24"/>
          <w:szCs w:val="24"/>
        </w:rPr>
        <w:footnoteReference w:id="29"/>
      </w:r>
      <w:r w:rsidR="004A1EFF">
        <w:rPr>
          <w:rFonts w:ascii="Times New Roman" w:hAnsi="Times New Roman" w:cs="Times New Roman"/>
          <w:sz w:val="24"/>
          <w:szCs w:val="24"/>
        </w:rPr>
        <w:t xml:space="preserve"> economies for the time period 1981-2005. As a first step using the likelihood ratio test they determined three thresholds of government debt level</w:t>
      </w:r>
      <w:r w:rsidR="004A1EFF">
        <w:rPr>
          <w:rStyle w:val="a8"/>
          <w:rFonts w:ascii="Times New Roman" w:hAnsi="Times New Roman" w:cs="Times New Roman"/>
          <w:sz w:val="24"/>
          <w:szCs w:val="24"/>
        </w:rPr>
        <w:footnoteReference w:id="30"/>
      </w:r>
      <w:r w:rsidR="004A1EFF">
        <w:rPr>
          <w:rFonts w:ascii="Times New Roman" w:hAnsi="Times New Roman" w:cs="Times New Roman"/>
          <w:sz w:val="24"/>
          <w:szCs w:val="24"/>
        </w:rPr>
        <w:t>. The model’s estimations showed that in low debt countries</w:t>
      </w:r>
      <w:r w:rsidR="004A1EFF">
        <w:rPr>
          <w:rStyle w:val="a8"/>
          <w:rFonts w:ascii="Times New Roman" w:hAnsi="Times New Roman" w:cs="Times New Roman"/>
          <w:sz w:val="24"/>
          <w:szCs w:val="24"/>
        </w:rPr>
        <w:footnoteReference w:id="31"/>
      </w:r>
      <w:r w:rsidR="004A1EFF">
        <w:rPr>
          <w:rFonts w:ascii="Times New Roman" w:hAnsi="Times New Roman" w:cs="Times New Roman"/>
          <w:sz w:val="24"/>
          <w:szCs w:val="24"/>
        </w:rPr>
        <w:t>, the relation between fiscal balance and current account was positive, still positive but less robust in middle debt countries</w:t>
      </w:r>
      <w:r w:rsidR="004A1EFF">
        <w:rPr>
          <w:rStyle w:val="a8"/>
          <w:rFonts w:ascii="Times New Roman" w:hAnsi="Times New Roman" w:cs="Times New Roman"/>
          <w:sz w:val="24"/>
          <w:szCs w:val="24"/>
        </w:rPr>
        <w:footnoteReference w:id="32"/>
      </w:r>
      <w:r w:rsidR="004A1EFF">
        <w:rPr>
          <w:rFonts w:ascii="Times New Roman" w:hAnsi="Times New Roman" w:cs="Times New Roman"/>
          <w:sz w:val="24"/>
          <w:szCs w:val="24"/>
        </w:rPr>
        <w:t xml:space="preserve"> </w:t>
      </w:r>
      <w:r w:rsidR="00454D3E">
        <w:rPr>
          <w:rFonts w:ascii="Times New Roman" w:hAnsi="Times New Roman" w:cs="Times New Roman"/>
          <w:sz w:val="24"/>
          <w:szCs w:val="24"/>
        </w:rPr>
        <w:t>while negative though insignificant in</w:t>
      </w:r>
      <w:r w:rsidR="004A1EFF">
        <w:rPr>
          <w:rFonts w:ascii="Times New Roman" w:hAnsi="Times New Roman" w:cs="Times New Roman"/>
          <w:sz w:val="24"/>
          <w:szCs w:val="24"/>
        </w:rPr>
        <w:t xml:space="preserve"> high debt countries</w:t>
      </w:r>
      <w:r w:rsidR="004A1EFF">
        <w:rPr>
          <w:rStyle w:val="a8"/>
          <w:rFonts w:ascii="Times New Roman" w:hAnsi="Times New Roman" w:cs="Times New Roman"/>
          <w:sz w:val="24"/>
          <w:szCs w:val="24"/>
        </w:rPr>
        <w:footnoteReference w:id="33"/>
      </w:r>
      <w:r w:rsidR="004A1EFF">
        <w:rPr>
          <w:rFonts w:ascii="Times New Roman" w:hAnsi="Times New Roman" w:cs="Times New Roman"/>
          <w:sz w:val="24"/>
          <w:szCs w:val="24"/>
        </w:rPr>
        <w:t xml:space="preserve">. This negative relationship between the fiscal and current deficit depicted that in </w:t>
      </w:r>
      <w:r w:rsidR="004A1EFF">
        <w:rPr>
          <w:rFonts w:ascii="Times New Roman" w:hAnsi="Times New Roman" w:cs="Times New Roman"/>
          <w:sz w:val="24"/>
          <w:szCs w:val="24"/>
        </w:rPr>
        <w:lastRenderedPageBreak/>
        <w:t xml:space="preserve">high debt countries the consumers became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This means that an increase in fiscal deficit caused by an increase in government expenditures or a fall in taxes is not accompanied </w:t>
      </w:r>
      <w:r w:rsidR="00471117">
        <w:rPr>
          <w:rFonts w:ascii="Times New Roman" w:hAnsi="Times New Roman" w:cs="Times New Roman"/>
          <w:sz w:val="24"/>
          <w:szCs w:val="24"/>
        </w:rPr>
        <w:t xml:space="preserve">necessarily </w:t>
      </w:r>
      <w:r w:rsidR="004A1EFF">
        <w:rPr>
          <w:rFonts w:ascii="Times New Roman" w:hAnsi="Times New Roman" w:cs="Times New Roman"/>
          <w:sz w:val="24"/>
          <w:szCs w:val="24"/>
        </w:rPr>
        <w:t>by an increase in current deficit as the consumers increase their savings and reduce the</w:t>
      </w:r>
      <w:r w:rsidR="00454D3E">
        <w:rPr>
          <w:rFonts w:ascii="Times New Roman" w:hAnsi="Times New Roman" w:cs="Times New Roman"/>
          <w:sz w:val="24"/>
          <w:szCs w:val="24"/>
        </w:rPr>
        <w:t xml:space="preserve">ir consumption. The results of Nickel and </w:t>
      </w:r>
      <w:proofErr w:type="spellStart"/>
      <w:r w:rsidR="00454D3E">
        <w:rPr>
          <w:rFonts w:ascii="Times New Roman" w:hAnsi="Times New Roman" w:cs="Times New Roman"/>
          <w:sz w:val="24"/>
          <w:szCs w:val="24"/>
        </w:rPr>
        <w:t>Vansteenkiste</w:t>
      </w:r>
      <w:proofErr w:type="spellEnd"/>
      <w:r w:rsidR="004A1EFF">
        <w:rPr>
          <w:rFonts w:ascii="Times New Roman" w:hAnsi="Times New Roman" w:cs="Times New Roman"/>
          <w:sz w:val="24"/>
          <w:szCs w:val="24"/>
        </w:rPr>
        <w:t xml:space="preserve"> </w:t>
      </w:r>
      <w:r>
        <w:rPr>
          <w:rFonts w:ascii="Times New Roman" w:hAnsi="Times New Roman" w:cs="Times New Roman"/>
          <w:sz w:val="24"/>
          <w:szCs w:val="24"/>
        </w:rPr>
        <w:t xml:space="preserve">(2008) </w:t>
      </w:r>
      <w:r w:rsidR="004A1EFF">
        <w:rPr>
          <w:rFonts w:ascii="Times New Roman" w:hAnsi="Times New Roman" w:cs="Times New Roman"/>
          <w:sz w:val="24"/>
          <w:szCs w:val="24"/>
        </w:rPr>
        <w:t>when they applie</w:t>
      </w:r>
      <w:r w:rsidR="00454D3E">
        <w:rPr>
          <w:rFonts w:ascii="Times New Roman" w:hAnsi="Times New Roman" w:cs="Times New Roman"/>
          <w:sz w:val="24"/>
          <w:szCs w:val="24"/>
        </w:rPr>
        <w:t>d their model exclusively for the eleven</w:t>
      </w:r>
      <w:r w:rsidR="004A1EFF">
        <w:rPr>
          <w:rFonts w:ascii="Times New Roman" w:hAnsi="Times New Roman" w:cs="Times New Roman"/>
          <w:sz w:val="24"/>
          <w:szCs w:val="24"/>
        </w:rPr>
        <w:t xml:space="preserve"> European economies of their initial sample, were similar to the estimations derived for the overall sample. For the second sample of countries they found two government debt thresholds</w:t>
      </w:r>
      <w:r w:rsidR="004A1EFF">
        <w:rPr>
          <w:rStyle w:val="a8"/>
          <w:rFonts w:ascii="Times New Roman" w:hAnsi="Times New Roman" w:cs="Times New Roman"/>
          <w:sz w:val="24"/>
          <w:szCs w:val="24"/>
        </w:rPr>
        <w:footnoteReference w:id="34"/>
      </w:r>
      <w:r w:rsidR="004A1EFF">
        <w:rPr>
          <w:rFonts w:ascii="Times New Roman" w:hAnsi="Times New Roman" w:cs="Times New Roman"/>
          <w:sz w:val="24"/>
          <w:szCs w:val="24"/>
        </w:rPr>
        <w:t xml:space="preserve"> and similar results regarding the relationship between fiscal and current deficits. </w:t>
      </w:r>
      <w:proofErr w:type="gramStart"/>
      <w:r w:rsidR="004A1EFF">
        <w:rPr>
          <w:rFonts w:ascii="Times New Roman" w:hAnsi="Times New Roman" w:cs="Times New Roman"/>
          <w:sz w:val="24"/>
          <w:szCs w:val="24"/>
        </w:rPr>
        <w:t>Most importantly when t</w:t>
      </w:r>
      <w:r w:rsidR="00454D3E">
        <w:rPr>
          <w:rFonts w:ascii="Times New Roman" w:hAnsi="Times New Roman" w:cs="Times New Roman"/>
          <w:sz w:val="24"/>
          <w:szCs w:val="24"/>
        </w:rPr>
        <w:t>he government debt ratio exceeded</w:t>
      </w:r>
      <w:r w:rsidR="004A1EFF">
        <w:rPr>
          <w:rFonts w:ascii="Times New Roman" w:hAnsi="Times New Roman" w:cs="Times New Roman"/>
          <w:sz w:val="24"/>
          <w:szCs w:val="24"/>
        </w:rPr>
        <w:t xml:space="preserve"> the upper thresho</w:t>
      </w:r>
      <w:r w:rsidR="00454D3E">
        <w:rPr>
          <w:rFonts w:ascii="Times New Roman" w:hAnsi="Times New Roman" w:cs="Times New Roman"/>
          <w:sz w:val="24"/>
          <w:szCs w:val="24"/>
        </w:rPr>
        <w:t>ld of 80% the relationship turned</w:t>
      </w:r>
      <w:r w:rsidR="004A1EFF">
        <w:rPr>
          <w:rFonts w:ascii="Times New Roman" w:hAnsi="Times New Roman" w:cs="Times New Roman"/>
          <w:sz w:val="24"/>
          <w:szCs w:val="24"/>
        </w:rPr>
        <w:t xml:space="preserve"> negative, an ind</w:t>
      </w:r>
      <w:r w:rsidR="00454D3E">
        <w:rPr>
          <w:rFonts w:ascii="Times New Roman" w:hAnsi="Times New Roman" w:cs="Times New Roman"/>
          <w:sz w:val="24"/>
          <w:szCs w:val="24"/>
        </w:rPr>
        <w:t>ication that the economy obtained</w:t>
      </w:r>
      <w:r w:rsidR="004A1EFF">
        <w:rPr>
          <w:rFonts w:ascii="Times New Roman" w:hAnsi="Times New Roman" w:cs="Times New Roman"/>
          <w:sz w:val="24"/>
          <w:szCs w:val="24"/>
        </w:rPr>
        <w:t xml:space="preserv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characteristics.</w:t>
      </w:r>
      <w:proofErr w:type="gramEnd"/>
    </w:p>
    <w:p w:rsidR="004A1EFF" w:rsidRDefault="00471117"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Rohn</w:t>
      </w:r>
      <w:proofErr w:type="spellEnd"/>
      <w:r>
        <w:rPr>
          <w:rFonts w:ascii="Times New Roman" w:hAnsi="Times New Roman" w:cs="Times New Roman"/>
          <w:sz w:val="24"/>
          <w:szCs w:val="24"/>
        </w:rPr>
        <w:t xml:space="preserve"> (2010)</w:t>
      </w:r>
      <w:r w:rsidR="004A1EFF">
        <w:rPr>
          <w:rFonts w:ascii="Times New Roman" w:hAnsi="Times New Roman" w:cs="Times New Roman"/>
          <w:sz w:val="24"/>
          <w:szCs w:val="24"/>
        </w:rPr>
        <w:t xml:space="preserve"> tested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hypothesis using a different alternative estimation approach. Particularly, he studied the private savings offsets followed by an expansionary fiscal policy based on an earlier study of de Mello, </w:t>
      </w:r>
      <w:proofErr w:type="spellStart"/>
      <w:r w:rsidR="004A1EFF">
        <w:rPr>
          <w:rFonts w:ascii="Times New Roman" w:hAnsi="Times New Roman" w:cs="Times New Roman"/>
          <w:sz w:val="24"/>
          <w:szCs w:val="24"/>
        </w:rPr>
        <w:t>Kongsrud</w:t>
      </w:r>
      <w:proofErr w:type="spellEnd"/>
      <w:r w:rsidR="004A1EFF">
        <w:rPr>
          <w:rFonts w:ascii="Times New Roman" w:hAnsi="Times New Roman" w:cs="Times New Roman"/>
          <w:sz w:val="24"/>
          <w:szCs w:val="24"/>
        </w:rPr>
        <w:t xml:space="preserve"> and Price (2004). </w:t>
      </w:r>
      <w:proofErr w:type="spellStart"/>
      <w:proofErr w:type="gramStart"/>
      <w:r w:rsidR="004A1EFF">
        <w:rPr>
          <w:rFonts w:ascii="Times New Roman" w:hAnsi="Times New Roman" w:cs="Times New Roman"/>
          <w:sz w:val="24"/>
          <w:szCs w:val="24"/>
        </w:rPr>
        <w:t>Rohn</w:t>
      </w:r>
      <w:proofErr w:type="spellEnd"/>
      <w:r w:rsidR="004A1EFF">
        <w:rPr>
          <w:rFonts w:ascii="Times New Roman" w:hAnsi="Times New Roman" w:cs="Times New Roman"/>
          <w:sz w:val="24"/>
          <w:szCs w:val="24"/>
        </w:rPr>
        <w:t>,</w:t>
      </w:r>
      <w:proofErr w:type="gramEnd"/>
      <w:r w:rsidR="004A1EFF">
        <w:rPr>
          <w:rFonts w:ascii="Times New Roman" w:hAnsi="Times New Roman" w:cs="Times New Roman"/>
          <w:sz w:val="24"/>
          <w:szCs w:val="24"/>
        </w:rPr>
        <w:t xml:space="preserve"> estimated an autoregressive distributed lag (ARDL) model in an error correction </w:t>
      </w:r>
      <w:proofErr w:type="spellStart"/>
      <w:r w:rsidR="004A1EFF">
        <w:rPr>
          <w:rFonts w:ascii="Times New Roman" w:hAnsi="Times New Roman" w:cs="Times New Roman"/>
          <w:sz w:val="24"/>
          <w:szCs w:val="24"/>
        </w:rPr>
        <w:t>form</w:t>
      </w:r>
      <w:proofErr w:type="spellEnd"/>
      <w:r w:rsidR="004A1EFF">
        <w:rPr>
          <w:rFonts w:ascii="Times New Roman" w:hAnsi="Times New Roman" w:cs="Times New Roman"/>
          <w:sz w:val="24"/>
          <w:szCs w:val="24"/>
        </w:rPr>
        <w:t xml:space="preserve"> using data for 16 OECD countries for the period between 1970-2008. The estimation of the model was based on the Mean Group (MG) estimator due to heterogeneity concerns following </w:t>
      </w:r>
      <w:proofErr w:type="spellStart"/>
      <w:r w:rsidR="004A1EFF">
        <w:rPr>
          <w:rFonts w:ascii="Times New Roman" w:hAnsi="Times New Roman" w:cs="Times New Roman"/>
          <w:sz w:val="24"/>
          <w:szCs w:val="24"/>
        </w:rPr>
        <w:t>Pesaran</w:t>
      </w:r>
      <w:proofErr w:type="spellEnd"/>
      <w:r w:rsidR="004A1EFF">
        <w:rPr>
          <w:rFonts w:ascii="Times New Roman" w:hAnsi="Times New Roman" w:cs="Times New Roman"/>
          <w:sz w:val="24"/>
          <w:szCs w:val="24"/>
        </w:rPr>
        <w:t xml:space="preserve"> and Smith (1995). In order to broad his analysis </w:t>
      </w:r>
      <w:proofErr w:type="spellStart"/>
      <w:r w:rsidR="004A1EFF">
        <w:rPr>
          <w:rFonts w:ascii="Times New Roman" w:hAnsi="Times New Roman" w:cs="Times New Roman"/>
          <w:sz w:val="24"/>
          <w:szCs w:val="24"/>
        </w:rPr>
        <w:t>Rohn</w:t>
      </w:r>
      <w:proofErr w:type="spellEnd"/>
      <w:r w:rsidR="004A1EFF">
        <w:rPr>
          <w:rFonts w:ascii="Times New Roman" w:hAnsi="Times New Roman" w:cs="Times New Roman"/>
          <w:sz w:val="24"/>
          <w:szCs w:val="24"/>
        </w:rPr>
        <w:t xml:space="preserve"> incorporated also threshold effects for variables that were connected with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theorem such as: the government debt, liquidity constraints and the </w:t>
      </w:r>
      <w:proofErr w:type="spellStart"/>
      <w:r w:rsidR="004A1EFF">
        <w:rPr>
          <w:rFonts w:ascii="Times New Roman" w:hAnsi="Times New Roman" w:cs="Times New Roman"/>
          <w:sz w:val="24"/>
          <w:szCs w:val="24"/>
        </w:rPr>
        <w:t>distortionary</w:t>
      </w:r>
      <w:proofErr w:type="spellEnd"/>
      <w:r w:rsidR="004A1EFF">
        <w:rPr>
          <w:rFonts w:ascii="Times New Roman" w:hAnsi="Times New Roman" w:cs="Times New Roman"/>
          <w:sz w:val="24"/>
          <w:szCs w:val="24"/>
        </w:rPr>
        <w:t xml:space="preserve"> taxation</w:t>
      </w:r>
      <w:r w:rsidR="004A1EFF">
        <w:rPr>
          <w:rStyle w:val="a8"/>
          <w:rFonts w:ascii="Times New Roman" w:hAnsi="Times New Roman" w:cs="Times New Roman"/>
          <w:sz w:val="24"/>
          <w:szCs w:val="24"/>
        </w:rPr>
        <w:footnoteReference w:id="35"/>
      </w:r>
      <w:r w:rsidR="004A1EFF">
        <w:rPr>
          <w:rFonts w:ascii="Times New Roman" w:hAnsi="Times New Roman" w:cs="Times New Roman"/>
          <w:sz w:val="24"/>
          <w:szCs w:val="24"/>
        </w:rPr>
        <w:t>. According to the estimation results, the saving offset was approximately 40%</w:t>
      </w:r>
      <w:proofErr w:type="gramStart"/>
      <w:r w:rsidR="004A1EFF">
        <w:rPr>
          <w:rFonts w:ascii="Times New Roman" w:hAnsi="Times New Roman" w:cs="Times New Roman"/>
          <w:sz w:val="24"/>
          <w:szCs w:val="24"/>
        </w:rPr>
        <w:t>,</w:t>
      </w:r>
      <w:proofErr w:type="gramEnd"/>
      <w:r w:rsidR="004A1EFF">
        <w:rPr>
          <w:rFonts w:ascii="Times New Roman" w:hAnsi="Times New Roman" w:cs="Times New Roman"/>
          <w:sz w:val="24"/>
          <w:szCs w:val="24"/>
        </w:rPr>
        <w:t xml:space="preserve"> hence the “strict version” of the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proposition could not be accepted</w:t>
      </w:r>
      <w:r w:rsidR="004A1EFF">
        <w:rPr>
          <w:rStyle w:val="a8"/>
          <w:rFonts w:ascii="Times New Roman" w:hAnsi="Times New Roman" w:cs="Times New Roman"/>
          <w:sz w:val="24"/>
          <w:szCs w:val="24"/>
        </w:rPr>
        <w:footnoteReference w:id="36"/>
      </w:r>
      <w:r w:rsidR="004A1EFF">
        <w:rPr>
          <w:rFonts w:ascii="Times New Roman" w:hAnsi="Times New Roman" w:cs="Times New Roman"/>
          <w:sz w:val="24"/>
          <w:szCs w:val="24"/>
        </w:rPr>
        <w:t xml:space="preserve">. The author additionally showed that the savings offset was stronger the higher was the government debt and the more developed the financial market of a country was suggesting less liquidity constraints. Specifically for the debt parameter, there was a full savings offset when the government debt to GDP ratio exceeded the upper threshold of 76%. Similarly, regarding the liquidity constraints, the offset was close to unity when the credit to GDP ratio transcended the 62% threshold. The last findings constituted indication in favor of </w:t>
      </w:r>
      <w:proofErr w:type="spellStart"/>
      <w:r w:rsidR="004A1EFF">
        <w:rPr>
          <w:rFonts w:ascii="Times New Roman" w:hAnsi="Times New Roman" w:cs="Times New Roman"/>
          <w:sz w:val="24"/>
          <w:szCs w:val="24"/>
        </w:rPr>
        <w:t>Ricardian</w:t>
      </w:r>
      <w:proofErr w:type="spellEnd"/>
      <w:r w:rsidR="004A1EFF">
        <w:rPr>
          <w:rFonts w:ascii="Times New Roman" w:hAnsi="Times New Roman" w:cs="Times New Roman"/>
          <w:sz w:val="24"/>
          <w:szCs w:val="24"/>
        </w:rPr>
        <w:t xml:space="preserve"> equivalence proposition. </w:t>
      </w:r>
      <w:proofErr w:type="spellStart"/>
      <w:r w:rsidR="004A1EFF">
        <w:rPr>
          <w:rFonts w:ascii="Times New Roman" w:hAnsi="Times New Roman" w:cs="Times New Roman"/>
          <w:sz w:val="24"/>
          <w:szCs w:val="24"/>
        </w:rPr>
        <w:t>Rohn</w:t>
      </w:r>
      <w:proofErr w:type="spellEnd"/>
      <w:r w:rsidR="004A1EFF">
        <w:rPr>
          <w:rFonts w:ascii="Times New Roman" w:hAnsi="Times New Roman" w:cs="Times New Roman"/>
          <w:sz w:val="24"/>
          <w:szCs w:val="24"/>
        </w:rPr>
        <w:t xml:space="preserve"> </w:t>
      </w:r>
      <w:r>
        <w:rPr>
          <w:rFonts w:ascii="Times New Roman" w:hAnsi="Times New Roman" w:cs="Times New Roman"/>
          <w:sz w:val="24"/>
          <w:szCs w:val="24"/>
        </w:rPr>
        <w:t xml:space="preserve">(2010) </w:t>
      </w:r>
      <w:r w:rsidR="004A1EFF">
        <w:rPr>
          <w:rFonts w:ascii="Times New Roman" w:hAnsi="Times New Roman" w:cs="Times New Roman"/>
          <w:sz w:val="24"/>
          <w:szCs w:val="24"/>
        </w:rPr>
        <w:t>concluded that fiscal policy loses its effectiveness when countries face high debt levels  while obtains more robust effects during financial crisis when the economy is credit constrained and the savings offset is lower.</w:t>
      </w:r>
    </w:p>
    <w:p w:rsidR="004A1EFF" w:rsidRDefault="004A1EFF"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Gog</w:t>
      </w:r>
      <w:r w:rsidR="00471117">
        <w:rPr>
          <w:rFonts w:ascii="Times New Roman" w:hAnsi="Times New Roman" w:cs="Times New Roman"/>
          <w:sz w:val="24"/>
          <w:szCs w:val="24"/>
        </w:rPr>
        <w:t>as</w:t>
      </w:r>
      <w:proofErr w:type="spellEnd"/>
      <w:r w:rsidR="00471117">
        <w:rPr>
          <w:rFonts w:ascii="Times New Roman" w:hAnsi="Times New Roman" w:cs="Times New Roman"/>
          <w:sz w:val="24"/>
          <w:szCs w:val="24"/>
        </w:rPr>
        <w:t xml:space="preserve"> et al. (2013)</w:t>
      </w:r>
      <w:r>
        <w:rPr>
          <w:rFonts w:ascii="Times New Roman" w:hAnsi="Times New Roman" w:cs="Times New Roman"/>
          <w:sz w:val="24"/>
          <w:szCs w:val="24"/>
        </w:rPr>
        <w:t xml:space="preserve"> tested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by investigating directly the long run relationship between the government debt and the private consumption, applying </w:t>
      </w:r>
      <w:proofErr w:type="spellStart"/>
      <w:r>
        <w:rPr>
          <w:rFonts w:ascii="Times New Roman" w:hAnsi="Times New Roman" w:cs="Times New Roman"/>
          <w:sz w:val="24"/>
          <w:szCs w:val="24"/>
        </w:rPr>
        <w:t>univariate</w:t>
      </w:r>
      <w:proofErr w:type="spellEnd"/>
      <w:r>
        <w:rPr>
          <w:rFonts w:ascii="Times New Roman" w:hAnsi="Times New Roman" w:cs="Times New Roman"/>
          <w:sz w:val="24"/>
          <w:szCs w:val="24"/>
        </w:rPr>
        <w:t xml:space="preserve"> time series and panel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techniques for fifteen OECD countries for the time period 1980-2010. Having tested for the existence of stochastic trends (unit roots) and found that the time series were non stationary I(1) they proceeded on the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w:t>
      </w:r>
      <w:r>
        <w:rPr>
          <w:rFonts w:ascii="Times New Roman" w:hAnsi="Times New Roman" w:cs="Times New Roman"/>
          <w:sz w:val="24"/>
          <w:szCs w:val="24"/>
        </w:rPr>
        <w:lastRenderedPageBreak/>
        <w:t>estimation</w:t>
      </w:r>
      <w:r>
        <w:rPr>
          <w:rStyle w:val="a8"/>
          <w:rFonts w:ascii="Times New Roman" w:hAnsi="Times New Roman" w:cs="Times New Roman"/>
          <w:sz w:val="24"/>
          <w:szCs w:val="24"/>
        </w:rPr>
        <w:footnoteReference w:id="37"/>
      </w:r>
      <w:r>
        <w:rPr>
          <w:rFonts w:ascii="Times New Roman" w:hAnsi="Times New Roman" w:cs="Times New Roman"/>
          <w:sz w:val="24"/>
          <w:szCs w:val="24"/>
        </w:rPr>
        <w:t xml:space="preserve"> applying the maximum likelihood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test introduced by Johansen (1991) in order</w:t>
      </w:r>
      <w:r w:rsidR="00ED6873">
        <w:rPr>
          <w:rFonts w:ascii="Times New Roman" w:hAnsi="Times New Roman" w:cs="Times New Roman"/>
          <w:sz w:val="24"/>
          <w:szCs w:val="24"/>
        </w:rPr>
        <w:t xml:space="preserve"> to enforce the</w:t>
      </w:r>
      <w:r>
        <w:rPr>
          <w:rFonts w:ascii="Times New Roman" w:hAnsi="Times New Roman" w:cs="Times New Roman"/>
          <w:sz w:val="24"/>
          <w:szCs w:val="24"/>
        </w:rPr>
        <w:t xml:space="preserve"> restrictions deriving from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theory. According to the VAR estimations one </w:t>
      </w:r>
      <w:proofErr w:type="spellStart"/>
      <w:r>
        <w:rPr>
          <w:rFonts w:ascii="Times New Roman" w:hAnsi="Times New Roman" w:cs="Times New Roman"/>
          <w:sz w:val="24"/>
          <w:szCs w:val="24"/>
        </w:rPr>
        <w:t>cointegrating</w:t>
      </w:r>
      <w:proofErr w:type="spellEnd"/>
      <w:r>
        <w:rPr>
          <w:rFonts w:ascii="Times New Roman" w:hAnsi="Times New Roman" w:cs="Times New Roman"/>
          <w:sz w:val="24"/>
          <w:szCs w:val="24"/>
        </w:rPr>
        <w:t xml:space="preserve"> vector was detected for only two countries</w:t>
      </w:r>
      <w:r>
        <w:rPr>
          <w:rStyle w:val="a8"/>
          <w:rFonts w:ascii="Times New Roman" w:hAnsi="Times New Roman" w:cs="Times New Roman"/>
          <w:sz w:val="24"/>
          <w:szCs w:val="24"/>
        </w:rPr>
        <w:footnoteReference w:id="38"/>
      </w:r>
      <w:r>
        <w:rPr>
          <w:rFonts w:ascii="Times New Roman" w:hAnsi="Times New Roman" w:cs="Times New Roman"/>
          <w:sz w:val="24"/>
          <w:szCs w:val="24"/>
        </w:rPr>
        <w:t xml:space="preserve">. Although, the restriction imposed by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theory couldn’t be rejected only for one of them</w:t>
      </w:r>
      <w:r>
        <w:rPr>
          <w:rStyle w:val="a8"/>
          <w:rFonts w:ascii="Times New Roman" w:hAnsi="Times New Roman" w:cs="Times New Roman"/>
          <w:sz w:val="24"/>
          <w:szCs w:val="24"/>
        </w:rPr>
        <w:footnoteReference w:id="39"/>
      </w:r>
      <w:r>
        <w:rPr>
          <w:rFonts w:ascii="Times New Roman" w:hAnsi="Times New Roman" w:cs="Times New Roman"/>
          <w:sz w:val="24"/>
          <w:szCs w:val="24"/>
        </w:rPr>
        <w:t xml:space="preserve">. The VECM that was performed for the case of United States provided weak evidence in favor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Regarding the panel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test, after testing for panel </w:t>
      </w:r>
      <w:proofErr w:type="spellStart"/>
      <w:r>
        <w:rPr>
          <w:rFonts w:ascii="Times New Roman" w:hAnsi="Times New Roman" w:cs="Times New Roman"/>
          <w:sz w:val="24"/>
          <w:szCs w:val="24"/>
        </w:rPr>
        <w:t>s</w:t>
      </w:r>
      <w:r w:rsidR="00ED6873">
        <w:rPr>
          <w:rFonts w:ascii="Times New Roman" w:hAnsi="Times New Roman" w:cs="Times New Roman"/>
          <w:sz w:val="24"/>
          <w:szCs w:val="24"/>
        </w:rPr>
        <w:t>tationarity</w:t>
      </w:r>
      <w:proofErr w:type="spellEnd"/>
      <w:r w:rsidR="00ED6873">
        <w:rPr>
          <w:rFonts w:ascii="Times New Roman" w:hAnsi="Times New Roman" w:cs="Times New Roman"/>
          <w:sz w:val="24"/>
          <w:szCs w:val="24"/>
        </w:rPr>
        <w:t>, the authors proceeded with</w:t>
      </w:r>
      <w:r>
        <w:rPr>
          <w:rFonts w:ascii="Times New Roman" w:hAnsi="Times New Roman" w:cs="Times New Roman"/>
          <w:sz w:val="24"/>
          <w:szCs w:val="24"/>
        </w:rPr>
        <w:t xml:space="preserve"> the panel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test introduced by </w:t>
      </w:r>
      <w:proofErr w:type="spellStart"/>
      <w:r>
        <w:rPr>
          <w:rFonts w:ascii="Times New Roman" w:hAnsi="Times New Roman" w:cs="Times New Roman"/>
          <w:sz w:val="24"/>
          <w:szCs w:val="24"/>
        </w:rPr>
        <w:t>Pedroni</w:t>
      </w:r>
      <w:proofErr w:type="spellEnd"/>
      <w:r>
        <w:rPr>
          <w:rFonts w:ascii="Times New Roman" w:hAnsi="Times New Roman" w:cs="Times New Roman"/>
          <w:sz w:val="24"/>
          <w:szCs w:val="24"/>
        </w:rPr>
        <w:t xml:space="preserve"> (1999</w:t>
      </w:r>
      <w:proofErr w:type="gramStart"/>
      <w:r>
        <w:rPr>
          <w:rFonts w:ascii="Times New Roman" w:hAnsi="Times New Roman" w:cs="Times New Roman"/>
          <w:sz w:val="24"/>
          <w:szCs w:val="24"/>
        </w:rPr>
        <w:t>,2004</w:t>
      </w:r>
      <w:proofErr w:type="gramEnd"/>
      <w:r>
        <w:rPr>
          <w:rFonts w:ascii="Times New Roman" w:hAnsi="Times New Roman" w:cs="Times New Roman"/>
          <w:sz w:val="24"/>
          <w:szCs w:val="24"/>
        </w:rPr>
        <w:t xml:space="preserve">). According to </w:t>
      </w:r>
      <w:r w:rsidR="00ED6873">
        <w:rPr>
          <w:rFonts w:ascii="Times New Roman" w:hAnsi="Times New Roman" w:cs="Times New Roman"/>
          <w:sz w:val="24"/>
          <w:szCs w:val="24"/>
        </w:rPr>
        <w:t xml:space="preserve">the </w:t>
      </w:r>
      <w:r>
        <w:rPr>
          <w:rFonts w:ascii="Times New Roman" w:hAnsi="Times New Roman" w:cs="Times New Roman"/>
          <w:sz w:val="24"/>
          <w:szCs w:val="24"/>
        </w:rPr>
        <w:t xml:space="preserve">panel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test </w:t>
      </w:r>
      <w:proofErr w:type="gramStart"/>
      <w:r>
        <w:rPr>
          <w:rFonts w:ascii="Times New Roman" w:hAnsi="Times New Roman" w:cs="Times New Roman"/>
          <w:sz w:val="24"/>
          <w:szCs w:val="24"/>
        </w:rPr>
        <w:t xml:space="preserve">results,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was</w:t>
      </w:r>
      <w:proofErr w:type="gramEnd"/>
      <w:r>
        <w:rPr>
          <w:rFonts w:ascii="Times New Roman" w:hAnsi="Times New Roman" w:cs="Times New Roman"/>
          <w:sz w:val="24"/>
          <w:szCs w:val="24"/>
        </w:rPr>
        <w:t xml:space="preserve"> rejected since there was not detected a </w:t>
      </w:r>
      <w:proofErr w:type="spellStart"/>
      <w:r>
        <w:rPr>
          <w:rFonts w:ascii="Times New Roman" w:hAnsi="Times New Roman" w:cs="Times New Roman"/>
          <w:sz w:val="24"/>
          <w:szCs w:val="24"/>
        </w:rPr>
        <w:t>cointegrating</w:t>
      </w:r>
      <w:proofErr w:type="spellEnd"/>
      <w:r>
        <w:rPr>
          <w:rFonts w:ascii="Times New Roman" w:hAnsi="Times New Roman" w:cs="Times New Roman"/>
          <w:sz w:val="24"/>
          <w:szCs w:val="24"/>
        </w:rPr>
        <w:t xml:space="preserve"> relationship. According to the authors, the rejection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was attributed to matters related with </w:t>
      </w:r>
      <w:proofErr w:type="spellStart"/>
      <w:r>
        <w:rPr>
          <w:rFonts w:ascii="Times New Roman" w:hAnsi="Times New Roman" w:cs="Times New Roman"/>
          <w:sz w:val="24"/>
          <w:szCs w:val="24"/>
        </w:rPr>
        <w:t>intertemporal</w:t>
      </w:r>
      <w:proofErr w:type="spellEnd"/>
      <w:r>
        <w:rPr>
          <w:rFonts w:ascii="Times New Roman" w:hAnsi="Times New Roman" w:cs="Times New Roman"/>
          <w:sz w:val="24"/>
          <w:szCs w:val="24"/>
        </w:rPr>
        <w:t xml:space="preserve"> linkage and myopic consuming behavior.</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From the above analyzed studies we can initially conclude that </w:t>
      </w:r>
      <w:r w:rsidR="00ED6873">
        <w:rPr>
          <w:rFonts w:ascii="Times New Roman" w:hAnsi="Times New Roman" w:cs="Times New Roman"/>
          <w:sz w:val="24"/>
          <w:szCs w:val="24"/>
        </w:rPr>
        <w:t xml:space="preserve">the </w:t>
      </w:r>
      <w:r>
        <w:rPr>
          <w:rFonts w:ascii="Times New Roman" w:hAnsi="Times New Roman" w:cs="Times New Roman"/>
          <w:sz w:val="24"/>
          <w:szCs w:val="24"/>
        </w:rPr>
        <w:t xml:space="preserve">results regarding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are subject to </w:t>
      </w:r>
      <w:r w:rsidR="00ED6873">
        <w:rPr>
          <w:rFonts w:ascii="Times New Roman" w:hAnsi="Times New Roman" w:cs="Times New Roman"/>
          <w:sz w:val="24"/>
          <w:szCs w:val="24"/>
        </w:rPr>
        <w:t xml:space="preserve">the </w:t>
      </w:r>
      <w:r>
        <w:rPr>
          <w:rFonts w:ascii="Times New Roman" w:hAnsi="Times New Roman" w:cs="Times New Roman"/>
          <w:sz w:val="24"/>
          <w:szCs w:val="24"/>
        </w:rPr>
        <w:t>estimation approaches</w:t>
      </w:r>
      <w:r w:rsidR="00ED6873">
        <w:rPr>
          <w:rFonts w:ascii="Times New Roman" w:hAnsi="Times New Roman" w:cs="Times New Roman"/>
          <w:sz w:val="24"/>
          <w:szCs w:val="24"/>
        </w:rPr>
        <w:t>,</w:t>
      </w:r>
      <w:r>
        <w:rPr>
          <w:rFonts w:ascii="Times New Roman" w:hAnsi="Times New Roman" w:cs="Times New Roman"/>
          <w:sz w:val="24"/>
          <w:szCs w:val="24"/>
        </w:rPr>
        <w:t xml:space="preserve"> the group of countries and the time periods used each time. Despite </w:t>
      </w:r>
      <w:r w:rsidR="00ED6873">
        <w:rPr>
          <w:rFonts w:ascii="Times New Roman" w:hAnsi="Times New Roman" w:cs="Times New Roman"/>
          <w:sz w:val="24"/>
          <w:szCs w:val="24"/>
        </w:rPr>
        <w:t>the differences in the results of these studies</w:t>
      </w:r>
      <w:r>
        <w:rPr>
          <w:rFonts w:ascii="Times New Roman" w:hAnsi="Times New Roman" w:cs="Times New Roman"/>
          <w:sz w:val="24"/>
          <w:szCs w:val="24"/>
        </w:rPr>
        <w:t xml:space="preserve"> there is a common point i</w:t>
      </w:r>
      <w:r w:rsidR="00395E2C">
        <w:rPr>
          <w:rFonts w:ascii="Times New Roman" w:hAnsi="Times New Roman" w:cs="Times New Roman"/>
          <w:sz w:val="24"/>
          <w:szCs w:val="24"/>
        </w:rPr>
        <w:t>n the majority of them implying</w:t>
      </w:r>
      <w:r>
        <w:rPr>
          <w:rFonts w:ascii="Times New Roman" w:hAnsi="Times New Roman" w:cs="Times New Roman"/>
          <w:sz w:val="24"/>
          <w:szCs w:val="24"/>
        </w:rPr>
        <w:t xml:space="preserve"> that when government debt is at unsustainably high levels, consumers start behaving in a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way</w:t>
      </w:r>
      <w:r w:rsidR="00ED6873">
        <w:rPr>
          <w:rFonts w:ascii="Times New Roman" w:hAnsi="Times New Roman" w:cs="Times New Roman"/>
          <w:sz w:val="24"/>
          <w:szCs w:val="24"/>
        </w:rPr>
        <w:t>.</w:t>
      </w:r>
    </w:p>
    <w:p w:rsidR="004A1EFF" w:rsidRPr="007D5CF9" w:rsidRDefault="007D5CF9" w:rsidP="004A1EFF">
      <w:pPr>
        <w:pStyle w:val="a9"/>
        <w:numPr>
          <w:ilvl w:val="0"/>
          <w:numId w:val="1"/>
        </w:numPr>
        <w:ind w:left="0"/>
        <w:jc w:val="both"/>
        <w:rPr>
          <w:rFonts w:ascii="Times New Roman" w:hAnsi="Times New Roman" w:cs="Times New Roman"/>
          <w:b/>
          <w:sz w:val="24"/>
          <w:szCs w:val="24"/>
        </w:rPr>
      </w:pPr>
      <w:r w:rsidRPr="007D5CF9">
        <w:rPr>
          <w:rFonts w:ascii="Times New Roman" w:hAnsi="Times New Roman" w:cs="Times New Roman"/>
          <w:b/>
          <w:sz w:val="24"/>
          <w:szCs w:val="24"/>
        </w:rPr>
        <w:t>Estimation Approaches</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After the formulation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theorem, v</w:t>
      </w:r>
      <w:r w:rsidR="007D5CF9">
        <w:rPr>
          <w:rFonts w:ascii="Times New Roman" w:hAnsi="Times New Roman" w:cs="Times New Roman"/>
          <w:sz w:val="24"/>
          <w:szCs w:val="24"/>
        </w:rPr>
        <w:t>arious estimation approaches have</w:t>
      </w:r>
      <w:r>
        <w:rPr>
          <w:rFonts w:ascii="Times New Roman" w:hAnsi="Times New Roman" w:cs="Times New Roman"/>
          <w:sz w:val="24"/>
          <w:szCs w:val="24"/>
        </w:rPr>
        <w:t xml:space="preserve"> been suggested for testing the validity of this hypothesis. The proposed estimation methods tested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either directly investigating the impact of government debt on private consumption or indirectly focusing on the validity of the implied assumptions. The most widely used and hence accepted approaches are the following: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u w:val="single"/>
        </w:rPr>
        <w:t>Private c</w:t>
      </w:r>
      <w:r w:rsidRPr="00986156">
        <w:rPr>
          <w:rFonts w:ascii="Times New Roman" w:hAnsi="Times New Roman" w:cs="Times New Roman"/>
          <w:sz w:val="24"/>
          <w:szCs w:val="24"/>
          <w:u w:val="single"/>
        </w:rPr>
        <w:t>onsumption function estimations</w:t>
      </w:r>
      <w:r>
        <w:rPr>
          <w:rFonts w:ascii="Times New Roman" w:hAnsi="Times New Roman" w:cs="Times New Roman"/>
          <w:sz w:val="24"/>
          <w:szCs w:val="24"/>
        </w:rPr>
        <w:t>:</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The objective of this approach is to reveal the effect of government debt and other macroeconomic variables on private consumption. According to </w:t>
      </w:r>
      <w:proofErr w:type="spellStart"/>
      <w:r>
        <w:rPr>
          <w:rFonts w:ascii="Times New Roman" w:hAnsi="Times New Roman" w:cs="Times New Roman"/>
          <w:sz w:val="24"/>
          <w:szCs w:val="24"/>
        </w:rPr>
        <w:t>Lucke</w:t>
      </w:r>
      <w:proofErr w:type="spellEnd"/>
      <w:r>
        <w:rPr>
          <w:rFonts w:ascii="Times New Roman" w:hAnsi="Times New Roman" w:cs="Times New Roman"/>
          <w:sz w:val="24"/>
          <w:szCs w:val="24"/>
        </w:rPr>
        <w:t xml:space="preserve"> (1998) the majority of the consumption function studies converged in estimating the following consumption equation:</w:t>
      </w:r>
    </w:p>
    <w:p w:rsidR="004A1EFF" w:rsidRDefault="00C16EA4" w:rsidP="004A1EFF">
      <w:pPr>
        <w:jc w:val="both"/>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l-GR"/>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l-GR"/>
                </w:rPr>
                <m:t>β</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t</m:t>
              </m:r>
            </m:sub>
          </m:sSub>
          <m:r>
            <w:rPr>
              <w:rFonts w:ascii="Cambria Math" w:hAnsi="Cambria Math" w:cs="Times New Roman"/>
              <w:sz w:val="24"/>
              <w:szCs w:val="24"/>
              <w:lang w:val="el-GR"/>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l-GR"/>
                </w:rPr>
                <m:t>β</m:t>
              </m:r>
            </m:e>
            <m:sub>
              <m:r>
                <w:rPr>
                  <w:rFonts w:ascii="Cambria Math" w:hAnsi="Cambria Math" w:cs="Times New Roman"/>
                  <w:sz w:val="24"/>
                  <w:szCs w:val="24"/>
                </w:rPr>
                <m:t>5</m:t>
              </m:r>
            </m:sub>
          </m:sSub>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l-GR"/>
                </w:rPr>
                <m:t>β</m:t>
              </m:r>
            </m:e>
            <m:sub>
              <m:r>
                <w:rPr>
                  <w:rFonts w:ascii="Cambria Math" w:hAnsi="Cambria Math" w:cs="Times New Roman"/>
                  <w:sz w:val="24"/>
                  <w:szCs w:val="24"/>
                </w:rPr>
                <m:t>6</m:t>
              </m:r>
            </m:sub>
          </m:sSub>
          <m:sSub>
            <m:sSubPr>
              <m:ctrlPr>
                <w:rPr>
                  <w:rFonts w:ascii="Cambria Math" w:hAnsi="Cambria Math" w:cs="Times New Roman"/>
                  <w:i/>
                  <w:sz w:val="24"/>
                  <w:szCs w:val="24"/>
                </w:rPr>
              </m:ctrlPr>
            </m:sSubPr>
            <m:e>
              <m:r>
                <w:rPr>
                  <w:rFonts w:ascii="Cambria Math" w:hAnsi="Cambria Math" w:cs="Times New Roman"/>
                  <w:sz w:val="24"/>
                  <w:szCs w:val="24"/>
                </w:rPr>
                <m:t>SS</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l-GR"/>
                </w:rPr>
                <m:t>β</m:t>
              </m:r>
            </m:e>
            <m:sub>
              <m:r>
                <w:rPr>
                  <w:rFonts w:ascii="Cambria Math" w:hAnsi="Cambria Math" w:cs="Times New Roman"/>
                  <w:sz w:val="24"/>
                  <w:szCs w:val="24"/>
                </w:rPr>
                <m:t>7</m:t>
              </m:r>
            </m:sub>
          </m:sSub>
          <m:sSub>
            <m:sSubPr>
              <m:ctrlPr>
                <w:rPr>
                  <w:rFonts w:ascii="Cambria Math" w:hAnsi="Cambria Math" w:cs="Times New Roman"/>
                  <w:i/>
                  <w:sz w:val="24"/>
                  <w:szCs w:val="24"/>
                </w:rPr>
              </m:ctrlPr>
            </m:sSubPr>
            <m:e>
              <m:r>
                <w:rPr>
                  <w:rFonts w:ascii="Cambria Math" w:hAnsi="Cambria Math" w:cs="Times New Roman"/>
                  <w:sz w:val="24"/>
                  <w:szCs w:val="24"/>
                  <w:lang w:val="el-GR"/>
                </w:rPr>
                <m:t>TR</m:t>
              </m:r>
            </m:e>
            <m:sub>
              <m:r>
                <w:rPr>
                  <w:rFonts w:ascii="Cambria Math" w:hAnsi="Cambria Math" w:cs="Times New Roman"/>
                  <w:sz w:val="24"/>
                  <w:szCs w:val="24"/>
                </w:rPr>
                <m:t>t</m:t>
              </m:r>
            </m:sub>
          </m:sSub>
          <m:r>
            <w:rPr>
              <w:rFonts w:ascii="Cambria Math" w:hAnsi="Cambria Math" w:cs="Times New Roman"/>
              <w:sz w:val="24"/>
              <w:szCs w:val="24"/>
            </w:rPr>
            <m:t>+error(6)</m:t>
          </m:r>
        </m:oMath>
      </m:oMathPara>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oMath>
      <w:r>
        <w:rPr>
          <w:rFonts w:ascii="Times New Roman" w:eastAsiaTheme="minorEastAsia" w:hAnsi="Times New Roman" w:cs="Times New Roman"/>
          <w:sz w:val="24"/>
          <w:szCs w:val="24"/>
        </w:rPr>
        <w:t xml:space="preserve"> depicts the private consumption,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oMath>
      <w:r>
        <w:rPr>
          <w:rFonts w:ascii="Times New Roman" w:eastAsiaTheme="minorEastAsia" w:hAnsi="Times New Roman" w:cs="Times New Roman"/>
          <w:sz w:val="24"/>
          <w:szCs w:val="24"/>
        </w:rPr>
        <w:t xml:space="preserve"> the current income,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t</m:t>
            </m:r>
          </m:sub>
        </m:sSub>
      </m:oMath>
      <w:r>
        <w:rPr>
          <w:rFonts w:ascii="Times New Roman" w:eastAsiaTheme="minorEastAsia" w:hAnsi="Times New Roman" w:cs="Times New Roman"/>
          <w:sz w:val="24"/>
          <w:szCs w:val="24"/>
        </w:rPr>
        <w:t xml:space="preserve"> the wealth of the household,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t</m:t>
            </m:r>
          </m:sub>
        </m:sSub>
      </m:oMath>
      <w:r>
        <w:rPr>
          <w:rFonts w:ascii="Times New Roman" w:eastAsiaTheme="minorEastAsia" w:hAnsi="Times New Roman" w:cs="Times New Roman"/>
          <w:sz w:val="24"/>
          <w:szCs w:val="24"/>
        </w:rPr>
        <w:t xml:space="preserve"> the public debt, </w:t>
      </w:r>
      <m:oMath>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t</m:t>
            </m:r>
          </m:sub>
        </m:sSub>
      </m:oMath>
      <w:r>
        <w:rPr>
          <w:rFonts w:ascii="Times New Roman" w:eastAsiaTheme="minorEastAsia" w:hAnsi="Times New Roman" w:cs="Times New Roman"/>
          <w:sz w:val="24"/>
          <w:szCs w:val="24"/>
        </w:rPr>
        <w:t xml:space="preserve"> the government expenditures,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t</m:t>
            </m:r>
          </m:sub>
        </m:sSub>
      </m:oMath>
      <w:r>
        <w:rPr>
          <w:rFonts w:ascii="Times New Roman" w:eastAsiaTheme="minorEastAsia" w:hAnsi="Times New Roman" w:cs="Times New Roman"/>
          <w:sz w:val="24"/>
          <w:szCs w:val="24"/>
        </w:rPr>
        <w:t xml:space="preserve"> the tax revenues, </w:t>
      </w:r>
      <m:oMath>
        <m:sSub>
          <m:sSubPr>
            <m:ctrlPr>
              <w:rPr>
                <w:rFonts w:ascii="Cambria Math" w:hAnsi="Cambria Math" w:cs="Times New Roman"/>
                <w:i/>
                <w:sz w:val="24"/>
                <w:szCs w:val="24"/>
              </w:rPr>
            </m:ctrlPr>
          </m:sSubPr>
          <m:e>
            <m:r>
              <w:rPr>
                <w:rFonts w:ascii="Cambria Math" w:hAnsi="Cambria Math" w:cs="Times New Roman"/>
                <w:sz w:val="24"/>
                <w:szCs w:val="24"/>
              </w:rPr>
              <m:t>SS</m:t>
            </m:r>
          </m:e>
          <m:sub>
            <m:r>
              <w:rPr>
                <w:rFonts w:ascii="Cambria Math" w:hAnsi="Cambria Math" w:cs="Times New Roman"/>
                <w:sz w:val="24"/>
                <w:szCs w:val="24"/>
              </w:rPr>
              <m:t>t</m:t>
            </m:r>
          </m:sub>
        </m:sSub>
      </m:oMath>
      <w:r>
        <w:rPr>
          <w:rFonts w:ascii="Times New Roman" w:eastAsiaTheme="minorEastAsia" w:hAnsi="Times New Roman" w:cs="Times New Roman"/>
          <w:sz w:val="24"/>
          <w:szCs w:val="24"/>
        </w:rPr>
        <w:t xml:space="preserve"> the social security claims and </w:t>
      </w:r>
      <m:oMath>
        <m:sSub>
          <m:sSubPr>
            <m:ctrlPr>
              <w:rPr>
                <w:rFonts w:ascii="Cambria Math" w:hAnsi="Cambria Math" w:cs="Times New Roman"/>
                <w:i/>
                <w:sz w:val="24"/>
                <w:szCs w:val="24"/>
              </w:rPr>
            </m:ctrlPr>
          </m:sSubPr>
          <m:e>
            <m:r>
              <w:rPr>
                <w:rFonts w:ascii="Cambria Math" w:hAnsi="Cambria Math" w:cs="Times New Roman"/>
                <w:sz w:val="24"/>
                <w:szCs w:val="24"/>
                <w:lang w:val="el-GR"/>
              </w:rPr>
              <m:t>TR</m:t>
            </m:r>
          </m:e>
          <m:sub>
            <m:r>
              <w:rPr>
                <w:rFonts w:ascii="Cambria Math" w:hAnsi="Cambria Math" w:cs="Times New Roman"/>
                <w:sz w:val="24"/>
                <w:szCs w:val="24"/>
              </w:rPr>
              <m:t>t</m:t>
            </m:r>
          </m:sub>
        </m:sSub>
      </m:oMath>
      <w:r>
        <w:rPr>
          <w:rFonts w:ascii="Times New Roman" w:eastAsiaTheme="minorEastAsia" w:hAnsi="Times New Roman" w:cs="Times New Roman"/>
          <w:sz w:val="24"/>
          <w:szCs w:val="24"/>
        </w:rPr>
        <w:t xml:space="preserve"> the transfers to households.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implies that the government debt exerts no wealth effects on private consumption. Moreover, the government expenditures affect negatively the consumption since lead to higher future taxes. </w:t>
      </w:r>
      <w:r>
        <w:rPr>
          <w:rFonts w:ascii="Times New Roman" w:eastAsiaTheme="minorEastAsia" w:hAnsi="Times New Roman" w:cs="Times New Roman"/>
          <w:sz w:val="24"/>
          <w:szCs w:val="24"/>
        </w:rPr>
        <w:lastRenderedPageBreak/>
        <w:t>The anticipation of future taxes makes the current generation reduce the current consumption and instead increase its savings so as to make positive bequest to the next generation that will bear the future tax burden. In addition since the government expenditures incorporate</w:t>
      </w:r>
      <w:r w:rsidR="007D5CF9">
        <w:rPr>
          <w:rFonts w:ascii="Times New Roman" w:eastAsiaTheme="minorEastAsia" w:hAnsi="Times New Roman" w:cs="Times New Roman"/>
          <w:sz w:val="24"/>
          <w:szCs w:val="24"/>
        </w:rPr>
        <w:t xml:space="preserve"> the effects of tax revenues,</w:t>
      </w:r>
      <w:r>
        <w:rPr>
          <w:rFonts w:ascii="Times New Roman" w:eastAsiaTheme="minorEastAsia" w:hAnsi="Times New Roman" w:cs="Times New Roman"/>
          <w:sz w:val="24"/>
          <w:szCs w:val="24"/>
        </w:rPr>
        <w:t xml:space="preserve"> social security contributions </w:t>
      </w:r>
      <w:r w:rsidR="007D5CF9">
        <w:rPr>
          <w:rFonts w:ascii="Times New Roman" w:eastAsiaTheme="minorEastAsia" w:hAnsi="Times New Roman" w:cs="Times New Roman"/>
          <w:sz w:val="24"/>
          <w:szCs w:val="24"/>
        </w:rPr>
        <w:t>and transfers the impact of these</w:t>
      </w:r>
      <w:r>
        <w:rPr>
          <w:rFonts w:ascii="Times New Roman" w:eastAsiaTheme="minorEastAsia" w:hAnsi="Times New Roman" w:cs="Times New Roman"/>
          <w:sz w:val="24"/>
          <w:szCs w:val="24"/>
        </w:rPr>
        <w:t xml:space="preserve"> variable</w:t>
      </w:r>
      <w:r w:rsidR="007D5CF9">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 xml:space="preserve"> should be zero. Hence,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imposes that</w:t>
      </w:r>
      <w:proofErr w:type="gramStart"/>
      <w:r>
        <w:rPr>
          <w:rFonts w:ascii="Times New Roman" w:eastAsiaTheme="minorEastAsia" w:hAnsi="Times New Roman" w:cs="Times New Roman"/>
          <w:sz w:val="24"/>
          <w:szCs w:val="24"/>
        </w:rPr>
        <w:t>:</w:t>
      </w:r>
      <w:r w:rsidR="007D5CF9">
        <w:rPr>
          <w:rFonts w:ascii="Times New Roman" w:eastAsiaTheme="minorEastAsia" w:hAnsi="Times New Roman" w:cs="Times New Roman"/>
          <w:sz w:val="24"/>
          <w:szCs w:val="24"/>
        </w:rPr>
        <w:t xml:space="preserve"> </w:t>
      </w:r>
      <m:oMath>
        <w:proofErr w:type="gramEn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2</m:t>
            </m:r>
          </m:sub>
        </m:sSub>
        <m:r>
          <w:rPr>
            <w:rFonts w:ascii="Cambria Math" w:eastAsiaTheme="minorEastAsia" w:hAnsi="Cambria Math" w:cs="Times New Roman"/>
            <w:sz w:val="24"/>
            <w:szCs w:val="24"/>
          </w:rPr>
          <m:t>&gt;0,</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4</m:t>
            </m:r>
          </m:sub>
        </m:sSub>
        <m:r>
          <w:rPr>
            <w:rFonts w:ascii="Cambria Math" w:eastAsiaTheme="minorEastAsia" w:hAnsi="Cambria Math" w:cs="Times New Roman"/>
            <w:sz w:val="24"/>
            <w:szCs w:val="24"/>
          </w:rPr>
          <m:t xml:space="preserve">&lt;0,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3</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5</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6</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7</m:t>
            </m:r>
          </m:sub>
        </m:sSub>
        <m:r>
          <w:rPr>
            <w:rFonts w:ascii="Cambria Math" w:eastAsiaTheme="minorEastAsia" w:hAnsi="Cambria Math" w:cs="Times New Roman"/>
            <w:sz w:val="24"/>
            <w:szCs w:val="24"/>
          </w:rPr>
          <m:t>=0</m:t>
        </m:r>
      </m:oMath>
      <w:r w:rsidRPr="00F04202">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According with the Keynesian view, the public debt induces wealth effects on private consumption and </w:t>
      </w:r>
      <w:r w:rsidR="007D5CF9">
        <w:rPr>
          <w:rFonts w:ascii="Times New Roman" w:eastAsiaTheme="minorEastAsia" w:hAnsi="Times New Roman" w:cs="Times New Roman"/>
          <w:sz w:val="24"/>
          <w:szCs w:val="24"/>
        </w:rPr>
        <w:t>implies positive</w:t>
      </w:r>
      <w:r>
        <w:rPr>
          <w:rFonts w:ascii="Times New Roman" w:eastAsiaTheme="minorEastAsia" w:hAnsi="Times New Roman" w:cs="Times New Roman"/>
          <w:sz w:val="24"/>
          <w:szCs w:val="24"/>
        </w:rPr>
        <w:t xml:space="preserve"> relationship between government expendit</w:t>
      </w:r>
      <w:r w:rsidR="007D5CF9">
        <w:rPr>
          <w:rFonts w:ascii="Times New Roman" w:eastAsiaTheme="minorEastAsia" w:hAnsi="Times New Roman" w:cs="Times New Roman"/>
          <w:sz w:val="24"/>
          <w:szCs w:val="24"/>
        </w:rPr>
        <w:t>ures and consumption</w:t>
      </w:r>
      <w:r>
        <w:rPr>
          <w:rFonts w:ascii="Times New Roman" w:eastAsiaTheme="minorEastAsia" w:hAnsi="Times New Roman" w:cs="Times New Roman"/>
          <w:sz w:val="24"/>
          <w:szCs w:val="24"/>
        </w:rPr>
        <w:t xml:space="preserve">. Furthermore, the parameters that affect the household disposable income affect accordingly the private consumption. To this end taxes and social security contributions decrease the disposable income and hence consumption while the transfers increase the current income and </w:t>
      </w:r>
      <w:r w:rsidR="002B7EB2">
        <w:rPr>
          <w:rFonts w:ascii="Times New Roman" w:eastAsiaTheme="minorEastAsia" w:hAnsi="Times New Roman" w:cs="Times New Roman"/>
          <w:sz w:val="24"/>
          <w:szCs w:val="24"/>
        </w:rPr>
        <w:t xml:space="preserve">the private </w:t>
      </w:r>
      <w:r>
        <w:rPr>
          <w:rFonts w:ascii="Times New Roman" w:eastAsiaTheme="minorEastAsia" w:hAnsi="Times New Roman" w:cs="Times New Roman"/>
          <w:sz w:val="24"/>
          <w:szCs w:val="24"/>
        </w:rPr>
        <w:t>consumption consequently. According to the traditional view the anticipated coefficients of the variables are</w:t>
      </w:r>
      <w:proofErr w:type="gramStart"/>
      <w:r>
        <w:rPr>
          <w:rFonts w:ascii="Times New Roman" w:eastAsiaTheme="minorEastAsia" w:hAnsi="Times New Roman" w:cs="Times New Roman"/>
          <w:sz w:val="24"/>
          <w:szCs w:val="24"/>
        </w:rPr>
        <w:t xml:space="preserve">: </w:t>
      </w:r>
      <m:oMath>
        <w:proofErr w:type="gramEn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2</m:t>
            </m:r>
          </m:sub>
        </m:sSub>
        <m:r>
          <w:rPr>
            <w:rFonts w:ascii="Cambria Math" w:eastAsiaTheme="minorEastAsia" w:hAnsi="Cambria Math" w:cs="Times New Roman"/>
            <w:sz w:val="24"/>
            <w:szCs w:val="24"/>
          </w:rPr>
          <m:t xml:space="preserve">&gt;0,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3</m:t>
            </m:r>
          </m:sub>
        </m:sSub>
        <m:r>
          <w:rPr>
            <w:rFonts w:ascii="Cambria Math" w:eastAsiaTheme="minorEastAsia" w:hAnsi="Cambria Math" w:cs="Times New Roman"/>
            <w:sz w:val="24"/>
            <w:szCs w:val="24"/>
          </w:rPr>
          <m:t xml:space="preserve">&gt;0,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4</m:t>
            </m:r>
          </m:sub>
        </m:sSub>
        <m:r>
          <w:rPr>
            <w:rFonts w:ascii="Cambria Math" w:eastAsiaTheme="minorEastAsia" w:hAnsi="Cambria Math" w:cs="Times New Roman"/>
            <w:sz w:val="24"/>
            <w:szCs w:val="24"/>
          </w:rPr>
          <m:t>&gt;0,</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5</m:t>
            </m:r>
          </m:sub>
        </m:sSub>
        <m:r>
          <w:rPr>
            <w:rFonts w:ascii="Cambria Math" w:eastAsiaTheme="minorEastAsia" w:hAnsi="Cambria Math" w:cs="Times New Roman"/>
            <w:sz w:val="24"/>
            <w:szCs w:val="24"/>
          </w:rPr>
          <m:t>&lt;0,</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6</m:t>
            </m:r>
          </m:sub>
        </m:sSub>
        <m:r>
          <w:rPr>
            <w:rFonts w:ascii="Cambria Math" w:eastAsiaTheme="minorEastAsia" w:hAnsi="Cambria Math" w:cs="Times New Roman"/>
            <w:sz w:val="24"/>
            <w:szCs w:val="24"/>
          </w:rPr>
          <m:t xml:space="preserve">&lt;0,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β</m:t>
            </m:r>
          </m:e>
          <m:sub>
            <m:r>
              <w:rPr>
                <w:rFonts w:ascii="Cambria Math" w:eastAsiaTheme="minorEastAsia" w:hAnsi="Cambria Math" w:cs="Times New Roman"/>
                <w:sz w:val="24"/>
                <w:szCs w:val="24"/>
              </w:rPr>
              <m:t>7</m:t>
            </m:r>
          </m:sub>
        </m:sSub>
        <m:r>
          <w:rPr>
            <w:rFonts w:ascii="Cambria Math" w:eastAsiaTheme="minorEastAsia" w:hAnsi="Cambria Math" w:cs="Times New Roman"/>
            <w:sz w:val="24"/>
            <w:szCs w:val="24"/>
          </w:rPr>
          <m:t>&gt;0</m:t>
        </m:r>
      </m:oMath>
      <w:r w:rsidRPr="00F04202">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p>
    <w:p w:rsidR="004A1EFF" w:rsidRDefault="004A1EFF" w:rsidP="004A1EFF">
      <w:pPr>
        <w:jc w:val="both"/>
        <w:rPr>
          <w:rFonts w:ascii="Times New Roman" w:eastAsiaTheme="minorEastAsia" w:hAnsi="Times New Roman" w:cs="Times New Roman"/>
          <w:sz w:val="24"/>
          <w:szCs w:val="24"/>
        </w:rPr>
      </w:pPr>
      <w:proofErr w:type="spellStart"/>
      <w:r>
        <w:rPr>
          <w:rFonts w:ascii="Times New Roman" w:eastAsiaTheme="minorEastAsia" w:hAnsi="Times New Roman" w:cs="Times New Roman"/>
          <w:sz w:val="24"/>
          <w:szCs w:val="24"/>
        </w:rPr>
        <w:t>Lucke</w:t>
      </w:r>
      <w:proofErr w:type="spellEnd"/>
      <w:r>
        <w:rPr>
          <w:rFonts w:ascii="Times New Roman" w:eastAsiaTheme="minorEastAsia" w:hAnsi="Times New Roman" w:cs="Times New Roman"/>
          <w:sz w:val="24"/>
          <w:szCs w:val="24"/>
        </w:rPr>
        <w:t xml:space="preserve"> (1998) stressed that this estimation approach suffers from the problem of simultaneity and the possible existence of non stationary variables. According to </w:t>
      </w:r>
      <w:proofErr w:type="spellStart"/>
      <w:r>
        <w:rPr>
          <w:rFonts w:ascii="Times New Roman" w:eastAsiaTheme="minorEastAsia" w:hAnsi="Times New Roman" w:cs="Times New Roman"/>
          <w:sz w:val="24"/>
          <w:szCs w:val="24"/>
        </w:rPr>
        <w:t>Seater</w:t>
      </w:r>
      <w:proofErr w:type="spellEnd"/>
      <w:r>
        <w:rPr>
          <w:rFonts w:ascii="Times New Roman" w:eastAsiaTheme="minorEastAsia" w:hAnsi="Times New Roman" w:cs="Times New Roman"/>
          <w:sz w:val="24"/>
          <w:szCs w:val="24"/>
        </w:rPr>
        <w:t xml:space="preserve"> (1993), the variables that the consumption functions incorporate are likely to be endogenous leading to the simultaneity problem. This problem could be addressed with the introduction of instrumental variables. </w:t>
      </w:r>
      <w:proofErr w:type="spellStart"/>
      <w:r>
        <w:rPr>
          <w:rFonts w:ascii="Times New Roman" w:eastAsiaTheme="minorEastAsia" w:hAnsi="Times New Roman" w:cs="Times New Roman"/>
          <w:sz w:val="24"/>
          <w:szCs w:val="24"/>
        </w:rPr>
        <w:t>Lucke</w:t>
      </w:r>
      <w:proofErr w:type="spellEnd"/>
      <w:r>
        <w:rPr>
          <w:rFonts w:ascii="Times New Roman" w:eastAsiaTheme="minorEastAsia" w:hAnsi="Times New Roman" w:cs="Times New Roman"/>
          <w:sz w:val="24"/>
          <w:szCs w:val="24"/>
        </w:rPr>
        <w:t xml:space="preserve"> noted that Feldstein (1982) used first instrumental variables and specifically lagged tax variables to face the simultaneity problem. Referring to the second problem </w:t>
      </w:r>
      <w:proofErr w:type="spellStart"/>
      <w:r>
        <w:rPr>
          <w:rFonts w:ascii="Times New Roman" w:eastAsiaTheme="minorEastAsia" w:hAnsi="Times New Roman" w:cs="Times New Roman"/>
          <w:sz w:val="24"/>
          <w:szCs w:val="24"/>
        </w:rPr>
        <w:t>Lucke</w:t>
      </w:r>
      <w:proofErr w:type="spellEnd"/>
      <w:r>
        <w:rPr>
          <w:rFonts w:ascii="Times New Roman" w:eastAsiaTheme="minorEastAsia" w:hAnsi="Times New Roman" w:cs="Times New Roman"/>
          <w:sz w:val="24"/>
          <w:szCs w:val="24"/>
        </w:rPr>
        <w:t xml:space="preserve"> (1998) noticed that when variables are </w:t>
      </w:r>
      <w:proofErr w:type="gramStart"/>
      <w:r>
        <w:rPr>
          <w:rFonts w:ascii="Times New Roman" w:eastAsiaTheme="minorEastAsia" w:hAnsi="Times New Roman" w:cs="Times New Roman"/>
          <w:sz w:val="24"/>
          <w:szCs w:val="24"/>
        </w:rPr>
        <w:t>non</w:t>
      </w:r>
      <w:proofErr w:type="gramEnd"/>
      <w:r>
        <w:rPr>
          <w:rFonts w:ascii="Times New Roman" w:eastAsiaTheme="minorEastAsia" w:hAnsi="Times New Roman" w:cs="Times New Roman"/>
          <w:sz w:val="24"/>
          <w:szCs w:val="24"/>
        </w:rPr>
        <w:t xml:space="preserve"> stationary, integrated of order one, the dependent variable should be </w:t>
      </w:r>
      <w:proofErr w:type="spellStart"/>
      <w:r>
        <w:rPr>
          <w:rFonts w:ascii="Times New Roman" w:eastAsiaTheme="minorEastAsia" w:hAnsi="Times New Roman" w:cs="Times New Roman"/>
          <w:sz w:val="24"/>
          <w:szCs w:val="24"/>
        </w:rPr>
        <w:t>cointegrated</w:t>
      </w:r>
      <w:proofErr w:type="spellEnd"/>
      <w:r>
        <w:rPr>
          <w:rFonts w:ascii="Times New Roman" w:eastAsiaTheme="minorEastAsia" w:hAnsi="Times New Roman" w:cs="Times New Roman"/>
          <w:sz w:val="24"/>
          <w:szCs w:val="24"/>
        </w:rPr>
        <w:t xml:space="preserve"> with the independent variables in order the estimation to yield credible results. </w:t>
      </w:r>
      <w:proofErr w:type="spellStart"/>
      <w:r>
        <w:rPr>
          <w:rFonts w:ascii="Times New Roman" w:eastAsiaTheme="minorEastAsia" w:hAnsi="Times New Roman" w:cs="Times New Roman"/>
          <w:sz w:val="24"/>
          <w:szCs w:val="24"/>
        </w:rPr>
        <w:t>Lucke</w:t>
      </w:r>
      <w:proofErr w:type="spellEnd"/>
      <w:r>
        <w:rPr>
          <w:rFonts w:ascii="Times New Roman" w:eastAsiaTheme="minorEastAsia" w:hAnsi="Times New Roman" w:cs="Times New Roman"/>
          <w:sz w:val="24"/>
          <w:szCs w:val="24"/>
        </w:rPr>
        <w:t xml:space="preserve"> </w:t>
      </w:r>
      <w:r w:rsidR="002B7EB2">
        <w:rPr>
          <w:rFonts w:ascii="Times New Roman" w:eastAsiaTheme="minorEastAsia" w:hAnsi="Times New Roman" w:cs="Times New Roman"/>
          <w:sz w:val="24"/>
          <w:szCs w:val="24"/>
        </w:rPr>
        <w:t xml:space="preserve">(1998) </w:t>
      </w:r>
      <w:r>
        <w:rPr>
          <w:rFonts w:ascii="Times New Roman" w:eastAsiaTheme="minorEastAsia" w:hAnsi="Times New Roman" w:cs="Times New Roman"/>
          <w:sz w:val="24"/>
          <w:szCs w:val="24"/>
        </w:rPr>
        <w:t xml:space="preserve">furthermore mentioned that </w:t>
      </w:r>
      <w:proofErr w:type="spellStart"/>
      <w:r>
        <w:rPr>
          <w:rFonts w:ascii="Times New Roman" w:eastAsiaTheme="minorEastAsia" w:hAnsi="Times New Roman" w:cs="Times New Roman"/>
          <w:sz w:val="24"/>
          <w:szCs w:val="24"/>
        </w:rPr>
        <w:t>Kormendi</w:t>
      </w:r>
      <w:proofErr w:type="spellEnd"/>
      <w:r>
        <w:rPr>
          <w:rFonts w:ascii="Times New Roman" w:eastAsiaTheme="minorEastAsia" w:hAnsi="Times New Roman" w:cs="Times New Roman"/>
          <w:sz w:val="24"/>
          <w:szCs w:val="24"/>
        </w:rPr>
        <w:t xml:space="preserve"> (1983) addressed the specific problem estimating the consumption function with the first difference approach rather than the levels. </w:t>
      </w:r>
    </w:p>
    <w:p w:rsidR="004A1EFF" w:rsidRDefault="004A1EFF" w:rsidP="004A1EFF">
      <w:pPr>
        <w:jc w:val="both"/>
        <w:rPr>
          <w:rFonts w:ascii="Times New Roman" w:eastAsiaTheme="minorEastAsia" w:hAnsi="Times New Roman" w:cs="Times New Roman"/>
          <w:sz w:val="24"/>
          <w:szCs w:val="24"/>
        </w:rPr>
      </w:pPr>
      <w:r w:rsidRPr="00D72E91">
        <w:rPr>
          <w:rFonts w:ascii="Times New Roman" w:eastAsiaTheme="minorEastAsia" w:hAnsi="Times New Roman" w:cs="Times New Roman"/>
          <w:sz w:val="24"/>
          <w:szCs w:val="24"/>
          <w:u w:val="single"/>
        </w:rPr>
        <w:t>Euler equation tests</w:t>
      </w:r>
      <w:r>
        <w:rPr>
          <w:rFonts w:ascii="Times New Roman" w:eastAsiaTheme="minorEastAsia" w:hAnsi="Times New Roman" w:cs="Times New Roman"/>
          <w:sz w:val="24"/>
          <w:szCs w:val="24"/>
        </w:rPr>
        <w:t xml:space="preserve">: </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next estimation approach is more theoretically grounded in the sense that is based on Euler equations that derive from the permanent income life cycle hypothesis. Furthermore, the consumption functions are obtained from the first order conditions of the consumer’s maximization problem. The main purpose of the Euler equation tests is to investigate whether individuals behave as infinitely live</w:t>
      </w:r>
      <w:r w:rsidR="00600BC4">
        <w:rPr>
          <w:rFonts w:ascii="Times New Roman" w:eastAsiaTheme="minorEastAsia" w:hAnsi="Times New Roman" w:cs="Times New Roman"/>
          <w:sz w:val="24"/>
          <w:szCs w:val="24"/>
        </w:rPr>
        <w:t xml:space="preserve">d. According to </w:t>
      </w:r>
      <w:proofErr w:type="spellStart"/>
      <w:r w:rsidR="00600BC4">
        <w:rPr>
          <w:rFonts w:ascii="Times New Roman" w:eastAsiaTheme="minorEastAsia" w:hAnsi="Times New Roman" w:cs="Times New Roman"/>
          <w:sz w:val="24"/>
          <w:szCs w:val="24"/>
        </w:rPr>
        <w:t>Lucke</w:t>
      </w:r>
      <w:proofErr w:type="spellEnd"/>
      <w:r>
        <w:rPr>
          <w:rFonts w:ascii="Times New Roman" w:eastAsiaTheme="minorEastAsia" w:hAnsi="Times New Roman" w:cs="Times New Roman"/>
          <w:sz w:val="24"/>
          <w:szCs w:val="24"/>
        </w:rPr>
        <w:t xml:space="preserve"> (1998), these tests were first introduced by the Blanchard’s (1985) model of finite horizons. The finite horizons model of Blanchard (1985) derived the following consumption function:</w:t>
      </w:r>
    </w:p>
    <w:p w:rsidR="004A1EFF" w:rsidRDefault="00C16EA4" w:rsidP="004A1EFF">
      <w:pPr>
        <w:jc w:val="cente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=a</m:t>
        </m:r>
        <m:d>
          <m:dPr>
            <m:begChr m:val="["/>
            <m:endChr m:val="]"/>
            <m:ctrlPr>
              <w:rPr>
                <w:rFonts w:ascii="Cambria Math" w:eastAsiaTheme="minorEastAsia" w:hAnsi="Cambria Math" w:cs="Times New Roman"/>
                <w:i/>
                <w:sz w:val="24"/>
                <w:szCs w:val="24"/>
              </w:rPr>
            </m:ctrlPr>
          </m:d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1+r</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t-1</m:t>
                </m:r>
              </m:sub>
            </m:sSub>
            <m:r>
              <w:rPr>
                <w:rFonts w:ascii="Cambria Math" w:eastAsiaTheme="minorEastAsia" w:hAnsi="Cambria Math" w:cs="Times New Roman"/>
                <w:sz w:val="24"/>
                <w:szCs w:val="24"/>
              </w:rPr>
              <m:t xml:space="preserve">+ </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j=0</m:t>
                </m:r>
              </m:sub>
              <m:sup>
                <m:r>
                  <w:rPr>
                    <w:rFonts w:ascii="Cambria Math" w:eastAsiaTheme="minorEastAsia" w:hAnsi="Cambria Math" w:cs="Times New Roman"/>
                    <w:sz w:val="24"/>
                    <w:szCs w:val="24"/>
                  </w:rPr>
                  <m:t>∞</m:t>
                </m:r>
              </m:sup>
              <m:e>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1-μ</m:t>
                            </m:r>
                          </m:num>
                          <m:den>
                            <m:r>
                              <w:rPr>
                                <w:rFonts w:ascii="Cambria Math" w:eastAsiaTheme="minorEastAsia" w:hAnsi="Cambria Math" w:cs="Times New Roman"/>
                                <w:sz w:val="24"/>
                                <w:szCs w:val="24"/>
                              </w:rPr>
                              <m:t>1+r</m:t>
                            </m:r>
                          </m:den>
                        </m:f>
                      </m:e>
                    </m:d>
                  </m:e>
                  <m:sup>
                    <m:r>
                      <w:rPr>
                        <w:rFonts w:ascii="Cambria Math" w:eastAsiaTheme="minorEastAsia" w:hAnsi="Cambria Math" w:cs="Times New Roman"/>
                        <w:sz w:val="24"/>
                        <w:szCs w:val="24"/>
                      </w:rPr>
                      <m:t>j</m:t>
                    </m:r>
                  </m:sup>
                </m:sSup>
              </m:e>
            </m:nary>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t</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Y</m:t>
                </m:r>
              </m:e>
              <m:sub>
                <m:r>
                  <w:rPr>
                    <w:rFonts w:ascii="Cambria Math" w:eastAsiaTheme="minorEastAsia" w:hAnsi="Cambria Math" w:cs="Times New Roman"/>
                    <w:sz w:val="24"/>
                    <w:szCs w:val="24"/>
                  </w:rPr>
                  <m:t>t+j</m:t>
                </m:r>
              </m:sub>
              <m:sup>
                <m:r>
                  <w:rPr>
                    <w:rFonts w:ascii="Cambria Math" w:eastAsiaTheme="minorEastAsia" w:hAnsi="Cambria Math" w:cs="Times New Roman"/>
                    <w:sz w:val="24"/>
                    <w:szCs w:val="24"/>
                  </w:rPr>
                  <m:t>d</m:t>
                </m:r>
              </m:sup>
            </m:sSubSup>
          </m:e>
        </m:d>
      </m:oMath>
      <w:r w:rsidR="004E3311">
        <w:rPr>
          <w:rFonts w:ascii="Times New Roman" w:eastAsiaTheme="minorEastAsia" w:hAnsi="Times New Roman" w:cs="Times New Roman"/>
          <w:sz w:val="24"/>
          <w:szCs w:val="24"/>
        </w:rPr>
        <w:t>(7</w:t>
      </w:r>
      <w:r w:rsidR="004A1EFF">
        <w:rPr>
          <w:rFonts w:ascii="Times New Roman" w:eastAsiaTheme="minorEastAsia" w:hAnsi="Times New Roman" w:cs="Times New Roman"/>
          <w:sz w:val="24"/>
          <w:szCs w:val="24"/>
        </w:rPr>
        <w:t>)</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w:r>
        <w:rPr>
          <w:rFonts w:ascii="Times New Roman" w:eastAsiaTheme="minorEastAsia" w:hAnsi="Times New Roman" w:cs="Times New Roman"/>
          <w:sz w:val="24"/>
          <w:szCs w:val="24"/>
          <w:lang w:val="el-GR"/>
        </w:rPr>
        <w:t>μ</w:t>
      </w:r>
      <w:r w:rsidRPr="00B35A6D">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stands for the share of the population that dies each period, </w:t>
      </w:r>
      <w:r>
        <w:rPr>
          <w:rFonts w:ascii="Times New Roman" w:eastAsiaTheme="minorEastAsia" w:hAnsi="Times New Roman" w:cs="Times New Roman"/>
          <w:sz w:val="24"/>
          <w:szCs w:val="24"/>
          <w:lang w:val="el-GR"/>
        </w:rPr>
        <w:t>α</w:t>
      </w:r>
      <w:r>
        <w:rPr>
          <w:rFonts w:ascii="Times New Roman" w:eastAsiaTheme="minorEastAsia" w:hAnsi="Times New Roman" w:cs="Times New Roman"/>
          <w:sz w:val="24"/>
          <w:szCs w:val="24"/>
        </w:rPr>
        <w:t xml:space="preserve"> is the propensity to consume wealth, r is the constant rate of return on assets,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t-1</m:t>
            </m:r>
          </m:sub>
        </m:sSub>
      </m:oMath>
      <w:r>
        <w:rPr>
          <w:rFonts w:ascii="Times New Roman" w:eastAsiaTheme="minorEastAsia" w:hAnsi="Times New Roman" w:cs="Times New Roman"/>
          <w:sz w:val="24"/>
          <w:szCs w:val="24"/>
        </w:rPr>
        <w:t xml:space="preserve"> are the assets the previous period and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Y</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d</m:t>
            </m:r>
          </m:sup>
        </m:sSubSup>
      </m:oMath>
      <w:r>
        <w:rPr>
          <w:rFonts w:ascii="Times New Roman" w:eastAsiaTheme="minorEastAsia" w:hAnsi="Times New Roman" w:cs="Times New Roman"/>
          <w:sz w:val="24"/>
          <w:szCs w:val="24"/>
        </w:rPr>
        <w:t xml:space="preserve"> is the real net labor income. The test of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validity is hence equal to estimating the parameter </w:t>
      </w:r>
      <w:r>
        <w:rPr>
          <w:rFonts w:ascii="Times New Roman" w:eastAsiaTheme="minorEastAsia" w:hAnsi="Times New Roman" w:cs="Times New Roman"/>
          <w:sz w:val="24"/>
          <w:szCs w:val="24"/>
          <w:lang w:val="el-GR"/>
        </w:rPr>
        <w:t>μ</w:t>
      </w:r>
      <w:r w:rsidRPr="009C44B2">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If </w:t>
      </w:r>
      <w:r>
        <w:rPr>
          <w:rFonts w:ascii="Times New Roman" w:eastAsiaTheme="minorEastAsia" w:hAnsi="Times New Roman" w:cs="Times New Roman"/>
          <w:sz w:val="24"/>
          <w:szCs w:val="24"/>
          <w:lang w:val="el-GR"/>
        </w:rPr>
        <w:t>μ</w:t>
      </w:r>
      <w:r w:rsidRPr="009C44B2">
        <w:rPr>
          <w:rFonts w:ascii="Times New Roman" w:eastAsiaTheme="minorEastAsia" w:hAnsi="Times New Roman" w:cs="Times New Roman"/>
          <w:sz w:val="24"/>
          <w:szCs w:val="24"/>
        </w:rPr>
        <w:t xml:space="preserve">=0 </w:t>
      </w:r>
      <w:r>
        <w:rPr>
          <w:rFonts w:ascii="Times New Roman" w:eastAsiaTheme="minorEastAsia" w:hAnsi="Times New Roman" w:cs="Times New Roman"/>
          <w:sz w:val="24"/>
          <w:szCs w:val="24"/>
        </w:rPr>
        <w:t xml:space="preserve">the individuals live infinitely. This means that individuals will be alive the time that the government will pay back the debt and hence they will adjust their </w:t>
      </w:r>
      <w:r>
        <w:rPr>
          <w:rFonts w:ascii="Times New Roman" w:eastAsiaTheme="minorEastAsia" w:hAnsi="Times New Roman" w:cs="Times New Roman"/>
          <w:sz w:val="24"/>
          <w:szCs w:val="24"/>
        </w:rPr>
        <w:lastRenderedPageBreak/>
        <w:t xml:space="preserve">economic decisions accordingly not changing their current consumption. In this case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applies. </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If </w:t>
      </w:r>
      <w:r>
        <w:rPr>
          <w:rFonts w:ascii="Times New Roman" w:eastAsiaTheme="minorEastAsia" w:hAnsi="Times New Roman" w:cs="Times New Roman"/>
          <w:sz w:val="24"/>
          <w:szCs w:val="24"/>
          <w:lang w:val="el-GR"/>
        </w:rPr>
        <w:t>μ</w:t>
      </w:r>
      <w:r w:rsidRPr="00715B30">
        <w:rPr>
          <w:rFonts w:ascii="Times New Roman" w:eastAsiaTheme="minorEastAsia" w:hAnsi="Times New Roman" w:cs="Times New Roman"/>
          <w:sz w:val="24"/>
          <w:szCs w:val="24"/>
        </w:rPr>
        <w:t xml:space="preserve">≠0 </w:t>
      </w:r>
      <w:r>
        <w:rPr>
          <w:rFonts w:ascii="Times New Roman" w:eastAsiaTheme="minorEastAsia" w:hAnsi="Times New Roman" w:cs="Times New Roman"/>
          <w:sz w:val="24"/>
          <w:szCs w:val="24"/>
        </w:rPr>
        <w:t>a fraction of individuals will die before the government pays back the debt and with the assumption that they do not concern about the survivors welfare</w:t>
      </w:r>
      <w:r w:rsidR="002B7EB2">
        <w:rPr>
          <w:rFonts w:ascii="Times New Roman" w:eastAsiaTheme="minorEastAsia" w:hAnsi="Times New Roman" w:cs="Times New Roman"/>
          <w:sz w:val="24"/>
          <w:szCs w:val="24"/>
        </w:rPr>
        <w:t xml:space="preserve"> they will increase their current consumption invalidating the </w:t>
      </w:r>
      <w:proofErr w:type="spellStart"/>
      <w:r w:rsidR="002B7EB2">
        <w:rPr>
          <w:rFonts w:ascii="Times New Roman" w:eastAsiaTheme="minorEastAsia" w:hAnsi="Times New Roman" w:cs="Times New Roman"/>
          <w:sz w:val="24"/>
          <w:szCs w:val="24"/>
        </w:rPr>
        <w:t>Ricardian</w:t>
      </w:r>
      <w:proofErr w:type="spellEnd"/>
      <w:r w:rsidR="002B7EB2">
        <w:rPr>
          <w:rFonts w:ascii="Times New Roman" w:eastAsiaTheme="minorEastAsia" w:hAnsi="Times New Roman" w:cs="Times New Roman"/>
          <w:sz w:val="24"/>
          <w:szCs w:val="24"/>
        </w:rPr>
        <w:t xml:space="preserve"> Equivalence proposition</w:t>
      </w:r>
      <w:r>
        <w:rPr>
          <w:rFonts w:ascii="Times New Roman" w:eastAsiaTheme="minorEastAsia" w:hAnsi="Times New Roman" w:cs="Times New Roman"/>
          <w:sz w:val="24"/>
          <w:szCs w:val="24"/>
        </w:rPr>
        <w:t xml:space="preserve">. According to </w:t>
      </w:r>
      <w:proofErr w:type="spellStart"/>
      <w:r>
        <w:rPr>
          <w:rFonts w:ascii="Times New Roman" w:eastAsiaTheme="minorEastAsia" w:hAnsi="Times New Roman" w:cs="Times New Roman"/>
          <w:sz w:val="24"/>
          <w:szCs w:val="24"/>
        </w:rPr>
        <w:t>Lucke</w:t>
      </w:r>
      <w:proofErr w:type="spellEnd"/>
      <w:r>
        <w:rPr>
          <w:rFonts w:ascii="Times New Roman" w:eastAsiaTheme="minorEastAsia" w:hAnsi="Times New Roman" w:cs="Times New Roman"/>
          <w:sz w:val="24"/>
          <w:szCs w:val="24"/>
        </w:rPr>
        <w:t xml:space="preserve"> (1998) Evans (1988) based on the Blanchard’s finite horizons model</w:t>
      </w:r>
      <w:r w:rsidRPr="002162D6">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consumption function, incorporating the aggregate budget constraint: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1+r</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t-1</m:t>
            </m:r>
          </m:sub>
        </m:sSub>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Y</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d</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derived the following consumption </w:t>
      </w:r>
      <w:proofErr w:type="gramStart"/>
      <w:r>
        <w:rPr>
          <w:rFonts w:ascii="Times New Roman" w:eastAsiaTheme="minorEastAsia" w:hAnsi="Times New Roman" w:cs="Times New Roman"/>
          <w:sz w:val="24"/>
          <w:szCs w:val="24"/>
        </w:rPr>
        <w:t>function</w:t>
      </w:r>
      <w:proofErr w:type="gramEnd"/>
      <w:r>
        <w:rPr>
          <w:rFonts w:ascii="Times New Roman" w:eastAsiaTheme="minorEastAsia" w:hAnsi="Times New Roman" w:cs="Times New Roman"/>
          <w:sz w:val="24"/>
          <w:szCs w:val="24"/>
        </w:rPr>
        <w:t xml:space="preserve"> where </w:t>
      </w:r>
      <m:oMath>
        <m:sSub>
          <m:sSubPr>
            <m:ctrlPr>
              <w:rPr>
                <w:rFonts w:ascii="Cambria Math" w:eastAsiaTheme="minorEastAsia" w:hAnsi="Cambria Math" w:cs="Times New Roman"/>
                <w:i/>
                <w:sz w:val="24"/>
                <w:szCs w:val="24"/>
                <w:lang w:val="el-GR"/>
              </w:rPr>
            </m:ctrlPr>
          </m:sSubPr>
          <m:e>
            <m:r>
              <w:rPr>
                <w:rFonts w:ascii="Cambria Math" w:eastAsiaTheme="minorEastAsia" w:hAnsi="Cambria Math" w:cs="Times New Roman"/>
                <w:sz w:val="24"/>
                <w:szCs w:val="24"/>
                <w:lang w:val="el-GR"/>
              </w:rPr>
              <m:t>ε</m:t>
            </m:r>
          </m:e>
          <m:sub>
            <m:r>
              <w:rPr>
                <w:rFonts w:ascii="Cambria Math" w:eastAsiaTheme="minorEastAsia" w:hAnsi="Cambria Math" w:cs="Times New Roman"/>
                <w:sz w:val="24"/>
                <w:szCs w:val="24"/>
                <w:lang w:val="el-GR"/>
              </w:rPr>
              <m:t>t</m:t>
            </m:r>
          </m:sub>
        </m:sSub>
      </m:oMath>
      <w:r>
        <w:rPr>
          <w:rFonts w:ascii="Times New Roman" w:eastAsiaTheme="minorEastAsia" w:hAnsi="Times New Roman" w:cs="Times New Roman"/>
          <w:sz w:val="24"/>
          <w:szCs w:val="24"/>
        </w:rPr>
        <w:t xml:space="preserve"> stands for an expectational term.</w:t>
      </w:r>
    </w:p>
    <w:p w:rsidR="004A1EFF" w:rsidRDefault="00C16EA4" w:rsidP="004A1EFF">
      <w:pPr>
        <w:jc w:val="cente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1+r</m:t>
                </m:r>
              </m:num>
              <m:den>
                <m:r>
                  <w:rPr>
                    <w:rFonts w:ascii="Cambria Math" w:eastAsiaTheme="minorEastAsia" w:hAnsi="Cambria Math" w:cs="Times New Roman"/>
                    <w:sz w:val="24"/>
                    <w:szCs w:val="24"/>
                  </w:rPr>
                  <m:t>1-</m:t>
                </m:r>
                <m:r>
                  <w:rPr>
                    <w:rFonts w:ascii="Cambria Math" w:eastAsiaTheme="minorEastAsia" w:hAnsi="Cambria Math" w:cs="Times New Roman"/>
                    <w:sz w:val="24"/>
                    <w:szCs w:val="24"/>
                    <w:lang w:val="el-GR"/>
                  </w:rPr>
                  <m:t>μ</m:t>
                </m:r>
              </m:den>
            </m:f>
          </m:e>
        </m:d>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1-α</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t-1</m:t>
            </m:r>
          </m:sub>
        </m:sSub>
        <m:r>
          <w:rPr>
            <w:rFonts w:ascii="Cambria Math" w:eastAsiaTheme="minorEastAsia" w:hAnsi="Cambria Math" w:cs="Times New Roman"/>
            <w:sz w:val="24"/>
            <w:szCs w:val="24"/>
          </w:rPr>
          <m:t>-αμ</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1+r</m:t>
            </m:r>
          </m:num>
          <m:den>
            <m:r>
              <w:rPr>
                <w:rFonts w:ascii="Cambria Math" w:eastAsiaTheme="minorEastAsia" w:hAnsi="Cambria Math" w:cs="Times New Roman"/>
                <w:sz w:val="24"/>
                <w:szCs w:val="24"/>
              </w:rPr>
              <m:t>1-</m:t>
            </m:r>
            <m:r>
              <w:rPr>
                <w:rFonts w:ascii="Cambria Math" w:eastAsiaTheme="minorEastAsia" w:hAnsi="Cambria Math" w:cs="Times New Roman"/>
                <w:sz w:val="24"/>
                <w:szCs w:val="24"/>
                <w:lang w:val="el-GR"/>
              </w:rPr>
              <m:t>μ</m:t>
            </m:r>
          </m:den>
        </m:f>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t-1</m:t>
            </m:r>
          </m:sub>
        </m:sSub>
        <m:r>
          <w:rPr>
            <w:rFonts w:ascii="Cambria Math" w:eastAsiaTheme="minorEastAsia" w:hAnsi="Cambria Math" w:cs="Times New Roman"/>
            <w:sz w:val="24"/>
            <w:szCs w:val="24"/>
          </w:rPr>
          <m:t>+</m:t>
        </m:r>
        <m:r>
          <w:rPr>
            <w:rFonts w:ascii="Cambria Math" w:eastAsiaTheme="minorEastAsia" w:hAnsi="Cambria Math" w:cs="Times New Roman"/>
            <w:sz w:val="24"/>
            <w:szCs w:val="24"/>
            <w:lang w:val="el-GR"/>
          </w:rPr>
          <m:t>α</m:t>
        </m:r>
        <m:sSub>
          <m:sSubPr>
            <m:ctrlPr>
              <w:rPr>
                <w:rFonts w:ascii="Cambria Math" w:eastAsiaTheme="minorEastAsia" w:hAnsi="Cambria Math" w:cs="Times New Roman"/>
                <w:i/>
                <w:sz w:val="24"/>
                <w:szCs w:val="24"/>
                <w:lang w:val="el-GR"/>
              </w:rPr>
            </m:ctrlPr>
          </m:sSubPr>
          <m:e>
            <m:r>
              <w:rPr>
                <w:rFonts w:ascii="Cambria Math" w:eastAsiaTheme="minorEastAsia" w:hAnsi="Cambria Math" w:cs="Times New Roman"/>
                <w:sz w:val="24"/>
                <w:szCs w:val="24"/>
                <w:lang w:val="el-GR"/>
              </w:rPr>
              <m:t>ε</m:t>
            </m:r>
          </m:e>
          <m:sub>
            <m:r>
              <w:rPr>
                <w:rFonts w:ascii="Cambria Math" w:eastAsiaTheme="minorEastAsia" w:hAnsi="Cambria Math" w:cs="Times New Roman"/>
                <w:sz w:val="24"/>
                <w:szCs w:val="24"/>
                <w:lang w:val="el-GR"/>
              </w:rPr>
              <m:t>t</m:t>
            </m:r>
          </m:sub>
        </m:sSub>
      </m:oMath>
      <w:r w:rsidR="004E3311">
        <w:rPr>
          <w:rFonts w:ascii="Times New Roman" w:eastAsiaTheme="minorEastAsia" w:hAnsi="Times New Roman" w:cs="Times New Roman"/>
          <w:sz w:val="24"/>
          <w:szCs w:val="24"/>
        </w:rPr>
        <w:t xml:space="preserve"> (8</w:t>
      </w:r>
      <w:r w:rsidR="004A1EFF">
        <w:rPr>
          <w:rFonts w:ascii="Times New Roman" w:eastAsiaTheme="minorEastAsia" w:hAnsi="Times New Roman" w:cs="Times New Roman"/>
          <w:sz w:val="24"/>
          <w:szCs w:val="24"/>
        </w:rPr>
        <w:t>)</w:t>
      </w:r>
    </w:p>
    <w:p w:rsidR="004A1EFF" w:rsidRPr="007D5CF9"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In the case of consumption function (2) if </w:t>
      </w:r>
      <w:r>
        <w:rPr>
          <w:rFonts w:ascii="Times New Roman" w:eastAsiaTheme="minorEastAsia" w:hAnsi="Times New Roman" w:cs="Times New Roman"/>
          <w:sz w:val="24"/>
          <w:szCs w:val="24"/>
          <w:lang w:val="el-GR"/>
        </w:rPr>
        <w:t>μ</w:t>
      </w:r>
      <w:r w:rsidRPr="00D449FA">
        <w:rPr>
          <w:rFonts w:ascii="Times New Roman" w:eastAsiaTheme="minorEastAsia" w:hAnsi="Times New Roman" w:cs="Times New Roman"/>
          <w:sz w:val="24"/>
          <w:szCs w:val="24"/>
        </w:rPr>
        <w:t xml:space="preserve">=0 </w:t>
      </w:r>
      <w:r>
        <w:rPr>
          <w:rFonts w:ascii="Times New Roman" w:eastAsiaTheme="minorEastAsia" w:hAnsi="Times New Roman" w:cs="Times New Roman"/>
          <w:sz w:val="24"/>
          <w:szCs w:val="24"/>
        </w:rPr>
        <w:t xml:space="preserve">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holds</w:t>
      </w:r>
      <w:r w:rsidRPr="00D449FA">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and the current consumption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depends exclusively on previous period </w:t>
      </w:r>
      <w:proofErr w:type="gramStart"/>
      <w:r>
        <w:rPr>
          <w:rFonts w:ascii="Times New Roman" w:eastAsiaTheme="minorEastAsia" w:hAnsi="Times New Roman" w:cs="Times New Roman"/>
          <w:sz w:val="24"/>
          <w:szCs w:val="24"/>
        </w:rPr>
        <w:t xml:space="preserve">consumption </w:t>
      </w:r>
      <m:oMath>
        <w:proofErr w:type="gramEn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t-1</m:t>
            </m:r>
          </m:sub>
        </m:sSub>
      </m:oMath>
      <w:r>
        <w:rPr>
          <w:rFonts w:ascii="Times New Roman" w:eastAsiaTheme="minorEastAsia" w:hAnsi="Times New Roman" w:cs="Times New Roman"/>
          <w:sz w:val="24"/>
          <w:szCs w:val="24"/>
        </w:rPr>
        <w:t xml:space="preserve">. Contrary, if </w:t>
      </w:r>
      <w:r>
        <w:rPr>
          <w:rFonts w:ascii="Times New Roman" w:eastAsiaTheme="minorEastAsia" w:hAnsi="Times New Roman" w:cs="Times New Roman"/>
          <w:sz w:val="24"/>
          <w:szCs w:val="24"/>
          <w:lang w:val="el-GR"/>
        </w:rPr>
        <w:t>μ</w:t>
      </w:r>
      <w:r w:rsidRPr="00CE371F">
        <w:rPr>
          <w:rFonts w:ascii="Times New Roman" w:eastAsiaTheme="minorEastAsia" w:hAnsi="Times New Roman" w:cs="Times New Roman"/>
          <w:sz w:val="24"/>
          <w:szCs w:val="24"/>
        </w:rPr>
        <w:t xml:space="preserve">≠0 </w:t>
      </w:r>
      <w:r>
        <w:rPr>
          <w:rFonts w:ascii="Times New Roman" w:eastAsiaTheme="minorEastAsia" w:hAnsi="Times New Roman" w:cs="Times New Roman"/>
          <w:sz w:val="24"/>
          <w:szCs w:val="24"/>
        </w:rPr>
        <w:t xml:space="preserve">the neutrality hypothesis is not supported and the current consumption is determined by </w:t>
      </w:r>
      <w:r w:rsidR="001E7CB4">
        <w:rPr>
          <w:rFonts w:ascii="Times New Roman" w:eastAsiaTheme="minorEastAsia" w:hAnsi="Times New Roman" w:cs="Times New Roman"/>
          <w:sz w:val="24"/>
          <w:szCs w:val="24"/>
        </w:rPr>
        <w:t xml:space="preserve">the </w:t>
      </w:r>
      <w:r>
        <w:rPr>
          <w:rFonts w:ascii="Times New Roman" w:eastAsiaTheme="minorEastAsia" w:hAnsi="Times New Roman" w:cs="Times New Roman"/>
          <w:sz w:val="24"/>
          <w:szCs w:val="24"/>
        </w:rPr>
        <w:t>previous period consu</w:t>
      </w:r>
      <w:r w:rsidR="001E7CB4">
        <w:rPr>
          <w:rFonts w:ascii="Times New Roman" w:eastAsiaTheme="minorEastAsia" w:hAnsi="Times New Roman" w:cs="Times New Roman"/>
          <w:sz w:val="24"/>
          <w:szCs w:val="24"/>
        </w:rPr>
        <w:t xml:space="preserve">mption and amount of </w:t>
      </w:r>
      <w:proofErr w:type="gramStart"/>
      <w:r w:rsidR="001E7CB4">
        <w:rPr>
          <w:rFonts w:ascii="Times New Roman" w:eastAsiaTheme="minorEastAsia" w:hAnsi="Times New Roman" w:cs="Times New Roman"/>
          <w:sz w:val="24"/>
          <w:szCs w:val="24"/>
        </w:rPr>
        <w:t>assets</w:t>
      </w:r>
      <w:r>
        <w:rPr>
          <w:rFonts w:ascii="Times New Roman" w:eastAsiaTheme="minorEastAsia" w:hAnsi="Times New Roman" w:cs="Times New Roman"/>
          <w:sz w:val="24"/>
          <w:szCs w:val="24"/>
        </w:rPr>
        <w:t xml:space="preserve"> </w:t>
      </w:r>
      <m:oMath>
        <w:proofErr w:type="gramEn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t-1</m:t>
            </m:r>
          </m:sub>
        </m:sSub>
      </m:oMath>
      <w:r>
        <w:rPr>
          <w:rFonts w:ascii="Times New Roman" w:eastAsiaTheme="minorEastAsia" w:hAnsi="Times New Roman" w:cs="Times New Roman"/>
          <w:sz w:val="24"/>
          <w:szCs w:val="24"/>
        </w:rPr>
        <w:t xml:space="preserve">. </w:t>
      </w:r>
    </w:p>
    <w:p w:rsidR="004A1EFF" w:rsidRDefault="004A1EFF" w:rsidP="004A1EFF">
      <w:pPr>
        <w:jc w:val="both"/>
        <w:rPr>
          <w:rFonts w:ascii="Times New Roman" w:eastAsiaTheme="minorEastAsia" w:hAnsi="Times New Roman" w:cs="Times New Roman"/>
          <w:sz w:val="24"/>
          <w:szCs w:val="24"/>
        </w:rPr>
      </w:pPr>
      <w:r w:rsidRPr="00583A72">
        <w:rPr>
          <w:rFonts w:ascii="Times New Roman" w:eastAsiaTheme="minorEastAsia" w:hAnsi="Times New Roman" w:cs="Times New Roman"/>
          <w:sz w:val="24"/>
          <w:szCs w:val="24"/>
          <w:u w:val="single"/>
        </w:rPr>
        <w:t>Interest rate approach</w:t>
      </w:r>
      <w:r>
        <w:rPr>
          <w:rFonts w:ascii="Times New Roman" w:eastAsiaTheme="minorEastAsia" w:hAnsi="Times New Roman" w:cs="Times New Roman"/>
          <w:sz w:val="24"/>
          <w:szCs w:val="24"/>
        </w:rPr>
        <w:t>:</w:t>
      </w:r>
    </w:p>
    <w:p w:rsidR="004A1EFF" w:rsidRDefault="004A1EFF" w:rsidP="004A1EFF">
      <w:pPr>
        <w:jc w:val="both"/>
        <w:rPr>
          <w:rFonts w:ascii="Times New Roman" w:eastAsiaTheme="minorEastAsia" w:hAnsi="Times New Roman" w:cs="Times New Roman"/>
          <w:sz w:val="24"/>
          <w:szCs w:val="24"/>
        </w:rPr>
      </w:pPr>
      <w:proofErr w:type="gramStart"/>
      <w:r>
        <w:rPr>
          <w:rFonts w:ascii="Times New Roman" w:eastAsiaTheme="minorEastAsia" w:hAnsi="Times New Roman" w:cs="Times New Roman"/>
          <w:sz w:val="24"/>
          <w:szCs w:val="24"/>
        </w:rPr>
        <w:t>The initial objective of this method it to reveal the relationship between the government debt and the interest rate.</w:t>
      </w:r>
      <w:proofErr w:type="gramEnd"/>
      <w:r>
        <w:rPr>
          <w:rFonts w:ascii="Times New Roman" w:eastAsiaTheme="minorEastAsia" w:hAnsi="Times New Roman" w:cs="Times New Roman"/>
          <w:sz w:val="24"/>
          <w:szCs w:val="24"/>
        </w:rPr>
        <w:t xml:space="preserve">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proposition implies that an increase in public debt does leave the interest rate unaffected since it is not inducing wealth effects. On the contrary, according to the traditional – Keynesian view, the raise in budget deficit </w:t>
      </w:r>
      <w:r w:rsidR="001E7CB4">
        <w:rPr>
          <w:rFonts w:ascii="Times New Roman" w:eastAsiaTheme="minorEastAsia" w:hAnsi="Times New Roman" w:cs="Times New Roman"/>
          <w:sz w:val="24"/>
          <w:szCs w:val="24"/>
        </w:rPr>
        <w:t>exerts wealth effects leading the current consumption the aggregate demand and the interest rate to increase</w:t>
      </w:r>
      <w:r>
        <w:rPr>
          <w:rFonts w:ascii="Times New Roman" w:eastAsiaTheme="minorEastAsia" w:hAnsi="Times New Roman" w:cs="Times New Roman"/>
          <w:sz w:val="24"/>
          <w:szCs w:val="24"/>
        </w:rPr>
        <w:t xml:space="preserve">. </w:t>
      </w:r>
      <w:proofErr w:type="spellStart"/>
      <w:r>
        <w:rPr>
          <w:rFonts w:ascii="Times New Roman" w:eastAsiaTheme="minorEastAsia" w:hAnsi="Times New Roman" w:cs="Times New Roman"/>
          <w:sz w:val="24"/>
          <w:szCs w:val="24"/>
        </w:rPr>
        <w:t>Lucke</w:t>
      </w:r>
      <w:proofErr w:type="spellEnd"/>
      <w:r>
        <w:rPr>
          <w:rFonts w:ascii="Times New Roman" w:eastAsiaTheme="minorEastAsia" w:hAnsi="Times New Roman" w:cs="Times New Roman"/>
          <w:sz w:val="24"/>
          <w:szCs w:val="24"/>
        </w:rPr>
        <w:t xml:space="preserve"> (1998) following </w:t>
      </w:r>
      <w:proofErr w:type="spellStart"/>
      <w:r>
        <w:rPr>
          <w:rFonts w:ascii="Times New Roman" w:eastAsiaTheme="minorEastAsia" w:hAnsi="Times New Roman" w:cs="Times New Roman"/>
          <w:sz w:val="24"/>
          <w:szCs w:val="24"/>
        </w:rPr>
        <w:t>Plosser</w:t>
      </w:r>
      <w:proofErr w:type="spellEnd"/>
      <w:r>
        <w:rPr>
          <w:rFonts w:ascii="Times New Roman" w:eastAsiaTheme="minorEastAsia" w:hAnsi="Times New Roman" w:cs="Times New Roman"/>
          <w:sz w:val="24"/>
          <w:szCs w:val="24"/>
        </w:rPr>
        <w:t xml:space="preserve"> (1982) noted that for studying the real interest rate the vector autoregressive model is more appropriate since can incorporate the effects of various exogenous variables. </w:t>
      </w:r>
      <w:proofErr w:type="spellStart"/>
      <w:r>
        <w:rPr>
          <w:rFonts w:ascii="Times New Roman" w:eastAsiaTheme="minorEastAsia" w:hAnsi="Times New Roman" w:cs="Times New Roman"/>
          <w:sz w:val="24"/>
          <w:szCs w:val="24"/>
        </w:rPr>
        <w:t>Plosser</w:t>
      </w:r>
      <w:proofErr w:type="spellEnd"/>
      <w:r>
        <w:rPr>
          <w:rFonts w:ascii="Times New Roman" w:eastAsiaTheme="minorEastAsia" w:hAnsi="Times New Roman" w:cs="Times New Roman"/>
          <w:sz w:val="24"/>
          <w:szCs w:val="24"/>
        </w:rPr>
        <w:t xml:space="preserve"> (1982) investigated the effects of the government’s options to finance its expenditures on asset prices</w:t>
      </w:r>
      <w:r>
        <w:rPr>
          <w:rStyle w:val="a8"/>
          <w:rFonts w:ascii="Times New Roman" w:eastAsiaTheme="minorEastAsia" w:hAnsi="Times New Roman" w:cs="Times New Roman"/>
          <w:sz w:val="24"/>
          <w:szCs w:val="24"/>
        </w:rPr>
        <w:footnoteReference w:id="40"/>
      </w:r>
      <w:r>
        <w:rPr>
          <w:rFonts w:ascii="Times New Roman" w:eastAsiaTheme="minorEastAsia" w:hAnsi="Times New Roman" w:cs="Times New Roman"/>
          <w:sz w:val="24"/>
          <w:szCs w:val="24"/>
        </w:rPr>
        <w:t xml:space="preserve"> and the interest rates and found that a debt increase did not affect either the interest rate or the asset prices. Hence, he concluded</w:t>
      </w:r>
      <w:r w:rsidRPr="00FC7620">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in favor of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proposition stating that the debt issue is not perceived as wealth by individuals who avoid increasing their consumption. Evans (1988) stressed the suitability of the autoregressive process in incorporating the nominal interest rates, the inflation and the exogenous variables. Evans </w:t>
      </w:r>
      <w:r w:rsidR="001E7CB4">
        <w:rPr>
          <w:rFonts w:ascii="Times New Roman" w:eastAsiaTheme="minorEastAsia" w:hAnsi="Times New Roman" w:cs="Times New Roman"/>
          <w:sz w:val="24"/>
          <w:szCs w:val="24"/>
        </w:rPr>
        <w:t xml:space="preserve">(1988) </w:t>
      </w:r>
      <w:r>
        <w:rPr>
          <w:rFonts w:ascii="Times New Roman" w:eastAsiaTheme="minorEastAsia" w:hAnsi="Times New Roman" w:cs="Times New Roman"/>
          <w:sz w:val="24"/>
          <w:szCs w:val="24"/>
        </w:rPr>
        <w:t>studied the effects of budget deficits on the interest rates and found no relationship betwe</w:t>
      </w:r>
      <w:r w:rsidR="001E7CB4">
        <w:rPr>
          <w:rFonts w:ascii="Times New Roman" w:eastAsiaTheme="minorEastAsia" w:hAnsi="Times New Roman" w:cs="Times New Roman"/>
          <w:sz w:val="24"/>
          <w:szCs w:val="24"/>
        </w:rPr>
        <w:t>en them. Specifically, he</w:t>
      </w:r>
      <w:r>
        <w:rPr>
          <w:rFonts w:ascii="Times New Roman" w:eastAsiaTheme="minorEastAsia" w:hAnsi="Times New Roman" w:cs="Times New Roman"/>
          <w:sz w:val="24"/>
          <w:szCs w:val="24"/>
        </w:rPr>
        <w:t xml:space="preserve"> used the following equation for the real interest rate:</w:t>
      </w:r>
    </w:p>
    <w:p w:rsidR="004A1EFF" w:rsidRDefault="00C16EA4" w:rsidP="004A1EFF">
      <w:pPr>
        <w:jc w:val="center"/>
        <w:rPr>
          <w:rFonts w:ascii="Times New Roman" w:eastAsiaTheme="minorEastAsia" w:hAnsi="Times New Roman" w:cs="Times New Roman"/>
          <w:sz w:val="24"/>
          <w:szCs w:val="24"/>
        </w:rPr>
      </w:pPr>
      <m:oMathPara>
        <m:oMath>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m:t>
              </m:r>
            </m:sub>
          </m:sSub>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=1</m:t>
              </m:r>
            </m:sub>
            <m:sup>
              <m:r>
                <w:rPr>
                  <w:rFonts w:ascii="Cambria Math" w:eastAsiaTheme="minorEastAsia" w:hAnsi="Times New Roman" w:cs="Times New Roman"/>
                  <w:sz w:val="24"/>
                  <w:szCs w:val="24"/>
                </w:rPr>
                <m:t>∞</m:t>
              </m:r>
            </m:sup>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α</m:t>
                  </m:r>
                </m:e>
                <m:sub>
                  <m:r>
                    <w:rPr>
                      <w:rFonts w:ascii="Cambria Math" w:eastAsiaTheme="minorEastAsia" w:hAnsi="Cambria Math" w:cs="Times New Roman"/>
                      <w:sz w:val="24"/>
                      <w:szCs w:val="24"/>
                    </w:rPr>
                    <m:t>ri</m:t>
                  </m:r>
                </m:sub>
              </m:sSub>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m:t>
                  </m:r>
                  <m:r>
                    <w:rPr>
                      <w:rFonts w:ascii="Times New Roman" w:eastAsiaTheme="minorEastAsia" w:hAnsi="Times New Roman" w:cs="Times New Roman"/>
                      <w:sz w:val="24"/>
                      <w:szCs w:val="24"/>
                    </w:rPr>
                    <m:t>-</m:t>
                  </m:r>
                  <m:r>
                    <w:rPr>
                      <w:rFonts w:ascii="Cambria Math" w:eastAsiaTheme="minorEastAsia" w:hAnsi="Cambria Math" w:cs="Times New Roman"/>
                      <w:sz w:val="24"/>
                      <w:szCs w:val="24"/>
                    </w:rPr>
                    <m:t>i</m:t>
                  </m:r>
                </m:sub>
              </m:sSub>
            </m:e>
          </m:nary>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=0</m:t>
              </m:r>
            </m:sub>
            <m:sup>
              <m:r>
                <w:rPr>
                  <w:rFonts w:ascii="Cambria Math" w:eastAsiaTheme="minorEastAsia" w:hAnsi="Times New Roman" w:cs="Times New Roman"/>
                  <w:sz w:val="24"/>
                  <w:szCs w:val="24"/>
                </w:rPr>
                <m:t>∞</m:t>
              </m:r>
            </m:sup>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α</m:t>
                  </m:r>
                </m:e>
                <m:sub>
                  <m:r>
                    <w:rPr>
                      <w:rFonts w:ascii="Cambria Math" w:eastAsiaTheme="minorEastAsia" w:hAnsi="Cambria Math" w:cs="Times New Roman"/>
                      <w:sz w:val="24"/>
                      <w:szCs w:val="24"/>
                    </w:rPr>
                    <m:t>g</m:t>
                  </m:r>
                  <m:r>
                    <w:rPr>
                      <w:rFonts w:ascii="Cambria Math" w:eastAsiaTheme="minorEastAsia" w:hAnsi="Cambria Math" w:cs="Times New Roman"/>
                      <w:sz w:val="24"/>
                      <w:szCs w:val="24"/>
                    </w:rPr>
                    <m:t>i</m:t>
                  </m:r>
                </m:sub>
              </m:sSub>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t</m:t>
                  </m:r>
                  <m:r>
                    <w:rPr>
                      <w:rFonts w:ascii="Times New Roman" w:eastAsiaTheme="minorEastAsia" w:hAnsi="Times New Roman" w:cs="Times New Roman"/>
                      <w:sz w:val="24"/>
                      <w:szCs w:val="24"/>
                    </w:rPr>
                    <m:t>-</m:t>
                  </m:r>
                  <m:r>
                    <w:rPr>
                      <w:rFonts w:ascii="Cambria Math" w:eastAsiaTheme="minorEastAsia" w:hAnsi="Cambria Math" w:cs="Times New Roman"/>
                      <w:sz w:val="24"/>
                      <w:szCs w:val="24"/>
                    </w:rPr>
                    <m:t>i</m:t>
                  </m:r>
                </m:sub>
              </m:sSub>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=0</m:t>
                  </m:r>
                </m:sub>
                <m:sup>
                  <m:r>
                    <w:rPr>
                      <w:rFonts w:ascii="Cambria Math" w:eastAsiaTheme="minorEastAsia" w:hAnsi="Times New Roman" w:cs="Times New Roman"/>
                      <w:sz w:val="24"/>
                      <w:szCs w:val="24"/>
                    </w:rPr>
                    <m:t>∞</m:t>
                  </m:r>
                </m:sup>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α</m:t>
                      </m:r>
                    </m:e>
                    <m:sub>
                      <m:r>
                        <w:rPr>
                          <w:rFonts w:ascii="Cambria Math" w:eastAsiaTheme="minorEastAsia" w:hAnsi="Cambria Math" w:cs="Times New Roman"/>
                          <w:sz w:val="24"/>
                          <w:szCs w:val="24"/>
                        </w:rPr>
                        <m:t>di</m:t>
                      </m:r>
                    </m:sub>
                  </m:sSub>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t</m:t>
                      </m:r>
                      <m:r>
                        <w:rPr>
                          <w:rFonts w:ascii="Times New Roman" w:eastAsiaTheme="minorEastAsia" w:hAnsi="Times New Roman" w:cs="Times New Roman"/>
                          <w:sz w:val="24"/>
                          <w:szCs w:val="24"/>
                        </w:rPr>
                        <m:t>-</m:t>
                      </m:r>
                      <m:r>
                        <w:rPr>
                          <w:rFonts w:ascii="Cambria Math" w:eastAsiaTheme="minorEastAsia" w:hAnsi="Cambria Math" w:cs="Times New Roman"/>
                          <w:sz w:val="24"/>
                          <w:szCs w:val="24"/>
                        </w:rPr>
                        <m:t>i</m:t>
                      </m:r>
                    </m:sub>
                  </m:sSub>
                </m:e>
              </m:nary>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=0</m:t>
                  </m:r>
                </m:sub>
                <m:sup>
                  <m:r>
                    <w:rPr>
                      <w:rFonts w:ascii="Cambria Math" w:eastAsiaTheme="minorEastAsia" w:hAnsi="Times New Roman" w:cs="Times New Roman"/>
                      <w:sz w:val="24"/>
                      <w:szCs w:val="24"/>
                    </w:rPr>
                    <m:t>∞</m:t>
                  </m:r>
                </m:sup>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α</m:t>
                      </m:r>
                    </m:e>
                    <m:sub>
                      <m:r>
                        <w:rPr>
                          <w:rFonts w:ascii="Cambria Math" w:eastAsiaTheme="minorEastAsia" w:hAnsi="Cambria Math" w:cs="Times New Roman"/>
                          <w:sz w:val="24"/>
                          <w:szCs w:val="24"/>
                        </w:rPr>
                        <m:t>mi</m:t>
                      </m:r>
                    </m:sub>
                  </m:sSub>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t</m:t>
                      </m:r>
                      <m:r>
                        <w:rPr>
                          <w:rFonts w:ascii="Times New Roman" w:eastAsiaTheme="minorEastAsia" w:hAnsi="Times New Roman" w:cs="Times New Roman"/>
                          <w:sz w:val="24"/>
                          <w:szCs w:val="24"/>
                        </w:rPr>
                        <m:t>-</m:t>
                      </m:r>
                      <m:r>
                        <w:rPr>
                          <w:rFonts w:ascii="Cambria Math" w:eastAsiaTheme="minorEastAsia" w:hAnsi="Cambria Math" w:cs="Times New Roman"/>
                          <w:sz w:val="24"/>
                          <w:szCs w:val="24"/>
                        </w:rPr>
                        <m:t>i</m:t>
                      </m:r>
                    </m:sub>
                  </m:sSub>
                </m:e>
              </m:nary>
            </m:e>
          </m:nary>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=0</m:t>
              </m:r>
            </m:sub>
            <m:sup>
              <m:r>
                <w:rPr>
                  <w:rFonts w:ascii="Cambria Math" w:eastAsiaTheme="minorEastAsia" w:hAnsi="Times New Roman" w:cs="Times New Roman"/>
                  <w:sz w:val="24"/>
                  <w:szCs w:val="24"/>
                </w:rPr>
                <m:t>∞</m:t>
              </m:r>
            </m:sup>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α</m:t>
                  </m:r>
                </m:e>
                <m:sub>
                  <m:r>
                    <w:rPr>
                      <w:rFonts w:ascii="Cambria Math" w:eastAsiaTheme="minorEastAsia" w:hAnsi="Cambria Math" w:cs="Times New Roman"/>
                      <w:sz w:val="24"/>
                      <w:szCs w:val="24"/>
                    </w:rPr>
                    <m:t>πi</m:t>
                  </m:r>
                </m:sub>
              </m:sSub>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Π</m:t>
                  </m:r>
                </m:e>
                <m:sub>
                  <m:r>
                    <w:rPr>
                      <w:rFonts w:ascii="Cambria Math" w:eastAsiaTheme="minorEastAsia" w:hAnsi="Cambria Math" w:cs="Times New Roman"/>
                      <w:sz w:val="24"/>
                      <w:szCs w:val="24"/>
                    </w:rPr>
                    <m:t>t</m:t>
                  </m:r>
                  <m:r>
                    <w:rPr>
                      <w:rFonts w:ascii="Times New Roman" w:eastAsiaTheme="minorEastAsia" w:hAnsi="Times New Roman" w:cs="Times New Roman"/>
                      <w:sz w:val="24"/>
                      <w:szCs w:val="24"/>
                    </w:rPr>
                    <m:t>-</m:t>
                  </m:r>
                  <m:r>
                    <w:rPr>
                      <w:rFonts w:ascii="Cambria Math" w:eastAsiaTheme="minorEastAsia" w:hAnsi="Cambria Math" w:cs="Times New Roman"/>
                      <w:sz w:val="24"/>
                      <w:szCs w:val="24"/>
                    </w:rPr>
                    <m:t>i</m:t>
                  </m:r>
                </m:sub>
              </m:sSub>
            </m:e>
          </m:nary>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m:t>
              </m:r>
              <m:r>
                <w:rPr>
                  <w:rFonts w:ascii="Cambria Math" w:eastAsiaTheme="minorEastAsia" w:hAnsi="Cambria Math" w:cs="Times New Roman"/>
                  <w:sz w:val="24"/>
                  <w:szCs w:val="24"/>
                </w:rPr>
                <m:t>ο</m:t>
              </m:r>
            </m:sub>
            <m:sup>
              <m:r>
                <w:rPr>
                  <w:rFonts w:ascii="Cambria Math" w:eastAsiaTheme="minorEastAsia" w:hAnsi="Times New Roman" w:cs="Times New Roman"/>
                  <w:sz w:val="24"/>
                  <w:szCs w:val="24"/>
                </w:rPr>
                <m:t>∞</m:t>
              </m:r>
            </m:sup>
            <m:e>
              <m:acc>
                <m:accPr>
                  <m:chr m:val="́"/>
                  <m:ctrlPr>
                    <w:rPr>
                      <w:rFonts w:ascii="Cambria Math" w:eastAsiaTheme="minorEastAsia" w:hAnsi="Times New Roman" w:cs="Times New Roman"/>
                      <w:i/>
                      <w:sz w:val="24"/>
                      <w:szCs w:val="24"/>
                    </w:rPr>
                  </m:ctrlPr>
                </m:accPr>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zi</m:t>
                      </m:r>
                    </m:sub>
                  </m:sSub>
                </m:e>
              </m:acc>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Z</m:t>
                  </m:r>
                </m:e>
                <m:sub>
                  <m:r>
                    <w:rPr>
                      <w:rFonts w:ascii="Cambria Math" w:eastAsiaTheme="minorEastAsia" w:hAnsi="Cambria Math" w:cs="Times New Roman"/>
                      <w:sz w:val="24"/>
                      <w:szCs w:val="24"/>
                    </w:rPr>
                    <m:t>t</m:t>
                  </m:r>
                  <m:r>
                    <w:rPr>
                      <w:rFonts w:ascii="Times New Roman" w:eastAsiaTheme="minorEastAsia" w:hAnsi="Times New Roman" w:cs="Times New Roman"/>
                      <w:sz w:val="24"/>
                      <w:szCs w:val="24"/>
                    </w:rPr>
                    <m:t>-</m:t>
                  </m:r>
                  <m:r>
                    <w:rPr>
                      <w:rFonts w:ascii="Cambria Math" w:eastAsiaTheme="minorEastAsia" w:hAnsi="Cambria Math" w:cs="Times New Roman"/>
                      <w:sz w:val="24"/>
                      <w:szCs w:val="24"/>
                    </w:rPr>
                    <m:t>i</m:t>
                  </m:r>
                </m:sub>
              </m:sSub>
              <m:r>
                <w:rPr>
                  <w:rFonts w:ascii="Cambria Math" w:eastAsiaTheme="minorEastAsia" w:hAnsi="Times New Roman" w:cs="Times New Roman"/>
                  <w:sz w:val="24"/>
                  <w:szCs w:val="24"/>
                </w:rPr>
                <m:t>+</m:t>
              </m:r>
            </m:e>
          </m:nary>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=1</m:t>
              </m:r>
            </m:sub>
            <m:sup>
              <m:r>
                <w:rPr>
                  <w:rFonts w:ascii="Cambria Math" w:eastAsiaTheme="minorEastAsia" w:hAnsi="Times New Roman" w:cs="Times New Roman"/>
                  <w:sz w:val="24"/>
                  <w:szCs w:val="24"/>
                </w:rPr>
                <m:t>∞</m:t>
              </m:r>
            </m:sup>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b</m:t>
                  </m:r>
                </m:e>
                <m:sub>
                  <m:r>
                    <w:rPr>
                      <w:rFonts w:ascii="Cambria Math" w:eastAsiaTheme="minorEastAsia" w:hAnsi="Cambria Math" w:cs="Times New Roman"/>
                      <w:sz w:val="24"/>
                      <w:szCs w:val="24"/>
                    </w:rPr>
                    <m:t>gi</m:t>
                  </m:r>
                </m:sub>
              </m:sSub>
              <m:sSub>
                <m:sSubPr>
                  <m:ctrlPr>
                    <w:rPr>
                      <w:rFonts w:ascii="Cambria Math" w:eastAsiaTheme="minorEastAsia" w:hAnsi="Times New Roman" w:cs="Times New Roman"/>
                      <w:i/>
                      <w:sz w:val="24"/>
                      <w:szCs w:val="24"/>
                    </w:rPr>
                  </m:ctrlPr>
                </m:sSubPr>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t</m:t>
                  </m:r>
                  <m:r>
                    <w:rPr>
                      <w:rFonts w:ascii="Cambria Math" w:eastAsiaTheme="minorEastAsia" w:hAnsi="Times New Roman" w:cs="Times New Roman"/>
                      <w:sz w:val="24"/>
                      <w:szCs w:val="24"/>
                    </w:rPr>
                    <m:t>+</m:t>
                  </m:r>
                  <m:r>
                    <w:rPr>
                      <w:rFonts w:ascii="Cambria Math" w:eastAsiaTheme="minorEastAsia" w:hAnsi="Cambria Math" w:cs="Times New Roman"/>
                      <w:sz w:val="24"/>
                      <w:szCs w:val="24"/>
                    </w:rPr>
                    <m:t>i</m:t>
                  </m:r>
                </m:sub>
              </m:sSub>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=1</m:t>
                  </m:r>
                </m:sub>
                <m:sup>
                  <m:r>
                    <w:rPr>
                      <w:rFonts w:ascii="Cambria Math" w:eastAsiaTheme="minorEastAsia" w:hAnsi="Times New Roman" w:cs="Times New Roman"/>
                      <w:sz w:val="24"/>
                      <w:szCs w:val="24"/>
                    </w:rPr>
                    <m:t>∞</m:t>
                  </m:r>
                </m:sup>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b</m:t>
                      </m:r>
                    </m:e>
                    <m:sub>
                      <m:r>
                        <w:rPr>
                          <w:rFonts w:ascii="Cambria Math" w:eastAsiaTheme="minorEastAsia" w:hAnsi="Cambria Math" w:cs="Times New Roman"/>
                          <w:sz w:val="24"/>
                          <w:szCs w:val="24"/>
                        </w:rPr>
                        <m:t>di</m:t>
                      </m:r>
                    </m:sub>
                  </m:sSub>
                  <m:sSub>
                    <m:sSubPr>
                      <m:ctrlPr>
                        <w:rPr>
                          <w:rFonts w:ascii="Cambria Math" w:eastAsiaTheme="minorEastAsia" w:hAnsi="Times New Roman" w:cs="Times New Roman"/>
                          <w:i/>
                          <w:sz w:val="24"/>
                          <w:szCs w:val="24"/>
                        </w:rPr>
                      </m:ctrlPr>
                    </m:sSubPr>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t</m:t>
                      </m:r>
                      <m:r>
                        <w:rPr>
                          <w:rFonts w:ascii="Cambria Math" w:eastAsiaTheme="minorEastAsia" w:hAnsi="Times New Roman" w:cs="Times New Roman"/>
                          <w:sz w:val="24"/>
                          <w:szCs w:val="24"/>
                        </w:rPr>
                        <m:t>+</m:t>
                      </m:r>
                      <m:r>
                        <w:rPr>
                          <w:rFonts w:ascii="Cambria Math" w:eastAsiaTheme="minorEastAsia" w:hAnsi="Cambria Math" w:cs="Times New Roman"/>
                          <w:sz w:val="24"/>
                          <w:szCs w:val="24"/>
                        </w:rPr>
                        <m:t>i</m:t>
                      </m:r>
                    </m:sub>
                  </m:sSub>
                  <m:r>
                    <w:rPr>
                      <w:rFonts w:ascii="Cambria Math" w:eastAsiaTheme="minorEastAsia" w:hAnsi="Times New Roman" w:cs="Times New Roman"/>
                      <w:sz w:val="24"/>
                      <w:szCs w:val="24"/>
                    </w:rPr>
                    <m:t>+</m:t>
                  </m:r>
                </m:e>
              </m:nary>
            </m:e>
          </m:nary>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=1</m:t>
              </m:r>
            </m:sub>
            <m:sup>
              <m:r>
                <w:rPr>
                  <w:rFonts w:ascii="Cambria Math" w:eastAsiaTheme="minorEastAsia" w:hAnsi="Times New Roman" w:cs="Times New Roman"/>
                  <w:sz w:val="24"/>
                  <w:szCs w:val="24"/>
                </w:rPr>
                <m:t>∞</m:t>
              </m:r>
            </m:sup>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b</m:t>
                  </m:r>
                </m:e>
                <m:sub>
                  <m:r>
                    <w:rPr>
                      <w:rFonts w:ascii="Cambria Math" w:eastAsiaTheme="minorEastAsia" w:hAnsi="Cambria Math" w:cs="Times New Roman"/>
                      <w:sz w:val="24"/>
                      <w:szCs w:val="24"/>
                    </w:rPr>
                    <m:t>mi</m:t>
                  </m:r>
                </m:sub>
              </m:sSub>
              <m:sSub>
                <m:sSubPr>
                  <m:ctrlPr>
                    <w:rPr>
                      <w:rFonts w:ascii="Cambria Math" w:eastAsiaTheme="minorEastAsia" w:hAnsi="Times New Roman" w:cs="Times New Roman"/>
                      <w:i/>
                      <w:sz w:val="24"/>
                      <w:szCs w:val="24"/>
                    </w:rPr>
                  </m:ctrlPr>
                </m:sSubPr>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t</m:t>
                  </m:r>
                  <m:r>
                    <w:rPr>
                      <w:rFonts w:ascii="Cambria Math" w:eastAsiaTheme="minorEastAsia" w:hAnsi="Times New Roman" w:cs="Times New Roman"/>
                      <w:sz w:val="24"/>
                      <w:szCs w:val="24"/>
                    </w:rPr>
                    <m:t>+</m:t>
                  </m:r>
                  <m:r>
                    <w:rPr>
                      <w:rFonts w:ascii="Cambria Math" w:eastAsiaTheme="minorEastAsia" w:hAnsi="Cambria Math" w:cs="Times New Roman"/>
                      <w:sz w:val="24"/>
                      <w:szCs w:val="24"/>
                    </w:rPr>
                    <m:t>i</m:t>
                  </m:r>
                </m:sub>
              </m:sSub>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=1</m:t>
                  </m:r>
                </m:sub>
                <m:sup>
                  <m:r>
                    <w:rPr>
                      <w:rFonts w:ascii="Cambria Math" w:eastAsiaTheme="minorEastAsia" w:hAnsi="Times New Roman" w:cs="Times New Roman"/>
                      <w:sz w:val="24"/>
                      <w:szCs w:val="24"/>
                    </w:rPr>
                    <m:t>∞</m:t>
                  </m:r>
                </m:sup>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b</m:t>
                      </m:r>
                    </m:e>
                    <m:sub>
                      <m:r>
                        <w:rPr>
                          <w:rFonts w:ascii="Cambria Math" w:eastAsiaTheme="minorEastAsia" w:hAnsi="Cambria Math" w:cs="Times New Roman"/>
                          <w:sz w:val="24"/>
                          <w:szCs w:val="24"/>
                        </w:rPr>
                        <m:t>πi</m:t>
                      </m:r>
                    </m:sub>
                  </m:sSub>
                  <m:sSub>
                    <m:sSubPr>
                      <m:ctrlPr>
                        <w:rPr>
                          <w:rFonts w:ascii="Cambria Math" w:eastAsiaTheme="minorEastAsia" w:hAnsi="Times New Roman" w:cs="Times New Roman"/>
                          <w:i/>
                          <w:sz w:val="24"/>
                          <w:szCs w:val="24"/>
                        </w:rPr>
                      </m:ctrlPr>
                    </m:sSubPr>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Π</m:t>
                      </m:r>
                    </m:e>
                    <m:sub>
                      <m:r>
                        <w:rPr>
                          <w:rFonts w:ascii="Cambria Math" w:eastAsiaTheme="minorEastAsia" w:hAnsi="Cambria Math" w:cs="Times New Roman"/>
                          <w:sz w:val="24"/>
                          <w:szCs w:val="24"/>
                        </w:rPr>
                        <m:t>t</m:t>
                      </m:r>
                      <m:r>
                        <w:rPr>
                          <w:rFonts w:ascii="Cambria Math" w:eastAsiaTheme="minorEastAsia" w:hAnsi="Times New Roman" w:cs="Times New Roman"/>
                          <w:sz w:val="24"/>
                          <w:szCs w:val="24"/>
                        </w:rPr>
                        <m:t>+</m:t>
                      </m:r>
                      <m:r>
                        <w:rPr>
                          <w:rFonts w:ascii="Cambria Math" w:eastAsiaTheme="minorEastAsia" w:hAnsi="Cambria Math" w:cs="Times New Roman"/>
                          <w:sz w:val="24"/>
                          <w:szCs w:val="24"/>
                        </w:rPr>
                        <m:t>i</m:t>
                      </m:r>
                    </m:sub>
                  </m:sSub>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i</m:t>
                      </m:r>
                      <m:r>
                        <w:rPr>
                          <w:rFonts w:ascii="Cambria Math" w:eastAsiaTheme="minorEastAsia" w:hAnsi="Times New Roman" w:cs="Times New Roman"/>
                          <w:sz w:val="24"/>
                          <w:szCs w:val="24"/>
                        </w:rPr>
                        <m:t>=1</m:t>
                      </m:r>
                    </m:sub>
                    <m:sup>
                      <m:r>
                        <w:rPr>
                          <w:rFonts w:ascii="Cambria Math" w:eastAsiaTheme="minorEastAsia" w:hAnsi="Times New Roman" w:cs="Times New Roman"/>
                          <w:sz w:val="24"/>
                          <w:szCs w:val="24"/>
                        </w:rPr>
                        <m:t>∞</m:t>
                      </m:r>
                    </m:sup>
                    <m:e>
                      <m:acc>
                        <m:accPr>
                          <m:chr m:val="́"/>
                          <m:ctrlPr>
                            <w:rPr>
                              <w:rFonts w:ascii="Cambria Math" w:eastAsiaTheme="minorEastAsia" w:hAnsi="Times New Roman" w:cs="Times New Roman"/>
                              <w:i/>
                              <w:sz w:val="24"/>
                              <w:szCs w:val="24"/>
                            </w:rPr>
                          </m:ctrlPr>
                        </m:accPr>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lang w:val="el-GR"/>
                                </w:rPr>
                                <m:t>b</m:t>
                              </m:r>
                            </m:e>
                            <m:sub>
                              <m:r>
                                <w:rPr>
                                  <w:rFonts w:ascii="Cambria Math" w:eastAsiaTheme="minorEastAsia" w:hAnsi="Cambria Math" w:cs="Times New Roman"/>
                                  <w:sz w:val="24"/>
                                  <w:szCs w:val="24"/>
                                </w:rPr>
                                <m:t>zi</m:t>
                              </m:r>
                            </m:sub>
                          </m:sSub>
                        </m:e>
                      </m:acc>
                      <m:sSub>
                        <m:sSubPr>
                          <m:ctrlPr>
                            <w:rPr>
                              <w:rFonts w:ascii="Cambria Math" w:eastAsiaTheme="minorEastAsia" w:hAnsi="Times New Roman" w:cs="Times New Roman"/>
                              <w:i/>
                              <w:sz w:val="24"/>
                              <w:szCs w:val="24"/>
                            </w:rPr>
                          </m:ctrlPr>
                        </m:sSubPr>
                        <m:e>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Z</m:t>
                          </m:r>
                        </m:e>
                        <m:sub>
                          <m:r>
                            <w:rPr>
                              <w:rFonts w:ascii="Cambria Math" w:eastAsiaTheme="minorEastAsia" w:hAnsi="Cambria Math" w:cs="Times New Roman"/>
                              <w:sz w:val="24"/>
                              <w:szCs w:val="24"/>
                            </w:rPr>
                            <m:t>t</m:t>
                          </m:r>
                          <m:r>
                            <w:rPr>
                              <w:rFonts w:ascii="Cambria Math" w:eastAsiaTheme="minorEastAsia" w:hAnsi="Times New Roman" w:cs="Times New Roman"/>
                              <w:sz w:val="24"/>
                              <w:szCs w:val="24"/>
                            </w:rPr>
                            <m:t>+</m:t>
                          </m:r>
                          <m:r>
                            <w:rPr>
                              <w:rFonts w:ascii="Cambria Math" w:eastAsiaTheme="minorEastAsia" w:hAnsi="Cambria Math" w:cs="Times New Roman"/>
                              <w:sz w:val="24"/>
                              <w:szCs w:val="24"/>
                            </w:rPr>
                            <m:t>i</m:t>
                          </m:r>
                        </m:sub>
                      </m:sSub>
                    </m:e>
                  </m:nary>
                </m:e>
              </m:nary>
            </m:e>
          </m:nary>
          <m:r>
            <w:rPr>
              <w:rFonts w:ascii="Cambria Math" w:eastAsiaTheme="minorEastAsia" w:hAnsi="Times New Roman" w:cs="Times New Roman"/>
              <w:sz w:val="24"/>
              <w:szCs w:val="24"/>
            </w:rPr>
            <m:t xml:space="preserve"> (9)</m:t>
          </m:r>
        </m:oMath>
      </m:oMathPara>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stands for the real interest rate,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for real the government expenditures,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for the real budget deficit and the money supply respectively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Π</m:t>
            </m:r>
          </m:e>
          <m:sub>
            <m:r>
              <w:rPr>
                <w:rFonts w:ascii="Cambria Math" w:eastAsiaTheme="minorEastAsia" w:hAnsi="Cambria Math" w:cs="Times New Roman"/>
                <w:sz w:val="24"/>
                <w:szCs w:val="24"/>
              </w:rPr>
              <m:t>t</m:t>
            </m:r>
          </m:sub>
        </m:sSub>
      </m:oMath>
      <w:r w:rsidRPr="003F690D">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for the inflation rate.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entails that budget deficits exert no impact on real interest rate. Hence </w:t>
      </w:r>
      <w:proofErr w:type="spellStart"/>
      <w:r>
        <w:rPr>
          <w:rFonts w:ascii="Times New Roman" w:eastAsiaTheme="minorEastAsia" w:hAnsi="Times New Roman" w:cs="Times New Roman"/>
          <w:sz w:val="24"/>
          <w:szCs w:val="24"/>
        </w:rPr>
        <w:t>ad</w:t>
      </w:r>
      <w:r>
        <w:rPr>
          <w:rFonts w:ascii="Times New Roman" w:eastAsiaTheme="minorEastAsia" w:hAnsi="Times New Roman" w:cs="Times New Roman"/>
          <w:sz w:val="24"/>
          <w:szCs w:val="24"/>
          <w:vertAlign w:val="subscript"/>
        </w:rPr>
        <w:t>i</w:t>
      </w:r>
      <w:proofErr w:type="spellEnd"/>
      <w:r>
        <w:rPr>
          <w:rFonts w:ascii="Times New Roman" w:eastAsiaTheme="minorEastAsia" w:hAnsi="Times New Roman" w:cs="Times New Roman"/>
          <w:sz w:val="24"/>
          <w:szCs w:val="24"/>
        </w:rPr>
        <w:t xml:space="preserve"> should be equal to zero.  </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On the contrary, according to the traditional theory the relationship between the budget deficits and the real interest rate is positive</w:t>
      </w:r>
      <w:r w:rsidRPr="00414D54">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w:t>
      </w:r>
      <w:proofErr w:type="spellStart"/>
      <w:r>
        <w:rPr>
          <w:rFonts w:ascii="Times New Roman" w:eastAsiaTheme="minorEastAsia" w:hAnsi="Times New Roman" w:cs="Times New Roman"/>
          <w:sz w:val="24"/>
          <w:szCs w:val="24"/>
        </w:rPr>
        <w:t>ad</w:t>
      </w:r>
      <w:r>
        <w:rPr>
          <w:rFonts w:ascii="Times New Roman" w:eastAsiaTheme="minorEastAsia" w:hAnsi="Times New Roman" w:cs="Times New Roman"/>
          <w:sz w:val="24"/>
          <w:szCs w:val="24"/>
          <w:vertAlign w:val="subscript"/>
        </w:rPr>
        <w:t>i</w:t>
      </w:r>
      <w:proofErr w:type="spellEnd"/>
      <w:r>
        <w:rPr>
          <w:rFonts w:ascii="Times New Roman" w:eastAsiaTheme="minorEastAsia" w:hAnsi="Times New Roman" w:cs="Times New Roman"/>
          <w:sz w:val="24"/>
          <w:szCs w:val="24"/>
          <w:vertAlign w:val="subscript"/>
        </w:rPr>
        <w:t xml:space="preserve"> </w:t>
      </w:r>
      <w:r>
        <w:rPr>
          <w:rFonts w:ascii="Times New Roman" w:eastAsiaTheme="minorEastAsia" w:hAnsi="Times New Roman" w:cs="Times New Roman"/>
          <w:sz w:val="24"/>
          <w:szCs w:val="24"/>
        </w:rPr>
        <w:t xml:space="preserve">&gt;0). In addition, the previous period government expenditures tend to increase the interest rate while the money supply exerts the opposite </w:t>
      </w:r>
      <w:r w:rsidR="00EB572B">
        <w:rPr>
          <w:rFonts w:ascii="Times New Roman" w:eastAsiaTheme="minorEastAsia" w:hAnsi="Times New Roman" w:cs="Times New Roman"/>
          <w:sz w:val="24"/>
          <w:szCs w:val="24"/>
        </w:rPr>
        <w:t xml:space="preserve">effect. The logic behind the relationship between that budget deficit and the interest rate </w:t>
      </w:r>
      <w:r>
        <w:rPr>
          <w:rFonts w:ascii="Times New Roman" w:eastAsiaTheme="minorEastAsia" w:hAnsi="Times New Roman" w:cs="Times New Roman"/>
          <w:sz w:val="24"/>
          <w:szCs w:val="24"/>
        </w:rPr>
        <w:t>is that a larger past budget deficit leads to a larger public debt. Since individuals perceive gove</w:t>
      </w:r>
      <w:r w:rsidR="002713FC">
        <w:rPr>
          <w:rFonts w:ascii="Times New Roman" w:eastAsiaTheme="minorEastAsia" w:hAnsi="Times New Roman" w:cs="Times New Roman"/>
          <w:sz w:val="24"/>
          <w:szCs w:val="24"/>
        </w:rPr>
        <w:t xml:space="preserve">rnment debt as net wealth they increase the </w:t>
      </w:r>
      <w:r>
        <w:rPr>
          <w:rFonts w:ascii="Times New Roman" w:eastAsiaTheme="minorEastAsia" w:hAnsi="Times New Roman" w:cs="Times New Roman"/>
          <w:sz w:val="24"/>
          <w:szCs w:val="24"/>
        </w:rPr>
        <w:t>private consumption and money demand. Hen</w:t>
      </w:r>
      <w:r w:rsidR="002713FC">
        <w:rPr>
          <w:rFonts w:ascii="Times New Roman" w:eastAsiaTheme="minorEastAsia" w:hAnsi="Times New Roman" w:cs="Times New Roman"/>
          <w:sz w:val="24"/>
          <w:szCs w:val="24"/>
        </w:rPr>
        <w:t xml:space="preserve">ce, the real interest </w:t>
      </w:r>
      <w:proofErr w:type="gramStart"/>
      <w:r w:rsidR="002713FC">
        <w:rPr>
          <w:rFonts w:ascii="Times New Roman" w:eastAsiaTheme="minorEastAsia" w:hAnsi="Times New Roman" w:cs="Times New Roman"/>
          <w:sz w:val="24"/>
          <w:szCs w:val="24"/>
        </w:rPr>
        <w:t xml:space="preserve">rate </w:t>
      </w:r>
      <w:r>
        <w:rPr>
          <w:rFonts w:ascii="Times New Roman" w:eastAsiaTheme="minorEastAsia" w:hAnsi="Times New Roman" w:cs="Times New Roman"/>
          <w:sz w:val="24"/>
          <w:szCs w:val="24"/>
        </w:rPr>
        <w:t>increase</w:t>
      </w:r>
      <w:proofErr w:type="gramEnd"/>
      <w:r>
        <w:rPr>
          <w:rFonts w:ascii="Times New Roman" w:eastAsiaTheme="minorEastAsia" w:hAnsi="Times New Roman" w:cs="Times New Roman"/>
          <w:sz w:val="24"/>
          <w:szCs w:val="24"/>
        </w:rPr>
        <w:t xml:space="preserve"> to mitigate the excess demand.</w:t>
      </w:r>
    </w:p>
    <w:p w:rsidR="004A1EFF" w:rsidRDefault="004A1EFF" w:rsidP="004A1EFF">
      <w:pPr>
        <w:jc w:val="both"/>
        <w:rPr>
          <w:rFonts w:ascii="Times New Roman" w:eastAsiaTheme="minorEastAsia" w:hAnsi="Times New Roman" w:cs="Times New Roman"/>
          <w:sz w:val="24"/>
          <w:szCs w:val="24"/>
        </w:rPr>
      </w:pPr>
      <w:r w:rsidRPr="00BB366B">
        <w:rPr>
          <w:rFonts w:ascii="Times New Roman" w:eastAsiaTheme="minorEastAsia" w:hAnsi="Times New Roman" w:cs="Times New Roman"/>
          <w:sz w:val="24"/>
          <w:szCs w:val="24"/>
          <w:u w:val="single"/>
        </w:rPr>
        <w:t>Exchange rate approach</w:t>
      </w:r>
      <w:r>
        <w:rPr>
          <w:rFonts w:ascii="Times New Roman" w:eastAsiaTheme="minorEastAsia" w:hAnsi="Times New Roman" w:cs="Times New Roman"/>
          <w:sz w:val="24"/>
          <w:szCs w:val="24"/>
        </w:rPr>
        <w:t>:</w:t>
      </w:r>
    </w:p>
    <w:p w:rsidR="00462CC1"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Since the interest rate in open economies can be affected by other factors than the budget deficit some studies </w:t>
      </w:r>
      <w:r w:rsidR="002713FC">
        <w:rPr>
          <w:rFonts w:ascii="Times New Roman" w:eastAsiaTheme="minorEastAsia" w:hAnsi="Times New Roman" w:cs="Times New Roman"/>
          <w:sz w:val="24"/>
          <w:szCs w:val="24"/>
        </w:rPr>
        <w:t xml:space="preserve">have </w:t>
      </w:r>
      <w:r>
        <w:rPr>
          <w:rFonts w:ascii="Times New Roman" w:eastAsiaTheme="minorEastAsia" w:hAnsi="Times New Roman" w:cs="Times New Roman"/>
          <w:sz w:val="24"/>
          <w:szCs w:val="24"/>
        </w:rPr>
        <w:t>focused on the effects of budget deficits on the exchange rates. According to Beck (1994) the capital mobility transfers the effect of budget deficits from the interest rate to the exchange rate. The reasoning behind this argument is that due to capital mobility the interest rate parity holds. Hence, the interest rate remains stable and any effects from the budget deficits are transmitted at the exc</w:t>
      </w:r>
      <w:r w:rsidR="002713FC">
        <w:rPr>
          <w:rFonts w:ascii="Times New Roman" w:eastAsiaTheme="minorEastAsia" w:hAnsi="Times New Roman" w:cs="Times New Roman"/>
          <w:sz w:val="24"/>
          <w:szCs w:val="24"/>
        </w:rPr>
        <w:t>hange rates. According to Beck</w:t>
      </w:r>
      <w:r>
        <w:rPr>
          <w:rFonts w:ascii="Times New Roman" w:eastAsiaTheme="minorEastAsia" w:hAnsi="Times New Roman" w:cs="Times New Roman"/>
          <w:sz w:val="24"/>
          <w:szCs w:val="24"/>
        </w:rPr>
        <w:t xml:space="preserve"> (1994)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proposition implies that the budget deficits yield no impact on the exchange rates while the conventional view entails that the budget deficits cause appreciation of the domestic currency and accordingly decrease of the exchange rate. Beck (1994) in order to test the validity of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hypothesis estimated the following equations regarding the changes in exchange rate</w:t>
      </w:r>
      <w:r>
        <w:rPr>
          <w:rStyle w:val="a8"/>
          <w:rFonts w:ascii="Times New Roman" w:eastAsiaTheme="minorEastAsia" w:hAnsi="Times New Roman" w:cs="Times New Roman"/>
          <w:sz w:val="24"/>
          <w:szCs w:val="24"/>
        </w:rPr>
        <w:footnoteReference w:id="41"/>
      </w:r>
      <w:r>
        <w:rPr>
          <w:rFonts w:ascii="Times New Roman" w:eastAsiaTheme="minorEastAsia" w:hAnsi="Times New Roman" w:cs="Times New Roman"/>
          <w:sz w:val="24"/>
          <w:szCs w:val="24"/>
        </w:rPr>
        <w:t xml:space="preserve">: </w:t>
      </w:r>
    </w:p>
    <w:p w:rsidR="004A1EFF" w:rsidRDefault="00C16EA4" w:rsidP="004A1EFF">
      <w:pPr>
        <w:jc w:val="both"/>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e</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1</m:t>
              </m:r>
            </m:sub>
          </m:sSub>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μ</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μ</m:t>
                      </m:r>
                    </m:e>
                    <m:sub>
                      <m:r>
                        <w:rPr>
                          <w:rFonts w:ascii="Cambria Math" w:eastAsiaTheme="minorEastAsia" w:hAnsi="Cambria Math" w:cs="Times New Roman"/>
                          <w:sz w:val="24"/>
                          <w:szCs w:val="24"/>
                        </w:rPr>
                        <m:t>t</m:t>
                      </m:r>
                    </m:sub>
                  </m:sSub>
                </m:e>
                <m:sup>
                  <m:r>
                    <w:rPr>
                      <w:rFonts w:ascii="Cambria Math" w:eastAsiaTheme="minorEastAsia" w:hAnsi="Cambria Math" w:cs="Times New Roman"/>
                      <w:sz w:val="24"/>
                      <w:szCs w:val="24"/>
                    </w:rPr>
                    <m:t>e</m:t>
                  </m:r>
                </m:sup>
              </m:sSup>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2</m:t>
              </m:r>
            </m:sub>
          </m:sSub>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π</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π</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e</m:t>
                  </m:r>
                </m:sup>
              </m:sSubSup>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3</m:t>
              </m:r>
            </m:sub>
          </m:sSub>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e</m:t>
                  </m:r>
                </m:sup>
              </m:sSubSup>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4</m:t>
              </m:r>
            </m:sub>
          </m:sSub>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e</m:t>
                  </m:r>
                </m:sup>
              </m:sSubSup>
            </m:e>
          </m:d>
          <m:r>
            <w:rPr>
              <w:rFonts w:ascii="Cambria Math" w:eastAsiaTheme="minorEastAsia" w:hAnsi="Cambria Math" w:cs="Times New Roman"/>
              <w:sz w:val="24"/>
              <w:szCs w:val="24"/>
            </w:rPr>
            <m:t xml:space="preserve">   (10)</m:t>
          </m:r>
        </m:oMath>
      </m:oMathPara>
    </w:p>
    <w:p w:rsidR="004A1EFF" w:rsidRDefault="00C16EA4" w:rsidP="004A1EFF">
      <w:pPr>
        <w:jc w:val="both"/>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1</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π</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2</m:t>
              </m:r>
            </m:sub>
          </m:sSub>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μ</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μ</m:t>
                  </m:r>
                </m:e>
                <m:sub>
                  <m:r>
                    <w:rPr>
                      <w:rFonts w:ascii="Cambria Math" w:eastAsiaTheme="minorEastAsia" w:hAnsi="Cambria Math" w:cs="Times New Roman"/>
                      <w:sz w:val="24"/>
                      <w:szCs w:val="24"/>
                    </w:rPr>
                    <m:t>t-1</m:t>
                  </m:r>
                </m:sub>
              </m:sSub>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3</m:t>
              </m:r>
            </m:sub>
          </m:sSub>
          <m:d>
            <m:dPr>
              <m:ctrlPr>
                <w:rPr>
                  <w:rFonts w:ascii="Cambria Math" w:eastAsiaTheme="minorEastAsia" w:hAnsi="Cambria Math" w:cs="Times New Roman"/>
                  <w:i/>
                  <w:sz w:val="24"/>
                  <w:szCs w:val="24"/>
                </w:rPr>
              </m:ctrlPr>
            </m:dPr>
            <m:e>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lang w:val="el-GR"/>
                    </w:rPr>
                    <m:t>π</m:t>
                  </m:r>
                </m:e>
                <m:sub>
                  <m:r>
                    <w:rPr>
                      <w:rFonts w:ascii="Cambria Math" w:eastAsiaTheme="minorEastAsia" w:hAnsi="Cambria Math" w:cs="Times New Roman"/>
                      <w:sz w:val="24"/>
                      <w:szCs w:val="24"/>
                    </w:rPr>
                    <m:t>t+1</m:t>
                  </m:r>
                </m:sub>
                <m:sup>
                  <m:r>
                    <w:rPr>
                      <w:rFonts w:ascii="Cambria Math" w:eastAsiaTheme="minorEastAsia" w:hAnsi="Cambria Math" w:cs="Times New Roman"/>
                      <w:sz w:val="24"/>
                      <w:szCs w:val="24"/>
                    </w:rPr>
                    <m:t>e</m:t>
                  </m:r>
                </m:sup>
              </m:sSubSup>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lang w:val="el-GR"/>
                    </w:rPr>
                    <m:t>π</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e</m:t>
                  </m:r>
                </m:sup>
              </m:sSubSup>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4</m:t>
              </m:r>
            </m:sub>
          </m:sSub>
          <m:d>
            <m:dPr>
              <m:begChr m:val="["/>
              <m:endChr m:val="]"/>
              <m:ctrlPr>
                <w:rPr>
                  <w:rFonts w:ascii="Cambria Math" w:eastAsiaTheme="minorEastAsia" w:hAnsi="Cambria Math" w:cs="Times New Roman"/>
                  <w:i/>
                  <w:sz w:val="24"/>
                  <w:szCs w:val="24"/>
                </w:rPr>
              </m:ctrlPr>
            </m:dPr>
            <m:e>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t+1</m:t>
                  </m:r>
                </m:sub>
                <m:sup>
                  <m:r>
                    <w:rPr>
                      <w:rFonts w:ascii="Cambria Math" w:eastAsiaTheme="minorEastAsia" w:hAnsi="Cambria Math" w:cs="Times New Roman"/>
                      <w:sz w:val="24"/>
                      <w:szCs w:val="24"/>
                    </w:rPr>
                    <m:t>e</m:t>
                  </m:r>
                </m:sup>
              </m:sSubSup>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e</m:t>
                  </m:r>
                </m:sup>
              </m:sSubSup>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5</m:t>
              </m:r>
            </m:sub>
          </m:sSub>
          <m:d>
            <m:dPr>
              <m:begChr m:val="["/>
              <m:endChr m:val="]"/>
              <m:ctrlPr>
                <w:rPr>
                  <w:rFonts w:ascii="Cambria Math" w:eastAsiaTheme="minorEastAsia" w:hAnsi="Cambria Math" w:cs="Times New Roman"/>
                  <w:i/>
                  <w:sz w:val="24"/>
                  <w:szCs w:val="24"/>
                </w:rPr>
              </m:ctrlPr>
            </m:dPr>
            <m:e>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t+1</m:t>
                  </m:r>
                </m:sub>
                <m:sup>
                  <m:r>
                    <w:rPr>
                      <w:rFonts w:ascii="Cambria Math" w:eastAsiaTheme="minorEastAsia" w:hAnsi="Cambria Math" w:cs="Times New Roman"/>
                      <w:sz w:val="24"/>
                      <w:szCs w:val="24"/>
                      <w:lang w:val="el-GR"/>
                    </w:rPr>
                    <m:t>e</m:t>
                  </m:r>
                </m:sup>
              </m:sSubSup>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t</m:t>
                  </m:r>
                </m:sub>
                <m:sup>
                  <m:r>
                    <w:rPr>
                      <w:rFonts w:ascii="Cambria Math" w:eastAsiaTheme="minorEastAsia" w:hAnsi="Cambria Math" w:cs="Times New Roman"/>
                      <w:sz w:val="24"/>
                      <w:szCs w:val="24"/>
                    </w:rPr>
                    <m:t>e</m:t>
                  </m:r>
                </m:sup>
              </m:sSubSup>
            </m:e>
          </m:d>
          <m:r>
            <w:rPr>
              <w:rFonts w:ascii="Cambria Math" w:eastAsiaTheme="minorEastAsia" w:hAnsi="Cambria Math" w:cs="Times New Roman"/>
              <w:sz w:val="24"/>
              <w:szCs w:val="24"/>
            </w:rPr>
            <m:t xml:space="preserve">  (11)</m:t>
          </m:r>
        </m:oMath>
      </m:oMathPara>
    </w:p>
    <w:p w:rsidR="004A1EFF" w:rsidRPr="007D5CF9"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Sub>
      </m:oMath>
      <w:r>
        <w:rPr>
          <w:rFonts w:ascii="Times New Roman" w:eastAsiaTheme="minorEastAsia" w:hAnsi="Times New Roman" w:cs="Times New Roman"/>
          <w:sz w:val="24"/>
          <w:szCs w:val="24"/>
        </w:rPr>
        <w:t xml:space="preserve"> depicts the price of currency </w:t>
      </w:r>
      <w:proofErr w:type="spellStart"/>
      <w:r>
        <w:rPr>
          <w:rFonts w:ascii="Times New Roman" w:eastAsiaTheme="minorEastAsia" w:hAnsi="Times New Roman" w:cs="Times New Roman"/>
          <w:sz w:val="24"/>
          <w:szCs w:val="24"/>
        </w:rPr>
        <w:t>i</w:t>
      </w:r>
      <w:proofErr w:type="spellEnd"/>
      <w:r>
        <w:rPr>
          <w:rFonts w:ascii="Times New Roman" w:eastAsiaTheme="minorEastAsia" w:hAnsi="Times New Roman" w:cs="Times New Roman"/>
          <w:sz w:val="24"/>
          <w:szCs w:val="24"/>
        </w:rPr>
        <w:t xml:space="preserve"> in terms of the domestic currency, </w:t>
      </w:r>
      <m:oMath>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Sub>
          </m:e>
          <m:sup>
            <m:r>
              <w:rPr>
                <w:rFonts w:ascii="Cambria Math" w:eastAsiaTheme="minorEastAsia" w:hAnsi="Cambria Math" w:cs="Times New Roman"/>
                <w:sz w:val="24"/>
                <w:szCs w:val="24"/>
              </w:rPr>
              <m:t>e</m:t>
            </m:r>
          </m:sup>
        </m:sSup>
      </m:oMath>
      <w:r>
        <w:rPr>
          <w:rFonts w:ascii="Times New Roman" w:eastAsiaTheme="minorEastAsia" w:hAnsi="Times New Roman" w:cs="Times New Roman"/>
          <w:sz w:val="24"/>
          <w:szCs w:val="24"/>
        </w:rPr>
        <w:t xml:space="preserve"> the expected value of currency i, while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μ</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and </w:t>
      </w:r>
      <m:oMath>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μ</m:t>
                </m:r>
              </m:e>
              <m:sub>
                <m:r>
                  <w:rPr>
                    <w:rFonts w:ascii="Cambria Math" w:eastAsiaTheme="minorEastAsia" w:hAnsi="Cambria Math" w:cs="Times New Roman"/>
                    <w:sz w:val="24"/>
                    <w:szCs w:val="24"/>
                  </w:rPr>
                  <m:t>t</m:t>
                </m:r>
              </m:sub>
            </m:sSub>
          </m:e>
          <m:sup>
            <m:r>
              <w:rPr>
                <w:rFonts w:ascii="Cambria Math" w:eastAsiaTheme="minorEastAsia" w:hAnsi="Cambria Math" w:cs="Times New Roman"/>
                <w:sz w:val="24"/>
                <w:szCs w:val="24"/>
              </w:rPr>
              <m:t>e</m:t>
            </m:r>
          </m:sup>
        </m:sSup>
      </m:oMath>
      <w:r>
        <w:rPr>
          <w:rFonts w:ascii="Times New Roman" w:eastAsiaTheme="minorEastAsia" w:hAnsi="Times New Roman" w:cs="Times New Roman"/>
          <w:sz w:val="24"/>
          <w:szCs w:val="24"/>
        </w:rPr>
        <w:t xml:space="preserve"> illustrate the money growth rate and the projection of money growth rate respectively. In addition,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π</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stands for the inflation rate,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for the budget surplus or deficit,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t</m:t>
            </m:r>
          </m:sub>
        </m:sSub>
      </m:oMath>
      <w:r>
        <w:rPr>
          <w:rFonts w:ascii="Times New Roman" w:eastAsiaTheme="minorEastAsia" w:hAnsi="Times New Roman" w:cs="Times New Roman"/>
          <w:sz w:val="24"/>
          <w:szCs w:val="24"/>
        </w:rPr>
        <w:t xml:space="preserve"> for the government expenditures. The effect of the money growth and inflation is positive in any case. The money growth leads to domestic currency depreciation either caused by a decrease of real interest rate due to the increased money supply or the raise of the nominal interest rates due to the rise of expected inflation. Inflation coefficients are positive for reasons relating to the decreased domestic currency’s purchasing power relative to the foreign currencies. Hence:</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2</m:t>
            </m:r>
          </m:sub>
        </m:sSub>
      </m:oMath>
      <w:proofErr w:type="gramStart"/>
      <w:r>
        <w:rPr>
          <w:rFonts w:ascii="Times New Roman" w:eastAsiaTheme="minorEastAsia" w:hAnsi="Times New Roman" w:cs="Times New Roman"/>
          <w:sz w:val="24"/>
          <w:szCs w:val="24"/>
        </w:rPr>
        <w:t xml:space="preserve">, </w:t>
      </w:r>
      <m:oMath>
        <w:proofErr w:type="gramEn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1</m:t>
            </m:r>
          </m:sub>
        </m:sSub>
      </m:oMath>
      <w:r>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3</m:t>
            </m:r>
          </m:sub>
        </m:sSub>
      </m:oMath>
      <w:r>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1</m:t>
            </m:r>
          </m:sub>
        </m:sSub>
      </m:oMath>
      <w:r>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2</m:t>
            </m:r>
          </m:sub>
        </m:sSub>
      </m:oMath>
      <w:r>
        <w:rPr>
          <w:rFonts w:ascii="Times New Roman" w:eastAsiaTheme="minorEastAsia" w:hAnsi="Times New Roman" w:cs="Times New Roman"/>
          <w:sz w:val="24"/>
          <w:szCs w:val="24"/>
        </w:rPr>
        <w:t>&gt;0. According to the traditional economic theory the government deficits lead to domestic currency appreciation and hence the exchange rate to decrease. This implies that the corresponding coefficients of the government deficit variables are positive</w:t>
      </w:r>
      <w:proofErr w:type="gramStart"/>
      <w:r>
        <w:rPr>
          <w:rFonts w:ascii="Times New Roman" w:eastAsiaTheme="minorEastAsia" w:hAnsi="Times New Roman" w:cs="Times New Roman"/>
          <w:sz w:val="24"/>
          <w:szCs w:val="24"/>
        </w:rPr>
        <w:t xml:space="preserve">: </w:t>
      </w:r>
      <m:oMath>
        <w:proofErr w:type="gramEn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3</m:t>
            </m:r>
          </m:sub>
        </m:sSub>
      </m:oMath>
      <w:r>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4</m:t>
            </m:r>
          </m:sub>
        </m:sSub>
      </m:oMath>
      <w:r>
        <w:rPr>
          <w:rFonts w:ascii="Times New Roman" w:eastAsiaTheme="minorEastAsia" w:hAnsi="Times New Roman" w:cs="Times New Roman"/>
          <w:sz w:val="24"/>
          <w:szCs w:val="24"/>
        </w:rPr>
        <w:t xml:space="preserve">&gt;0. On the contrary for the Ricardian Equivalence to hold the budget deficit variables should exert no impact on </w:t>
      </w:r>
      <w:r w:rsidR="007500AC">
        <w:rPr>
          <w:rFonts w:ascii="Times New Roman" w:eastAsiaTheme="minorEastAsia" w:hAnsi="Times New Roman" w:cs="Times New Roman"/>
          <w:sz w:val="24"/>
          <w:szCs w:val="24"/>
        </w:rPr>
        <w:t xml:space="preserve">the </w:t>
      </w:r>
      <w:r>
        <w:rPr>
          <w:rFonts w:ascii="Times New Roman" w:eastAsiaTheme="minorEastAsia" w:hAnsi="Times New Roman" w:cs="Times New Roman"/>
          <w:sz w:val="24"/>
          <w:szCs w:val="24"/>
        </w:rPr>
        <w:t xml:space="preserve">exchange rate which means that the corresponding coefficients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3</m:t>
            </m:r>
          </m:sub>
        </m:sSub>
      </m:oMath>
      <w:r>
        <w:rPr>
          <w:rFonts w:ascii="Times New Roman" w:eastAsiaTheme="minorEastAsia" w:hAnsi="Times New Roman" w:cs="Times New Roman"/>
          <w:sz w:val="24"/>
          <w:szCs w:val="24"/>
        </w:rPr>
        <w:t xml:space="preserve">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4</m:t>
            </m:r>
          </m:sub>
        </m:sSub>
      </m:oMath>
      <w:r>
        <w:rPr>
          <w:rFonts w:ascii="Times New Roman" w:eastAsiaTheme="minorEastAsia" w:hAnsi="Times New Roman" w:cs="Times New Roman"/>
          <w:sz w:val="24"/>
          <w:szCs w:val="24"/>
        </w:rPr>
        <w:t>should be equal to zero.</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u w:val="single"/>
        </w:rPr>
        <w:t>Public/</w:t>
      </w:r>
      <w:r w:rsidRPr="00576EEB">
        <w:rPr>
          <w:rFonts w:ascii="Times New Roman" w:eastAsiaTheme="minorEastAsia" w:hAnsi="Times New Roman" w:cs="Times New Roman"/>
          <w:sz w:val="24"/>
          <w:szCs w:val="24"/>
          <w:u w:val="single"/>
        </w:rPr>
        <w:t xml:space="preserve">Private Savings offset </w:t>
      </w:r>
      <w:r>
        <w:rPr>
          <w:rFonts w:ascii="Times New Roman" w:eastAsiaTheme="minorEastAsia" w:hAnsi="Times New Roman" w:cs="Times New Roman"/>
          <w:sz w:val="24"/>
          <w:szCs w:val="24"/>
          <w:u w:val="single"/>
        </w:rPr>
        <w:t>approach</w:t>
      </w:r>
      <w:r>
        <w:rPr>
          <w:rFonts w:ascii="Times New Roman" w:eastAsiaTheme="minorEastAsia" w:hAnsi="Times New Roman" w:cs="Times New Roman"/>
          <w:sz w:val="24"/>
          <w:szCs w:val="24"/>
        </w:rPr>
        <w:t xml:space="preserve">: </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Apart from the approaches that test the vali</w:t>
      </w:r>
      <w:r w:rsidR="007500AC">
        <w:rPr>
          <w:rFonts w:ascii="Times New Roman" w:eastAsiaTheme="minorEastAsia" w:hAnsi="Times New Roman" w:cs="Times New Roman"/>
          <w:sz w:val="24"/>
          <w:szCs w:val="24"/>
        </w:rPr>
        <w:t>dity of the neutrality hypothesis</w:t>
      </w:r>
      <w:r>
        <w:rPr>
          <w:rFonts w:ascii="Times New Roman" w:eastAsiaTheme="minorEastAsia" w:hAnsi="Times New Roman" w:cs="Times New Roman"/>
          <w:sz w:val="24"/>
          <w:szCs w:val="24"/>
        </w:rPr>
        <w:t xml:space="preserve"> investigating the direct effects of government debt there are studies that examine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proposition indirectly, focusing on the interaction of the affected components. </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reasoning behind the public/private savings offset approach is that decreases in public savings due to fiscal policy changes will be offset by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individuals that they will adjust their behavior accordingly leaving the national savings fixed. Specifically, in case of deficit financed tax cuts or government expenditures the public savings decrease. On the other side</w:t>
      </w:r>
      <w:r w:rsidR="007500AC">
        <w:rPr>
          <w:rFonts w:ascii="Times New Roman" w:eastAsiaTheme="minorEastAsia" w:hAnsi="Times New Roman" w:cs="Times New Roman"/>
          <w:sz w:val="24"/>
          <w:szCs w:val="24"/>
        </w:rPr>
        <w:t xml:space="preserve"> the forward looking farsighted</w:t>
      </w:r>
      <w:r>
        <w:rPr>
          <w:rFonts w:ascii="Times New Roman" w:eastAsiaTheme="minorEastAsia" w:hAnsi="Times New Roman" w:cs="Times New Roman"/>
          <w:sz w:val="24"/>
          <w:szCs w:val="24"/>
        </w:rPr>
        <w:t xml:space="preserve"> individuals that anticipate future tax increases for the deficit to be paid back will decrease their current consumption and increase their savings accordingly. As a result the increase in private savings offsets the decrease in public savings leaving the national savings unchanged. Hence,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w:t>
      </w:r>
      <w:proofErr w:type="gramStart"/>
      <w:r>
        <w:rPr>
          <w:rFonts w:ascii="Times New Roman" w:eastAsiaTheme="minorEastAsia" w:hAnsi="Times New Roman" w:cs="Times New Roman"/>
          <w:sz w:val="24"/>
          <w:szCs w:val="24"/>
        </w:rPr>
        <w:t>proposition hold</w:t>
      </w:r>
      <w:proofErr w:type="gramEnd"/>
      <w:r>
        <w:rPr>
          <w:rFonts w:ascii="Times New Roman" w:eastAsiaTheme="minorEastAsia" w:hAnsi="Times New Roman" w:cs="Times New Roman"/>
          <w:sz w:val="24"/>
          <w:szCs w:val="24"/>
        </w:rPr>
        <w:t xml:space="preserve">. In addition the strict version of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proposition implies full offset between public and private savin</w:t>
      </w:r>
      <w:r w:rsidR="007500AC">
        <w:rPr>
          <w:rFonts w:ascii="Times New Roman" w:eastAsiaTheme="minorEastAsia" w:hAnsi="Times New Roman" w:cs="Times New Roman"/>
          <w:sz w:val="24"/>
          <w:szCs w:val="24"/>
        </w:rPr>
        <w:t xml:space="preserve">gs. De Mello </w:t>
      </w:r>
      <w:r w:rsidR="00600BC4">
        <w:rPr>
          <w:rFonts w:ascii="Times New Roman" w:eastAsiaTheme="minorEastAsia" w:hAnsi="Times New Roman" w:cs="Times New Roman"/>
          <w:sz w:val="24"/>
          <w:szCs w:val="24"/>
        </w:rPr>
        <w:t xml:space="preserve">et al. </w:t>
      </w:r>
      <w:r>
        <w:rPr>
          <w:rFonts w:ascii="Times New Roman" w:eastAsiaTheme="minorEastAsia" w:hAnsi="Times New Roman" w:cs="Times New Roman"/>
          <w:sz w:val="24"/>
          <w:szCs w:val="24"/>
        </w:rPr>
        <w:t>(2004) investigated the private and public savings offset for 21 OECD countries for the period 1970-2002. The authors used an error correction framework to describe the relationship between the private and public savings:</w:t>
      </w:r>
    </w:p>
    <w:p w:rsidR="004A1EFF" w:rsidRDefault="00C16EA4" w:rsidP="004A1EFF">
      <w:pPr>
        <w:jc w:val="center"/>
        <w:rPr>
          <w:rFonts w:ascii="Times New Roman" w:eastAsiaTheme="minorEastAsia" w:hAnsi="Times New Roman" w:cs="Times New Roman"/>
          <w:sz w:val="24"/>
          <w:szCs w:val="24"/>
        </w:rPr>
      </w:pP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priv</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1</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pub</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2</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 xml:space="preserve">   (12)</m:t>
        </m:r>
      </m:oMath>
      <w:r w:rsidR="004A1EFF">
        <w:rPr>
          <w:rFonts w:ascii="Times New Roman" w:eastAsiaTheme="minorEastAsia" w:hAnsi="Times New Roman" w:cs="Times New Roman"/>
          <w:sz w:val="24"/>
          <w:szCs w:val="24"/>
        </w:rPr>
        <w:t xml:space="preserve"> </w:t>
      </w:r>
      <w:proofErr w:type="gramStart"/>
      <w:r w:rsidR="004A1EFF">
        <w:rPr>
          <w:rFonts w:ascii="Times New Roman" w:eastAsiaTheme="minorEastAsia" w:hAnsi="Times New Roman" w:cs="Times New Roman"/>
          <w:sz w:val="24"/>
          <w:szCs w:val="24"/>
        </w:rPr>
        <w:t>and</w:t>
      </w:r>
      <w:proofErr w:type="gramEnd"/>
    </w:p>
    <w:p w:rsidR="004A1EFF" w:rsidRDefault="00C16EA4" w:rsidP="004A1EFF">
      <w:pPr>
        <w:jc w:val="center"/>
        <w:rPr>
          <w:rFonts w:ascii="Times New Roman" w:eastAsiaTheme="minorEastAsia" w:hAnsi="Times New Roman" w:cs="Times New Roman"/>
          <w:sz w:val="24"/>
          <w:szCs w:val="24"/>
        </w:rPr>
      </w:pPr>
      <m:oMathPara>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lang w:val="el-GR"/>
                </w:rPr>
                <m:t>Δ</m:t>
              </m:r>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priv</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β</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1</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ΔS</m:t>
              </m:r>
            </m:e>
            <m:sub>
              <m:r>
                <w:rPr>
                  <w:rFonts w:ascii="Cambria Math" w:eastAsiaTheme="minorEastAsia" w:hAnsi="Cambria Math" w:cs="Times New Roman"/>
                  <w:sz w:val="24"/>
                  <w:szCs w:val="24"/>
                  <w:lang w:val="el-GR"/>
                </w:rPr>
                <m:t>i,t-1</m:t>
              </m:r>
            </m:sub>
            <m:sup>
              <m:r>
                <w:rPr>
                  <w:rFonts w:ascii="Cambria Math" w:eastAsiaTheme="minorEastAsia" w:hAnsi="Cambria Math" w:cs="Times New Roman"/>
                  <w:sz w:val="24"/>
                  <w:szCs w:val="24"/>
                </w:rPr>
                <m:t>priv</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2</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i,t-1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3</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ΔS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pub</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β</m:t>
              </m:r>
            </m:e>
            <m:sub>
              <m:r>
                <w:rPr>
                  <w:rFonts w:ascii="Cambria Math" w:eastAsiaTheme="minorEastAsia" w:hAnsi="Cambria Math" w:cs="Times New Roman"/>
                  <w:sz w:val="24"/>
                  <w:szCs w:val="24"/>
                </w:rPr>
                <m:t>4</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ΔX</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 xml:space="preserve">   </m:t>
          </m:r>
          <m:r>
            <m:rPr>
              <m:sty m:val="p"/>
            </m:rPr>
            <w:rPr>
              <w:rFonts w:ascii="Cambria Math" w:eastAsiaTheme="minorEastAsia" w:hAnsi="Cambria Math" w:cs="Times New Roman"/>
              <w:sz w:val="24"/>
              <w:szCs w:val="24"/>
            </w:rPr>
            <m:t>where</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 xml:space="preserve"> β</m:t>
              </m:r>
            </m:e>
            <m:sub>
              <m:r>
                <w:rPr>
                  <w:rFonts w:ascii="Cambria Math" w:eastAsiaTheme="minorEastAsia" w:hAnsi="Cambria Math" w:cs="Times New Roman"/>
                  <w:sz w:val="24"/>
                  <w:szCs w:val="24"/>
                </w:rPr>
                <m:t>2</m:t>
              </m:r>
            </m:sub>
          </m:sSub>
          <m:r>
            <w:rPr>
              <w:rFonts w:ascii="Cambria Math" w:eastAsiaTheme="minorEastAsia" w:hAnsi="Cambria Math" w:cs="Times New Roman"/>
              <w:sz w:val="24"/>
              <w:szCs w:val="24"/>
            </w:rPr>
            <m:t>&lt;0   (13)</m:t>
          </m:r>
        </m:oMath>
      </m:oMathPara>
    </w:p>
    <w:p w:rsidR="004A1EFF" w:rsidRDefault="004A1EFF" w:rsidP="004A1EFF">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From (6) and (7) they estimated the following equation:</w:t>
      </w:r>
    </w:p>
    <w:p w:rsidR="004A1EFF" w:rsidRDefault="00C16EA4" w:rsidP="004A1EFF">
      <w:pPr>
        <w:rPr>
          <w:rFonts w:ascii="Times New Roman" w:eastAsiaTheme="minorEastAsia" w:hAnsi="Times New Roman" w:cs="Times New Roman"/>
          <w:sz w:val="24"/>
          <w:szCs w:val="24"/>
        </w:rPr>
      </w:pPr>
      <m:oMathPara>
        <m:oMathParaPr>
          <m:jc m:val="center"/>
        </m:oMathParaP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lang w:val="el-GR"/>
                </w:rPr>
                <m:t>Δ</m:t>
              </m:r>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priv</m:t>
              </m:r>
            </m:sup>
          </m:sSubSup>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β</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2</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0</m:t>
                  </m:r>
                </m:sub>
              </m:sSub>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1</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ΔS</m:t>
              </m:r>
            </m:e>
            <m:sub>
              <m:r>
                <w:rPr>
                  <w:rFonts w:ascii="Cambria Math" w:eastAsiaTheme="minorEastAsia" w:hAnsi="Cambria Math" w:cs="Times New Roman"/>
                  <w:sz w:val="24"/>
                  <w:szCs w:val="24"/>
                </w:rPr>
                <m:t>i,t-1</m:t>
              </m:r>
            </m:sub>
            <m:sup>
              <m:r>
                <w:rPr>
                  <w:rFonts w:ascii="Cambria Math" w:eastAsiaTheme="minorEastAsia" w:hAnsi="Cambria Math" w:cs="Times New Roman"/>
                  <w:sz w:val="24"/>
                  <w:szCs w:val="24"/>
                </w:rPr>
                <m:t>priv</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β</m:t>
              </m:r>
            </m:e>
            <m:sub>
              <m:r>
                <w:rPr>
                  <w:rFonts w:ascii="Cambria Math" w:eastAsiaTheme="minorEastAsia" w:hAnsi="Cambria Math" w:cs="Times New Roman"/>
                  <w:sz w:val="24"/>
                  <w:szCs w:val="24"/>
                </w:rPr>
                <m:t>2</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i,t-1</m:t>
              </m:r>
            </m:sub>
            <m:sup>
              <m:r>
                <w:rPr>
                  <w:rFonts w:ascii="Cambria Math" w:eastAsiaTheme="minorEastAsia" w:hAnsi="Cambria Math" w:cs="Times New Roman"/>
                  <w:sz w:val="24"/>
                  <w:szCs w:val="24"/>
                </w:rPr>
                <m:t>priv</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β</m:t>
              </m:r>
            </m:e>
            <m:sub>
              <m:r>
                <w:rPr>
                  <w:rFonts w:ascii="Cambria Math" w:eastAsiaTheme="minorEastAsia" w:hAnsi="Cambria Math" w:cs="Times New Roman"/>
                  <w:sz w:val="24"/>
                  <w:szCs w:val="24"/>
                </w:rPr>
                <m:t>3</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ΔS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pub</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2</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1</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i,t-1</m:t>
              </m:r>
            </m:sub>
            <m:sup>
              <m:r>
                <w:rPr>
                  <w:rFonts w:ascii="Cambria Math" w:eastAsiaTheme="minorEastAsia" w:hAnsi="Cambria Math" w:cs="Times New Roman"/>
                  <w:sz w:val="24"/>
                  <w:szCs w:val="24"/>
                </w:rPr>
                <m:t>pub</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β</m:t>
              </m:r>
            </m:e>
            <m:sub>
              <m:r>
                <w:rPr>
                  <w:rFonts w:ascii="Cambria Math" w:eastAsiaTheme="minorEastAsia" w:hAnsi="Cambria Math" w:cs="Times New Roman"/>
                  <w:sz w:val="24"/>
                  <w:szCs w:val="24"/>
                </w:rPr>
                <m:t>4</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ΔX</m:t>
              </m:r>
            </m:e>
            <m:sub>
              <m:r>
                <w:rPr>
                  <w:rFonts w:ascii="Cambria Math" w:eastAsiaTheme="minorEastAsia" w:hAnsi="Cambria Math" w:cs="Times New Roman"/>
                  <w:sz w:val="24"/>
                  <w:szCs w:val="24"/>
                  <w:lang w:val="el-GR"/>
                </w:rPr>
                <m:t>it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β</m:t>
              </m:r>
            </m:e>
            <m:sub>
              <m:r>
                <w:rPr>
                  <w:rFonts w:ascii="Cambria Math" w:eastAsiaTheme="minorEastAsia" w:hAnsi="Cambria Math" w:cs="Times New Roman"/>
                  <w:sz w:val="24"/>
                  <w:szCs w:val="24"/>
                </w:rPr>
                <m:t>2</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2</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i,t-1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 xml:space="preserve">   (14)</m:t>
          </m:r>
        </m:oMath>
      </m:oMathPara>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Where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priv</m:t>
            </m:r>
          </m:sup>
        </m:sSubSup>
      </m:oMath>
      <w:r>
        <w:rPr>
          <w:rFonts w:ascii="Times New Roman" w:eastAsiaTheme="minorEastAsia" w:hAnsi="Times New Roman" w:cs="Times New Roman"/>
          <w:sz w:val="24"/>
          <w:szCs w:val="24"/>
        </w:rPr>
        <w:t xml:space="preserve"> and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pub</m:t>
            </m:r>
          </m:sup>
        </m:sSubSup>
      </m:oMath>
      <w:r>
        <w:rPr>
          <w:rFonts w:ascii="Times New Roman" w:eastAsiaTheme="minorEastAsia" w:hAnsi="Times New Roman" w:cs="Times New Roman"/>
          <w:sz w:val="24"/>
          <w:szCs w:val="24"/>
        </w:rPr>
        <w:t xml:space="preserve"> stands for the private and public savings ratio,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it</m:t>
            </m:r>
          </m:sub>
        </m:sSub>
      </m:oMath>
      <w:r>
        <w:rPr>
          <w:rFonts w:ascii="Times New Roman" w:eastAsiaTheme="minorEastAsia" w:hAnsi="Times New Roman" w:cs="Times New Roman"/>
          <w:sz w:val="24"/>
          <w:szCs w:val="24"/>
        </w:rPr>
        <w:t xml:space="preserve"> for the vector of control variables, e and v for the error terms while i and t depicts the country and time respectively.</w:t>
      </w:r>
      <w:r w:rsidR="00600BC4">
        <w:rPr>
          <w:rFonts w:ascii="Times New Roman" w:eastAsiaTheme="minorEastAsia" w:hAnsi="Times New Roman" w:cs="Times New Roman"/>
          <w:sz w:val="24"/>
          <w:szCs w:val="24"/>
        </w:rPr>
        <w:t xml:space="preserve"> According to De Mello </w:t>
      </w:r>
      <w:proofErr w:type="spellStart"/>
      <w:r w:rsidR="00600BC4">
        <w:rPr>
          <w:rFonts w:ascii="Times New Roman" w:eastAsiaTheme="minorEastAsia" w:hAnsi="Times New Roman" w:cs="Times New Roman"/>
          <w:sz w:val="24"/>
          <w:szCs w:val="24"/>
        </w:rPr>
        <w:t>Kongsrud</w:t>
      </w:r>
      <w:proofErr w:type="spellEnd"/>
      <w:r w:rsidR="00600BC4">
        <w:rPr>
          <w:rFonts w:ascii="Times New Roman" w:eastAsiaTheme="minorEastAsia" w:hAnsi="Times New Roman" w:cs="Times New Roman"/>
          <w:sz w:val="24"/>
          <w:szCs w:val="24"/>
        </w:rPr>
        <w:t xml:space="preserve"> and Price</w:t>
      </w:r>
      <w:r>
        <w:rPr>
          <w:rFonts w:ascii="Times New Roman" w:eastAsiaTheme="minorEastAsia" w:hAnsi="Times New Roman" w:cs="Times New Roman"/>
          <w:sz w:val="24"/>
          <w:szCs w:val="24"/>
        </w:rPr>
        <w:t xml:space="preserve"> (2004) previous studies that investigated the subject of public and private savings offset estimated the following equation: </w:t>
      </w:r>
    </w:p>
    <w:p w:rsidR="004A1EFF" w:rsidRDefault="00C16EA4" w:rsidP="004A1EFF">
      <w:pPr>
        <w:jc w:val="center"/>
        <w:rPr>
          <w:rFonts w:ascii="Times New Roman" w:eastAsiaTheme="minorEastAsia" w:hAnsi="Times New Roman" w:cs="Times New Roman"/>
          <w:sz w:val="24"/>
          <w:szCs w:val="24"/>
        </w:rPr>
      </w:pPr>
      <m:oMathPara>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priv</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γ</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γ</m:t>
              </m:r>
            </m:e>
            <m:sub>
              <m:r>
                <w:rPr>
                  <w:rFonts w:ascii="Cambria Math" w:eastAsiaTheme="minorEastAsia" w:hAnsi="Cambria Math" w:cs="Times New Roman"/>
                  <w:sz w:val="24"/>
                  <w:szCs w:val="24"/>
                </w:rPr>
                <m:t>1</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i,t-1</m:t>
              </m:r>
            </m:sub>
            <m:sup>
              <m:r>
                <w:rPr>
                  <w:rFonts w:ascii="Cambria Math" w:eastAsiaTheme="minorEastAsia" w:hAnsi="Cambria Math" w:cs="Times New Roman"/>
                  <w:sz w:val="24"/>
                  <w:szCs w:val="24"/>
                </w:rPr>
                <m:t>priv</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γ</m:t>
              </m:r>
            </m:e>
            <m:sub>
              <m:r>
                <w:rPr>
                  <w:rFonts w:ascii="Cambria Math" w:eastAsiaTheme="minorEastAsia" w:hAnsi="Cambria Math" w:cs="Times New Roman"/>
                  <w:sz w:val="24"/>
                  <w:szCs w:val="24"/>
                </w:rPr>
                <m:t>2</m:t>
              </m:r>
            </m:sub>
          </m:sSub>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pub</m:t>
              </m:r>
            </m:sup>
          </m:sSub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lang w:val="el-GR"/>
                </w:rPr>
                <m:t>γ</m:t>
              </m:r>
            </m:e>
            <m:sub>
              <m:r>
                <w:rPr>
                  <w:rFonts w:ascii="Cambria Math" w:eastAsiaTheme="minorEastAsia" w:hAnsi="Cambria Math" w:cs="Times New Roman"/>
                  <w:sz w:val="24"/>
                  <w:szCs w:val="24"/>
                </w:rPr>
                <m:t>3</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u</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 xml:space="preserve">   (15)</m:t>
          </m:r>
        </m:oMath>
      </m:oMathPara>
    </w:p>
    <w:p w:rsidR="004A1EFF" w:rsidRPr="007D5CF9"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strict version of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proposition implies full offset of the private savings. In the case of equation (8) this implies that the coefficient of public savings variable should be equal with minus one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γ</m:t>
            </m:r>
          </m:e>
          <m:sub>
            <m:r>
              <w:rPr>
                <w:rFonts w:ascii="Cambria Math" w:eastAsiaTheme="minorEastAsia" w:hAnsi="Cambria Math" w:cs="Times New Roman"/>
                <w:sz w:val="24"/>
                <w:szCs w:val="24"/>
              </w:rPr>
              <m:t>2</m:t>
            </m:r>
          </m:sub>
        </m:sSub>
        <m:r>
          <w:rPr>
            <w:rFonts w:ascii="Cambria Math" w:eastAsiaTheme="minorEastAsia" w:hAnsi="Cambria Math" w:cs="Times New Roman"/>
            <w:sz w:val="24"/>
            <w:szCs w:val="24"/>
          </w:rPr>
          <m:t>=-1</m:t>
        </m:r>
      </m:oMath>
      <w:r>
        <w:rPr>
          <w:rFonts w:ascii="Times New Roman" w:eastAsiaTheme="minorEastAsia" w:hAnsi="Times New Roman" w:cs="Times New Roman"/>
          <w:sz w:val="24"/>
          <w:szCs w:val="24"/>
        </w:rPr>
        <w:t>).</w:t>
      </w:r>
    </w:p>
    <w:p w:rsidR="004A1EFF" w:rsidRDefault="004A1EFF" w:rsidP="004A1EFF">
      <w:pPr>
        <w:jc w:val="both"/>
        <w:rPr>
          <w:rFonts w:ascii="Times New Roman" w:eastAsiaTheme="minorEastAsia" w:hAnsi="Times New Roman" w:cs="Times New Roman"/>
          <w:sz w:val="24"/>
          <w:szCs w:val="24"/>
        </w:rPr>
      </w:pPr>
      <w:r w:rsidRPr="006B32C1">
        <w:rPr>
          <w:rFonts w:ascii="Times New Roman" w:eastAsiaTheme="minorEastAsia" w:hAnsi="Times New Roman" w:cs="Times New Roman"/>
          <w:sz w:val="24"/>
          <w:szCs w:val="24"/>
          <w:u w:val="single"/>
        </w:rPr>
        <w:t>The twin deficits method</w:t>
      </w:r>
      <w:r>
        <w:rPr>
          <w:rFonts w:ascii="Times New Roman" w:eastAsiaTheme="minorEastAsia" w:hAnsi="Times New Roman" w:cs="Times New Roman"/>
          <w:sz w:val="24"/>
          <w:szCs w:val="24"/>
        </w:rPr>
        <w:t>:</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objective of this approach is to reveal the sign of the relationship within the fiscal deficits and the current account deficits. The twin deficits hypothesis which is in line with the Keynesian macroeconomic theory implies that increments in fiscal deficits lead to current account deficit increases. The logic behind this argument is that in case of fiscal deficit</w:t>
      </w:r>
      <w:r>
        <w:rPr>
          <w:rStyle w:val="a8"/>
          <w:rFonts w:ascii="Times New Roman" w:eastAsiaTheme="minorEastAsia" w:hAnsi="Times New Roman" w:cs="Times New Roman"/>
          <w:sz w:val="24"/>
          <w:szCs w:val="24"/>
        </w:rPr>
        <w:footnoteReference w:id="42"/>
      </w:r>
      <w:r>
        <w:rPr>
          <w:rFonts w:ascii="Times New Roman" w:eastAsiaTheme="minorEastAsia" w:hAnsi="Times New Roman" w:cs="Times New Roman"/>
          <w:sz w:val="24"/>
          <w:szCs w:val="24"/>
        </w:rPr>
        <w:t xml:space="preserve"> consumers react by increasing their current consumption as they perceive the deficit increase as net wealth decreasing their savings accordingly. As a result the national savings fall and the current account deficit increases. Hence according to the Keynesian view the relationship between the budget deficit and the current account deficit is positive. </w:t>
      </w:r>
    </w:p>
    <w:p w:rsidR="004A1EFF"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On the contrary,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Equivalence proposition entails that consumers do not realize the deficit increase as net wealth and hence do not increase their current consumption. Instead individuals raise their savings and decrease their consumption accordingly in order to be able to pay the future taxes that the increased budget deficit implies. In this case the reduced public savings following the expansionary fiscal policy can be offset or even overcompensated by the incr</w:t>
      </w:r>
      <w:r w:rsidR="00600BC4">
        <w:rPr>
          <w:rFonts w:ascii="Times New Roman" w:eastAsiaTheme="minorEastAsia" w:hAnsi="Times New Roman" w:cs="Times New Roman"/>
          <w:sz w:val="24"/>
          <w:szCs w:val="24"/>
        </w:rPr>
        <w:t>eased private savings Nickel &amp;</w:t>
      </w:r>
      <w:r>
        <w:rPr>
          <w:rFonts w:ascii="Times New Roman" w:eastAsiaTheme="minorEastAsia" w:hAnsi="Times New Roman" w:cs="Times New Roman"/>
          <w:sz w:val="24"/>
          <w:szCs w:val="24"/>
        </w:rPr>
        <w:t xml:space="preserve"> </w:t>
      </w:r>
      <w:proofErr w:type="spellStart"/>
      <w:r>
        <w:rPr>
          <w:rFonts w:ascii="Times New Roman" w:eastAsiaTheme="minorEastAsia" w:hAnsi="Times New Roman" w:cs="Times New Roman"/>
          <w:sz w:val="24"/>
          <w:szCs w:val="24"/>
        </w:rPr>
        <w:t>Vansteenkiste</w:t>
      </w:r>
      <w:proofErr w:type="spellEnd"/>
      <w:r>
        <w:rPr>
          <w:rFonts w:ascii="Times New Roman" w:eastAsiaTheme="minorEastAsia" w:hAnsi="Times New Roman" w:cs="Times New Roman"/>
          <w:sz w:val="24"/>
          <w:szCs w:val="24"/>
        </w:rPr>
        <w:t xml:space="preserve"> (2008). Consequently, the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hypothesis implies a stable or a negative relationship between the budget and the current account </w:t>
      </w:r>
      <w:r w:rsidR="00600BC4">
        <w:rPr>
          <w:rFonts w:ascii="Times New Roman" w:eastAsiaTheme="minorEastAsia" w:hAnsi="Times New Roman" w:cs="Times New Roman"/>
          <w:sz w:val="24"/>
          <w:szCs w:val="24"/>
        </w:rPr>
        <w:t>deficit. According to Nickel &amp;</w:t>
      </w:r>
      <w:r>
        <w:rPr>
          <w:rFonts w:ascii="Times New Roman" w:eastAsiaTheme="minorEastAsia" w:hAnsi="Times New Roman" w:cs="Times New Roman"/>
          <w:sz w:val="24"/>
          <w:szCs w:val="24"/>
        </w:rPr>
        <w:t xml:space="preserve"> </w:t>
      </w:r>
      <w:proofErr w:type="spellStart"/>
      <w:r>
        <w:rPr>
          <w:rFonts w:ascii="Times New Roman" w:eastAsiaTheme="minorEastAsia" w:hAnsi="Times New Roman" w:cs="Times New Roman"/>
          <w:sz w:val="24"/>
          <w:szCs w:val="24"/>
        </w:rPr>
        <w:t>Vansteenkiste</w:t>
      </w:r>
      <w:proofErr w:type="spellEnd"/>
      <w:r>
        <w:rPr>
          <w:rFonts w:ascii="Times New Roman" w:eastAsiaTheme="minorEastAsia" w:hAnsi="Times New Roman" w:cs="Times New Roman"/>
          <w:sz w:val="24"/>
          <w:szCs w:val="24"/>
        </w:rPr>
        <w:t xml:space="preserve"> (2008) the stable or even negative relationship between budget and current account deficit is also present in the case of fiscal consolidation</w:t>
      </w:r>
      <w:r>
        <w:rPr>
          <w:rStyle w:val="a8"/>
          <w:rFonts w:ascii="Times New Roman" w:eastAsiaTheme="minorEastAsia" w:hAnsi="Times New Roman" w:cs="Times New Roman"/>
          <w:sz w:val="24"/>
          <w:szCs w:val="24"/>
        </w:rPr>
        <w:footnoteReference w:id="43"/>
      </w:r>
      <w:r>
        <w:rPr>
          <w:rFonts w:ascii="Times New Roman" w:eastAsiaTheme="minorEastAsia" w:hAnsi="Times New Roman" w:cs="Times New Roman"/>
          <w:sz w:val="24"/>
          <w:szCs w:val="24"/>
        </w:rPr>
        <w:t xml:space="preserve">. In the case of an excessively high debt, a fiscal consolidation policy affects the </w:t>
      </w:r>
      <w:proofErr w:type="gramStart"/>
      <w:r>
        <w:rPr>
          <w:rFonts w:ascii="Times New Roman" w:eastAsiaTheme="minorEastAsia" w:hAnsi="Times New Roman" w:cs="Times New Roman"/>
          <w:sz w:val="24"/>
          <w:szCs w:val="24"/>
        </w:rPr>
        <w:t>individuals</w:t>
      </w:r>
      <w:proofErr w:type="gramEnd"/>
      <w:r>
        <w:rPr>
          <w:rFonts w:ascii="Times New Roman" w:eastAsiaTheme="minorEastAsia" w:hAnsi="Times New Roman" w:cs="Times New Roman"/>
          <w:sz w:val="24"/>
          <w:szCs w:val="24"/>
        </w:rPr>
        <w:t xml:space="preserve"> expectations leading them to increase their current consumption and diminish their savings in anticipation of fewer future taxes and more prosperous future conditions. As a result the increased national savings are offset or e</w:t>
      </w:r>
      <w:r w:rsidR="00843410">
        <w:rPr>
          <w:rFonts w:ascii="Times New Roman" w:eastAsiaTheme="minorEastAsia" w:hAnsi="Times New Roman" w:cs="Times New Roman"/>
          <w:sz w:val="24"/>
          <w:szCs w:val="24"/>
        </w:rPr>
        <w:t>ven transcended by the decreased</w:t>
      </w:r>
      <w:r>
        <w:rPr>
          <w:rFonts w:ascii="Times New Roman" w:eastAsiaTheme="minorEastAsia" w:hAnsi="Times New Roman" w:cs="Times New Roman"/>
          <w:sz w:val="24"/>
          <w:szCs w:val="24"/>
        </w:rPr>
        <w:t xml:space="preserve"> private savings leading to </w:t>
      </w:r>
      <w:r w:rsidR="00843410">
        <w:rPr>
          <w:rFonts w:ascii="Times New Roman" w:eastAsiaTheme="minorEastAsia" w:hAnsi="Times New Roman" w:cs="Times New Roman"/>
          <w:sz w:val="24"/>
          <w:szCs w:val="24"/>
        </w:rPr>
        <w:t xml:space="preserve">a </w:t>
      </w:r>
      <w:r>
        <w:rPr>
          <w:rFonts w:ascii="Times New Roman" w:eastAsiaTheme="minorEastAsia" w:hAnsi="Times New Roman" w:cs="Times New Roman"/>
          <w:sz w:val="24"/>
          <w:szCs w:val="24"/>
        </w:rPr>
        <w:t>stable or even negative relationship between fiscal and cur</w:t>
      </w:r>
      <w:r w:rsidR="00875735">
        <w:rPr>
          <w:rFonts w:ascii="Times New Roman" w:eastAsiaTheme="minorEastAsia" w:hAnsi="Times New Roman" w:cs="Times New Roman"/>
          <w:sz w:val="24"/>
          <w:szCs w:val="24"/>
        </w:rPr>
        <w:t>rent account deficit. Nickel &amp;</w:t>
      </w:r>
      <w:r>
        <w:rPr>
          <w:rFonts w:ascii="Times New Roman" w:eastAsiaTheme="minorEastAsia" w:hAnsi="Times New Roman" w:cs="Times New Roman"/>
          <w:sz w:val="24"/>
          <w:szCs w:val="24"/>
        </w:rPr>
        <w:t xml:space="preserve"> </w:t>
      </w:r>
      <w:proofErr w:type="spellStart"/>
      <w:r>
        <w:rPr>
          <w:rFonts w:ascii="Times New Roman" w:eastAsiaTheme="minorEastAsia" w:hAnsi="Times New Roman" w:cs="Times New Roman"/>
          <w:sz w:val="24"/>
          <w:szCs w:val="24"/>
        </w:rPr>
        <w:t>Vansteenkiste</w:t>
      </w:r>
      <w:proofErr w:type="spellEnd"/>
      <w:r>
        <w:rPr>
          <w:rFonts w:ascii="Times New Roman" w:eastAsiaTheme="minorEastAsia" w:hAnsi="Times New Roman" w:cs="Times New Roman"/>
          <w:sz w:val="24"/>
          <w:szCs w:val="24"/>
        </w:rPr>
        <w:t xml:space="preserve"> (2008) studied the relationship within the fiscal and current account </w:t>
      </w:r>
      <w:r w:rsidR="00843410">
        <w:rPr>
          <w:rFonts w:ascii="Times New Roman" w:eastAsiaTheme="minorEastAsia" w:hAnsi="Times New Roman" w:cs="Times New Roman"/>
          <w:sz w:val="24"/>
          <w:szCs w:val="24"/>
        </w:rPr>
        <w:t xml:space="preserve">deficits </w:t>
      </w:r>
      <w:r>
        <w:rPr>
          <w:rFonts w:ascii="Times New Roman" w:eastAsiaTheme="minorEastAsia" w:hAnsi="Times New Roman" w:cs="Times New Roman"/>
          <w:sz w:val="24"/>
          <w:szCs w:val="24"/>
        </w:rPr>
        <w:t>taking into consideration the government debt</w:t>
      </w:r>
      <w:r>
        <w:rPr>
          <w:rStyle w:val="a8"/>
          <w:rFonts w:ascii="Times New Roman" w:eastAsiaTheme="minorEastAsia" w:hAnsi="Times New Roman" w:cs="Times New Roman"/>
          <w:sz w:val="24"/>
          <w:szCs w:val="24"/>
        </w:rPr>
        <w:footnoteReference w:id="44"/>
      </w:r>
      <w:r>
        <w:rPr>
          <w:rFonts w:ascii="Times New Roman" w:eastAsiaTheme="minorEastAsia" w:hAnsi="Times New Roman" w:cs="Times New Roman"/>
          <w:sz w:val="24"/>
          <w:szCs w:val="24"/>
        </w:rPr>
        <w:t xml:space="preserve"> estimating a panel threshold model for </w:t>
      </w:r>
      <w:r>
        <w:rPr>
          <w:rFonts w:ascii="Times New Roman" w:eastAsiaTheme="minorEastAsia" w:hAnsi="Times New Roman" w:cs="Times New Roman"/>
          <w:sz w:val="24"/>
          <w:szCs w:val="24"/>
        </w:rPr>
        <w:lastRenderedPageBreak/>
        <w:t>22 industrialized countries. According to their findings, the relationship between the fiscal and current account deficit was positive for the low in debt countries and positive but less pote</w:t>
      </w:r>
      <w:r w:rsidR="00843410">
        <w:rPr>
          <w:rFonts w:ascii="Times New Roman" w:eastAsiaTheme="minorEastAsia" w:hAnsi="Times New Roman" w:cs="Times New Roman"/>
          <w:sz w:val="24"/>
          <w:szCs w:val="24"/>
        </w:rPr>
        <w:t>nt for the moderate and high in</w:t>
      </w:r>
      <w:r>
        <w:rPr>
          <w:rFonts w:ascii="Times New Roman" w:eastAsiaTheme="minorEastAsia" w:hAnsi="Times New Roman" w:cs="Times New Roman"/>
          <w:sz w:val="24"/>
          <w:szCs w:val="24"/>
        </w:rPr>
        <w:t>debt</w:t>
      </w:r>
      <w:r w:rsidR="00843410">
        <w:rPr>
          <w:rFonts w:ascii="Times New Roman" w:eastAsiaTheme="minorEastAsia" w:hAnsi="Times New Roman" w:cs="Times New Roman"/>
          <w:sz w:val="24"/>
          <w:szCs w:val="24"/>
        </w:rPr>
        <w:t>ed</w:t>
      </w:r>
      <w:r>
        <w:rPr>
          <w:rFonts w:ascii="Times New Roman" w:eastAsiaTheme="minorEastAsia" w:hAnsi="Times New Roman" w:cs="Times New Roman"/>
          <w:sz w:val="24"/>
          <w:szCs w:val="24"/>
        </w:rPr>
        <w:t xml:space="preserve"> countries revealing the existence of Keynesian characteristic within the consumers. In contrast the authors revealed a negative but insignificant relationship within the two deficits in </w:t>
      </w:r>
      <w:r w:rsidR="00843410">
        <w:rPr>
          <w:rFonts w:ascii="Times New Roman" w:eastAsiaTheme="minorEastAsia" w:hAnsi="Times New Roman" w:cs="Times New Roman"/>
          <w:sz w:val="24"/>
          <w:szCs w:val="24"/>
        </w:rPr>
        <w:t xml:space="preserve">the </w:t>
      </w:r>
      <w:r>
        <w:rPr>
          <w:rFonts w:ascii="Times New Roman" w:eastAsiaTheme="minorEastAsia" w:hAnsi="Times New Roman" w:cs="Times New Roman"/>
          <w:sz w:val="24"/>
          <w:szCs w:val="24"/>
        </w:rPr>
        <w:t xml:space="preserve">very indebted countries pointing that these countries obtained </w:t>
      </w:r>
      <w:proofErr w:type="spellStart"/>
      <w:r>
        <w:rPr>
          <w:rFonts w:ascii="Times New Roman" w:eastAsiaTheme="minorEastAsia" w:hAnsi="Times New Roman" w:cs="Times New Roman"/>
          <w:sz w:val="24"/>
          <w:szCs w:val="24"/>
        </w:rPr>
        <w:t>Ricardian</w:t>
      </w:r>
      <w:proofErr w:type="spellEnd"/>
      <w:r>
        <w:rPr>
          <w:rFonts w:ascii="Times New Roman" w:eastAsiaTheme="minorEastAsia" w:hAnsi="Times New Roman" w:cs="Times New Roman"/>
          <w:sz w:val="24"/>
          <w:szCs w:val="24"/>
        </w:rPr>
        <w:t xml:space="preserve"> characteristics</w:t>
      </w:r>
      <w:r w:rsidR="004E3311">
        <w:rPr>
          <w:rFonts w:ascii="Times New Roman" w:eastAsiaTheme="minorEastAsia" w:hAnsi="Times New Roman" w:cs="Times New Roman"/>
          <w:sz w:val="24"/>
          <w:szCs w:val="24"/>
        </w:rPr>
        <w:t>.</w:t>
      </w:r>
    </w:p>
    <w:p w:rsidR="004A1EFF" w:rsidRPr="004E3311" w:rsidRDefault="004A1EFF" w:rsidP="004A1EFF">
      <w:pPr>
        <w:pStyle w:val="a9"/>
        <w:numPr>
          <w:ilvl w:val="0"/>
          <w:numId w:val="1"/>
        </w:numPr>
        <w:ind w:left="0"/>
        <w:jc w:val="both"/>
        <w:rPr>
          <w:rFonts w:ascii="Times New Roman" w:hAnsi="Times New Roman" w:cs="Times New Roman"/>
          <w:b/>
          <w:sz w:val="24"/>
          <w:szCs w:val="24"/>
        </w:rPr>
      </w:pPr>
      <w:r w:rsidRPr="004E3311">
        <w:rPr>
          <w:rFonts w:ascii="Times New Roman" w:hAnsi="Times New Roman" w:cs="Times New Roman"/>
          <w:b/>
          <w:sz w:val="24"/>
          <w:szCs w:val="24"/>
        </w:rPr>
        <w:t xml:space="preserve">Data Analysis – A part </w:t>
      </w:r>
    </w:p>
    <w:p w:rsidR="004A1EFF" w:rsidRDefault="004A1EFF" w:rsidP="004A1EFF">
      <w:pPr>
        <w:jc w:val="both"/>
        <w:rPr>
          <w:rFonts w:ascii="Times New Roman" w:hAnsi="Times New Roman" w:cs="Times New Roman"/>
          <w:sz w:val="24"/>
          <w:szCs w:val="24"/>
          <w:u w:val="single"/>
        </w:rPr>
      </w:pPr>
      <w:r>
        <w:rPr>
          <w:rFonts w:ascii="Times New Roman" w:hAnsi="Times New Roman" w:cs="Times New Roman"/>
          <w:sz w:val="24"/>
          <w:szCs w:val="24"/>
        </w:rPr>
        <w:t xml:space="preserve">In order to begin our analysis we will classify the main European economies into two groups. The classification is based </w:t>
      </w:r>
      <w:r w:rsidR="004E3311">
        <w:rPr>
          <w:rFonts w:ascii="Times New Roman" w:hAnsi="Times New Roman" w:cs="Times New Roman"/>
          <w:sz w:val="24"/>
          <w:szCs w:val="24"/>
        </w:rPr>
        <w:t>on the importance of the economies</w:t>
      </w:r>
      <w:r>
        <w:rPr>
          <w:rFonts w:ascii="Times New Roman" w:hAnsi="Times New Roman" w:cs="Times New Roman"/>
          <w:sz w:val="24"/>
          <w:szCs w:val="24"/>
        </w:rPr>
        <w:t xml:space="preserve"> and the noteworthy level of government debt. Specifically, we will categorize ten European countries into two groups. The first group contains the less indebted countries such as Luxemburg, Finland, Netherlands, Germany and Austria, while the second group includes the countries with considerably high level of </w:t>
      </w:r>
      <w:r w:rsidR="004E3311">
        <w:rPr>
          <w:rFonts w:ascii="Times New Roman" w:hAnsi="Times New Roman" w:cs="Times New Roman"/>
          <w:sz w:val="24"/>
          <w:szCs w:val="24"/>
        </w:rPr>
        <w:t xml:space="preserve">government </w:t>
      </w:r>
      <w:r>
        <w:rPr>
          <w:rFonts w:ascii="Times New Roman" w:hAnsi="Times New Roman" w:cs="Times New Roman"/>
          <w:sz w:val="24"/>
          <w:szCs w:val="24"/>
        </w:rPr>
        <w:t xml:space="preserve">debt such as France, Belgium, Ireland, Portugal and Italy. In the graphs below we can observe how the government debt </w:t>
      </w:r>
      <w:r w:rsidR="004E3311">
        <w:rPr>
          <w:rFonts w:ascii="Times New Roman" w:hAnsi="Times New Roman" w:cs="Times New Roman"/>
          <w:sz w:val="24"/>
          <w:szCs w:val="24"/>
        </w:rPr>
        <w:t xml:space="preserve">evolves </w:t>
      </w:r>
      <w:r>
        <w:rPr>
          <w:rFonts w:ascii="Times New Roman" w:hAnsi="Times New Roman" w:cs="Times New Roman"/>
          <w:sz w:val="24"/>
          <w:szCs w:val="24"/>
        </w:rPr>
        <w:t xml:space="preserve">as it is described </w:t>
      </w:r>
      <w:r w:rsidR="004E3311">
        <w:rPr>
          <w:rFonts w:ascii="Times New Roman" w:hAnsi="Times New Roman" w:cs="Times New Roman"/>
          <w:sz w:val="24"/>
          <w:szCs w:val="24"/>
        </w:rPr>
        <w:t>by the debt to GDP ratio</w:t>
      </w:r>
      <w:r w:rsidR="00BE4095">
        <w:rPr>
          <w:rStyle w:val="a8"/>
          <w:rFonts w:ascii="Times New Roman" w:hAnsi="Times New Roman" w:cs="Times New Roman"/>
          <w:sz w:val="24"/>
          <w:szCs w:val="24"/>
        </w:rPr>
        <w:footnoteReference w:id="45"/>
      </w:r>
      <w:r>
        <w:rPr>
          <w:rFonts w:ascii="Times New Roman" w:hAnsi="Times New Roman" w:cs="Times New Roman"/>
          <w:sz w:val="24"/>
          <w:szCs w:val="24"/>
        </w:rPr>
        <w:t xml:space="preserve"> for the above mentioned countries: </w:t>
      </w:r>
    </w:p>
    <w:p w:rsidR="004E3311" w:rsidRDefault="004E3311" w:rsidP="004A1EFF">
      <w:pPr>
        <w:jc w:val="center"/>
        <w:rPr>
          <w:rFonts w:ascii="Times New Roman" w:hAnsi="Times New Roman" w:cs="Times New Roman"/>
          <w:sz w:val="24"/>
          <w:szCs w:val="24"/>
        </w:rPr>
      </w:pPr>
    </w:p>
    <w:p w:rsidR="004A1EFF" w:rsidRDefault="004A1EFF" w:rsidP="004A1EFF">
      <w:pPr>
        <w:jc w:val="center"/>
        <w:rPr>
          <w:rFonts w:ascii="Times New Roman" w:hAnsi="Times New Roman" w:cs="Times New Roman"/>
          <w:sz w:val="24"/>
          <w:szCs w:val="24"/>
        </w:rPr>
      </w:pPr>
      <w:r>
        <w:rPr>
          <w:rFonts w:ascii="Times New Roman" w:hAnsi="Times New Roman" w:cs="Times New Roman"/>
          <w:sz w:val="24"/>
          <w:szCs w:val="24"/>
        </w:rPr>
        <w:t>Graph 1 – Debt level for 2013</w:t>
      </w:r>
    </w:p>
    <w:p w:rsidR="004A1EFF" w:rsidRDefault="004A1EFF" w:rsidP="004A1EFF">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572000" cy="2759075"/>
            <wp:effectExtent l="0" t="0" r="0" b="0"/>
            <wp:docPr id="1" name="Εικόνα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1EFF" w:rsidRDefault="004A1EFF" w:rsidP="004A1EFF">
      <w:pPr>
        <w:jc w:val="center"/>
        <w:rPr>
          <w:rFonts w:ascii="Times New Roman" w:hAnsi="Times New Roman" w:cs="Times New Roman"/>
          <w:sz w:val="18"/>
          <w:szCs w:val="18"/>
        </w:rPr>
      </w:pPr>
      <w:r>
        <w:rPr>
          <w:rFonts w:ascii="Times New Roman" w:hAnsi="Times New Roman" w:cs="Times New Roman"/>
          <w:sz w:val="18"/>
          <w:szCs w:val="18"/>
        </w:rPr>
        <w:t>Data taken from the IMF database</w:t>
      </w:r>
    </w:p>
    <w:p w:rsidR="00F567EC" w:rsidRDefault="00F567EC" w:rsidP="004A1EFF">
      <w:pPr>
        <w:rPr>
          <w:rFonts w:ascii="Times New Roman" w:hAnsi="Times New Roman" w:cs="Times New Roman"/>
          <w:sz w:val="24"/>
          <w:szCs w:val="24"/>
        </w:rPr>
      </w:pPr>
    </w:p>
    <w:p w:rsidR="00F567EC" w:rsidRDefault="00F567EC" w:rsidP="004A1EFF">
      <w:pPr>
        <w:rPr>
          <w:rFonts w:ascii="Times New Roman" w:hAnsi="Times New Roman" w:cs="Times New Roman"/>
          <w:sz w:val="24"/>
          <w:szCs w:val="24"/>
        </w:rPr>
      </w:pPr>
    </w:p>
    <w:p w:rsidR="00F567EC" w:rsidRDefault="00F567EC" w:rsidP="004A1EFF">
      <w:pPr>
        <w:rPr>
          <w:rFonts w:ascii="Times New Roman" w:hAnsi="Times New Roman" w:cs="Times New Roman"/>
          <w:sz w:val="24"/>
          <w:szCs w:val="24"/>
        </w:rPr>
      </w:pPr>
    </w:p>
    <w:p w:rsidR="00F567EC" w:rsidRDefault="00F567EC" w:rsidP="004A1EFF">
      <w:pPr>
        <w:rPr>
          <w:rFonts w:ascii="Times New Roman" w:hAnsi="Times New Roman" w:cs="Times New Roman"/>
          <w:sz w:val="24"/>
          <w:szCs w:val="24"/>
        </w:rPr>
      </w:pPr>
    </w:p>
    <w:p w:rsidR="00F567EC" w:rsidRDefault="00F567EC" w:rsidP="004A1EFF">
      <w:pPr>
        <w:rPr>
          <w:rFonts w:ascii="Times New Roman" w:hAnsi="Times New Roman" w:cs="Times New Roman"/>
          <w:sz w:val="24"/>
          <w:szCs w:val="24"/>
        </w:rPr>
      </w:pPr>
    </w:p>
    <w:p w:rsidR="004A1EFF" w:rsidRDefault="004A1EFF" w:rsidP="004A1EFF">
      <w:pPr>
        <w:rPr>
          <w:rFonts w:ascii="Times New Roman" w:hAnsi="Times New Roman" w:cs="Times New Roman"/>
          <w:sz w:val="24"/>
          <w:szCs w:val="24"/>
        </w:rPr>
      </w:pPr>
      <w:r>
        <w:rPr>
          <w:rFonts w:ascii="Times New Roman" w:hAnsi="Times New Roman" w:cs="Times New Roman"/>
          <w:sz w:val="24"/>
          <w:szCs w:val="24"/>
        </w:rPr>
        <w:t xml:space="preserve">In the graphs below we can interestingly notice the evolution of public debt for the ten countries used in our study.   Graphs from 2-11 – Debt to GDP ratio per country </w:t>
      </w:r>
    </w:p>
    <w:p w:rsidR="004A1EFF" w:rsidRDefault="004A1EFF" w:rsidP="004A1EFF">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934335" cy="2115185"/>
            <wp:effectExtent l="0" t="0" r="0" b="0"/>
            <wp:docPr id="2" name="Εικόνα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ascii="Times New Roman" w:hAnsi="Times New Roman" w:cs="Times New Roman"/>
          <w:noProof/>
          <w:sz w:val="24"/>
          <w:szCs w:val="24"/>
        </w:rPr>
        <w:drawing>
          <wp:inline distT="0" distB="0" distL="0" distR="0">
            <wp:extent cx="2966085" cy="2115185"/>
            <wp:effectExtent l="0" t="0" r="0" b="0"/>
            <wp:docPr id="3" name="Εικόνα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1EFF" w:rsidRDefault="004A1EFF" w:rsidP="004A1EFF">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954738" cy="2409246"/>
            <wp:effectExtent l="19050" t="0" r="17062" b="0"/>
            <wp:docPr id="4" name="Εικόνα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Fonts w:ascii="Times New Roman" w:hAnsi="Times New Roman" w:cs="Times New Roman"/>
          <w:noProof/>
          <w:sz w:val="24"/>
          <w:szCs w:val="24"/>
        </w:rPr>
        <w:drawing>
          <wp:inline distT="0" distB="0" distL="0" distR="0">
            <wp:extent cx="2934335" cy="2417445"/>
            <wp:effectExtent l="0" t="0" r="0" b="0"/>
            <wp:docPr id="5" name="Εικόνα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A1EFF" w:rsidRDefault="004A1EFF" w:rsidP="004A1EF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2973705" cy="2425065"/>
            <wp:effectExtent l="0" t="0" r="0" b="0"/>
            <wp:docPr id="6" name="Εικόνα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rFonts w:ascii="Times New Roman" w:hAnsi="Times New Roman" w:cs="Times New Roman"/>
          <w:noProof/>
          <w:sz w:val="24"/>
          <w:szCs w:val="24"/>
        </w:rPr>
        <w:drawing>
          <wp:inline distT="0" distB="0" distL="0" distR="0">
            <wp:extent cx="2867273" cy="2425148"/>
            <wp:effectExtent l="19050" t="0" r="28327" b="0"/>
            <wp:docPr id="7" name="Εικόνα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A1EFF" w:rsidRDefault="004A1EFF" w:rsidP="004A1EFF">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973705" cy="2449195"/>
            <wp:effectExtent l="0" t="0" r="0" b="0"/>
            <wp:docPr id="8" name="Εικόνα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rFonts w:ascii="Times New Roman" w:hAnsi="Times New Roman" w:cs="Times New Roman"/>
          <w:noProof/>
          <w:sz w:val="24"/>
          <w:szCs w:val="24"/>
        </w:rPr>
        <w:drawing>
          <wp:inline distT="0" distB="0" distL="0" distR="0">
            <wp:extent cx="2875225" cy="2464904"/>
            <wp:effectExtent l="19050" t="0" r="20375" b="0"/>
            <wp:docPr id="9" name="Εικόνα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4A1EFF" w:rsidRDefault="004A1EFF" w:rsidP="004A1EFF">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061335" cy="2456815"/>
            <wp:effectExtent l="0" t="0" r="0" b="0"/>
            <wp:docPr id="10" name="Εικόνα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Pr>
          <w:rFonts w:ascii="Times New Roman" w:hAnsi="Times New Roman" w:cs="Times New Roman"/>
          <w:noProof/>
          <w:sz w:val="24"/>
          <w:szCs w:val="24"/>
        </w:rPr>
        <w:drawing>
          <wp:inline distT="0" distB="0" distL="0" distR="0">
            <wp:extent cx="2783205" cy="2456815"/>
            <wp:effectExtent l="0" t="0" r="0" b="0"/>
            <wp:docPr id="11" name="Εικόνα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4A1EFF" w:rsidRDefault="004A1EFF" w:rsidP="004A1EFF">
      <w:pPr>
        <w:jc w:val="center"/>
        <w:rPr>
          <w:rFonts w:ascii="Times New Roman" w:hAnsi="Times New Roman" w:cs="Times New Roman"/>
          <w:sz w:val="18"/>
          <w:szCs w:val="18"/>
        </w:rPr>
      </w:pPr>
      <w:r>
        <w:rPr>
          <w:rFonts w:ascii="Times New Roman" w:hAnsi="Times New Roman" w:cs="Times New Roman"/>
          <w:sz w:val="18"/>
          <w:szCs w:val="18"/>
        </w:rPr>
        <w:t>Data taken from IMF database</w:t>
      </w:r>
    </w:p>
    <w:p w:rsidR="00BE4095" w:rsidRDefault="004A1EFF" w:rsidP="004A1EFF">
      <w:pPr>
        <w:jc w:val="both"/>
        <w:rPr>
          <w:rFonts w:ascii="Times New Roman" w:hAnsi="Times New Roman" w:cs="Times New Roman"/>
          <w:sz w:val="24"/>
          <w:szCs w:val="24"/>
        </w:rPr>
      </w:pPr>
      <w:r>
        <w:rPr>
          <w:rFonts w:ascii="Times New Roman" w:hAnsi="Times New Roman" w:cs="Times New Roman"/>
          <w:sz w:val="24"/>
          <w:szCs w:val="24"/>
        </w:rPr>
        <w:lastRenderedPageBreak/>
        <w:t>Comments on t</w:t>
      </w:r>
      <w:r w:rsidR="000672BC">
        <w:rPr>
          <w:rFonts w:ascii="Times New Roman" w:hAnsi="Times New Roman" w:cs="Times New Roman"/>
          <w:sz w:val="24"/>
          <w:szCs w:val="24"/>
        </w:rPr>
        <w:t>he graphs: Luxemburg although</w:t>
      </w:r>
      <w:r>
        <w:rPr>
          <w:rFonts w:ascii="Times New Roman" w:hAnsi="Times New Roman" w:cs="Times New Roman"/>
          <w:sz w:val="24"/>
          <w:szCs w:val="24"/>
        </w:rPr>
        <w:t xml:space="preserve"> had particularly low public debt level (debt to GDP ratio around 7) till 2007 its debt increased sharply almost quadrupled the next five years. In Finland the debt had a decreasing pattern till 2008 and a considerable opposite trend the years after. The same pattern seems to hold also for the Ne</w:t>
      </w:r>
      <w:r w:rsidR="000672BC">
        <w:rPr>
          <w:rFonts w:ascii="Times New Roman" w:hAnsi="Times New Roman" w:cs="Times New Roman"/>
          <w:sz w:val="24"/>
          <w:szCs w:val="24"/>
        </w:rPr>
        <w:t>therlands that its debt level was</w:t>
      </w:r>
      <w:r>
        <w:rPr>
          <w:rFonts w:ascii="Times New Roman" w:hAnsi="Times New Roman" w:cs="Times New Roman"/>
          <w:sz w:val="24"/>
          <w:szCs w:val="24"/>
        </w:rPr>
        <w:t xml:space="preserve"> almost constant till 2005, decreasing for the next two years till 2007 and increasing afterwards. Considering the case of</w:t>
      </w:r>
      <w:r w:rsidR="000672BC">
        <w:rPr>
          <w:rFonts w:ascii="Times New Roman" w:hAnsi="Times New Roman" w:cs="Times New Roman"/>
          <w:sz w:val="24"/>
          <w:szCs w:val="24"/>
        </w:rPr>
        <w:t xml:space="preserve"> Germany its debt is </w:t>
      </w:r>
      <w:r>
        <w:rPr>
          <w:rFonts w:ascii="Times New Roman" w:hAnsi="Times New Roman" w:cs="Times New Roman"/>
          <w:sz w:val="24"/>
          <w:szCs w:val="24"/>
        </w:rPr>
        <w:t xml:space="preserve">steadily </w:t>
      </w:r>
      <w:r w:rsidR="000672BC">
        <w:rPr>
          <w:rFonts w:ascii="Times New Roman" w:hAnsi="Times New Roman" w:cs="Times New Roman"/>
          <w:sz w:val="24"/>
          <w:szCs w:val="24"/>
        </w:rPr>
        <w:t>increasing till 2006 follows</w:t>
      </w:r>
      <w:r>
        <w:rPr>
          <w:rFonts w:ascii="Times New Roman" w:hAnsi="Times New Roman" w:cs="Times New Roman"/>
          <w:sz w:val="24"/>
          <w:szCs w:val="24"/>
        </w:rPr>
        <w:t xml:space="preserve"> an opposite pat</w:t>
      </w:r>
      <w:r w:rsidR="000672BC">
        <w:rPr>
          <w:rFonts w:ascii="Times New Roman" w:hAnsi="Times New Roman" w:cs="Times New Roman"/>
          <w:sz w:val="24"/>
          <w:szCs w:val="24"/>
        </w:rPr>
        <w:t>tern the period within 2006-2008 while increases till 2010</w:t>
      </w:r>
      <w:r>
        <w:rPr>
          <w:rFonts w:ascii="Times New Roman" w:hAnsi="Times New Roman" w:cs="Times New Roman"/>
          <w:sz w:val="24"/>
          <w:szCs w:val="24"/>
        </w:rPr>
        <w:t xml:space="preserve"> and decreases afterwards. The debt to GDP ratio in Austria is almost steady till 2007, increases till 2010 and experiences a diminishing trend afterwards. Regarding the public debt for the French economy we can notice interestingly that it is characterized by a constant increasing trend the whole peri</w:t>
      </w:r>
      <w:r w:rsidR="00BE4095">
        <w:rPr>
          <w:rFonts w:ascii="Times New Roman" w:hAnsi="Times New Roman" w:cs="Times New Roman"/>
          <w:sz w:val="24"/>
          <w:szCs w:val="24"/>
        </w:rPr>
        <w:t>od under examination</w:t>
      </w:r>
      <w:r>
        <w:rPr>
          <w:rFonts w:ascii="Times New Roman" w:hAnsi="Times New Roman" w:cs="Times New Roman"/>
          <w:sz w:val="24"/>
          <w:szCs w:val="24"/>
        </w:rPr>
        <w:t xml:space="preserve"> with only exception a slight decrease during </w:t>
      </w:r>
      <w:r w:rsidR="00BE4095">
        <w:rPr>
          <w:rFonts w:ascii="Times New Roman" w:hAnsi="Times New Roman" w:cs="Times New Roman"/>
          <w:sz w:val="24"/>
          <w:szCs w:val="24"/>
        </w:rPr>
        <w:t xml:space="preserve">the period </w:t>
      </w:r>
      <w:r>
        <w:rPr>
          <w:rFonts w:ascii="Times New Roman" w:hAnsi="Times New Roman" w:cs="Times New Roman"/>
          <w:sz w:val="24"/>
          <w:szCs w:val="24"/>
        </w:rPr>
        <w:t>2005-2007. Furthermore, the Belgian economy is being characterized by a diminishing debt to GDP ratio till 2006 and an opposite trend afterwards. The development of the Irish public debt level is especially remarkable. As we can observe the public debt that was decreasing till 2007 experienced an explosive increase the years after. Specifically, the debt to GDP ratio raised from 24 the year 2007 to 123</w:t>
      </w:r>
      <w:proofErr w:type="gramStart"/>
      <w:r>
        <w:rPr>
          <w:rFonts w:ascii="Times New Roman" w:hAnsi="Times New Roman" w:cs="Times New Roman"/>
          <w:sz w:val="24"/>
          <w:szCs w:val="24"/>
        </w:rPr>
        <w:t>,3</w:t>
      </w:r>
      <w:proofErr w:type="gramEnd"/>
      <w:r>
        <w:rPr>
          <w:rFonts w:ascii="Times New Roman" w:hAnsi="Times New Roman" w:cs="Times New Roman"/>
          <w:sz w:val="24"/>
          <w:szCs w:val="24"/>
        </w:rPr>
        <w:t xml:space="preserve"> the year 2013. The Italian government debt while considerably high was almost constant till 2008 obtaining a raising trend afterwards. Lastly the Portuguese economy experiences a constant and considerable increasing trend in the debt to GDP ratio. The corresponding ratio was 48 on 2000 and 130 on 2013.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From the above analysis we can observe that the low debt countries experienced a considerable increase at their debt level after 2007 with the outburst of the economic crisis. On the contrary, the more indebted countries that their economies were being characterized by a constant</w:t>
      </w:r>
      <w:r w:rsidR="00BE4095">
        <w:rPr>
          <w:rFonts w:ascii="Times New Roman" w:hAnsi="Times New Roman" w:cs="Times New Roman"/>
          <w:sz w:val="24"/>
          <w:szCs w:val="24"/>
        </w:rPr>
        <w:t>ly</w:t>
      </w:r>
      <w:r>
        <w:rPr>
          <w:rFonts w:ascii="Times New Roman" w:hAnsi="Times New Roman" w:cs="Times New Roman"/>
          <w:sz w:val="24"/>
          <w:szCs w:val="24"/>
        </w:rPr>
        <w:t xml:space="preserve"> increasing trend in their debt level or by already excessively high debt levels experienced derailment of their debt after the outbreak of the crisis.</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Before </w:t>
      </w:r>
      <w:r w:rsidR="00026401">
        <w:rPr>
          <w:rFonts w:ascii="Times New Roman" w:hAnsi="Times New Roman" w:cs="Times New Roman"/>
          <w:sz w:val="24"/>
          <w:szCs w:val="24"/>
        </w:rPr>
        <w:t>conducting the main analysis</w:t>
      </w:r>
      <w:r>
        <w:rPr>
          <w:rFonts w:ascii="Times New Roman" w:hAnsi="Times New Roman" w:cs="Times New Roman"/>
          <w:sz w:val="24"/>
          <w:szCs w:val="24"/>
        </w:rPr>
        <w:t xml:space="preserve"> testing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estimating the private consumption function we will first try to detect any possible indication of validity investigating the gross public and private savings both graphically and quantitatively.</w:t>
      </w:r>
    </w:p>
    <w:p w:rsidR="00026401" w:rsidRDefault="004A1EFF" w:rsidP="004A1EFF">
      <w:pPr>
        <w:jc w:val="both"/>
        <w:rPr>
          <w:rFonts w:ascii="Times New Roman" w:hAnsi="Times New Roman" w:cs="Times New Roman"/>
          <w:sz w:val="24"/>
          <w:szCs w:val="24"/>
        </w:rPr>
      </w:pPr>
      <w:r w:rsidRPr="00026401">
        <w:rPr>
          <w:rFonts w:ascii="Times New Roman" w:hAnsi="Times New Roman" w:cs="Times New Roman"/>
          <w:sz w:val="24"/>
          <w:szCs w:val="24"/>
          <w:u w:val="single"/>
        </w:rPr>
        <w:t>Graphical Approach</w:t>
      </w:r>
      <w:r>
        <w:rPr>
          <w:rFonts w:ascii="Times New Roman" w:hAnsi="Times New Roman" w:cs="Times New Roman"/>
          <w:sz w:val="24"/>
          <w:szCs w:val="24"/>
        </w:rPr>
        <w:t xml:space="preserve">: </w:t>
      </w:r>
    </w:p>
    <w:p w:rsidR="005312FC" w:rsidRDefault="004A1EFF" w:rsidP="005312FC">
      <w:pPr>
        <w:jc w:val="both"/>
        <w:rPr>
          <w:rFonts w:ascii="Times New Roman" w:hAnsi="Times New Roman" w:cs="Times New Roman"/>
          <w:sz w:val="24"/>
          <w:szCs w:val="24"/>
        </w:rPr>
      </w:pPr>
      <w:r>
        <w:rPr>
          <w:rFonts w:ascii="Times New Roman" w:hAnsi="Times New Roman" w:cs="Times New Roman"/>
          <w:sz w:val="24"/>
          <w:szCs w:val="24"/>
        </w:rPr>
        <w:t>The objective of this method is to reveal any offsetting</w:t>
      </w:r>
      <w:r w:rsidR="00026401">
        <w:rPr>
          <w:rFonts w:ascii="Times New Roman" w:hAnsi="Times New Roman" w:cs="Times New Roman"/>
          <w:sz w:val="24"/>
          <w:szCs w:val="24"/>
        </w:rPr>
        <w:t xml:space="preserve"> trends – negative relationship</w:t>
      </w:r>
      <w:r>
        <w:rPr>
          <w:rFonts w:ascii="Times New Roman" w:hAnsi="Times New Roman" w:cs="Times New Roman"/>
          <w:sz w:val="24"/>
          <w:szCs w:val="24"/>
        </w:rPr>
        <w:t xml:space="preserve"> between the gross public </w:t>
      </w:r>
      <w:r w:rsidR="00026401">
        <w:rPr>
          <w:rFonts w:ascii="Times New Roman" w:hAnsi="Times New Roman" w:cs="Times New Roman"/>
          <w:sz w:val="24"/>
          <w:szCs w:val="24"/>
        </w:rPr>
        <w:t xml:space="preserve">and private </w:t>
      </w:r>
      <w:r>
        <w:rPr>
          <w:rFonts w:ascii="Times New Roman" w:hAnsi="Times New Roman" w:cs="Times New Roman"/>
          <w:sz w:val="24"/>
          <w:szCs w:val="24"/>
        </w:rPr>
        <w:t>saving</w:t>
      </w:r>
      <w:r w:rsidR="00026401">
        <w:rPr>
          <w:rFonts w:ascii="Times New Roman" w:hAnsi="Times New Roman" w:cs="Times New Roman"/>
          <w:sz w:val="24"/>
          <w:szCs w:val="24"/>
        </w:rPr>
        <w:t xml:space="preserve">s </w:t>
      </w:r>
      <w:r>
        <w:rPr>
          <w:rFonts w:ascii="Times New Roman" w:hAnsi="Times New Roman" w:cs="Times New Roman"/>
          <w:sz w:val="24"/>
          <w:szCs w:val="24"/>
        </w:rPr>
        <w:t xml:space="preserve">implying possible validity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The logic behind this argument is that according to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view the decrease in public savings derived from a deficit </w:t>
      </w:r>
      <w:r w:rsidR="003F7E82">
        <w:rPr>
          <w:rFonts w:ascii="Times New Roman" w:hAnsi="Times New Roman" w:cs="Times New Roman"/>
          <w:sz w:val="24"/>
          <w:szCs w:val="24"/>
        </w:rPr>
        <w:t xml:space="preserve">financed tax cut or </w:t>
      </w:r>
      <w:r>
        <w:rPr>
          <w:rFonts w:ascii="Times New Roman" w:hAnsi="Times New Roman" w:cs="Times New Roman"/>
          <w:sz w:val="24"/>
          <w:szCs w:val="24"/>
        </w:rPr>
        <w:t xml:space="preserve">government expenditures </w:t>
      </w:r>
      <w:r w:rsidR="003F7E82">
        <w:rPr>
          <w:rFonts w:ascii="Times New Roman" w:hAnsi="Times New Roman" w:cs="Times New Roman"/>
          <w:sz w:val="24"/>
          <w:szCs w:val="24"/>
        </w:rPr>
        <w:t xml:space="preserve">increase </w:t>
      </w:r>
      <w:r>
        <w:rPr>
          <w:rFonts w:ascii="Times New Roman" w:hAnsi="Times New Roman" w:cs="Times New Roman"/>
          <w:sz w:val="24"/>
          <w:szCs w:val="24"/>
        </w:rPr>
        <w:t>will be accompanied by a raise in private savings since the consumers are concerned about the future tax liabilities that these policies will induce. In order to continue with this analysis we will simultaneously observe the evo</w:t>
      </w:r>
      <w:r w:rsidR="00026401">
        <w:rPr>
          <w:rFonts w:ascii="Times New Roman" w:hAnsi="Times New Roman" w:cs="Times New Roman"/>
          <w:sz w:val="24"/>
          <w:szCs w:val="24"/>
        </w:rPr>
        <w:t>lution of gross public and</w:t>
      </w:r>
      <w:r>
        <w:rPr>
          <w:rFonts w:ascii="Times New Roman" w:hAnsi="Times New Roman" w:cs="Times New Roman"/>
          <w:sz w:val="24"/>
          <w:szCs w:val="24"/>
        </w:rPr>
        <w:t xml:space="preserve"> private savings for each country for the period within 1995 and 2014</w:t>
      </w:r>
      <w:r w:rsidR="003F7E82">
        <w:rPr>
          <w:rFonts w:ascii="Times New Roman" w:hAnsi="Times New Roman" w:cs="Times New Roman"/>
          <w:sz w:val="24"/>
          <w:szCs w:val="24"/>
        </w:rPr>
        <w:t xml:space="preserve"> both in levels and in first difference approach</w:t>
      </w:r>
      <w:r>
        <w:rPr>
          <w:rFonts w:ascii="Times New Roman" w:hAnsi="Times New Roman" w:cs="Times New Roman"/>
          <w:sz w:val="24"/>
          <w:szCs w:val="24"/>
        </w:rPr>
        <w:t xml:space="preserve">. We can </w:t>
      </w:r>
      <w:r w:rsidR="003F7E82">
        <w:rPr>
          <w:rFonts w:ascii="Times New Roman" w:hAnsi="Times New Roman" w:cs="Times New Roman"/>
          <w:sz w:val="24"/>
          <w:szCs w:val="24"/>
        </w:rPr>
        <w:t>clearly notice that the</w:t>
      </w:r>
      <w:r>
        <w:rPr>
          <w:rFonts w:ascii="Times New Roman" w:hAnsi="Times New Roman" w:cs="Times New Roman"/>
          <w:sz w:val="24"/>
          <w:szCs w:val="24"/>
        </w:rPr>
        <w:t xml:space="preserve"> offsetting trend</w:t>
      </w:r>
      <w:r w:rsidR="003F7E82">
        <w:rPr>
          <w:rFonts w:ascii="Times New Roman" w:hAnsi="Times New Roman" w:cs="Times New Roman"/>
          <w:sz w:val="24"/>
          <w:szCs w:val="24"/>
        </w:rPr>
        <w:t>s are more easily detected from the g</w:t>
      </w:r>
      <w:r>
        <w:rPr>
          <w:rFonts w:ascii="Times New Roman" w:hAnsi="Times New Roman" w:cs="Times New Roman"/>
          <w:sz w:val="24"/>
          <w:szCs w:val="24"/>
        </w:rPr>
        <w:t>raphs</w:t>
      </w:r>
      <w:r w:rsidR="003F7E82">
        <w:rPr>
          <w:rFonts w:ascii="Times New Roman" w:hAnsi="Times New Roman" w:cs="Times New Roman"/>
          <w:sz w:val="24"/>
          <w:szCs w:val="24"/>
        </w:rPr>
        <w:t xml:space="preserve"> 22-31 that illustrate the G</w:t>
      </w:r>
      <w:r>
        <w:rPr>
          <w:rFonts w:ascii="Times New Roman" w:hAnsi="Times New Roman" w:cs="Times New Roman"/>
          <w:sz w:val="24"/>
          <w:szCs w:val="24"/>
        </w:rPr>
        <w:t>ross Public and Pr</w:t>
      </w:r>
      <w:r w:rsidR="003F7E82">
        <w:rPr>
          <w:rFonts w:ascii="Times New Roman" w:hAnsi="Times New Roman" w:cs="Times New Roman"/>
          <w:sz w:val="24"/>
          <w:szCs w:val="24"/>
        </w:rPr>
        <w:t>ivate savings in first difference</w:t>
      </w:r>
      <w:r>
        <w:rPr>
          <w:rFonts w:ascii="Times New Roman" w:hAnsi="Times New Roman" w:cs="Times New Roman"/>
          <w:sz w:val="24"/>
          <w:szCs w:val="24"/>
        </w:rPr>
        <w:t>. Data on Gross Publi</w:t>
      </w:r>
      <w:r w:rsidR="0040319D">
        <w:rPr>
          <w:rFonts w:ascii="Times New Roman" w:hAnsi="Times New Roman" w:cs="Times New Roman"/>
          <w:sz w:val="24"/>
          <w:szCs w:val="24"/>
        </w:rPr>
        <w:t>c,</w:t>
      </w:r>
      <w:r w:rsidR="003F7E82">
        <w:rPr>
          <w:rFonts w:ascii="Times New Roman" w:hAnsi="Times New Roman" w:cs="Times New Roman"/>
          <w:sz w:val="24"/>
          <w:szCs w:val="24"/>
        </w:rPr>
        <w:t xml:space="preserve"> Private </w:t>
      </w:r>
      <w:r w:rsidR="0040319D">
        <w:rPr>
          <w:rFonts w:ascii="Times New Roman" w:hAnsi="Times New Roman" w:cs="Times New Roman"/>
          <w:sz w:val="24"/>
          <w:szCs w:val="24"/>
        </w:rPr>
        <w:t xml:space="preserve">and National </w:t>
      </w:r>
      <w:r w:rsidR="003F7E82">
        <w:rPr>
          <w:rFonts w:ascii="Times New Roman" w:hAnsi="Times New Roman" w:cs="Times New Roman"/>
          <w:sz w:val="24"/>
          <w:szCs w:val="24"/>
        </w:rPr>
        <w:lastRenderedPageBreak/>
        <w:t>savings were extracted</w:t>
      </w:r>
      <w:r>
        <w:rPr>
          <w:rFonts w:ascii="Times New Roman" w:hAnsi="Times New Roman" w:cs="Times New Roman"/>
          <w:sz w:val="24"/>
          <w:szCs w:val="24"/>
        </w:rPr>
        <w:t xml:space="preserve"> from the European Commission, Econom</w:t>
      </w:r>
      <w:r w:rsidR="003F7E82">
        <w:rPr>
          <w:rFonts w:ascii="Times New Roman" w:hAnsi="Times New Roman" w:cs="Times New Roman"/>
          <w:sz w:val="24"/>
          <w:szCs w:val="24"/>
        </w:rPr>
        <w:t xml:space="preserve">ic </w:t>
      </w:r>
      <w:r w:rsidR="005312FC">
        <w:rPr>
          <w:rFonts w:ascii="Times New Roman" w:hAnsi="Times New Roman" w:cs="Times New Roman"/>
          <w:sz w:val="24"/>
          <w:szCs w:val="24"/>
        </w:rPr>
        <w:t>and Financial Affairs database.</w:t>
      </w:r>
    </w:p>
    <w:p w:rsidR="005312FC" w:rsidRDefault="005312FC" w:rsidP="005312FC">
      <w:pPr>
        <w:jc w:val="both"/>
        <w:rPr>
          <w:rFonts w:ascii="Times New Roman" w:hAnsi="Times New Roman" w:cs="Times New Roman"/>
          <w:sz w:val="24"/>
          <w:szCs w:val="24"/>
        </w:rPr>
      </w:pPr>
    </w:p>
    <w:p w:rsidR="005312FC" w:rsidRDefault="005312FC" w:rsidP="005312FC">
      <w:pPr>
        <w:jc w:val="both"/>
        <w:rPr>
          <w:rFonts w:ascii="Times New Roman" w:hAnsi="Times New Roman" w:cs="Times New Roman"/>
          <w:sz w:val="24"/>
          <w:szCs w:val="24"/>
        </w:rPr>
      </w:pPr>
    </w:p>
    <w:p w:rsidR="005312FC" w:rsidRDefault="005312FC" w:rsidP="005312FC">
      <w:pPr>
        <w:jc w:val="both"/>
        <w:rPr>
          <w:rFonts w:ascii="Times New Roman" w:hAnsi="Times New Roman" w:cs="Times New Roman"/>
          <w:sz w:val="24"/>
          <w:szCs w:val="24"/>
        </w:rPr>
      </w:pPr>
    </w:p>
    <w:p w:rsidR="005312FC" w:rsidRDefault="005312FC" w:rsidP="005312FC">
      <w:pPr>
        <w:jc w:val="both"/>
        <w:rPr>
          <w:rFonts w:ascii="Times New Roman" w:hAnsi="Times New Roman" w:cs="Times New Roman"/>
          <w:sz w:val="24"/>
          <w:szCs w:val="24"/>
        </w:rPr>
      </w:pPr>
    </w:p>
    <w:p w:rsidR="005312FC" w:rsidRDefault="005312FC" w:rsidP="005312FC">
      <w:pPr>
        <w:jc w:val="both"/>
        <w:rPr>
          <w:rFonts w:ascii="Times New Roman" w:hAnsi="Times New Roman" w:cs="Times New Roman"/>
          <w:sz w:val="24"/>
          <w:szCs w:val="24"/>
        </w:rPr>
      </w:pPr>
    </w:p>
    <w:p w:rsidR="005312FC" w:rsidRDefault="005312FC" w:rsidP="005312FC">
      <w:pPr>
        <w:jc w:val="both"/>
        <w:rPr>
          <w:rFonts w:ascii="Times New Roman" w:hAnsi="Times New Roman" w:cs="Times New Roman"/>
          <w:sz w:val="24"/>
          <w:szCs w:val="24"/>
        </w:rPr>
      </w:pPr>
    </w:p>
    <w:p w:rsidR="00F567EC" w:rsidRDefault="00F567EC" w:rsidP="005312FC">
      <w:pPr>
        <w:jc w:val="center"/>
        <w:rPr>
          <w:rFonts w:ascii="Times New Roman" w:hAnsi="Times New Roman" w:cs="Times New Roman"/>
          <w:sz w:val="24"/>
          <w:szCs w:val="24"/>
        </w:rPr>
      </w:pPr>
    </w:p>
    <w:p w:rsidR="004A1EFF" w:rsidRDefault="004A1EFF" w:rsidP="005312FC">
      <w:pPr>
        <w:jc w:val="center"/>
        <w:rPr>
          <w:rFonts w:ascii="Times New Roman" w:hAnsi="Times New Roman" w:cs="Times New Roman"/>
          <w:sz w:val="24"/>
          <w:szCs w:val="24"/>
        </w:rPr>
      </w:pPr>
      <w:r>
        <w:rPr>
          <w:rFonts w:ascii="Times New Roman" w:hAnsi="Times New Roman" w:cs="Times New Roman"/>
          <w:sz w:val="24"/>
          <w:szCs w:val="24"/>
        </w:rPr>
        <w:t>Graphs 12-21 Gross Public and Private Savings for each country</w:t>
      </w:r>
    </w:p>
    <w:p w:rsidR="004A1EFF" w:rsidRDefault="004A1EFF" w:rsidP="004A1EFF">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854325" cy="2115185"/>
            <wp:effectExtent l="0" t="0" r="0" b="0"/>
            <wp:docPr id="12" name="Γράφημα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Pr>
          <w:rFonts w:ascii="Times New Roman" w:hAnsi="Times New Roman" w:cs="Times New Roman"/>
          <w:noProof/>
          <w:sz w:val="24"/>
          <w:szCs w:val="24"/>
        </w:rPr>
        <w:drawing>
          <wp:inline distT="0" distB="0" distL="0" distR="0">
            <wp:extent cx="2854325" cy="2106930"/>
            <wp:effectExtent l="0" t="0" r="0" b="0"/>
            <wp:docPr id="13" name="Εικόνα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4A1EFF" w:rsidRDefault="004A1EFF" w:rsidP="004A1EFF">
      <w:pPr>
        <w:rPr>
          <w:rFonts w:ascii="Times New Roman" w:hAnsi="Times New Roman" w:cs="Times New Roman"/>
          <w:sz w:val="24"/>
          <w:szCs w:val="24"/>
        </w:rPr>
      </w:pPr>
    </w:p>
    <w:p w:rsidR="004A1EFF" w:rsidRDefault="004A1EFF" w:rsidP="004A1EFF">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854325" cy="2122805"/>
            <wp:effectExtent l="0" t="0" r="0" b="0"/>
            <wp:docPr id="14" name="Εικόνα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Pr>
          <w:rFonts w:ascii="Times New Roman" w:hAnsi="Times New Roman" w:cs="Times New Roman"/>
          <w:noProof/>
          <w:sz w:val="24"/>
          <w:szCs w:val="24"/>
        </w:rPr>
        <w:drawing>
          <wp:inline distT="0" distB="0" distL="0" distR="0">
            <wp:extent cx="2854325" cy="2122805"/>
            <wp:effectExtent l="0" t="0" r="0" b="0"/>
            <wp:docPr id="15" name="Εικόνα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4A1EFF" w:rsidRDefault="004A1EFF" w:rsidP="004A1EF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2894330" cy="2258060"/>
            <wp:effectExtent l="0" t="0" r="0" b="0"/>
            <wp:docPr id="16" name="Εικόνα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Pr>
          <w:rFonts w:ascii="Times New Roman" w:hAnsi="Times New Roman" w:cs="Times New Roman"/>
          <w:noProof/>
          <w:sz w:val="24"/>
          <w:szCs w:val="24"/>
        </w:rPr>
        <w:drawing>
          <wp:inline distT="0" distB="0" distL="0" distR="0">
            <wp:extent cx="2989580" cy="2258060"/>
            <wp:effectExtent l="0" t="0" r="0" b="0"/>
            <wp:docPr id="17" name="Εικόνα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4A1EFF" w:rsidRDefault="004A1EFF" w:rsidP="004A1EFF">
      <w:pPr>
        <w:rPr>
          <w:rFonts w:ascii="Times New Roman" w:hAnsi="Times New Roman" w:cs="Times New Roman"/>
          <w:sz w:val="24"/>
          <w:szCs w:val="24"/>
        </w:rPr>
      </w:pPr>
    </w:p>
    <w:p w:rsidR="004A1EFF" w:rsidRDefault="004A1EFF" w:rsidP="004A1EFF">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894330" cy="2273935"/>
            <wp:effectExtent l="0" t="0" r="0" b="0"/>
            <wp:docPr id="18" name="Γράφημα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Pr>
          <w:rFonts w:ascii="Times New Roman" w:hAnsi="Times New Roman" w:cs="Times New Roman"/>
          <w:noProof/>
          <w:sz w:val="24"/>
          <w:szCs w:val="24"/>
        </w:rPr>
        <w:drawing>
          <wp:inline distT="0" distB="0" distL="0" distR="0">
            <wp:extent cx="2989580" cy="2273935"/>
            <wp:effectExtent l="0" t="0" r="0" b="0"/>
            <wp:docPr id="19" name="Γράφημα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4A1EFF" w:rsidRDefault="004A1EFF" w:rsidP="004A1EFF">
      <w:pPr>
        <w:rPr>
          <w:rFonts w:ascii="Times New Roman" w:hAnsi="Times New Roman" w:cs="Times New Roman"/>
          <w:sz w:val="24"/>
          <w:szCs w:val="24"/>
        </w:rPr>
      </w:pPr>
    </w:p>
    <w:p w:rsidR="004A1EFF" w:rsidRDefault="004A1EFF" w:rsidP="00BE4095">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894330" cy="2345690"/>
            <wp:effectExtent l="0" t="0" r="0" b="0"/>
            <wp:docPr id="20" name="Γράφημα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Pr>
          <w:rFonts w:ascii="Times New Roman" w:hAnsi="Times New Roman" w:cs="Times New Roman"/>
          <w:noProof/>
          <w:sz w:val="24"/>
          <w:szCs w:val="24"/>
        </w:rPr>
        <w:drawing>
          <wp:inline distT="0" distB="0" distL="0" distR="0">
            <wp:extent cx="2989580" cy="2345690"/>
            <wp:effectExtent l="0" t="0" r="0" b="0"/>
            <wp:docPr id="21" name="Γράφημα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1A060A" w:rsidRDefault="001A060A" w:rsidP="004A1EFF">
      <w:pPr>
        <w:jc w:val="center"/>
        <w:rPr>
          <w:rFonts w:ascii="Times New Roman" w:hAnsi="Times New Roman" w:cs="Times New Roman"/>
          <w:sz w:val="24"/>
          <w:szCs w:val="24"/>
        </w:rPr>
      </w:pPr>
    </w:p>
    <w:p w:rsidR="004A1EFF" w:rsidRDefault="004A1EFF" w:rsidP="004A1EFF">
      <w:pPr>
        <w:jc w:val="center"/>
        <w:rPr>
          <w:rFonts w:ascii="Times New Roman" w:hAnsi="Times New Roman" w:cs="Times New Roman"/>
          <w:sz w:val="24"/>
          <w:szCs w:val="24"/>
        </w:rPr>
      </w:pPr>
      <w:r>
        <w:rPr>
          <w:rFonts w:ascii="Times New Roman" w:hAnsi="Times New Roman" w:cs="Times New Roman"/>
          <w:sz w:val="24"/>
          <w:szCs w:val="24"/>
        </w:rPr>
        <w:lastRenderedPageBreak/>
        <w:t>Graphs 22-31 Gross Public an</w:t>
      </w:r>
      <w:r w:rsidR="003F7E82">
        <w:rPr>
          <w:rFonts w:ascii="Times New Roman" w:hAnsi="Times New Roman" w:cs="Times New Roman"/>
          <w:sz w:val="24"/>
          <w:szCs w:val="24"/>
        </w:rPr>
        <w:t>d Private Savings in first Difference</w:t>
      </w:r>
      <w:r>
        <w:rPr>
          <w:rFonts w:ascii="Times New Roman" w:hAnsi="Times New Roman" w:cs="Times New Roman"/>
          <w:sz w:val="24"/>
          <w:szCs w:val="24"/>
        </w:rPr>
        <w:t xml:space="preserve"> for each country</w:t>
      </w:r>
    </w:p>
    <w:p w:rsidR="004A1EFF" w:rsidRDefault="004A1EFF" w:rsidP="004A1EFF">
      <w:r>
        <w:rPr>
          <w:noProof/>
        </w:rPr>
        <w:drawing>
          <wp:inline distT="0" distB="0" distL="0" distR="0">
            <wp:extent cx="2894275" cy="2361538"/>
            <wp:effectExtent l="19050" t="0" r="20375" b="662"/>
            <wp:docPr id="22" name="Γράφημα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rPr>
          <w:noProof/>
        </w:rPr>
        <w:drawing>
          <wp:inline distT="0" distB="0" distL="0" distR="0">
            <wp:extent cx="2973705" cy="2361565"/>
            <wp:effectExtent l="0" t="0" r="0" b="0"/>
            <wp:docPr id="23" name="Γράφημα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4A1EFF" w:rsidRDefault="004A1EFF" w:rsidP="004A1EFF">
      <w:r>
        <w:rPr>
          <w:noProof/>
        </w:rPr>
        <w:drawing>
          <wp:inline distT="0" distB="0" distL="0" distR="0">
            <wp:extent cx="2934335" cy="2512695"/>
            <wp:effectExtent l="0" t="0" r="0" b="0"/>
            <wp:docPr id="24" name="Γράφημα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rPr>
          <w:noProof/>
        </w:rPr>
        <w:drawing>
          <wp:inline distT="0" distB="0" distL="0" distR="0">
            <wp:extent cx="2934335" cy="2512695"/>
            <wp:effectExtent l="19050" t="0" r="18415" b="1905"/>
            <wp:docPr id="25" name="Γράφημα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4A1EFF" w:rsidRDefault="004A1EFF" w:rsidP="004A1EFF">
      <w:r>
        <w:rPr>
          <w:noProof/>
        </w:rPr>
        <w:drawing>
          <wp:inline distT="0" distB="0" distL="0" distR="0">
            <wp:extent cx="2934335" cy="2600325"/>
            <wp:effectExtent l="0" t="0" r="0" b="0"/>
            <wp:docPr id="26" name="Γράφημα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rPr>
          <w:noProof/>
        </w:rPr>
        <w:drawing>
          <wp:inline distT="0" distB="0" distL="0" distR="0">
            <wp:extent cx="2950210" cy="2600325"/>
            <wp:effectExtent l="0" t="0" r="0" b="0"/>
            <wp:docPr id="27" name="Γράφημα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4A1EFF" w:rsidRDefault="004A1EFF" w:rsidP="004A1EFF">
      <w:r>
        <w:rPr>
          <w:noProof/>
        </w:rPr>
        <w:lastRenderedPageBreak/>
        <w:drawing>
          <wp:inline distT="0" distB="0" distL="0" distR="0">
            <wp:extent cx="2914981" cy="2600077"/>
            <wp:effectExtent l="19050" t="0" r="18719" b="0"/>
            <wp:docPr id="28" name="Γράφημα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rPr>
          <w:noProof/>
        </w:rPr>
        <w:drawing>
          <wp:inline distT="0" distB="0" distL="0" distR="0">
            <wp:extent cx="2914981" cy="2600077"/>
            <wp:effectExtent l="19050" t="0" r="18719" b="0"/>
            <wp:docPr id="29" name="Γράφημα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4A1EFF" w:rsidRDefault="004A1EFF" w:rsidP="004A1EFF">
      <w:r>
        <w:rPr>
          <w:noProof/>
        </w:rPr>
        <w:drawing>
          <wp:inline distT="0" distB="0" distL="0" distR="0">
            <wp:extent cx="2894330" cy="2751455"/>
            <wp:effectExtent l="0" t="0" r="0" b="0"/>
            <wp:docPr id="30" name="Γράφημα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rPr>
          <w:noProof/>
        </w:rPr>
        <w:drawing>
          <wp:inline distT="0" distB="0" distL="0" distR="0">
            <wp:extent cx="2878455" cy="2751455"/>
            <wp:effectExtent l="0" t="0" r="0" b="0"/>
            <wp:docPr id="31" name="Γράφημα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872E29" w:rsidRDefault="00872E29" w:rsidP="004A1EFF">
      <w:pPr>
        <w:jc w:val="both"/>
        <w:rPr>
          <w:rFonts w:ascii="Times New Roman" w:hAnsi="Times New Roman" w:cs="Times New Roman"/>
          <w:sz w:val="24"/>
          <w:szCs w:val="24"/>
        </w:rPr>
      </w:pPr>
    </w:p>
    <w:p w:rsidR="004A1EFF" w:rsidRDefault="008B60A7" w:rsidP="004A1EFF">
      <w:pPr>
        <w:jc w:val="both"/>
        <w:rPr>
          <w:rFonts w:ascii="Times New Roman" w:hAnsi="Times New Roman" w:cs="Times New Roman"/>
          <w:sz w:val="24"/>
          <w:szCs w:val="24"/>
        </w:rPr>
      </w:pPr>
      <w:r>
        <w:rPr>
          <w:rFonts w:ascii="Times New Roman" w:hAnsi="Times New Roman" w:cs="Times New Roman"/>
          <w:sz w:val="24"/>
          <w:szCs w:val="24"/>
        </w:rPr>
        <w:t xml:space="preserve">From the </w:t>
      </w:r>
      <w:r w:rsidR="004A1EFF">
        <w:rPr>
          <w:rFonts w:ascii="Times New Roman" w:hAnsi="Times New Roman" w:cs="Times New Roman"/>
          <w:sz w:val="24"/>
          <w:szCs w:val="24"/>
        </w:rPr>
        <w:t xml:space="preserve">graphs </w:t>
      </w:r>
      <w:r>
        <w:rPr>
          <w:rFonts w:ascii="Times New Roman" w:hAnsi="Times New Roman" w:cs="Times New Roman"/>
          <w:sz w:val="24"/>
          <w:szCs w:val="24"/>
        </w:rPr>
        <w:t xml:space="preserve">above </w:t>
      </w:r>
      <w:r w:rsidR="004A1EFF">
        <w:rPr>
          <w:rFonts w:ascii="Times New Roman" w:hAnsi="Times New Roman" w:cs="Times New Roman"/>
          <w:sz w:val="24"/>
          <w:szCs w:val="24"/>
        </w:rPr>
        <w:t>we observe that the offsetting</w:t>
      </w:r>
      <w:r>
        <w:rPr>
          <w:rFonts w:ascii="Times New Roman" w:hAnsi="Times New Roman" w:cs="Times New Roman"/>
          <w:sz w:val="24"/>
          <w:szCs w:val="24"/>
        </w:rPr>
        <w:t xml:space="preserve"> trend – the </w:t>
      </w:r>
      <w:r w:rsidR="004A1EFF">
        <w:rPr>
          <w:rFonts w:ascii="Times New Roman" w:hAnsi="Times New Roman" w:cs="Times New Roman"/>
          <w:sz w:val="24"/>
          <w:szCs w:val="24"/>
        </w:rPr>
        <w:t>negative relationship between the gross public and</w:t>
      </w:r>
      <w:r>
        <w:rPr>
          <w:rFonts w:ascii="Times New Roman" w:hAnsi="Times New Roman" w:cs="Times New Roman"/>
          <w:sz w:val="24"/>
          <w:szCs w:val="24"/>
        </w:rPr>
        <w:t xml:space="preserve"> private savings is more obvious</w:t>
      </w:r>
      <w:r w:rsidR="004A1EFF">
        <w:rPr>
          <w:rFonts w:ascii="Times New Roman" w:hAnsi="Times New Roman" w:cs="Times New Roman"/>
          <w:sz w:val="24"/>
          <w:szCs w:val="24"/>
        </w:rPr>
        <w:t xml:space="preserve"> in</w:t>
      </w:r>
      <w:r>
        <w:rPr>
          <w:rFonts w:ascii="Times New Roman" w:hAnsi="Times New Roman" w:cs="Times New Roman"/>
          <w:sz w:val="24"/>
          <w:szCs w:val="24"/>
        </w:rPr>
        <w:t xml:space="preserve"> some countries and less potent</w:t>
      </w:r>
      <w:r w:rsidR="004A1EFF">
        <w:rPr>
          <w:rFonts w:ascii="Times New Roman" w:hAnsi="Times New Roman" w:cs="Times New Roman"/>
          <w:sz w:val="24"/>
          <w:szCs w:val="24"/>
        </w:rPr>
        <w:t xml:space="preserve"> in the rest economies in our sample. Specifically, we notice that the offset</w:t>
      </w:r>
      <w:r>
        <w:rPr>
          <w:rFonts w:ascii="Times New Roman" w:hAnsi="Times New Roman" w:cs="Times New Roman"/>
          <w:sz w:val="24"/>
          <w:szCs w:val="24"/>
        </w:rPr>
        <w:t xml:space="preserve">ting relationship is </w:t>
      </w:r>
      <w:proofErr w:type="gramStart"/>
      <w:r>
        <w:rPr>
          <w:rFonts w:ascii="Times New Roman" w:hAnsi="Times New Roman" w:cs="Times New Roman"/>
          <w:sz w:val="24"/>
          <w:szCs w:val="24"/>
        </w:rPr>
        <w:t>more clear</w:t>
      </w:r>
      <w:proofErr w:type="gramEnd"/>
      <w:r w:rsidR="004A1EFF">
        <w:rPr>
          <w:rFonts w:ascii="Times New Roman" w:hAnsi="Times New Roman" w:cs="Times New Roman"/>
          <w:sz w:val="24"/>
          <w:szCs w:val="24"/>
        </w:rPr>
        <w:t xml:space="preserve"> for the countries of Netherlands </w:t>
      </w:r>
      <w:r w:rsidR="00872E29">
        <w:rPr>
          <w:rFonts w:ascii="Times New Roman" w:hAnsi="Times New Roman" w:cs="Times New Roman"/>
          <w:sz w:val="24"/>
          <w:szCs w:val="24"/>
        </w:rPr>
        <w:t xml:space="preserve">Germany </w:t>
      </w:r>
      <w:r w:rsidR="004A1EFF">
        <w:rPr>
          <w:rFonts w:ascii="Times New Roman" w:hAnsi="Times New Roman" w:cs="Times New Roman"/>
          <w:sz w:val="24"/>
          <w:szCs w:val="24"/>
        </w:rPr>
        <w:t>and Austria regarding the low debt group of countries and for all the more indebted countries in our sample. In addition we notice that this negative relationship becomes more apparent after the outbreak of the economic crisis o</w:t>
      </w:r>
      <w:r w:rsidR="00D0111D">
        <w:rPr>
          <w:rFonts w:ascii="Times New Roman" w:hAnsi="Times New Roman" w:cs="Times New Roman"/>
          <w:sz w:val="24"/>
          <w:szCs w:val="24"/>
        </w:rPr>
        <w:t>f 2007 leading us to the primary</w:t>
      </w:r>
      <w:r w:rsidR="004A1EFF">
        <w:rPr>
          <w:rFonts w:ascii="Times New Roman" w:hAnsi="Times New Roman" w:cs="Times New Roman"/>
          <w:sz w:val="24"/>
          <w:szCs w:val="24"/>
        </w:rPr>
        <w:t xml:space="preserve"> conclusion that </w:t>
      </w:r>
      <w:r w:rsidR="00D0111D">
        <w:rPr>
          <w:rFonts w:ascii="Times New Roman" w:hAnsi="Times New Roman" w:cs="Times New Roman"/>
          <w:sz w:val="24"/>
          <w:szCs w:val="24"/>
        </w:rPr>
        <w:t xml:space="preserve">in these countries </w:t>
      </w:r>
      <w:r w:rsidR="004A1EFF">
        <w:rPr>
          <w:rFonts w:ascii="Times New Roman" w:hAnsi="Times New Roman" w:cs="Times New Roman"/>
          <w:sz w:val="24"/>
          <w:szCs w:val="24"/>
        </w:rPr>
        <w:t>consumers may have become more concerned about the government debt sustainability</w:t>
      </w:r>
      <w:r w:rsidR="00153774">
        <w:rPr>
          <w:rFonts w:ascii="Times New Roman" w:hAnsi="Times New Roman" w:cs="Times New Roman"/>
          <w:sz w:val="24"/>
          <w:szCs w:val="24"/>
        </w:rPr>
        <w:t>, consequently more</w:t>
      </w:r>
      <w:r w:rsidR="00D0111D">
        <w:rPr>
          <w:rFonts w:ascii="Times New Roman" w:hAnsi="Times New Roman" w:cs="Times New Roman"/>
          <w:sz w:val="24"/>
          <w:szCs w:val="24"/>
        </w:rPr>
        <w:t xml:space="preserve"> forward looking</w:t>
      </w:r>
      <w:r w:rsidR="00153774">
        <w:rPr>
          <w:rFonts w:ascii="Times New Roman" w:hAnsi="Times New Roman" w:cs="Times New Roman"/>
          <w:sz w:val="24"/>
          <w:szCs w:val="24"/>
        </w:rPr>
        <w:t xml:space="preserve"> </w:t>
      </w:r>
      <w:r w:rsidR="004A1EFF">
        <w:rPr>
          <w:rFonts w:ascii="Times New Roman" w:hAnsi="Times New Roman" w:cs="Times New Roman"/>
          <w:sz w:val="24"/>
          <w:szCs w:val="24"/>
        </w:rPr>
        <w:t xml:space="preserve">and hence have adjusted their behavior accordingly.  </w:t>
      </w:r>
    </w:p>
    <w:p w:rsidR="001A060A" w:rsidRDefault="001A060A" w:rsidP="004A1EFF">
      <w:pPr>
        <w:jc w:val="both"/>
        <w:rPr>
          <w:rFonts w:ascii="Times New Roman" w:hAnsi="Times New Roman" w:cs="Times New Roman"/>
          <w:sz w:val="24"/>
          <w:szCs w:val="24"/>
          <w:u w:val="single"/>
        </w:rPr>
      </w:pPr>
    </w:p>
    <w:p w:rsidR="004A1EFF" w:rsidRDefault="004A1EFF" w:rsidP="004A1EFF">
      <w:pPr>
        <w:jc w:val="both"/>
        <w:rPr>
          <w:rFonts w:ascii="Times New Roman" w:hAnsi="Times New Roman" w:cs="Times New Roman"/>
          <w:sz w:val="24"/>
          <w:szCs w:val="24"/>
        </w:rPr>
      </w:pPr>
      <w:r w:rsidRPr="00153774">
        <w:rPr>
          <w:rFonts w:ascii="Times New Roman" w:hAnsi="Times New Roman" w:cs="Times New Roman"/>
          <w:sz w:val="24"/>
          <w:szCs w:val="24"/>
          <w:u w:val="single"/>
        </w:rPr>
        <w:lastRenderedPageBreak/>
        <w:t>Quantitative Approach</w:t>
      </w:r>
      <w:r>
        <w:rPr>
          <w:rFonts w:ascii="Times New Roman" w:hAnsi="Times New Roman" w:cs="Times New Roman"/>
          <w:sz w:val="24"/>
          <w:szCs w:val="24"/>
        </w:rPr>
        <w:t>:</w:t>
      </w:r>
    </w:p>
    <w:p w:rsidR="004A1EFF" w:rsidRDefault="004A1EFF" w:rsidP="004A1EFF">
      <w:pPr>
        <w:jc w:val="both"/>
        <w:rPr>
          <w:rFonts w:ascii="Times New Roman" w:hAnsi="Times New Roman" w:cs="Times New Roman"/>
          <w:sz w:val="24"/>
          <w:szCs w:val="24"/>
        </w:rPr>
      </w:pP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implies a negative-offsetting relationship between the public and the private savings. Furthermore, the strict version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hypothesis entails that the public and private savings become perfect substitutes and hence the national savin</w:t>
      </w:r>
      <w:r w:rsidR="00872E29">
        <w:rPr>
          <w:rFonts w:ascii="Times New Roman" w:hAnsi="Times New Roman" w:cs="Times New Roman"/>
          <w:sz w:val="24"/>
          <w:szCs w:val="24"/>
        </w:rPr>
        <w:t>gs stable and stationary. Furthermore</w:t>
      </w:r>
      <w:r>
        <w:rPr>
          <w:rFonts w:ascii="Times New Roman" w:hAnsi="Times New Roman" w:cs="Times New Roman"/>
          <w:sz w:val="24"/>
          <w:szCs w:val="24"/>
        </w:rPr>
        <w:t xml:space="preserve">, the </w:t>
      </w:r>
      <w:proofErr w:type="spellStart"/>
      <w:r>
        <w:rPr>
          <w:rFonts w:ascii="Times New Roman" w:hAnsi="Times New Roman" w:cs="Times New Roman"/>
          <w:sz w:val="24"/>
          <w:szCs w:val="24"/>
        </w:rPr>
        <w:t>stationarity</w:t>
      </w:r>
      <w:proofErr w:type="spellEnd"/>
      <w:r>
        <w:rPr>
          <w:rFonts w:ascii="Times New Roman" w:hAnsi="Times New Roman" w:cs="Times New Roman"/>
          <w:sz w:val="24"/>
          <w:szCs w:val="24"/>
        </w:rPr>
        <w:t xml:space="preserve"> of national savings means that the public and private savings should be </w:t>
      </w:r>
      <w:proofErr w:type="spellStart"/>
      <w:r>
        <w:rPr>
          <w:rFonts w:ascii="Times New Roman" w:hAnsi="Times New Roman" w:cs="Times New Roman"/>
          <w:sz w:val="24"/>
          <w:szCs w:val="24"/>
        </w:rPr>
        <w:t>cointegrated</w:t>
      </w:r>
      <w:proofErr w:type="spellEnd"/>
      <w:r>
        <w:rPr>
          <w:rFonts w:ascii="Times New Roman" w:hAnsi="Times New Roman" w:cs="Times New Roman"/>
          <w:sz w:val="24"/>
          <w:szCs w:val="24"/>
        </w:rPr>
        <w:t xml:space="preserve">, which also implies that the both types of savings need to be </w:t>
      </w:r>
      <w:proofErr w:type="gramStart"/>
      <w:r>
        <w:rPr>
          <w:rFonts w:ascii="Times New Roman" w:hAnsi="Times New Roman" w:cs="Times New Roman"/>
          <w:sz w:val="24"/>
          <w:szCs w:val="24"/>
        </w:rPr>
        <w:t>I(</w:t>
      </w:r>
      <w:proofErr w:type="gramEnd"/>
      <w:r>
        <w:rPr>
          <w:rFonts w:ascii="Times New Roman" w:hAnsi="Times New Roman" w:cs="Times New Roman"/>
          <w:sz w:val="24"/>
          <w:szCs w:val="24"/>
        </w:rPr>
        <w:t>1). For this specific part of the an</w:t>
      </w:r>
      <w:r w:rsidR="00E15115">
        <w:rPr>
          <w:rFonts w:ascii="Times New Roman" w:hAnsi="Times New Roman" w:cs="Times New Roman"/>
          <w:sz w:val="24"/>
          <w:szCs w:val="24"/>
        </w:rPr>
        <w:t>alysis we followed Castro &amp;</w:t>
      </w:r>
      <w:r>
        <w:rPr>
          <w:rFonts w:ascii="Times New Roman" w:hAnsi="Times New Roman" w:cs="Times New Roman"/>
          <w:sz w:val="24"/>
          <w:szCs w:val="24"/>
        </w:rPr>
        <w:t xml:space="preserve"> Fernandez (2009)</w:t>
      </w:r>
      <w:r w:rsidR="00872E29">
        <w:rPr>
          <w:rFonts w:ascii="Times New Roman" w:hAnsi="Times New Roman" w:cs="Times New Roman"/>
          <w:sz w:val="24"/>
          <w:szCs w:val="24"/>
        </w:rPr>
        <w:t xml:space="preserve"> </w:t>
      </w:r>
      <w:r>
        <w:rPr>
          <w:rStyle w:val="a8"/>
          <w:rFonts w:ascii="Times New Roman" w:hAnsi="Times New Roman" w:cs="Times New Roman"/>
          <w:sz w:val="24"/>
          <w:szCs w:val="24"/>
        </w:rPr>
        <w:footnoteReference w:id="46"/>
      </w:r>
      <w:r w:rsidR="00872E29">
        <w:rPr>
          <w:rFonts w:ascii="Times New Roman" w:hAnsi="Times New Roman" w:cs="Times New Roman"/>
          <w:sz w:val="24"/>
          <w:szCs w:val="24"/>
        </w:rPr>
        <w:t xml:space="preserve"> that</w:t>
      </w:r>
      <w:r>
        <w:rPr>
          <w:rFonts w:ascii="Times New Roman" w:hAnsi="Times New Roman" w:cs="Times New Roman"/>
          <w:sz w:val="24"/>
          <w:szCs w:val="24"/>
        </w:rPr>
        <w:t xml:space="preserve"> tested the validity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hypothesis implementing three different approaches for the country of Spain. Due to data avai</w:t>
      </w:r>
      <w:r w:rsidR="00872E29">
        <w:rPr>
          <w:rFonts w:ascii="Times New Roman" w:hAnsi="Times New Roman" w:cs="Times New Roman"/>
          <w:sz w:val="24"/>
          <w:szCs w:val="24"/>
        </w:rPr>
        <w:t>lability problems we used in our</w:t>
      </w:r>
      <w:r>
        <w:rPr>
          <w:rFonts w:ascii="Times New Roman" w:hAnsi="Times New Roman" w:cs="Times New Roman"/>
          <w:sz w:val="24"/>
          <w:szCs w:val="24"/>
        </w:rPr>
        <w:t xml:space="preserve"> analysis the</w:t>
      </w:r>
      <w:r w:rsidR="00872E29">
        <w:rPr>
          <w:rFonts w:ascii="Times New Roman" w:hAnsi="Times New Roman" w:cs="Times New Roman"/>
          <w:sz w:val="24"/>
          <w:szCs w:val="24"/>
        </w:rPr>
        <w:t xml:space="preserve"> national savings expressed in b</w:t>
      </w:r>
      <w:r>
        <w:rPr>
          <w:rFonts w:ascii="Times New Roman" w:hAnsi="Times New Roman" w:cs="Times New Roman"/>
          <w:sz w:val="24"/>
          <w:szCs w:val="24"/>
        </w:rPr>
        <w:t xml:space="preserve">illions instead of the total national savings as a percentage of GDP.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According to the results, the </w:t>
      </w:r>
      <w:proofErr w:type="spellStart"/>
      <w:r>
        <w:rPr>
          <w:rFonts w:ascii="Times New Roman" w:hAnsi="Times New Roman" w:cs="Times New Roman"/>
          <w:sz w:val="24"/>
          <w:szCs w:val="24"/>
        </w:rPr>
        <w:t>stationarity</w:t>
      </w:r>
      <w:proofErr w:type="spellEnd"/>
      <w:r>
        <w:rPr>
          <w:rFonts w:ascii="Times New Roman" w:hAnsi="Times New Roman" w:cs="Times New Roman"/>
          <w:sz w:val="24"/>
          <w:szCs w:val="24"/>
        </w:rPr>
        <w:t xml:space="preserve"> of national savings was not supported for all the</w:t>
      </w:r>
      <w:r w:rsidR="00153774">
        <w:rPr>
          <w:rFonts w:ascii="Times New Roman" w:hAnsi="Times New Roman" w:cs="Times New Roman"/>
          <w:sz w:val="24"/>
          <w:szCs w:val="24"/>
        </w:rPr>
        <w:t xml:space="preserve"> countries in the sample since we</w:t>
      </w:r>
      <w:r>
        <w:rPr>
          <w:rFonts w:ascii="Times New Roman" w:hAnsi="Times New Roman" w:cs="Times New Roman"/>
          <w:sz w:val="24"/>
          <w:szCs w:val="24"/>
        </w:rPr>
        <w:t xml:space="preserve"> could not reject the null hypothesis of non </w:t>
      </w:r>
      <w:proofErr w:type="spellStart"/>
      <w:r>
        <w:rPr>
          <w:rFonts w:ascii="Times New Roman" w:hAnsi="Times New Roman" w:cs="Times New Roman"/>
          <w:sz w:val="24"/>
          <w:szCs w:val="24"/>
        </w:rPr>
        <w:t>stationarity</w:t>
      </w:r>
      <w:proofErr w:type="spellEnd"/>
      <w:r>
        <w:rPr>
          <w:rFonts w:ascii="Times New Roman" w:hAnsi="Times New Roman" w:cs="Times New Roman"/>
          <w:sz w:val="24"/>
          <w:szCs w:val="24"/>
        </w:rPr>
        <w:t xml:space="preserve"> with the conventional levels of statistical significance. Hence, these initial findings are against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w:t>
      </w:r>
      <w:r w:rsidR="00872E29">
        <w:rPr>
          <w:rFonts w:ascii="Times New Roman" w:hAnsi="Times New Roman" w:cs="Times New Roman"/>
          <w:sz w:val="24"/>
          <w:szCs w:val="24"/>
        </w:rPr>
        <w:t xml:space="preserve">Equivalence </w:t>
      </w:r>
      <w:r>
        <w:rPr>
          <w:rFonts w:ascii="Times New Roman" w:hAnsi="Times New Roman" w:cs="Times New Roman"/>
          <w:sz w:val="24"/>
          <w:szCs w:val="24"/>
        </w:rPr>
        <w:t xml:space="preserve">proposition. In the appendix </w:t>
      </w:r>
      <w:r w:rsidR="00275720">
        <w:rPr>
          <w:rFonts w:ascii="Times New Roman" w:hAnsi="Times New Roman" w:cs="Times New Roman"/>
          <w:sz w:val="24"/>
          <w:szCs w:val="24"/>
        </w:rPr>
        <w:t xml:space="preserve">(tables 1-10) </w:t>
      </w:r>
      <w:r>
        <w:rPr>
          <w:rFonts w:ascii="Times New Roman" w:hAnsi="Times New Roman" w:cs="Times New Roman"/>
          <w:sz w:val="24"/>
          <w:szCs w:val="24"/>
        </w:rPr>
        <w:t xml:space="preserve">we can observe the results of the Augmented Dickey Fuller – Unit root tests for all the countries under examination. In order to proceed with our analysis we performed </w:t>
      </w:r>
      <w:proofErr w:type="spellStart"/>
      <w:r>
        <w:rPr>
          <w:rFonts w:ascii="Times New Roman" w:hAnsi="Times New Roman" w:cs="Times New Roman"/>
          <w:sz w:val="24"/>
          <w:szCs w:val="24"/>
        </w:rPr>
        <w:t>stationarity</w:t>
      </w:r>
      <w:proofErr w:type="spellEnd"/>
      <w:r>
        <w:rPr>
          <w:rFonts w:ascii="Times New Roman" w:hAnsi="Times New Roman" w:cs="Times New Roman"/>
          <w:sz w:val="24"/>
          <w:szCs w:val="24"/>
        </w:rPr>
        <w:t xml:space="preserve"> ADF-tests both for the public and private savings for all the countries and when detecti</w:t>
      </w:r>
      <w:r w:rsidR="00872E29">
        <w:rPr>
          <w:rFonts w:ascii="Times New Roman" w:hAnsi="Times New Roman" w:cs="Times New Roman"/>
          <w:sz w:val="24"/>
          <w:szCs w:val="24"/>
        </w:rPr>
        <w:t xml:space="preserve">ng non </w:t>
      </w:r>
      <w:proofErr w:type="spellStart"/>
      <w:r w:rsidR="00872E29">
        <w:rPr>
          <w:rFonts w:ascii="Times New Roman" w:hAnsi="Times New Roman" w:cs="Times New Roman"/>
          <w:sz w:val="24"/>
          <w:szCs w:val="24"/>
        </w:rPr>
        <w:t>stationarity</w:t>
      </w:r>
      <w:proofErr w:type="spellEnd"/>
      <w:r w:rsidR="00872E29">
        <w:rPr>
          <w:rFonts w:ascii="Times New Roman" w:hAnsi="Times New Roman" w:cs="Times New Roman"/>
          <w:sz w:val="24"/>
          <w:szCs w:val="24"/>
        </w:rPr>
        <w:t xml:space="preserve"> I(1) for the both types of savings we proceeded</w:t>
      </w:r>
      <w:r>
        <w:rPr>
          <w:rFonts w:ascii="Times New Roman" w:hAnsi="Times New Roman" w:cs="Times New Roman"/>
          <w:sz w:val="24"/>
          <w:szCs w:val="24"/>
        </w:rPr>
        <w:t xml:space="preserve"> with Johansen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test</w:t>
      </w:r>
      <w:r w:rsidR="00872E29">
        <w:rPr>
          <w:rFonts w:ascii="Times New Roman" w:hAnsi="Times New Roman" w:cs="Times New Roman"/>
          <w:sz w:val="24"/>
          <w:szCs w:val="24"/>
        </w:rPr>
        <w:t>s</w:t>
      </w:r>
      <w:r>
        <w:rPr>
          <w:rFonts w:ascii="Times New Roman" w:hAnsi="Times New Roman" w:cs="Times New Roman"/>
          <w:sz w:val="24"/>
          <w:szCs w:val="24"/>
        </w:rPr>
        <w:t xml:space="preserve"> in order to check the existence of possible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relationships between the both types of savings. According to the results, the two types of savings were jointly non stationary </w:t>
      </w:r>
      <w:proofErr w:type="gramStart"/>
      <w:r>
        <w:rPr>
          <w:rFonts w:ascii="Times New Roman" w:hAnsi="Times New Roman" w:cs="Times New Roman"/>
          <w:sz w:val="24"/>
          <w:szCs w:val="24"/>
        </w:rPr>
        <w:t>I(</w:t>
      </w:r>
      <w:proofErr w:type="gramEnd"/>
      <w:r>
        <w:rPr>
          <w:rFonts w:ascii="Times New Roman" w:hAnsi="Times New Roman" w:cs="Times New Roman"/>
          <w:sz w:val="24"/>
          <w:szCs w:val="24"/>
        </w:rPr>
        <w:t>1) for the countries of Finland, Netherlan</w:t>
      </w:r>
      <w:r w:rsidR="00275720">
        <w:rPr>
          <w:rFonts w:ascii="Times New Roman" w:hAnsi="Times New Roman" w:cs="Times New Roman"/>
          <w:sz w:val="24"/>
          <w:szCs w:val="24"/>
        </w:rPr>
        <w:t>ds, Germany</w:t>
      </w:r>
      <w:r w:rsidR="00153774">
        <w:rPr>
          <w:rFonts w:ascii="Times New Roman" w:hAnsi="Times New Roman" w:cs="Times New Roman"/>
          <w:sz w:val="24"/>
          <w:szCs w:val="24"/>
        </w:rPr>
        <w:t xml:space="preserve"> and Portugal. Though</w:t>
      </w:r>
      <w:r>
        <w:rPr>
          <w:rFonts w:ascii="Times New Roman" w:hAnsi="Times New Roman" w:cs="Times New Roman"/>
          <w:sz w:val="24"/>
          <w:szCs w:val="24"/>
        </w:rPr>
        <w:t xml:space="preserve">, the </w:t>
      </w:r>
      <w:r w:rsidR="00275720">
        <w:rPr>
          <w:rFonts w:ascii="Times New Roman" w:hAnsi="Times New Roman" w:cs="Times New Roman"/>
          <w:sz w:val="24"/>
          <w:szCs w:val="24"/>
        </w:rPr>
        <w:t xml:space="preserve">Johansen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w:t>
      </w:r>
      <w:r w:rsidR="00275720">
        <w:rPr>
          <w:rFonts w:ascii="Times New Roman" w:hAnsi="Times New Roman" w:cs="Times New Roman"/>
          <w:sz w:val="24"/>
          <w:szCs w:val="24"/>
        </w:rPr>
        <w:t>tests (tables 11-14 in the Appendix)</w:t>
      </w:r>
      <w:r>
        <w:rPr>
          <w:rFonts w:ascii="Times New Roman" w:hAnsi="Times New Roman" w:cs="Times New Roman"/>
          <w:sz w:val="24"/>
          <w:szCs w:val="24"/>
        </w:rPr>
        <w:t xml:space="preserve"> reve</w:t>
      </w:r>
      <w:r w:rsidR="00153774">
        <w:rPr>
          <w:rFonts w:ascii="Times New Roman" w:hAnsi="Times New Roman" w:cs="Times New Roman"/>
          <w:sz w:val="24"/>
          <w:szCs w:val="24"/>
        </w:rPr>
        <w:t xml:space="preserve">aled one </w:t>
      </w:r>
      <w:proofErr w:type="spellStart"/>
      <w:r w:rsidR="00153774">
        <w:rPr>
          <w:rFonts w:ascii="Times New Roman" w:hAnsi="Times New Roman" w:cs="Times New Roman"/>
          <w:sz w:val="24"/>
          <w:szCs w:val="24"/>
        </w:rPr>
        <w:t>cointegrating</w:t>
      </w:r>
      <w:proofErr w:type="spellEnd"/>
      <w:r w:rsidR="00153774">
        <w:rPr>
          <w:rFonts w:ascii="Times New Roman" w:hAnsi="Times New Roman" w:cs="Times New Roman"/>
          <w:sz w:val="24"/>
          <w:szCs w:val="24"/>
        </w:rPr>
        <w:t xml:space="preserve"> equation for the countries</w:t>
      </w:r>
      <w:r>
        <w:rPr>
          <w:rFonts w:ascii="Times New Roman" w:hAnsi="Times New Roman" w:cs="Times New Roman"/>
          <w:sz w:val="24"/>
          <w:szCs w:val="24"/>
        </w:rPr>
        <w:t xml:space="preserve"> of Fin</w:t>
      </w:r>
      <w:r w:rsidR="00153774">
        <w:rPr>
          <w:rFonts w:ascii="Times New Roman" w:hAnsi="Times New Roman" w:cs="Times New Roman"/>
          <w:sz w:val="24"/>
          <w:szCs w:val="24"/>
        </w:rPr>
        <w:t>land,</w:t>
      </w:r>
      <w:r>
        <w:rPr>
          <w:rFonts w:ascii="Times New Roman" w:hAnsi="Times New Roman" w:cs="Times New Roman"/>
          <w:sz w:val="24"/>
          <w:szCs w:val="24"/>
        </w:rPr>
        <w:t xml:space="preserve"> Netherlands and Germany and no </w:t>
      </w:r>
      <w:proofErr w:type="spellStart"/>
      <w:r>
        <w:rPr>
          <w:rFonts w:ascii="Times New Roman" w:hAnsi="Times New Roman" w:cs="Times New Roman"/>
          <w:sz w:val="24"/>
          <w:szCs w:val="24"/>
        </w:rPr>
        <w:t>cointegration</w:t>
      </w:r>
      <w:proofErr w:type="spellEnd"/>
      <w:r w:rsidR="00153774">
        <w:rPr>
          <w:rFonts w:ascii="Times New Roman" w:hAnsi="Times New Roman" w:cs="Times New Roman"/>
          <w:sz w:val="24"/>
          <w:szCs w:val="24"/>
        </w:rPr>
        <w:t xml:space="preserve"> relationship for </w:t>
      </w:r>
      <w:r w:rsidR="00275720">
        <w:rPr>
          <w:rFonts w:ascii="Times New Roman" w:hAnsi="Times New Roman" w:cs="Times New Roman"/>
          <w:sz w:val="24"/>
          <w:szCs w:val="24"/>
        </w:rPr>
        <w:t xml:space="preserve">the country of </w:t>
      </w:r>
      <w:r w:rsidR="00153774">
        <w:rPr>
          <w:rFonts w:ascii="Times New Roman" w:hAnsi="Times New Roman" w:cs="Times New Roman"/>
          <w:sz w:val="24"/>
          <w:szCs w:val="24"/>
        </w:rPr>
        <w:t>Portugal. These</w:t>
      </w:r>
      <w:r>
        <w:rPr>
          <w:rFonts w:ascii="Times New Roman" w:hAnsi="Times New Roman" w:cs="Times New Roman"/>
          <w:sz w:val="24"/>
          <w:szCs w:val="24"/>
        </w:rPr>
        <w:t xml:space="preserve"> </w:t>
      </w:r>
      <w:r w:rsidR="00153774">
        <w:rPr>
          <w:rFonts w:ascii="Times New Roman" w:hAnsi="Times New Roman" w:cs="Times New Roman"/>
          <w:sz w:val="24"/>
          <w:szCs w:val="24"/>
        </w:rPr>
        <w:t xml:space="preserve">primary </w:t>
      </w:r>
      <w:r>
        <w:rPr>
          <w:rFonts w:ascii="Times New Roman" w:hAnsi="Times New Roman" w:cs="Times New Roman"/>
          <w:sz w:val="24"/>
          <w:szCs w:val="24"/>
        </w:rPr>
        <w:t xml:space="preserve">findings are in favor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proposition. The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results were expected especially for the countries of Netherlands and Germany since we had already noticed the offsetting pattern of public and private savings for these cou</w:t>
      </w:r>
      <w:r w:rsidR="00275720">
        <w:rPr>
          <w:rFonts w:ascii="Times New Roman" w:hAnsi="Times New Roman" w:cs="Times New Roman"/>
          <w:sz w:val="24"/>
          <w:szCs w:val="24"/>
        </w:rPr>
        <w:t>ntries at the graphical approach.</w:t>
      </w:r>
      <w:r>
        <w:rPr>
          <w:rFonts w:ascii="Times New Roman" w:hAnsi="Times New Roman" w:cs="Times New Roman"/>
          <w:sz w:val="24"/>
          <w:szCs w:val="24"/>
        </w:rPr>
        <w:t xml:space="preserve"> Additionally since the </w:t>
      </w:r>
      <w:proofErr w:type="spellStart"/>
      <w:r>
        <w:rPr>
          <w:rFonts w:ascii="Times New Roman" w:hAnsi="Times New Roman" w:cs="Times New Roman"/>
          <w:sz w:val="24"/>
          <w:szCs w:val="24"/>
        </w:rPr>
        <w:t>stationarity</w:t>
      </w:r>
      <w:proofErr w:type="spellEnd"/>
      <w:r>
        <w:rPr>
          <w:rFonts w:ascii="Times New Roman" w:hAnsi="Times New Roman" w:cs="Times New Roman"/>
          <w:sz w:val="24"/>
          <w:szCs w:val="24"/>
        </w:rPr>
        <w:t xml:space="preserve"> of national savings is a necessary but not sufficien</w:t>
      </w:r>
      <w:r w:rsidR="00275720">
        <w:rPr>
          <w:rFonts w:ascii="Times New Roman" w:hAnsi="Times New Roman" w:cs="Times New Roman"/>
          <w:sz w:val="24"/>
          <w:szCs w:val="24"/>
        </w:rPr>
        <w:t xml:space="preserve">t condition for </w:t>
      </w:r>
      <w:r>
        <w:rPr>
          <w:rFonts w:ascii="Times New Roman" w:hAnsi="Times New Roman" w:cs="Times New Roman"/>
          <w:sz w:val="24"/>
          <w:szCs w:val="24"/>
        </w:rPr>
        <w:t xml:space="preserve">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w:t>
      </w:r>
      <w:r w:rsidR="00275720">
        <w:rPr>
          <w:rFonts w:ascii="Times New Roman" w:hAnsi="Times New Roman" w:cs="Times New Roman"/>
          <w:sz w:val="24"/>
          <w:szCs w:val="24"/>
        </w:rPr>
        <w:t xml:space="preserve">to hold </w:t>
      </w:r>
      <w:r>
        <w:rPr>
          <w:rFonts w:ascii="Times New Roman" w:hAnsi="Times New Roman" w:cs="Times New Roman"/>
          <w:sz w:val="24"/>
          <w:szCs w:val="24"/>
        </w:rPr>
        <w:t xml:space="preserve">we proceeded with the main quantitative analysis estimating the private consumption </w:t>
      </w:r>
      <w:proofErr w:type="gramStart"/>
      <w:r>
        <w:rPr>
          <w:rFonts w:ascii="Times New Roman" w:hAnsi="Times New Roman" w:cs="Times New Roman"/>
          <w:sz w:val="24"/>
          <w:szCs w:val="24"/>
        </w:rPr>
        <w:t>function</w:t>
      </w:r>
      <w:proofErr w:type="gramEnd"/>
      <w:r>
        <w:rPr>
          <w:rFonts w:ascii="Times New Roman" w:hAnsi="Times New Roman" w:cs="Times New Roman"/>
          <w:sz w:val="24"/>
          <w:szCs w:val="24"/>
        </w:rPr>
        <w:t xml:space="preserve">. </w:t>
      </w:r>
    </w:p>
    <w:p w:rsidR="004A1EFF" w:rsidRPr="005312FC" w:rsidRDefault="004A1EFF" w:rsidP="004A1EFF">
      <w:pPr>
        <w:pStyle w:val="a9"/>
        <w:numPr>
          <w:ilvl w:val="0"/>
          <w:numId w:val="1"/>
        </w:numPr>
        <w:ind w:left="0"/>
        <w:jc w:val="both"/>
        <w:rPr>
          <w:rFonts w:ascii="Times New Roman" w:hAnsi="Times New Roman" w:cs="Times New Roman"/>
          <w:b/>
          <w:sz w:val="24"/>
          <w:szCs w:val="24"/>
        </w:rPr>
      </w:pPr>
      <w:r w:rsidRPr="005312FC">
        <w:rPr>
          <w:rFonts w:ascii="Times New Roman" w:hAnsi="Times New Roman" w:cs="Times New Roman"/>
          <w:b/>
          <w:sz w:val="24"/>
          <w:szCs w:val="24"/>
        </w:rPr>
        <w:t xml:space="preserve">Main Estimation </w:t>
      </w:r>
      <w:r w:rsidR="005312FC" w:rsidRPr="005312FC">
        <w:rPr>
          <w:rFonts w:ascii="Times New Roman" w:hAnsi="Times New Roman" w:cs="Times New Roman"/>
          <w:b/>
          <w:sz w:val="24"/>
          <w:szCs w:val="24"/>
        </w:rPr>
        <w:t>Analysis</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t xml:space="preserve">The objective of our main data analysis is to test the validity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w:t>
      </w:r>
      <w:r w:rsidR="005312FC">
        <w:rPr>
          <w:rFonts w:ascii="Times New Roman" w:hAnsi="Times New Roman" w:cs="Times New Roman"/>
          <w:sz w:val="24"/>
          <w:szCs w:val="24"/>
        </w:rPr>
        <w:t>hesis for different</w:t>
      </w:r>
      <w:r>
        <w:rPr>
          <w:rFonts w:ascii="Times New Roman" w:hAnsi="Times New Roman" w:cs="Times New Roman"/>
          <w:sz w:val="24"/>
          <w:szCs w:val="24"/>
        </w:rPr>
        <w:t xml:space="preserve"> levels of government debt. To this end we will estimate the effect of government debt on private consumption and see how this relationship changes for different levels of government debt</w:t>
      </w:r>
      <w:r w:rsidR="005312FC">
        <w:rPr>
          <w:rFonts w:ascii="Times New Roman" w:hAnsi="Times New Roman" w:cs="Times New Roman"/>
          <w:sz w:val="24"/>
          <w:szCs w:val="24"/>
        </w:rPr>
        <w:t>.</w:t>
      </w:r>
      <w:r>
        <w:rPr>
          <w:rFonts w:ascii="Times New Roman" w:hAnsi="Times New Roman" w:cs="Times New Roman"/>
          <w:sz w:val="24"/>
          <w:szCs w:val="24"/>
        </w:rPr>
        <w:t xml:space="preserve"> </w:t>
      </w:r>
      <w:r w:rsidR="001B5A5F">
        <w:rPr>
          <w:rFonts w:ascii="Times New Roman" w:hAnsi="Times New Roman" w:cs="Times New Roman"/>
          <w:sz w:val="24"/>
          <w:szCs w:val="24"/>
        </w:rPr>
        <w:t xml:space="preserve">Hence, we will investigate the impact of public debt on the two groups of countries, the high and low debt groups of countries following the initial classification in our sample. </w:t>
      </w:r>
      <w:r>
        <w:rPr>
          <w:rFonts w:ascii="Times New Roman" w:hAnsi="Times New Roman" w:cs="Times New Roman"/>
          <w:sz w:val="24"/>
          <w:szCs w:val="24"/>
        </w:rPr>
        <w:t xml:space="preserve"> The most appropriate consumption function that allows us to test the impact of </w:t>
      </w:r>
      <w:r>
        <w:rPr>
          <w:rFonts w:ascii="Times New Roman" w:hAnsi="Times New Roman" w:cs="Times New Roman"/>
          <w:sz w:val="24"/>
          <w:szCs w:val="24"/>
        </w:rPr>
        <w:lastRenderedPageBreak/>
        <w:t xml:space="preserve">government debt on private consumption </w:t>
      </w:r>
      <w:r w:rsidR="001B5A5F">
        <w:rPr>
          <w:rFonts w:ascii="Times New Roman" w:hAnsi="Times New Roman" w:cs="Times New Roman"/>
          <w:sz w:val="24"/>
          <w:szCs w:val="24"/>
        </w:rPr>
        <w:t xml:space="preserve">and hence the </w:t>
      </w:r>
      <w:proofErr w:type="spellStart"/>
      <w:r w:rsidR="001B5A5F">
        <w:rPr>
          <w:rFonts w:ascii="Times New Roman" w:hAnsi="Times New Roman" w:cs="Times New Roman"/>
          <w:sz w:val="24"/>
          <w:szCs w:val="24"/>
        </w:rPr>
        <w:t>Ricardian</w:t>
      </w:r>
      <w:proofErr w:type="spellEnd"/>
      <w:r w:rsidR="001B5A5F">
        <w:rPr>
          <w:rFonts w:ascii="Times New Roman" w:hAnsi="Times New Roman" w:cs="Times New Roman"/>
          <w:sz w:val="24"/>
          <w:szCs w:val="24"/>
        </w:rPr>
        <w:t xml:space="preserve"> proposition </w:t>
      </w:r>
      <w:r>
        <w:rPr>
          <w:rFonts w:ascii="Times New Roman" w:hAnsi="Times New Roman" w:cs="Times New Roman"/>
          <w:sz w:val="24"/>
          <w:szCs w:val="24"/>
        </w:rPr>
        <w:t xml:space="preserve">for different debt levels is the long run consumption </w:t>
      </w:r>
      <w:r w:rsidR="005D3E82">
        <w:rPr>
          <w:rFonts w:ascii="Times New Roman" w:hAnsi="Times New Roman" w:cs="Times New Roman"/>
          <w:sz w:val="24"/>
          <w:szCs w:val="24"/>
        </w:rPr>
        <w:t xml:space="preserve">function developed by </w:t>
      </w:r>
      <w:proofErr w:type="spellStart"/>
      <w:r w:rsidR="005D3E82">
        <w:rPr>
          <w:rFonts w:ascii="Times New Roman" w:hAnsi="Times New Roman" w:cs="Times New Roman"/>
          <w:sz w:val="24"/>
          <w:szCs w:val="24"/>
        </w:rPr>
        <w:t>Berben</w:t>
      </w:r>
      <w:proofErr w:type="spellEnd"/>
      <w:r w:rsidR="005D3E82">
        <w:rPr>
          <w:rFonts w:ascii="Times New Roman" w:hAnsi="Times New Roman" w:cs="Times New Roman"/>
          <w:sz w:val="24"/>
          <w:szCs w:val="24"/>
        </w:rPr>
        <w:t xml:space="preserve"> &amp;</w:t>
      </w:r>
      <w:r>
        <w:rPr>
          <w:rFonts w:ascii="Times New Roman" w:hAnsi="Times New Roman" w:cs="Times New Roman"/>
          <w:sz w:val="24"/>
          <w:szCs w:val="24"/>
        </w:rPr>
        <w:t xml:space="preserve"> </w:t>
      </w:r>
      <w:proofErr w:type="spellStart"/>
      <w:r>
        <w:rPr>
          <w:rFonts w:ascii="Times New Roman" w:hAnsi="Times New Roman" w:cs="Times New Roman"/>
          <w:sz w:val="24"/>
          <w:szCs w:val="24"/>
        </w:rPr>
        <w:t>Brosens</w:t>
      </w:r>
      <w:proofErr w:type="spellEnd"/>
      <w:r>
        <w:rPr>
          <w:rFonts w:ascii="Times New Roman" w:hAnsi="Times New Roman" w:cs="Times New Roman"/>
          <w:sz w:val="24"/>
          <w:szCs w:val="24"/>
        </w:rPr>
        <w:t xml:space="preserve"> (2007) as follows:</w:t>
      </w:r>
    </w:p>
    <w:p w:rsidR="004A1EFF" w:rsidRDefault="00C16EA4" w:rsidP="004A1EFF">
      <w:pPr>
        <w:spacing w:line="480" w:lineRule="auto"/>
        <w:jc w:val="center"/>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Cambria Math" w:cs="Times New Roman"/>
                <w:sz w:val="24"/>
                <w:szCs w:val="24"/>
              </w:rPr>
              <m:t>c</m:t>
            </m:r>
          </m:e>
          <m:sub>
            <m:r>
              <m:rPr>
                <m:sty m:val="p"/>
              </m:rPr>
              <w:rPr>
                <w:rFonts w:ascii="Cambria Math" w:hAnsi="Cambria Math" w:cs="Times New Roman"/>
                <w:sz w:val="24"/>
                <w:szCs w:val="24"/>
              </w:rPr>
              <m:t>i</m:t>
            </m:r>
            <m:r>
              <m:rPr>
                <m:sty m:val="p"/>
              </m:rPr>
              <w:rPr>
                <w:rFonts w:ascii="Cambria Math" w:hAnsi="Times New Roman" w:cs="Times New Roman"/>
                <w:sz w:val="24"/>
                <w:szCs w:val="24"/>
              </w:rPr>
              <m:t>,</m:t>
            </m:r>
            <m:r>
              <m:rPr>
                <m:sty m:val="p"/>
              </m:rPr>
              <w:rPr>
                <w:rFonts w:ascii="Cambria Math" w:hAnsi="Cambria Math" w:cs="Times New Roman"/>
                <w:sz w:val="24"/>
                <w:szCs w:val="24"/>
              </w:rPr>
              <m:t>t</m:t>
            </m:r>
          </m:sub>
        </m:sSub>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α</m:t>
            </m:r>
          </m:e>
          <m:sub>
            <m:r>
              <m:rPr>
                <m:sty m:val="p"/>
              </m:rPr>
              <w:rPr>
                <w:rFonts w:ascii="Cambria Math" w:hAnsi="Cambria Math" w:cs="Times New Roman"/>
                <w:sz w:val="24"/>
                <w:szCs w:val="24"/>
              </w:rPr>
              <m:t>i</m:t>
            </m:r>
          </m:sub>
        </m:sSub>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β</m:t>
            </m:r>
          </m:e>
          <m:sub>
            <m:r>
              <m:rPr>
                <m:sty m:val="p"/>
              </m:rPr>
              <w:rPr>
                <w:rFonts w:ascii="Cambria Math" w:hAnsi="Times New Roman" w:cs="Times New Roman"/>
                <w:sz w:val="24"/>
                <w:szCs w:val="24"/>
              </w:rPr>
              <m:t>1</m:t>
            </m:r>
          </m:sub>
        </m:sSub>
        <m:sSubSup>
          <m:sSubSupPr>
            <m:ctrlPr>
              <w:rPr>
                <w:rFonts w:ascii="Cambria Math" w:hAnsi="Times New Roman" w:cs="Times New Roman"/>
                <w:sz w:val="24"/>
                <w:szCs w:val="24"/>
              </w:rPr>
            </m:ctrlPr>
          </m:sSubSupPr>
          <m:e>
            <m:r>
              <m:rPr>
                <m:sty m:val="p"/>
              </m:rPr>
              <w:rPr>
                <w:rFonts w:ascii="Cambria Math" w:hAnsi="Cambria Math" w:cs="Times New Roman"/>
                <w:sz w:val="24"/>
                <w:szCs w:val="24"/>
              </w:rPr>
              <m:t>y</m:t>
            </m:r>
          </m:e>
          <m:sub>
            <m:r>
              <m:rPr>
                <m:sty m:val="p"/>
              </m:rPr>
              <w:rPr>
                <w:rFonts w:ascii="Cambria Math" w:hAnsi="Cambria Math" w:cs="Times New Roman"/>
                <w:sz w:val="24"/>
                <w:szCs w:val="24"/>
              </w:rPr>
              <m:t>t</m:t>
            </m:r>
            <m:r>
              <m:rPr>
                <m:sty m:val="p"/>
              </m:rPr>
              <w:rPr>
                <w:rFonts w:ascii="Cambria Math" w:hAnsi="Times New Roman" w:cs="Times New Roman"/>
                <w:sz w:val="24"/>
                <w:szCs w:val="24"/>
              </w:rPr>
              <m:t>,</m:t>
            </m:r>
            <m:r>
              <m:rPr>
                <m:sty m:val="p"/>
              </m:rPr>
              <w:rPr>
                <w:rFonts w:ascii="Cambria Math" w:hAnsi="Cambria Math" w:cs="Times New Roman"/>
                <w:sz w:val="24"/>
                <w:szCs w:val="24"/>
              </w:rPr>
              <m:t>i</m:t>
            </m:r>
          </m:sub>
          <m:sup>
            <m:r>
              <m:rPr>
                <m:sty m:val="p"/>
              </m:rPr>
              <w:rPr>
                <w:rFonts w:ascii="Cambria Math" w:hAnsi="Cambria Math" w:cs="Times New Roman"/>
                <w:sz w:val="24"/>
                <w:szCs w:val="24"/>
              </w:rPr>
              <m:t>d</m:t>
            </m:r>
          </m:sup>
        </m:sSubSup>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β</m:t>
            </m:r>
          </m:e>
          <m:sub>
            <m:r>
              <m:rPr>
                <m:sty m:val="p"/>
              </m:rPr>
              <w:rPr>
                <w:rFonts w:ascii="Cambria Math" w:hAnsi="Times New Roman" w:cs="Times New Roman"/>
                <w:sz w:val="24"/>
                <w:szCs w:val="24"/>
              </w:rPr>
              <m:t>2</m:t>
            </m:r>
          </m:sub>
        </m:sSub>
        <m:sSubSup>
          <m:sSubSupPr>
            <m:ctrlPr>
              <w:rPr>
                <w:rFonts w:ascii="Cambria Math" w:hAnsi="Times New Roman" w:cs="Times New Roman"/>
                <w:sz w:val="24"/>
                <w:szCs w:val="24"/>
              </w:rPr>
            </m:ctrlPr>
          </m:sSubSupPr>
          <m:e>
            <m:r>
              <m:rPr>
                <m:sty m:val="p"/>
              </m:rPr>
              <w:rPr>
                <w:rFonts w:ascii="Cambria Math" w:hAnsi="Cambria Math" w:cs="Times New Roman"/>
                <w:sz w:val="24"/>
                <w:szCs w:val="24"/>
              </w:rPr>
              <m:t>w</m:t>
            </m:r>
          </m:e>
          <m:sub>
            <m:r>
              <m:rPr>
                <m:sty m:val="p"/>
              </m:rPr>
              <w:rPr>
                <w:rFonts w:ascii="Cambria Math" w:hAnsi="Cambria Math" w:cs="Times New Roman"/>
                <w:sz w:val="24"/>
                <w:szCs w:val="24"/>
              </w:rPr>
              <m:t>t</m:t>
            </m:r>
            <m:r>
              <m:rPr>
                <m:sty m:val="p"/>
              </m:rPr>
              <w:rPr>
                <w:rFonts w:ascii="Cambria Math" w:hAnsi="Times New Roman" w:cs="Times New Roman"/>
                <w:sz w:val="24"/>
                <w:szCs w:val="24"/>
              </w:rPr>
              <m:t>,</m:t>
            </m:r>
            <m:r>
              <m:rPr>
                <m:sty m:val="p"/>
              </m:rPr>
              <w:rPr>
                <w:rFonts w:ascii="Cambria Math" w:hAnsi="Cambria Math" w:cs="Times New Roman"/>
                <w:sz w:val="24"/>
                <w:szCs w:val="24"/>
              </w:rPr>
              <m:t>i</m:t>
            </m:r>
          </m:sub>
          <m:sup>
            <m:r>
              <m:rPr>
                <m:sty m:val="p"/>
              </m:rPr>
              <w:rPr>
                <w:rFonts w:ascii="Cambria Math" w:hAnsi="Cambria Math" w:cs="Times New Roman"/>
                <w:sz w:val="24"/>
                <w:szCs w:val="24"/>
              </w:rPr>
              <m:t>e</m:t>
            </m:r>
          </m:sup>
        </m:sSubSup>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β</m:t>
            </m:r>
          </m:e>
          <m:sub>
            <m:r>
              <m:rPr>
                <m:sty m:val="p"/>
              </m:rPr>
              <w:rPr>
                <w:rFonts w:ascii="Cambria Math" w:hAnsi="Times New Roman" w:cs="Times New Roman"/>
                <w:sz w:val="24"/>
                <w:szCs w:val="24"/>
              </w:rPr>
              <m:t>3</m:t>
            </m:r>
          </m:sub>
        </m:sSub>
        <m:sSubSup>
          <m:sSubSupPr>
            <m:ctrlPr>
              <w:rPr>
                <w:rFonts w:ascii="Cambria Math" w:hAnsi="Times New Roman" w:cs="Times New Roman"/>
                <w:sz w:val="24"/>
                <w:szCs w:val="24"/>
              </w:rPr>
            </m:ctrlPr>
          </m:sSubSupPr>
          <m:e>
            <m:r>
              <m:rPr>
                <m:sty m:val="p"/>
              </m:rPr>
              <w:rPr>
                <w:rFonts w:ascii="Cambria Math" w:hAnsi="Cambria Math" w:cs="Times New Roman"/>
                <w:sz w:val="24"/>
                <w:szCs w:val="24"/>
              </w:rPr>
              <m:t>w</m:t>
            </m:r>
          </m:e>
          <m:sub>
            <m:r>
              <m:rPr>
                <m:sty m:val="p"/>
              </m:rPr>
              <w:rPr>
                <w:rFonts w:ascii="Cambria Math" w:hAnsi="Cambria Math" w:cs="Times New Roman"/>
                <w:sz w:val="24"/>
                <w:szCs w:val="24"/>
              </w:rPr>
              <m:t>t</m:t>
            </m:r>
            <m:r>
              <m:rPr>
                <m:sty m:val="p"/>
              </m:rPr>
              <w:rPr>
                <w:rFonts w:ascii="Cambria Math" w:hAnsi="Times New Roman" w:cs="Times New Roman"/>
                <w:sz w:val="24"/>
                <w:szCs w:val="24"/>
              </w:rPr>
              <m:t>,</m:t>
            </m:r>
            <m:r>
              <m:rPr>
                <m:sty m:val="p"/>
              </m:rPr>
              <w:rPr>
                <w:rFonts w:ascii="Cambria Math" w:hAnsi="Cambria Math" w:cs="Times New Roman"/>
                <w:sz w:val="24"/>
                <w:szCs w:val="24"/>
              </w:rPr>
              <m:t>i</m:t>
            </m:r>
          </m:sub>
          <m:sup>
            <m:r>
              <m:rPr>
                <m:sty m:val="p"/>
              </m:rPr>
              <w:rPr>
                <w:rFonts w:ascii="Cambria Math" w:hAnsi="Cambria Math" w:cs="Times New Roman"/>
                <w:sz w:val="24"/>
                <w:szCs w:val="24"/>
              </w:rPr>
              <m:t>h</m:t>
            </m:r>
          </m:sup>
        </m:sSubSup>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β</m:t>
            </m:r>
          </m:e>
          <m:sub>
            <m:r>
              <m:rPr>
                <m:sty m:val="p"/>
              </m:rPr>
              <w:rPr>
                <w:rFonts w:ascii="Cambria Math" w:hAnsi="Times New Roman" w:cs="Times New Roman"/>
                <w:sz w:val="24"/>
                <w:szCs w:val="24"/>
              </w:rPr>
              <m:t>4</m:t>
            </m:r>
          </m:sub>
        </m:sSub>
        <m:r>
          <m:rPr>
            <m:sty m:val="p"/>
          </m:rPr>
          <w:rPr>
            <w:rFonts w:ascii="Cambria Math" w:hAnsi="Times New Roman" w:cs="Times New Roman"/>
            <w:sz w:val="24"/>
            <w:szCs w:val="24"/>
          </w:rPr>
          <m:t>d+</m:t>
        </m:r>
        <m:sSub>
          <m:sSubPr>
            <m:ctrlPr>
              <w:rPr>
                <w:rFonts w:ascii="Cambria Math" w:hAnsi="Times New Roman" w:cs="Times New Roman"/>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t</m:t>
            </m:r>
            <m:r>
              <m:rPr>
                <m:sty m:val="p"/>
              </m:rPr>
              <w:rPr>
                <w:rFonts w:ascii="Cambria Math" w:hAnsi="Times New Roman" w:cs="Times New Roman"/>
                <w:sz w:val="24"/>
                <w:szCs w:val="24"/>
              </w:rPr>
              <m:t>,</m:t>
            </m:r>
            <m:r>
              <m:rPr>
                <m:sty m:val="p"/>
              </m:rPr>
              <w:rPr>
                <w:rFonts w:ascii="Cambria Math" w:hAnsi="Cambria Math" w:cs="Times New Roman"/>
                <w:sz w:val="24"/>
                <w:szCs w:val="24"/>
              </w:rPr>
              <m:t>i</m:t>
            </m:r>
          </m:sub>
        </m:sSub>
        <m:r>
          <m:rPr>
            <m:sty m:val="p"/>
          </m:rPr>
          <w:rPr>
            <w:rFonts w:ascii="Cambria Math" w:hAnsi="Times New Roman" w:cs="Times New Roman"/>
            <w:sz w:val="24"/>
            <w:szCs w:val="24"/>
          </w:rPr>
          <m:t>,</m:t>
        </m:r>
        <m:r>
          <m:rPr>
            <m:sty m:val="p"/>
          </m:rPr>
          <w:rPr>
            <w:rFonts w:ascii="Cambria Math" w:hAnsi="Cambria Math" w:cs="Times New Roman"/>
            <w:sz w:val="24"/>
            <w:szCs w:val="24"/>
          </w:rPr>
          <m:t>i</m:t>
        </m:r>
        <m:r>
          <m:rPr>
            <m:sty m:val="p"/>
          </m:rPr>
          <w:rPr>
            <w:rFonts w:ascii="Cambria Math" w:hAnsi="Times New Roman" w:cs="Times New Roman"/>
            <w:sz w:val="24"/>
            <w:szCs w:val="24"/>
          </w:rPr>
          <m:t>=1,2,</m:t>
        </m:r>
        <m:r>
          <m:rPr>
            <m:sty m:val="p"/>
          </m:rPr>
          <w:rPr>
            <w:rFonts w:ascii="Cambria Math" w:hAnsi="Times New Roman" w:cs="Times New Roman"/>
            <w:sz w:val="24"/>
            <w:szCs w:val="24"/>
          </w:rPr>
          <m:t>…</m:t>
        </m:r>
        <m:r>
          <m:rPr>
            <m:sty m:val="p"/>
          </m:rPr>
          <w:rPr>
            <w:rFonts w:ascii="Cambria Math" w:hAnsi="Times New Roman" w:cs="Times New Roman"/>
            <w:sz w:val="24"/>
            <w:szCs w:val="24"/>
          </w:rPr>
          <m:t>,</m:t>
        </m:r>
        <m:r>
          <m:rPr>
            <m:sty m:val="p"/>
          </m:rPr>
          <w:rPr>
            <w:rFonts w:ascii="Cambria Math" w:hAnsi="Cambria Math" w:cs="Times New Roman"/>
            <w:sz w:val="24"/>
            <w:szCs w:val="24"/>
          </w:rPr>
          <m:t>N</m:t>
        </m:r>
        <m:r>
          <m:rPr>
            <m:sty m:val="p"/>
          </m:rPr>
          <w:rPr>
            <w:rFonts w:ascii="Cambria Math" w:hAnsi="Times New Roman" w:cs="Times New Roman"/>
            <w:sz w:val="24"/>
            <w:szCs w:val="24"/>
          </w:rPr>
          <m:t>,</m:t>
        </m:r>
        <m:r>
          <m:rPr>
            <m:sty m:val="p"/>
          </m:rPr>
          <w:rPr>
            <w:rFonts w:ascii="Cambria Math" w:hAnsi="Cambria Math" w:cs="Times New Roman"/>
            <w:sz w:val="24"/>
            <w:szCs w:val="24"/>
          </w:rPr>
          <m:t>t</m:t>
        </m:r>
        <m:r>
          <m:rPr>
            <m:sty m:val="p"/>
          </m:rPr>
          <w:rPr>
            <w:rFonts w:ascii="Cambria Math" w:hAnsi="Times New Roman" w:cs="Times New Roman"/>
            <w:sz w:val="24"/>
            <w:szCs w:val="24"/>
          </w:rPr>
          <m:t>=1,2,</m:t>
        </m:r>
        <m:r>
          <m:rPr>
            <m:sty m:val="p"/>
          </m:rPr>
          <w:rPr>
            <w:rFonts w:ascii="Cambria Math" w:hAnsi="Times New Roman" w:cs="Times New Roman"/>
            <w:sz w:val="24"/>
            <w:szCs w:val="24"/>
          </w:rPr>
          <m:t>…</m:t>
        </m:r>
        <m:r>
          <m:rPr>
            <m:sty m:val="p"/>
          </m:rPr>
          <w:rPr>
            <w:rFonts w:ascii="Cambria Math" w:hAnsi="Times New Roman" w:cs="Times New Roman"/>
            <w:sz w:val="24"/>
            <w:szCs w:val="24"/>
          </w:rPr>
          <m:t>,</m:t>
        </m:r>
        <m:r>
          <m:rPr>
            <m:sty m:val="p"/>
          </m:rPr>
          <w:rPr>
            <w:rFonts w:ascii="Cambria Math" w:hAnsi="Cambria Math" w:cs="Times New Roman"/>
            <w:sz w:val="24"/>
            <w:szCs w:val="24"/>
          </w:rPr>
          <m:t>T</m:t>
        </m:r>
      </m:oMath>
      <w:r w:rsidR="005D3E82">
        <w:rPr>
          <w:rFonts w:ascii="Times New Roman" w:hAnsi="Times New Roman" w:cs="Times New Roman"/>
          <w:sz w:val="24"/>
          <w:szCs w:val="24"/>
        </w:rPr>
        <w:t>(16</w:t>
      </w:r>
      <w:r w:rsidR="004A1EFF">
        <w:rPr>
          <w:rFonts w:ascii="Times New Roman" w:hAnsi="Times New Roman" w:cs="Times New Roman"/>
          <w:sz w:val="24"/>
          <w:szCs w:val="24"/>
        </w:rPr>
        <w:t>)</w:t>
      </w:r>
    </w:p>
    <w:p w:rsidR="004A1EFF" w:rsidRDefault="004A1EFF" w:rsidP="004A1EFF">
      <w:pPr>
        <w:spacing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Where c denotes the private consumption, </w:t>
      </w:r>
      <m:oMath>
        <m:sSup>
          <m:sSupPr>
            <m:ctrlPr>
              <w:rPr>
                <w:rFonts w:ascii="Cambria Math" w:hAnsi="Times New Roman" w:cs="Times New Roman"/>
                <w:sz w:val="24"/>
                <w:szCs w:val="24"/>
              </w:rPr>
            </m:ctrlPr>
          </m:sSupPr>
          <m:e>
            <m:r>
              <m:rPr>
                <m:sty m:val="p"/>
              </m:rPr>
              <w:rPr>
                <w:rFonts w:ascii="Cambria Math" w:hAnsi="Cambria Math" w:cs="Times New Roman"/>
                <w:sz w:val="24"/>
                <w:szCs w:val="24"/>
              </w:rPr>
              <m:t>y</m:t>
            </m:r>
          </m:e>
          <m:sup>
            <m:r>
              <m:rPr>
                <m:sty m:val="p"/>
              </m:rPr>
              <w:rPr>
                <w:rFonts w:ascii="Cambria Math" w:hAnsi="Cambria Math" w:cs="Times New Roman"/>
                <w:sz w:val="24"/>
                <w:szCs w:val="24"/>
              </w:rPr>
              <m:t>d</m:t>
            </m:r>
          </m:sup>
        </m:sSup>
      </m:oMath>
      <w:r w:rsidR="005D3E82">
        <w:rPr>
          <w:rFonts w:ascii="Times New Roman" w:eastAsiaTheme="minorEastAsia" w:hAnsi="Times New Roman" w:cs="Times New Roman"/>
          <w:sz w:val="24"/>
          <w:szCs w:val="24"/>
        </w:rPr>
        <w:t xml:space="preserve"> </w:t>
      </w:r>
      <w:r>
        <w:rPr>
          <w:rFonts w:ascii="Times New Roman" w:hAnsi="Times New Roman" w:cs="Times New Roman"/>
          <w:sz w:val="24"/>
          <w:szCs w:val="24"/>
        </w:rPr>
        <w:t xml:space="preserve">the household disposable income, </w:t>
      </w:r>
      <m:oMath>
        <m:sSup>
          <m:sSupPr>
            <m:ctrlPr>
              <w:rPr>
                <w:rFonts w:ascii="Cambria Math" w:hAnsi="Times New Roman" w:cs="Times New Roman"/>
                <w:sz w:val="24"/>
                <w:szCs w:val="24"/>
              </w:rPr>
            </m:ctrlPr>
          </m:sSupPr>
          <m:e>
            <m:r>
              <m:rPr>
                <m:sty m:val="p"/>
              </m:rPr>
              <w:rPr>
                <w:rFonts w:ascii="Cambria Math" w:hAnsi="Cambria Math" w:cs="Times New Roman"/>
                <w:sz w:val="24"/>
                <w:szCs w:val="24"/>
              </w:rPr>
              <m:t>w</m:t>
            </m:r>
          </m:e>
          <m:sup>
            <m:r>
              <m:rPr>
                <m:sty m:val="p"/>
              </m:rPr>
              <w:rPr>
                <w:rFonts w:ascii="Cambria Math" w:hAnsi="Cambria Math" w:cs="Times New Roman"/>
                <w:sz w:val="24"/>
                <w:szCs w:val="24"/>
              </w:rPr>
              <m:t>e</m:t>
            </m:r>
          </m:sup>
        </m:sSup>
      </m:oMath>
      <w:r>
        <w:rPr>
          <w:rFonts w:ascii="Times New Roman" w:hAnsi="Times New Roman" w:cs="Times New Roman"/>
          <w:sz w:val="24"/>
          <w:szCs w:val="24"/>
        </w:rPr>
        <w:t xml:space="preserve"> the equity wealth, </w:t>
      </w:r>
      <m:oMath>
        <m:sSup>
          <m:sSupPr>
            <m:ctrlPr>
              <w:rPr>
                <w:rFonts w:ascii="Cambria Math" w:hAnsi="Times New Roman" w:cs="Times New Roman"/>
                <w:sz w:val="24"/>
                <w:szCs w:val="24"/>
              </w:rPr>
            </m:ctrlPr>
          </m:sSupPr>
          <m:e>
            <m:r>
              <m:rPr>
                <m:sty m:val="p"/>
              </m:rPr>
              <w:rPr>
                <w:rFonts w:ascii="Cambria Math" w:hAnsi="Cambria Math" w:cs="Times New Roman"/>
                <w:sz w:val="24"/>
                <w:szCs w:val="24"/>
              </w:rPr>
              <m:t>w</m:t>
            </m:r>
          </m:e>
          <m:sup>
            <m:r>
              <m:rPr>
                <m:sty m:val="p"/>
              </m:rPr>
              <w:rPr>
                <w:rFonts w:ascii="Cambria Math" w:hAnsi="Cambria Math" w:cs="Times New Roman"/>
                <w:sz w:val="24"/>
                <w:szCs w:val="24"/>
              </w:rPr>
              <m:t>h</m:t>
            </m:r>
          </m:sup>
        </m:sSup>
      </m:oMath>
      <w:r>
        <w:rPr>
          <w:rFonts w:ascii="Times New Roman" w:hAnsi="Times New Roman" w:cs="Times New Roman"/>
          <w:sz w:val="24"/>
          <w:szCs w:val="24"/>
        </w:rPr>
        <w:t xml:space="preserve"> the housing wealth, d the government debt and finally ε stands for</w:t>
      </w:r>
      <w:r w:rsidR="005D3E82">
        <w:rPr>
          <w:rFonts w:ascii="Times New Roman" w:hAnsi="Times New Roman" w:cs="Times New Roman"/>
          <w:sz w:val="24"/>
          <w:szCs w:val="24"/>
        </w:rPr>
        <w:t xml:space="preserve"> the error term.</w:t>
      </w:r>
      <w:proofErr w:type="gramEnd"/>
      <w:r w:rsidR="00D92934">
        <w:rPr>
          <w:rFonts w:ascii="Times New Roman" w:hAnsi="Times New Roman" w:cs="Times New Roman"/>
          <w:sz w:val="24"/>
          <w:szCs w:val="24"/>
        </w:rPr>
        <w:t xml:space="preserve"> Later we will incorporate in the initial consumption function the government expenditures variable g. </w:t>
      </w:r>
    </w:p>
    <w:p w:rsidR="004A1EFF" w:rsidRDefault="004A1EFF"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As a first step we estimated the private consumption function for each country in our sample individually. Then we proceeded with</w:t>
      </w:r>
      <w:r w:rsidR="005D3E82" w:rsidRPr="005D3E82">
        <w:rPr>
          <w:rFonts w:ascii="Times New Roman" w:hAnsi="Times New Roman" w:cs="Times New Roman"/>
          <w:sz w:val="24"/>
          <w:szCs w:val="24"/>
        </w:rPr>
        <w:t xml:space="preserve"> </w:t>
      </w:r>
      <w:r w:rsidR="00D92934">
        <w:rPr>
          <w:rFonts w:ascii="Times New Roman" w:hAnsi="Times New Roman" w:cs="Times New Roman"/>
          <w:sz w:val="24"/>
          <w:szCs w:val="24"/>
        </w:rPr>
        <w:t xml:space="preserve">the </w:t>
      </w:r>
      <w:r w:rsidR="005D3E82">
        <w:rPr>
          <w:rFonts w:ascii="Times New Roman" w:hAnsi="Times New Roman" w:cs="Times New Roman"/>
          <w:sz w:val="24"/>
          <w:szCs w:val="24"/>
        </w:rPr>
        <w:t>panel data analysis for three groups of countries</w:t>
      </w:r>
      <w:r w:rsidR="005D3E82">
        <w:rPr>
          <w:rStyle w:val="a8"/>
          <w:rFonts w:ascii="Times New Roman" w:hAnsi="Times New Roman" w:cs="Times New Roman"/>
          <w:sz w:val="24"/>
          <w:szCs w:val="24"/>
        </w:rPr>
        <w:footnoteReference w:id="47"/>
      </w:r>
      <w:r w:rsidR="005D3E82">
        <w:rPr>
          <w:rFonts w:ascii="Times New Roman" w:hAnsi="Times New Roman" w:cs="Times New Roman"/>
          <w:sz w:val="24"/>
          <w:szCs w:val="24"/>
        </w:rPr>
        <w:t xml:space="preserve"> allowing us to investigate the impact of government debt for the high and low indebted countries. Finally</w:t>
      </w:r>
      <w:r w:rsidR="00D92934">
        <w:rPr>
          <w:rFonts w:ascii="Times New Roman" w:hAnsi="Times New Roman" w:cs="Times New Roman"/>
          <w:sz w:val="24"/>
          <w:szCs w:val="24"/>
        </w:rPr>
        <w:t>,</w:t>
      </w:r>
      <w:r w:rsidR="005D3E82">
        <w:rPr>
          <w:rFonts w:ascii="Times New Roman" w:hAnsi="Times New Roman" w:cs="Times New Roman"/>
          <w:sz w:val="24"/>
          <w:szCs w:val="24"/>
        </w:rPr>
        <w:t xml:space="preserve"> we incorporated equation (16</w:t>
      </w:r>
      <w:r>
        <w:rPr>
          <w:rFonts w:ascii="Times New Roman" w:hAnsi="Times New Roman" w:cs="Times New Roman"/>
          <w:sz w:val="24"/>
          <w:szCs w:val="24"/>
        </w:rPr>
        <w:t>) in an autoregressive distributed lag (ADRL) model in an error correction framework in order to investigate the short run dy</w:t>
      </w:r>
      <w:r w:rsidR="00D92934">
        <w:rPr>
          <w:rFonts w:ascii="Times New Roman" w:hAnsi="Times New Roman" w:cs="Times New Roman"/>
          <w:sz w:val="24"/>
          <w:szCs w:val="24"/>
        </w:rPr>
        <w:t>namics.</w:t>
      </w:r>
    </w:p>
    <w:p w:rsidR="00B07747" w:rsidRDefault="00B07747" w:rsidP="004A1EFF">
      <w:pPr>
        <w:spacing w:line="240" w:lineRule="auto"/>
        <w:jc w:val="both"/>
        <w:rPr>
          <w:rFonts w:ascii="Times New Roman" w:hAnsi="Times New Roman" w:cs="Times New Roman"/>
          <w:sz w:val="24"/>
          <w:szCs w:val="24"/>
        </w:rPr>
      </w:pPr>
      <w:r w:rsidRPr="00B07747">
        <w:rPr>
          <w:rFonts w:ascii="Times New Roman" w:hAnsi="Times New Roman" w:cs="Times New Roman"/>
          <w:sz w:val="24"/>
          <w:szCs w:val="24"/>
          <w:u w:val="single"/>
        </w:rPr>
        <w:t>Data</w:t>
      </w:r>
      <w:r>
        <w:rPr>
          <w:rFonts w:ascii="Times New Roman" w:hAnsi="Times New Roman" w:cs="Times New Roman"/>
          <w:sz w:val="24"/>
          <w:szCs w:val="24"/>
        </w:rPr>
        <w:t xml:space="preserve">: </w:t>
      </w:r>
    </w:p>
    <w:p w:rsidR="004A1EFF" w:rsidRDefault="004A1EFF"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Our analysis covers 9 European countries</w:t>
      </w:r>
      <w:r>
        <w:rPr>
          <w:rStyle w:val="a8"/>
          <w:rFonts w:ascii="Times New Roman" w:hAnsi="Times New Roman" w:cs="Times New Roman"/>
          <w:sz w:val="24"/>
          <w:szCs w:val="24"/>
        </w:rPr>
        <w:footnoteReference w:id="48"/>
      </w:r>
      <w:r>
        <w:rPr>
          <w:rFonts w:ascii="Times New Roman" w:hAnsi="Times New Roman" w:cs="Times New Roman"/>
          <w:sz w:val="24"/>
          <w:szCs w:val="24"/>
        </w:rPr>
        <w:t xml:space="preserve"> four low debt (Finland, Netherlands, Austria and Germany) and five high </w:t>
      </w:r>
      <w:r w:rsidR="00D92934">
        <w:rPr>
          <w:rFonts w:ascii="Times New Roman" w:hAnsi="Times New Roman" w:cs="Times New Roman"/>
          <w:sz w:val="24"/>
          <w:szCs w:val="24"/>
        </w:rPr>
        <w:t xml:space="preserve">government </w:t>
      </w:r>
      <w:r>
        <w:rPr>
          <w:rFonts w:ascii="Times New Roman" w:hAnsi="Times New Roman" w:cs="Times New Roman"/>
          <w:sz w:val="24"/>
          <w:szCs w:val="24"/>
        </w:rPr>
        <w:t xml:space="preserve">debt countries (France, Belgium, Ireland, Italy and Portugal) for the period 1993-2013.  </w:t>
      </w:r>
      <w:r w:rsidR="00DA48D6">
        <w:rPr>
          <w:rFonts w:ascii="Times New Roman" w:hAnsi="Times New Roman" w:cs="Times New Roman"/>
          <w:sz w:val="24"/>
          <w:szCs w:val="24"/>
        </w:rPr>
        <w:t>The data are in annual frequency and all the variables are in logarithms, per capita and in real terms. Following Berber &amp;</w:t>
      </w:r>
      <w:r>
        <w:rPr>
          <w:rFonts w:ascii="Times New Roman" w:hAnsi="Times New Roman" w:cs="Times New Roman"/>
          <w:sz w:val="24"/>
          <w:szCs w:val="24"/>
        </w:rPr>
        <w:t xml:space="preserve"> </w:t>
      </w:r>
      <w:proofErr w:type="spellStart"/>
      <w:r>
        <w:rPr>
          <w:rFonts w:ascii="Times New Roman" w:hAnsi="Times New Roman" w:cs="Times New Roman"/>
          <w:sz w:val="24"/>
          <w:szCs w:val="24"/>
        </w:rPr>
        <w:t>Brosens</w:t>
      </w:r>
      <w:proofErr w:type="spellEnd"/>
      <w:r>
        <w:rPr>
          <w:rFonts w:ascii="Times New Roman" w:hAnsi="Times New Roman" w:cs="Times New Roman"/>
          <w:sz w:val="24"/>
          <w:szCs w:val="24"/>
        </w:rPr>
        <w:t xml:space="preserve"> </w:t>
      </w:r>
      <w:r w:rsidR="00DA48D6">
        <w:rPr>
          <w:rFonts w:ascii="Times New Roman" w:hAnsi="Times New Roman" w:cs="Times New Roman"/>
          <w:sz w:val="24"/>
          <w:szCs w:val="24"/>
        </w:rPr>
        <w:t xml:space="preserve">(2007) </w:t>
      </w:r>
      <w:r>
        <w:rPr>
          <w:rFonts w:ascii="Times New Roman" w:hAnsi="Times New Roman" w:cs="Times New Roman"/>
          <w:sz w:val="24"/>
          <w:szCs w:val="24"/>
        </w:rPr>
        <w:t xml:space="preserve">we used stock market and housing prices </w:t>
      </w:r>
      <w:r w:rsidR="00DA48D6">
        <w:rPr>
          <w:rFonts w:ascii="Times New Roman" w:hAnsi="Times New Roman" w:cs="Times New Roman"/>
          <w:sz w:val="24"/>
          <w:szCs w:val="24"/>
        </w:rPr>
        <w:t>as proxies for the equity</w:t>
      </w:r>
      <w:r>
        <w:rPr>
          <w:rFonts w:ascii="Times New Roman" w:hAnsi="Times New Roman" w:cs="Times New Roman"/>
          <w:sz w:val="24"/>
          <w:szCs w:val="24"/>
        </w:rPr>
        <w:t xml:space="preserve"> and housing wealth variables respectively. For the private consumption we used the private final consumption expenditures of households, for the household disposable income the real net household disposable income deflated by the final consumption deflator, while for the government debt we used the </w:t>
      </w:r>
      <w:r w:rsidR="00B07747">
        <w:rPr>
          <w:rFonts w:ascii="Times New Roman" w:hAnsi="Times New Roman" w:cs="Times New Roman"/>
          <w:sz w:val="24"/>
          <w:szCs w:val="24"/>
        </w:rPr>
        <w:t xml:space="preserve">Maastricht - </w:t>
      </w:r>
      <w:r>
        <w:rPr>
          <w:rFonts w:ascii="Times New Roman" w:hAnsi="Times New Roman" w:cs="Times New Roman"/>
          <w:sz w:val="24"/>
          <w:szCs w:val="24"/>
        </w:rPr>
        <w:t>gene</w:t>
      </w:r>
      <w:r w:rsidR="00B07747">
        <w:rPr>
          <w:rFonts w:ascii="Times New Roman" w:hAnsi="Times New Roman" w:cs="Times New Roman"/>
          <w:sz w:val="24"/>
          <w:szCs w:val="24"/>
        </w:rPr>
        <w:t xml:space="preserve">ral government gross </w:t>
      </w:r>
      <w:r>
        <w:rPr>
          <w:rFonts w:ascii="Times New Roman" w:hAnsi="Times New Roman" w:cs="Times New Roman"/>
          <w:sz w:val="24"/>
          <w:szCs w:val="24"/>
        </w:rPr>
        <w:t>debt. In addition, for the government expenditures we used the general government final consumption expenditures</w:t>
      </w:r>
      <w:r>
        <w:rPr>
          <w:rStyle w:val="a8"/>
          <w:rFonts w:ascii="Times New Roman" w:hAnsi="Times New Roman" w:cs="Times New Roman"/>
          <w:sz w:val="24"/>
          <w:szCs w:val="24"/>
        </w:rPr>
        <w:footnoteReference w:id="49"/>
      </w:r>
      <w:r>
        <w:rPr>
          <w:rFonts w:ascii="Times New Roman" w:hAnsi="Times New Roman" w:cs="Times New Roman"/>
          <w:sz w:val="24"/>
          <w:szCs w:val="24"/>
        </w:rPr>
        <w:t>. The data regarding the private consumption, the disposable income, the government debt, the government expenditures, the population and the private final consumption deflator</w:t>
      </w:r>
      <w:r>
        <w:rPr>
          <w:rStyle w:val="a8"/>
          <w:rFonts w:ascii="Times New Roman" w:hAnsi="Times New Roman" w:cs="Times New Roman"/>
          <w:sz w:val="24"/>
          <w:szCs w:val="24"/>
        </w:rPr>
        <w:footnoteReference w:id="50"/>
      </w:r>
      <w:r>
        <w:rPr>
          <w:rFonts w:ascii="Times New Roman" w:hAnsi="Times New Roman" w:cs="Times New Roman"/>
          <w:sz w:val="24"/>
          <w:szCs w:val="24"/>
        </w:rPr>
        <w:t xml:space="preserve"> were taken from the OECD database. The data for the stock price and the ho</w:t>
      </w:r>
      <w:r w:rsidR="00B07747">
        <w:rPr>
          <w:rFonts w:ascii="Times New Roman" w:hAnsi="Times New Roman" w:cs="Times New Roman"/>
          <w:sz w:val="24"/>
          <w:szCs w:val="24"/>
        </w:rPr>
        <w:t>use price indexes were extracted</w:t>
      </w:r>
      <w:r>
        <w:rPr>
          <w:rFonts w:ascii="Times New Roman" w:hAnsi="Times New Roman" w:cs="Times New Roman"/>
          <w:sz w:val="24"/>
          <w:szCs w:val="24"/>
        </w:rPr>
        <w:t xml:space="preserve"> from the Thomson Financial and the Bank of International Settlements database. </w:t>
      </w:r>
    </w:p>
    <w:p w:rsidR="00495E4C" w:rsidRDefault="00495E4C" w:rsidP="004A1EFF">
      <w:pPr>
        <w:spacing w:line="240" w:lineRule="auto"/>
        <w:jc w:val="both"/>
        <w:rPr>
          <w:rFonts w:ascii="Times New Roman" w:hAnsi="Times New Roman" w:cs="Times New Roman"/>
          <w:sz w:val="24"/>
          <w:szCs w:val="24"/>
        </w:rPr>
      </w:pPr>
    </w:p>
    <w:p w:rsidR="004A1EFF" w:rsidRDefault="004A1EFF" w:rsidP="004A1EFF">
      <w:pPr>
        <w:spacing w:line="240" w:lineRule="auto"/>
        <w:jc w:val="both"/>
        <w:rPr>
          <w:rFonts w:ascii="Times New Roman" w:hAnsi="Times New Roman" w:cs="Times New Roman"/>
          <w:sz w:val="24"/>
          <w:szCs w:val="24"/>
        </w:rPr>
      </w:pPr>
      <w:r w:rsidRPr="00B07747">
        <w:rPr>
          <w:rFonts w:ascii="Times New Roman" w:hAnsi="Times New Roman" w:cs="Times New Roman"/>
          <w:sz w:val="24"/>
          <w:szCs w:val="24"/>
          <w:u w:val="single"/>
        </w:rPr>
        <w:t>Research questions</w:t>
      </w:r>
      <w:r>
        <w:rPr>
          <w:rFonts w:ascii="Times New Roman" w:hAnsi="Times New Roman" w:cs="Times New Roman"/>
          <w:sz w:val="24"/>
          <w:szCs w:val="24"/>
        </w:rPr>
        <w:t xml:space="preserve">: </w:t>
      </w:r>
    </w:p>
    <w:p w:rsidR="004A1EFF" w:rsidRDefault="004A1EFF" w:rsidP="004A1EFF">
      <w:pPr>
        <w:spacing w:line="240" w:lineRule="auto"/>
        <w:jc w:val="both"/>
        <w:rPr>
          <w:rFonts w:ascii="Times New Roman" w:hAnsi="Times New Roman" w:cs="Times New Roman"/>
          <w:sz w:val="24"/>
          <w:szCs w:val="24"/>
        </w:rPr>
      </w:pPr>
      <w:r>
        <w:rPr>
          <w:rFonts w:ascii="Times New Roman" w:hAnsi="Times New Roman" w:cs="Times New Roman"/>
          <w:sz w:val="24"/>
          <w:szCs w:val="24"/>
        </w:rPr>
        <w:t>The a</w:t>
      </w:r>
      <w:r w:rsidR="00B07747">
        <w:rPr>
          <w:rFonts w:ascii="Times New Roman" w:hAnsi="Times New Roman" w:cs="Times New Roman"/>
          <w:sz w:val="24"/>
          <w:szCs w:val="24"/>
        </w:rPr>
        <w:t>im of this analysis is to investigate</w:t>
      </w:r>
      <w:r>
        <w:rPr>
          <w:rFonts w:ascii="Times New Roman" w:hAnsi="Times New Roman" w:cs="Times New Roman"/>
          <w:sz w:val="24"/>
          <w:szCs w:val="24"/>
        </w:rPr>
        <w:t xml:space="preserve"> the relationship between the government debt and the private consumption in order to examine the validity of t</w:t>
      </w:r>
      <w:r w:rsidR="007B3132">
        <w:rPr>
          <w:rFonts w:ascii="Times New Roman" w:hAnsi="Times New Roman" w:cs="Times New Roman"/>
          <w:sz w:val="24"/>
          <w:szCs w:val="24"/>
        </w:rPr>
        <w:t xml:space="preserve">he </w:t>
      </w:r>
      <w:proofErr w:type="spellStart"/>
      <w:r w:rsidR="007B3132">
        <w:rPr>
          <w:rFonts w:ascii="Times New Roman" w:hAnsi="Times New Roman" w:cs="Times New Roman"/>
          <w:sz w:val="24"/>
          <w:szCs w:val="24"/>
        </w:rPr>
        <w:t>Ricardian</w:t>
      </w:r>
      <w:proofErr w:type="spellEnd"/>
      <w:r w:rsidR="007B3132">
        <w:rPr>
          <w:rFonts w:ascii="Times New Roman" w:hAnsi="Times New Roman" w:cs="Times New Roman"/>
          <w:sz w:val="24"/>
          <w:szCs w:val="24"/>
        </w:rPr>
        <w:t xml:space="preserve"> Equivalence and to consider how this relationship</w:t>
      </w:r>
      <w:r>
        <w:rPr>
          <w:rFonts w:ascii="Times New Roman" w:hAnsi="Times New Roman" w:cs="Times New Roman"/>
          <w:sz w:val="24"/>
          <w:szCs w:val="24"/>
        </w:rPr>
        <w:t xml:space="preserve"> changes </w:t>
      </w:r>
      <w:r w:rsidR="007B3132">
        <w:rPr>
          <w:rFonts w:ascii="Times New Roman" w:hAnsi="Times New Roman" w:cs="Times New Roman"/>
          <w:sz w:val="24"/>
          <w:szCs w:val="24"/>
        </w:rPr>
        <w:t xml:space="preserve">for different levels of public debt e.g. </w:t>
      </w:r>
      <w:r>
        <w:rPr>
          <w:rFonts w:ascii="Times New Roman" w:hAnsi="Times New Roman" w:cs="Times New Roman"/>
          <w:sz w:val="24"/>
          <w:szCs w:val="24"/>
        </w:rPr>
        <w:t xml:space="preserve">for high and low debt countries. Specifically, we expect to find that in low debt countries </w:t>
      </w:r>
      <w:r w:rsidR="00CF4449">
        <w:rPr>
          <w:rFonts w:ascii="Times New Roman" w:hAnsi="Times New Roman" w:cs="Times New Roman"/>
          <w:sz w:val="24"/>
          <w:szCs w:val="24"/>
        </w:rPr>
        <w:t xml:space="preserve">government debt exerts no </w:t>
      </w:r>
      <w:r w:rsidR="00E759CD">
        <w:rPr>
          <w:rFonts w:ascii="Times New Roman" w:hAnsi="Times New Roman" w:cs="Times New Roman"/>
          <w:sz w:val="24"/>
          <w:szCs w:val="24"/>
        </w:rPr>
        <w:t xml:space="preserve">or </w:t>
      </w:r>
      <w:r w:rsidR="0002558B">
        <w:rPr>
          <w:rFonts w:ascii="Times New Roman" w:hAnsi="Times New Roman" w:cs="Times New Roman"/>
          <w:sz w:val="24"/>
          <w:szCs w:val="24"/>
        </w:rPr>
        <w:t xml:space="preserve">a slight </w:t>
      </w:r>
      <w:r w:rsidR="00E759CD">
        <w:rPr>
          <w:rFonts w:ascii="Times New Roman" w:hAnsi="Times New Roman" w:cs="Times New Roman"/>
          <w:sz w:val="24"/>
          <w:szCs w:val="24"/>
        </w:rPr>
        <w:t xml:space="preserve">positive </w:t>
      </w:r>
      <w:r w:rsidR="00CF4449">
        <w:rPr>
          <w:rFonts w:ascii="Times New Roman" w:hAnsi="Times New Roman" w:cs="Times New Roman"/>
          <w:sz w:val="24"/>
          <w:szCs w:val="24"/>
        </w:rPr>
        <w:t>impact on private consumption. On the contrary,</w:t>
      </w:r>
      <w:r>
        <w:rPr>
          <w:rFonts w:ascii="Times New Roman" w:hAnsi="Times New Roman" w:cs="Times New Roman"/>
          <w:sz w:val="24"/>
          <w:szCs w:val="24"/>
        </w:rPr>
        <w:t xml:space="preserve"> in high debt countries </w:t>
      </w:r>
      <w:r w:rsidR="00CF4449">
        <w:rPr>
          <w:rFonts w:ascii="Times New Roman" w:hAnsi="Times New Roman" w:cs="Times New Roman"/>
          <w:sz w:val="24"/>
          <w:szCs w:val="24"/>
        </w:rPr>
        <w:t xml:space="preserve">the </w:t>
      </w:r>
      <w:r w:rsidR="00CF4449">
        <w:rPr>
          <w:rFonts w:ascii="Times New Roman" w:hAnsi="Times New Roman" w:cs="Times New Roman"/>
          <w:sz w:val="24"/>
          <w:szCs w:val="24"/>
        </w:rPr>
        <w:lastRenderedPageBreak/>
        <w:t xml:space="preserve">impact of government debt on private consumption could be negative as individuals being more concerned about the public debt sustainability become more forward looking </w:t>
      </w:r>
      <w:r w:rsidR="00E759CD">
        <w:rPr>
          <w:rFonts w:ascii="Times New Roman" w:hAnsi="Times New Roman" w:cs="Times New Roman"/>
          <w:sz w:val="24"/>
          <w:szCs w:val="24"/>
        </w:rPr>
        <w:t xml:space="preserve">and </w:t>
      </w:r>
      <w:r w:rsidR="00CF4449">
        <w:rPr>
          <w:rFonts w:ascii="Times New Roman" w:hAnsi="Times New Roman" w:cs="Times New Roman"/>
          <w:sz w:val="24"/>
          <w:szCs w:val="24"/>
        </w:rPr>
        <w:t>realize that the current debt issue will provoke the ne</w:t>
      </w:r>
      <w:r w:rsidR="00E759CD">
        <w:rPr>
          <w:rFonts w:ascii="Times New Roman" w:hAnsi="Times New Roman" w:cs="Times New Roman"/>
          <w:sz w:val="24"/>
          <w:szCs w:val="24"/>
        </w:rPr>
        <w:t>ed for future taxes in order</w:t>
      </w:r>
      <w:r w:rsidR="00CF4449">
        <w:rPr>
          <w:rFonts w:ascii="Times New Roman" w:hAnsi="Times New Roman" w:cs="Times New Roman"/>
          <w:sz w:val="24"/>
          <w:szCs w:val="24"/>
        </w:rPr>
        <w:t xml:space="preserve"> the debt to be paid back. Hence they</w:t>
      </w:r>
      <w:r>
        <w:rPr>
          <w:rFonts w:ascii="Times New Roman" w:hAnsi="Times New Roman" w:cs="Times New Roman"/>
          <w:sz w:val="24"/>
          <w:szCs w:val="24"/>
        </w:rPr>
        <w:t xml:space="preserve"> don’t consider the debt as </w:t>
      </w:r>
      <w:r w:rsidR="00E759CD">
        <w:rPr>
          <w:rFonts w:ascii="Times New Roman" w:hAnsi="Times New Roman" w:cs="Times New Roman"/>
          <w:sz w:val="24"/>
          <w:szCs w:val="24"/>
        </w:rPr>
        <w:t>net wealth leaving their consumption constant (or even decrease it)</w:t>
      </w:r>
      <w:r>
        <w:rPr>
          <w:rFonts w:ascii="Times New Roman" w:hAnsi="Times New Roman" w:cs="Times New Roman"/>
          <w:sz w:val="24"/>
          <w:szCs w:val="24"/>
        </w:rPr>
        <w:t xml:space="preserve">. </w:t>
      </w:r>
      <w:r w:rsidR="00E759CD">
        <w:rPr>
          <w:rFonts w:ascii="Times New Roman" w:hAnsi="Times New Roman" w:cs="Times New Roman"/>
          <w:sz w:val="24"/>
          <w:szCs w:val="24"/>
        </w:rPr>
        <w:t xml:space="preserve">The anticipated results above are in line with the main findings of </w:t>
      </w:r>
      <w:proofErr w:type="spellStart"/>
      <w:r w:rsidR="00E759CD">
        <w:rPr>
          <w:rFonts w:ascii="Times New Roman" w:hAnsi="Times New Roman" w:cs="Times New Roman"/>
          <w:sz w:val="24"/>
          <w:szCs w:val="24"/>
        </w:rPr>
        <w:t>Berben</w:t>
      </w:r>
      <w:proofErr w:type="spellEnd"/>
      <w:r w:rsidR="00E759CD">
        <w:rPr>
          <w:rFonts w:ascii="Times New Roman" w:hAnsi="Times New Roman" w:cs="Times New Roman"/>
          <w:sz w:val="24"/>
          <w:szCs w:val="24"/>
        </w:rPr>
        <w:t xml:space="preserve"> and </w:t>
      </w:r>
      <w:proofErr w:type="spellStart"/>
      <w:r w:rsidR="00E759CD">
        <w:rPr>
          <w:rFonts w:ascii="Times New Roman" w:hAnsi="Times New Roman" w:cs="Times New Roman"/>
          <w:sz w:val="24"/>
          <w:szCs w:val="24"/>
        </w:rPr>
        <w:t>Brosens</w:t>
      </w:r>
      <w:proofErr w:type="spellEnd"/>
      <w:r w:rsidR="00E759CD">
        <w:rPr>
          <w:rFonts w:ascii="Times New Roman" w:hAnsi="Times New Roman" w:cs="Times New Roman"/>
          <w:sz w:val="24"/>
          <w:szCs w:val="24"/>
        </w:rPr>
        <w:t xml:space="preserve"> (2007). </w:t>
      </w:r>
      <w:r>
        <w:rPr>
          <w:rFonts w:ascii="Times New Roman" w:hAnsi="Times New Roman" w:cs="Times New Roman"/>
          <w:sz w:val="24"/>
          <w:szCs w:val="24"/>
        </w:rPr>
        <w:t>According to the conventional economic theory the public debt is perceived as net weal</w:t>
      </w:r>
      <w:r w:rsidR="0002558B">
        <w:rPr>
          <w:rFonts w:ascii="Times New Roman" w:hAnsi="Times New Roman" w:cs="Times New Roman"/>
          <w:sz w:val="24"/>
          <w:szCs w:val="24"/>
        </w:rPr>
        <w:t>th by the individuals and consequently affects positively</w:t>
      </w:r>
      <w:r>
        <w:rPr>
          <w:rFonts w:ascii="Times New Roman" w:hAnsi="Times New Roman" w:cs="Times New Roman"/>
          <w:sz w:val="24"/>
          <w:szCs w:val="24"/>
        </w:rPr>
        <w:t xml:space="preserve"> the private consumption. On the contrary, according to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w:t>
      </w:r>
      <w:r w:rsidR="0002558B">
        <w:rPr>
          <w:rFonts w:ascii="Times New Roman" w:hAnsi="Times New Roman" w:cs="Times New Roman"/>
          <w:sz w:val="24"/>
          <w:szCs w:val="24"/>
        </w:rPr>
        <w:t xml:space="preserve">Equivalence </w:t>
      </w:r>
      <w:r>
        <w:rPr>
          <w:rFonts w:ascii="Times New Roman" w:hAnsi="Times New Roman" w:cs="Times New Roman"/>
          <w:sz w:val="24"/>
          <w:szCs w:val="24"/>
        </w:rPr>
        <w:t>perspective the government debt exerts no wealth effects and hence leaves the privat</w:t>
      </w:r>
      <w:r w:rsidR="0002558B">
        <w:rPr>
          <w:rFonts w:ascii="Times New Roman" w:hAnsi="Times New Roman" w:cs="Times New Roman"/>
          <w:sz w:val="24"/>
          <w:szCs w:val="24"/>
        </w:rPr>
        <w:t>e consumption unaffected. To this end,</w:t>
      </w:r>
      <w:r>
        <w:rPr>
          <w:rFonts w:ascii="Times New Roman" w:hAnsi="Times New Roman" w:cs="Times New Roman"/>
          <w:sz w:val="24"/>
          <w:szCs w:val="24"/>
        </w:rPr>
        <w:t xml:space="preserve"> according to the conventional economic theory the public debt coefficient will be positive </w:t>
      </w:r>
      <w:r w:rsidR="00BD2F3B">
        <w:rPr>
          <w:rFonts w:ascii="Times New Roman" w:hAnsi="Times New Roman" w:cs="Times New Roman"/>
          <w:sz w:val="24"/>
          <w:szCs w:val="24"/>
        </w:rPr>
        <w:t>(</w:t>
      </w:r>
      <w:r w:rsidR="00BD2F3B">
        <w:rPr>
          <w:rFonts w:ascii="Times New Roman" w:hAnsi="Times New Roman" w:cs="Times New Roman"/>
          <w:sz w:val="24"/>
          <w:szCs w:val="24"/>
          <w:lang w:val="el-GR"/>
        </w:rPr>
        <w:t>β</w:t>
      </w:r>
      <w:r w:rsidR="00BD2F3B" w:rsidRPr="00BD2F3B">
        <w:rPr>
          <w:rFonts w:ascii="Times New Roman" w:hAnsi="Times New Roman" w:cs="Times New Roman"/>
          <w:sz w:val="24"/>
          <w:szCs w:val="24"/>
          <w:vertAlign w:val="subscript"/>
        </w:rPr>
        <w:t>4</w:t>
      </w:r>
      <w:r w:rsidR="00BD2F3B" w:rsidRPr="00BD2F3B">
        <w:rPr>
          <w:rFonts w:ascii="Times New Roman" w:hAnsi="Times New Roman" w:cs="Times New Roman"/>
          <w:sz w:val="24"/>
          <w:szCs w:val="24"/>
        </w:rPr>
        <w:t>&gt;0</w:t>
      </w:r>
      <w:r w:rsidR="00BD2F3B">
        <w:rPr>
          <w:rFonts w:ascii="Times New Roman" w:hAnsi="Times New Roman" w:cs="Times New Roman"/>
          <w:sz w:val="24"/>
          <w:szCs w:val="24"/>
        </w:rPr>
        <w:t xml:space="preserve">) </w:t>
      </w:r>
      <w:r>
        <w:rPr>
          <w:rFonts w:ascii="Times New Roman" w:hAnsi="Times New Roman" w:cs="Times New Roman"/>
          <w:sz w:val="24"/>
          <w:szCs w:val="24"/>
        </w:rPr>
        <w:t xml:space="preserve">while zero in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case</w:t>
      </w:r>
      <w:r w:rsidR="00BD2F3B" w:rsidRPr="00BD2F3B">
        <w:rPr>
          <w:rFonts w:ascii="Times New Roman" w:hAnsi="Times New Roman" w:cs="Times New Roman"/>
          <w:sz w:val="24"/>
          <w:szCs w:val="24"/>
        </w:rPr>
        <w:t xml:space="preserve"> (</w:t>
      </w:r>
      <w:r w:rsidR="00BD2F3B">
        <w:rPr>
          <w:rFonts w:ascii="Times New Roman" w:hAnsi="Times New Roman" w:cs="Times New Roman"/>
          <w:sz w:val="24"/>
          <w:szCs w:val="24"/>
          <w:lang w:val="el-GR"/>
        </w:rPr>
        <w:t>β</w:t>
      </w:r>
      <w:r w:rsidR="00BD2F3B" w:rsidRPr="00BD2F3B">
        <w:rPr>
          <w:rFonts w:ascii="Times New Roman" w:hAnsi="Times New Roman" w:cs="Times New Roman"/>
          <w:sz w:val="24"/>
          <w:szCs w:val="24"/>
          <w:vertAlign w:val="subscript"/>
        </w:rPr>
        <w:t>4</w:t>
      </w:r>
      <w:r w:rsidR="00BD2F3B" w:rsidRPr="00BD2F3B">
        <w:rPr>
          <w:rFonts w:ascii="Times New Roman" w:hAnsi="Times New Roman" w:cs="Times New Roman"/>
          <w:sz w:val="24"/>
          <w:szCs w:val="24"/>
        </w:rPr>
        <w:t>=0)</w:t>
      </w:r>
      <w:r>
        <w:rPr>
          <w:rFonts w:ascii="Times New Roman" w:hAnsi="Times New Roman" w:cs="Times New Roman"/>
          <w:sz w:val="24"/>
          <w:szCs w:val="24"/>
        </w:rPr>
        <w:t xml:space="preserve">. Regarding the government expenditures according to the Keynesian view the impact of the government expenditures on private consumption will be positive implying a positive coefficient </w:t>
      </w:r>
      <w:r w:rsidR="00BD2F3B" w:rsidRPr="00BD2F3B">
        <w:rPr>
          <w:rFonts w:ascii="Times New Roman" w:hAnsi="Times New Roman" w:cs="Times New Roman"/>
          <w:sz w:val="24"/>
          <w:szCs w:val="24"/>
        </w:rPr>
        <w:t>(</w:t>
      </w:r>
      <w:r w:rsidR="00BD2F3B">
        <w:rPr>
          <w:rFonts w:ascii="Times New Roman" w:hAnsi="Times New Roman" w:cs="Times New Roman"/>
          <w:sz w:val="24"/>
          <w:szCs w:val="24"/>
          <w:lang w:val="el-GR"/>
        </w:rPr>
        <w:t>β</w:t>
      </w:r>
      <w:r w:rsidR="00BD2F3B" w:rsidRPr="00BD2F3B">
        <w:rPr>
          <w:rFonts w:ascii="Times New Roman" w:hAnsi="Times New Roman" w:cs="Times New Roman"/>
          <w:sz w:val="24"/>
          <w:szCs w:val="24"/>
          <w:vertAlign w:val="subscript"/>
        </w:rPr>
        <w:t>5</w:t>
      </w:r>
      <w:r w:rsidR="00BD2F3B" w:rsidRPr="00BD2F3B">
        <w:rPr>
          <w:rFonts w:ascii="Times New Roman" w:hAnsi="Times New Roman" w:cs="Times New Roman"/>
          <w:sz w:val="24"/>
          <w:szCs w:val="24"/>
        </w:rPr>
        <w:t xml:space="preserve">&gt;0) </w:t>
      </w:r>
      <w:r>
        <w:rPr>
          <w:rFonts w:ascii="Times New Roman" w:hAnsi="Times New Roman" w:cs="Times New Roman"/>
          <w:sz w:val="24"/>
          <w:szCs w:val="24"/>
        </w:rPr>
        <w:t xml:space="preserve">while negative according to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proposition</w:t>
      </w:r>
      <w:r w:rsidR="00BD2F3B" w:rsidRPr="00BD2F3B">
        <w:rPr>
          <w:rFonts w:ascii="Times New Roman" w:hAnsi="Times New Roman" w:cs="Times New Roman"/>
          <w:sz w:val="24"/>
          <w:szCs w:val="24"/>
        </w:rPr>
        <w:t xml:space="preserve"> (</w:t>
      </w:r>
      <w:r w:rsidR="00BD2F3B">
        <w:rPr>
          <w:rFonts w:ascii="Times New Roman" w:hAnsi="Times New Roman" w:cs="Times New Roman"/>
          <w:sz w:val="24"/>
          <w:szCs w:val="24"/>
          <w:lang w:val="el-GR"/>
        </w:rPr>
        <w:t>β</w:t>
      </w:r>
      <w:r w:rsidR="00BD2F3B" w:rsidRPr="00BD2F3B">
        <w:rPr>
          <w:rFonts w:ascii="Times New Roman" w:hAnsi="Times New Roman" w:cs="Times New Roman"/>
          <w:sz w:val="24"/>
          <w:szCs w:val="24"/>
          <w:vertAlign w:val="subscript"/>
        </w:rPr>
        <w:t>5</w:t>
      </w:r>
      <w:r w:rsidR="00BD2F3B" w:rsidRPr="00BD2F3B">
        <w:rPr>
          <w:rFonts w:ascii="Times New Roman" w:hAnsi="Times New Roman" w:cs="Times New Roman"/>
          <w:sz w:val="24"/>
          <w:szCs w:val="24"/>
        </w:rPr>
        <w:t>&lt;0)</w:t>
      </w:r>
      <w:r>
        <w:rPr>
          <w:rFonts w:ascii="Times New Roman" w:hAnsi="Times New Roman" w:cs="Times New Roman"/>
          <w:sz w:val="24"/>
          <w:szCs w:val="24"/>
        </w:rPr>
        <w:t xml:space="preserve">. The </w:t>
      </w:r>
      <w:proofErr w:type="spellStart"/>
      <w:r w:rsidR="00BD2F3B">
        <w:rPr>
          <w:rFonts w:ascii="Times New Roman" w:hAnsi="Times New Roman" w:cs="Times New Roman"/>
          <w:sz w:val="24"/>
          <w:szCs w:val="24"/>
        </w:rPr>
        <w:t>Ricardian</w:t>
      </w:r>
      <w:proofErr w:type="spellEnd"/>
      <w:r w:rsidR="00BD2F3B">
        <w:rPr>
          <w:rFonts w:ascii="Times New Roman" w:hAnsi="Times New Roman" w:cs="Times New Roman"/>
          <w:sz w:val="24"/>
          <w:szCs w:val="24"/>
        </w:rPr>
        <w:t xml:space="preserve"> logic implies that</w:t>
      </w:r>
      <w:r w:rsidR="00BD2F3B" w:rsidRPr="00BD2F3B">
        <w:rPr>
          <w:rFonts w:ascii="Times New Roman" w:hAnsi="Times New Roman" w:cs="Times New Roman"/>
          <w:sz w:val="24"/>
          <w:szCs w:val="24"/>
        </w:rPr>
        <w:t xml:space="preserve"> </w:t>
      </w:r>
      <w:r w:rsidR="00BD2F3B">
        <w:rPr>
          <w:rFonts w:ascii="Times New Roman" w:hAnsi="Times New Roman" w:cs="Times New Roman"/>
          <w:sz w:val="24"/>
          <w:szCs w:val="24"/>
        </w:rPr>
        <w:t>the increase</w:t>
      </w:r>
      <w:r>
        <w:rPr>
          <w:rFonts w:ascii="Times New Roman" w:hAnsi="Times New Roman" w:cs="Times New Roman"/>
          <w:sz w:val="24"/>
          <w:szCs w:val="24"/>
        </w:rPr>
        <w:t xml:space="preserve"> </w:t>
      </w:r>
      <w:r w:rsidR="00BD2F3B">
        <w:rPr>
          <w:rFonts w:ascii="Times New Roman" w:hAnsi="Times New Roman" w:cs="Times New Roman"/>
          <w:sz w:val="24"/>
          <w:szCs w:val="24"/>
        </w:rPr>
        <w:t xml:space="preserve">in </w:t>
      </w:r>
      <w:r>
        <w:rPr>
          <w:rFonts w:ascii="Times New Roman" w:hAnsi="Times New Roman" w:cs="Times New Roman"/>
          <w:sz w:val="24"/>
          <w:szCs w:val="24"/>
        </w:rPr>
        <w:t>government expenditures will cause the need for future taxes making the forward l</w:t>
      </w:r>
      <w:r w:rsidR="00D92934">
        <w:rPr>
          <w:rFonts w:ascii="Times New Roman" w:hAnsi="Times New Roman" w:cs="Times New Roman"/>
          <w:sz w:val="24"/>
          <w:szCs w:val="24"/>
        </w:rPr>
        <w:t>ooking – farsighted consumers</w:t>
      </w:r>
      <w:r>
        <w:rPr>
          <w:rFonts w:ascii="Times New Roman" w:hAnsi="Times New Roman" w:cs="Times New Roman"/>
          <w:sz w:val="24"/>
          <w:szCs w:val="24"/>
        </w:rPr>
        <w:t xml:space="preserve"> adjust their behavior accordingly decreasing their current consumption. The coefficients of disposable income, equity and housing wealth should be positive in both cases due to their positive relationship with the private consumption</w:t>
      </w:r>
      <w:r w:rsidR="00BD2F3B">
        <w:rPr>
          <w:rFonts w:ascii="Times New Roman" w:hAnsi="Times New Roman" w:cs="Times New Roman"/>
          <w:sz w:val="24"/>
          <w:szCs w:val="24"/>
        </w:rPr>
        <w:t xml:space="preserve"> (</w:t>
      </w:r>
      <w:r w:rsidR="00BD2F3B">
        <w:rPr>
          <w:rFonts w:ascii="Times New Roman" w:hAnsi="Times New Roman" w:cs="Times New Roman"/>
          <w:sz w:val="24"/>
          <w:szCs w:val="24"/>
          <w:lang w:val="el-GR"/>
        </w:rPr>
        <w:t>β</w:t>
      </w:r>
      <w:r w:rsidR="00BD2F3B">
        <w:rPr>
          <w:rFonts w:ascii="Times New Roman" w:hAnsi="Times New Roman" w:cs="Times New Roman"/>
          <w:sz w:val="24"/>
          <w:szCs w:val="24"/>
          <w:vertAlign w:val="subscript"/>
        </w:rPr>
        <w:t>1,</w:t>
      </w:r>
      <w:r w:rsidR="00BD2F3B" w:rsidRPr="00BD2F3B">
        <w:rPr>
          <w:rFonts w:ascii="Times New Roman" w:hAnsi="Times New Roman" w:cs="Times New Roman"/>
          <w:sz w:val="24"/>
          <w:szCs w:val="24"/>
        </w:rPr>
        <w:t xml:space="preserve"> </w:t>
      </w:r>
      <w:r w:rsidR="00BD2F3B">
        <w:rPr>
          <w:rFonts w:ascii="Times New Roman" w:hAnsi="Times New Roman" w:cs="Times New Roman"/>
          <w:sz w:val="24"/>
          <w:szCs w:val="24"/>
          <w:lang w:val="el-GR"/>
        </w:rPr>
        <w:t>β</w:t>
      </w:r>
      <w:r w:rsidR="00BD2F3B">
        <w:rPr>
          <w:rFonts w:ascii="Times New Roman" w:hAnsi="Times New Roman" w:cs="Times New Roman"/>
          <w:sz w:val="24"/>
          <w:szCs w:val="24"/>
          <w:vertAlign w:val="subscript"/>
        </w:rPr>
        <w:t>2,</w:t>
      </w:r>
      <w:r w:rsidR="00BD2F3B" w:rsidRPr="00BD2F3B">
        <w:rPr>
          <w:rFonts w:ascii="Times New Roman" w:hAnsi="Times New Roman" w:cs="Times New Roman"/>
          <w:sz w:val="24"/>
          <w:szCs w:val="24"/>
        </w:rPr>
        <w:t xml:space="preserve"> </w:t>
      </w:r>
      <w:r w:rsidR="00BD2F3B">
        <w:rPr>
          <w:rFonts w:ascii="Times New Roman" w:hAnsi="Times New Roman" w:cs="Times New Roman"/>
          <w:sz w:val="24"/>
          <w:szCs w:val="24"/>
          <w:lang w:val="el-GR"/>
        </w:rPr>
        <w:t>β</w:t>
      </w:r>
      <w:r w:rsidR="00BD2F3B">
        <w:rPr>
          <w:rFonts w:ascii="Times New Roman" w:hAnsi="Times New Roman" w:cs="Times New Roman"/>
          <w:sz w:val="24"/>
          <w:szCs w:val="24"/>
          <w:vertAlign w:val="subscript"/>
        </w:rPr>
        <w:t>3</w:t>
      </w:r>
      <w:r w:rsidR="00BD2F3B">
        <w:rPr>
          <w:rFonts w:ascii="Times New Roman" w:hAnsi="Times New Roman" w:cs="Times New Roman"/>
          <w:sz w:val="24"/>
          <w:szCs w:val="24"/>
        </w:rPr>
        <w:t>&gt;0)</w:t>
      </w:r>
      <w:r>
        <w:rPr>
          <w:rFonts w:ascii="Times New Roman" w:hAnsi="Times New Roman" w:cs="Times New Roman"/>
          <w:sz w:val="24"/>
          <w:szCs w:val="24"/>
        </w:rPr>
        <w:t>.</w:t>
      </w:r>
      <w:r w:rsidR="00BD2F3B">
        <w:rPr>
          <w:rFonts w:ascii="Times New Roman" w:hAnsi="Times New Roman" w:cs="Times New Roman"/>
          <w:sz w:val="24"/>
          <w:szCs w:val="24"/>
        </w:rPr>
        <w:t xml:space="preserve"> Our </w:t>
      </w:r>
      <w:r w:rsidR="00495E4C">
        <w:rPr>
          <w:rFonts w:ascii="Times New Roman" w:hAnsi="Times New Roman" w:cs="Times New Roman"/>
          <w:sz w:val="24"/>
          <w:szCs w:val="24"/>
        </w:rPr>
        <w:t xml:space="preserve">enriched consumption function that incorporates the government expenditures variable is as follows: </w:t>
      </w:r>
      <w:r>
        <w:rPr>
          <w:rFonts w:ascii="Times New Roman" w:hAnsi="Times New Roman" w:cs="Times New Roman"/>
          <w:sz w:val="24"/>
          <w:szCs w:val="24"/>
        </w:rPr>
        <w:t xml:space="preserve">    </w:t>
      </w:r>
    </w:p>
    <w:p w:rsidR="00495E4C" w:rsidRPr="00D16489" w:rsidRDefault="00C16EA4" w:rsidP="00495E4C">
      <w:pPr>
        <w:spacing w:line="480" w:lineRule="auto"/>
        <w:jc w:val="center"/>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Cambria Math" w:cs="Times New Roman"/>
                <w:sz w:val="24"/>
                <w:szCs w:val="24"/>
              </w:rPr>
              <m:t>c</m:t>
            </m:r>
          </m:e>
          <m:sub>
            <m:r>
              <m:rPr>
                <m:sty m:val="p"/>
              </m:rPr>
              <w:rPr>
                <w:rFonts w:ascii="Cambria Math" w:hAnsi="Cambria Math" w:cs="Times New Roman"/>
                <w:sz w:val="24"/>
                <w:szCs w:val="24"/>
              </w:rPr>
              <m:t>i</m:t>
            </m:r>
            <m:r>
              <m:rPr>
                <m:sty m:val="p"/>
              </m:rPr>
              <w:rPr>
                <w:rFonts w:ascii="Cambria Math" w:hAnsi="Times New Roman" w:cs="Times New Roman"/>
                <w:sz w:val="24"/>
                <w:szCs w:val="24"/>
              </w:rPr>
              <m:t>,</m:t>
            </m:r>
            <m:r>
              <m:rPr>
                <m:sty m:val="p"/>
              </m:rPr>
              <w:rPr>
                <w:rFonts w:ascii="Cambria Math" w:hAnsi="Cambria Math" w:cs="Times New Roman"/>
                <w:sz w:val="24"/>
                <w:szCs w:val="24"/>
              </w:rPr>
              <m:t>t</m:t>
            </m:r>
          </m:sub>
        </m:sSub>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α</m:t>
            </m:r>
          </m:e>
          <m:sub>
            <m:r>
              <m:rPr>
                <m:sty m:val="p"/>
              </m:rPr>
              <w:rPr>
                <w:rFonts w:ascii="Cambria Math" w:hAnsi="Cambria Math" w:cs="Times New Roman"/>
                <w:sz w:val="24"/>
                <w:szCs w:val="24"/>
              </w:rPr>
              <m:t>i</m:t>
            </m:r>
          </m:sub>
        </m:sSub>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β</m:t>
            </m:r>
          </m:e>
          <m:sub>
            <m:r>
              <m:rPr>
                <m:sty m:val="p"/>
              </m:rPr>
              <w:rPr>
                <w:rFonts w:ascii="Cambria Math" w:hAnsi="Times New Roman" w:cs="Times New Roman"/>
                <w:sz w:val="24"/>
                <w:szCs w:val="24"/>
              </w:rPr>
              <m:t>1</m:t>
            </m:r>
          </m:sub>
        </m:sSub>
        <m:sSubSup>
          <m:sSubSupPr>
            <m:ctrlPr>
              <w:rPr>
                <w:rFonts w:ascii="Cambria Math" w:hAnsi="Times New Roman" w:cs="Times New Roman"/>
                <w:sz w:val="24"/>
                <w:szCs w:val="24"/>
              </w:rPr>
            </m:ctrlPr>
          </m:sSubSupPr>
          <m:e>
            <m:r>
              <m:rPr>
                <m:sty m:val="p"/>
              </m:rPr>
              <w:rPr>
                <w:rFonts w:ascii="Cambria Math" w:hAnsi="Cambria Math" w:cs="Times New Roman"/>
                <w:sz w:val="24"/>
                <w:szCs w:val="24"/>
              </w:rPr>
              <m:t>y</m:t>
            </m:r>
          </m:e>
          <m:sub>
            <m:r>
              <m:rPr>
                <m:sty m:val="p"/>
              </m:rPr>
              <w:rPr>
                <w:rFonts w:ascii="Cambria Math" w:hAnsi="Cambria Math" w:cs="Times New Roman"/>
                <w:sz w:val="24"/>
                <w:szCs w:val="24"/>
              </w:rPr>
              <m:t>t</m:t>
            </m:r>
            <m:r>
              <m:rPr>
                <m:sty m:val="p"/>
              </m:rPr>
              <w:rPr>
                <w:rFonts w:ascii="Cambria Math" w:hAnsi="Times New Roman" w:cs="Times New Roman"/>
                <w:sz w:val="24"/>
                <w:szCs w:val="24"/>
              </w:rPr>
              <m:t>,</m:t>
            </m:r>
            <m:r>
              <m:rPr>
                <m:sty m:val="p"/>
              </m:rPr>
              <w:rPr>
                <w:rFonts w:ascii="Cambria Math" w:hAnsi="Cambria Math" w:cs="Times New Roman"/>
                <w:sz w:val="24"/>
                <w:szCs w:val="24"/>
              </w:rPr>
              <m:t>i</m:t>
            </m:r>
          </m:sub>
          <m:sup>
            <m:r>
              <m:rPr>
                <m:sty m:val="p"/>
              </m:rPr>
              <w:rPr>
                <w:rFonts w:ascii="Cambria Math" w:hAnsi="Cambria Math" w:cs="Times New Roman"/>
                <w:sz w:val="24"/>
                <w:szCs w:val="24"/>
              </w:rPr>
              <m:t>d</m:t>
            </m:r>
          </m:sup>
        </m:sSubSup>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β</m:t>
            </m:r>
          </m:e>
          <m:sub>
            <m:r>
              <m:rPr>
                <m:sty m:val="p"/>
              </m:rPr>
              <w:rPr>
                <w:rFonts w:ascii="Cambria Math" w:hAnsi="Times New Roman" w:cs="Times New Roman"/>
                <w:sz w:val="24"/>
                <w:szCs w:val="24"/>
              </w:rPr>
              <m:t>2</m:t>
            </m:r>
          </m:sub>
        </m:sSub>
        <m:sSubSup>
          <m:sSubSupPr>
            <m:ctrlPr>
              <w:rPr>
                <w:rFonts w:ascii="Cambria Math" w:hAnsi="Times New Roman" w:cs="Times New Roman"/>
                <w:sz w:val="24"/>
                <w:szCs w:val="24"/>
              </w:rPr>
            </m:ctrlPr>
          </m:sSubSupPr>
          <m:e>
            <m:r>
              <m:rPr>
                <m:sty m:val="p"/>
              </m:rPr>
              <w:rPr>
                <w:rFonts w:ascii="Cambria Math" w:hAnsi="Cambria Math" w:cs="Times New Roman"/>
                <w:sz w:val="24"/>
                <w:szCs w:val="24"/>
              </w:rPr>
              <m:t>w</m:t>
            </m:r>
          </m:e>
          <m:sub>
            <m:r>
              <m:rPr>
                <m:sty m:val="p"/>
              </m:rPr>
              <w:rPr>
                <w:rFonts w:ascii="Cambria Math" w:hAnsi="Cambria Math" w:cs="Times New Roman"/>
                <w:sz w:val="24"/>
                <w:szCs w:val="24"/>
              </w:rPr>
              <m:t>t</m:t>
            </m:r>
            <m:r>
              <m:rPr>
                <m:sty m:val="p"/>
              </m:rPr>
              <w:rPr>
                <w:rFonts w:ascii="Cambria Math" w:hAnsi="Times New Roman" w:cs="Times New Roman"/>
                <w:sz w:val="24"/>
                <w:szCs w:val="24"/>
              </w:rPr>
              <m:t>,</m:t>
            </m:r>
            <m:r>
              <m:rPr>
                <m:sty m:val="p"/>
              </m:rPr>
              <w:rPr>
                <w:rFonts w:ascii="Cambria Math" w:hAnsi="Cambria Math" w:cs="Times New Roman"/>
                <w:sz w:val="24"/>
                <w:szCs w:val="24"/>
              </w:rPr>
              <m:t>i</m:t>
            </m:r>
          </m:sub>
          <m:sup>
            <m:r>
              <m:rPr>
                <m:sty m:val="p"/>
              </m:rPr>
              <w:rPr>
                <w:rFonts w:ascii="Cambria Math" w:hAnsi="Cambria Math" w:cs="Times New Roman"/>
                <w:sz w:val="24"/>
                <w:szCs w:val="24"/>
              </w:rPr>
              <m:t>e</m:t>
            </m:r>
          </m:sup>
        </m:sSubSup>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β</m:t>
            </m:r>
          </m:e>
          <m:sub>
            <m:r>
              <m:rPr>
                <m:sty m:val="p"/>
              </m:rPr>
              <w:rPr>
                <w:rFonts w:ascii="Cambria Math" w:hAnsi="Times New Roman" w:cs="Times New Roman"/>
                <w:sz w:val="24"/>
                <w:szCs w:val="24"/>
              </w:rPr>
              <m:t>3</m:t>
            </m:r>
          </m:sub>
        </m:sSub>
        <m:sSubSup>
          <m:sSubSupPr>
            <m:ctrlPr>
              <w:rPr>
                <w:rFonts w:ascii="Cambria Math" w:hAnsi="Times New Roman" w:cs="Times New Roman"/>
                <w:sz w:val="24"/>
                <w:szCs w:val="24"/>
              </w:rPr>
            </m:ctrlPr>
          </m:sSubSupPr>
          <m:e>
            <m:r>
              <m:rPr>
                <m:sty m:val="p"/>
              </m:rPr>
              <w:rPr>
                <w:rFonts w:ascii="Cambria Math" w:hAnsi="Cambria Math" w:cs="Times New Roman"/>
                <w:sz w:val="24"/>
                <w:szCs w:val="24"/>
              </w:rPr>
              <m:t>w</m:t>
            </m:r>
          </m:e>
          <m:sub>
            <m:r>
              <m:rPr>
                <m:sty m:val="p"/>
              </m:rPr>
              <w:rPr>
                <w:rFonts w:ascii="Cambria Math" w:hAnsi="Cambria Math" w:cs="Times New Roman"/>
                <w:sz w:val="24"/>
                <w:szCs w:val="24"/>
              </w:rPr>
              <m:t>t</m:t>
            </m:r>
            <m:r>
              <m:rPr>
                <m:sty m:val="p"/>
              </m:rPr>
              <w:rPr>
                <w:rFonts w:ascii="Cambria Math" w:hAnsi="Times New Roman" w:cs="Times New Roman"/>
                <w:sz w:val="24"/>
                <w:szCs w:val="24"/>
              </w:rPr>
              <m:t>,</m:t>
            </m:r>
            <m:r>
              <m:rPr>
                <m:sty m:val="p"/>
              </m:rPr>
              <w:rPr>
                <w:rFonts w:ascii="Cambria Math" w:hAnsi="Cambria Math" w:cs="Times New Roman"/>
                <w:sz w:val="24"/>
                <w:szCs w:val="24"/>
              </w:rPr>
              <m:t>i</m:t>
            </m:r>
          </m:sub>
          <m:sup>
            <m:r>
              <m:rPr>
                <m:sty m:val="p"/>
              </m:rPr>
              <w:rPr>
                <w:rFonts w:ascii="Cambria Math" w:hAnsi="Cambria Math" w:cs="Times New Roman"/>
                <w:sz w:val="24"/>
                <w:szCs w:val="24"/>
              </w:rPr>
              <m:t>h</m:t>
            </m:r>
          </m:sup>
        </m:sSubSup>
        <m:r>
          <m:rPr>
            <m:sty m:val="p"/>
          </m:rPr>
          <w:rPr>
            <w:rFonts w:ascii="Cambria Math" w:hAnsi="Times New Roman" w:cs="Times New Roman"/>
            <w:sz w:val="24"/>
            <w:szCs w:val="24"/>
          </w:rPr>
          <m:t>+</m:t>
        </m:r>
        <m:sSub>
          <m:sSubPr>
            <m:ctrlPr>
              <w:rPr>
                <w:rFonts w:ascii="Cambria Math" w:hAnsi="Times New Roman" w:cs="Times New Roman"/>
                <w:sz w:val="24"/>
                <w:szCs w:val="24"/>
              </w:rPr>
            </m:ctrlPr>
          </m:sSubPr>
          <m:e>
            <m:r>
              <m:rPr>
                <m:sty m:val="p"/>
              </m:rPr>
              <w:rPr>
                <w:rFonts w:ascii="Cambria Math" w:hAnsi="Cambria Math" w:cs="Times New Roman"/>
                <w:sz w:val="24"/>
                <w:szCs w:val="24"/>
              </w:rPr>
              <m:t>β</m:t>
            </m:r>
          </m:e>
          <m:sub>
            <m:r>
              <m:rPr>
                <m:sty m:val="p"/>
              </m:rPr>
              <w:rPr>
                <w:rFonts w:ascii="Cambria Math" w:hAnsi="Times New Roman" w:cs="Times New Roman"/>
                <w:sz w:val="24"/>
                <w:szCs w:val="24"/>
              </w:rPr>
              <m:t>4</m:t>
            </m:r>
          </m:sub>
        </m:sSub>
        <m:r>
          <m:rPr>
            <m:sty m:val="p"/>
          </m:rPr>
          <w:rPr>
            <w:rFonts w:ascii="Cambria Math" w:hAnsi="Times New Roman" w:cs="Times New Roman"/>
            <w:sz w:val="24"/>
            <w:szCs w:val="24"/>
          </w:rPr>
          <m:t>d+</m:t>
        </m:r>
        <m:sSub>
          <m:sSubPr>
            <m:ctrlPr>
              <w:rPr>
                <w:rFonts w:ascii="Cambria Math" w:hAnsi="Times New Roman" w:cs="Times New Roman"/>
                <w:sz w:val="24"/>
                <w:szCs w:val="24"/>
              </w:rPr>
            </m:ctrlPr>
          </m:sSubPr>
          <m:e>
            <m:r>
              <w:rPr>
                <w:rFonts w:ascii="Cambria Math" w:hAnsi="Times New Roman" w:cs="Times New Roman"/>
                <w:sz w:val="24"/>
                <w:szCs w:val="24"/>
                <w:lang w:val="el-GR"/>
              </w:rPr>
              <m:t>β</m:t>
            </m:r>
          </m:e>
          <m:sub>
            <m:r>
              <m:rPr>
                <m:sty m:val="p"/>
              </m:rPr>
              <w:rPr>
                <w:rFonts w:ascii="Cambria Math" w:hAnsi="Times New Roman" w:cs="Times New Roman"/>
                <w:sz w:val="24"/>
                <w:szCs w:val="24"/>
              </w:rPr>
              <m:t>5</m:t>
            </m:r>
          </m:sub>
        </m:sSub>
        <m:r>
          <m:rPr>
            <m:sty m:val="p"/>
          </m:rPr>
          <w:rPr>
            <w:rFonts w:ascii="Cambria Math" w:hAnsi="Times New Roman" w:cs="Times New Roman"/>
            <w:sz w:val="24"/>
            <w:szCs w:val="24"/>
          </w:rPr>
          <m:t>g+</m:t>
        </m:r>
        <m:sSub>
          <m:sSubPr>
            <m:ctrlPr>
              <w:rPr>
                <w:rFonts w:ascii="Cambria Math" w:hAnsi="Times New Roman" w:cs="Times New Roman"/>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t</m:t>
            </m:r>
            <m:r>
              <m:rPr>
                <m:sty m:val="p"/>
              </m:rPr>
              <w:rPr>
                <w:rFonts w:ascii="Cambria Math" w:hAnsi="Times New Roman" w:cs="Times New Roman"/>
                <w:sz w:val="24"/>
                <w:szCs w:val="24"/>
              </w:rPr>
              <m:t>,</m:t>
            </m:r>
            <m:r>
              <m:rPr>
                <m:sty m:val="p"/>
              </m:rPr>
              <w:rPr>
                <w:rFonts w:ascii="Cambria Math" w:hAnsi="Cambria Math" w:cs="Times New Roman"/>
                <w:sz w:val="24"/>
                <w:szCs w:val="24"/>
              </w:rPr>
              <m:t>i</m:t>
            </m:r>
          </m:sub>
        </m:sSub>
        <m:r>
          <m:rPr>
            <m:sty m:val="p"/>
          </m:rPr>
          <w:rPr>
            <w:rFonts w:ascii="Cambria Math" w:hAnsi="Times New Roman" w:cs="Times New Roman"/>
            <w:sz w:val="24"/>
            <w:szCs w:val="24"/>
          </w:rPr>
          <m:t>,</m:t>
        </m:r>
        <m:r>
          <m:rPr>
            <m:sty m:val="p"/>
          </m:rPr>
          <w:rPr>
            <w:rFonts w:ascii="Cambria Math" w:hAnsi="Cambria Math" w:cs="Times New Roman"/>
            <w:sz w:val="24"/>
            <w:szCs w:val="24"/>
          </w:rPr>
          <m:t>i</m:t>
        </m:r>
        <m:r>
          <m:rPr>
            <m:sty m:val="p"/>
          </m:rPr>
          <w:rPr>
            <w:rFonts w:ascii="Cambria Math" w:hAnsi="Times New Roman" w:cs="Times New Roman"/>
            <w:sz w:val="24"/>
            <w:szCs w:val="24"/>
          </w:rPr>
          <m:t>=1,2,</m:t>
        </m:r>
        <m:r>
          <m:rPr>
            <m:sty m:val="p"/>
          </m:rPr>
          <w:rPr>
            <w:rFonts w:ascii="Cambria Math" w:hAnsi="Times New Roman" w:cs="Times New Roman"/>
            <w:sz w:val="24"/>
            <w:szCs w:val="24"/>
          </w:rPr>
          <m:t>…</m:t>
        </m:r>
        <m:r>
          <m:rPr>
            <m:sty m:val="p"/>
          </m:rPr>
          <w:rPr>
            <w:rFonts w:ascii="Cambria Math" w:hAnsi="Times New Roman" w:cs="Times New Roman"/>
            <w:sz w:val="24"/>
            <w:szCs w:val="24"/>
          </w:rPr>
          <m:t>,</m:t>
        </m:r>
        <m:r>
          <m:rPr>
            <m:sty m:val="p"/>
          </m:rPr>
          <w:rPr>
            <w:rFonts w:ascii="Cambria Math" w:hAnsi="Cambria Math" w:cs="Times New Roman"/>
            <w:sz w:val="24"/>
            <w:szCs w:val="24"/>
          </w:rPr>
          <m:t>N</m:t>
        </m:r>
        <m:r>
          <m:rPr>
            <m:sty m:val="p"/>
          </m:rPr>
          <w:rPr>
            <w:rFonts w:ascii="Cambria Math" w:hAnsi="Times New Roman" w:cs="Times New Roman"/>
            <w:sz w:val="24"/>
            <w:szCs w:val="24"/>
          </w:rPr>
          <m:t>,</m:t>
        </m:r>
        <m:r>
          <m:rPr>
            <m:sty m:val="p"/>
          </m:rPr>
          <w:rPr>
            <w:rFonts w:ascii="Cambria Math" w:hAnsi="Cambria Math" w:cs="Times New Roman"/>
            <w:sz w:val="24"/>
            <w:szCs w:val="24"/>
          </w:rPr>
          <m:t>t</m:t>
        </m:r>
        <m:r>
          <m:rPr>
            <m:sty m:val="p"/>
          </m:rPr>
          <w:rPr>
            <w:rFonts w:ascii="Cambria Math" w:hAnsi="Times New Roman" w:cs="Times New Roman"/>
            <w:sz w:val="24"/>
            <w:szCs w:val="24"/>
          </w:rPr>
          <m:t>=1,2,</m:t>
        </m:r>
        <m:r>
          <m:rPr>
            <m:sty m:val="p"/>
          </m:rPr>
          <w:rPr>
            <w:rFonts w:ascii="Cambria Math" w:hAnsi="Times New Roman" w:cs="Times New Roman"/>
            <w:sz w:val="24"/>
            <w:szCs w:val="24"/>
          </w:rPr>
          <m:t>…</m:t>
        </m:r>
        <m:r>
          <m:rPr>
            <m:sty m:val="p"/>
          </m:rPr>
          <w:rPr>
            <w:rFonts w:ascii="Cambria Math" w:hAnsi="Times New Roman" w:cs="Times New Roman"/>
            <w:sz w:val="24"/>
            <w:szCs w:val="24"/>
          </w:rPr>
          <m:t>,</m:t>
        </m:r>
        <m:r>
          <m:rPr>
            <m:sty m:val="p"/>
          </m:rPr>
          <w:rPr>
            <w:rFonts w:ascii="Cambria Math" w:hAnsi="Cambria Math" w:cs="Times New Roman"/>
            <w:sz w:val="24"/>
            <w:szCs w:val="24"/>
          </w:rPr>
          <m:t>T</m:t>
        </m:r>
      </m:oMath>
      <w:r w:rsidR="00495E4C">
        <w:rPr>
          <w:rFonts w:ascii="Times New Roman" w:hAnsi="Times New Roman" w:cs="Times New Roman"/>
          <w:sz w:val="24"/>
          <w:szCs w:val="24"/>
        </w:rPr>
        <w:t>(17)</w:t>
      </w:r>
    </w:p>
    <w:p w:rsidR="004A1EFF" w:rsidRDefault="004A1EFF" w:rsidP="00573D1B">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In the tables below we can see our </w:t>
      </w:r>
      <w:r w:rsidR="002149EC">
        <w:rPr>
          <w:rFonts w:ascii="Times New Roman" w:hAnsi="Times New Roman" w:cs="Times New Roman"/>
          <w:sz w:val="24"/>
          <w:szCs w:val="24"/>
        </w:rPr>
        <w:t>individual estimations for each country, for both the basic and the extended consumption function</w:t>
      </w:r>
      <w:r>
        <w:rPr>
          <w:rFonts w:ascii="Times New Roman" w:hAnsi="Times New Roman" w:cs="Times New Roman"/>
          <w:sz w:val="24"/>
          <w:szCs w:val="24"/>
        </w:rPr>
        <w:t xml:space="preserve"> </w:t>
      </w:r>
      <w:r w:rsidR="002149EC">
        <w:rPr>
          <w:rFonts w:ascii="Times New Roman" w:hAnsi="Times New Roman" w:cs="Times New Roman"/>
          <w:sz w:val="24"/>
          <w:szCs w:val="24"/>
        </w:rPr>
        <w:t>(</w:t>
      </w:r>
      <w:r>
        <w:rPr>
          <w:rFonts w:ascii="Times New Roman" w:hAnsi="Times New Roman" w:cs="Times New Roman"/>
          <w:sz w:val="24"/>
          <w:szCs w:val="24"/>
        </w:rPr>
        <w:t>including also the government expenditures</w:t>
      </w:r>
      <w:r w:rsidR="002149EC">
        <w:rPr>
          <w:rFonts w:ascii="Times New Roman" w:hAnsi="Times New Roman" w:cs="Times New Roman"/>
          <w:sz w:val="24"/>
          <w:szCs w:val="24"/>
        </w:rPr>
        <w:t xml:space="preserve"> variable) first in Levels</w:t>
      </w:r>
      <w:r>
        <w:rPr>
          <w:rFonts w:ascii="Times New Roman" w:hAnsi="Times New Roman" w:cs="Times New Roman"/>
          <w:sz w:val="24"/>
          <w:szCs w:val="24"/>
        </w:rPr>
        <w:t xml:space="preserve"> and the in first differences.</w:t>
      </w:r>
    </w:p>
    <w:p w:rsidR="00573D1B" w:rsidRDefault="00573D1B" w:rsidP="00573D1B">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Table 15 – Estimations of the basic consumption function (16) </w:t>
      </w:r>
    </w:p>
    <w:tbl>
      <w:tblPr>
        <w:tblStyle w:val="aa"/>
        <w:tblW w:w="0" w:type="auto"/>
        <w:jc w:val="center"/>
        <w:tblLook w:val="04A0"/>
      </w:tblPr>
      <w:tblGrid>
        <w:gridCol w:w="1107"/>
        <w:gridCol w:w="1316"/>
        <w:gridCol w:w="1158"/>
        <w:gridCol w:w="1158"/>
        <w:gridCol w:w="1158"/>
        <w:gridCol w:w="1158"/>
      </w:tblGrid>
      <w:tr w:rsidR="004A1EFF" w:rsidTr="004A1EFF">
        <w:trPr>
          <w:jc w:val="center"/>
        </w:trPr>
        <w:tc>
          <w:tcPr>
            <w:tcW w:w="0" w:type="auto"/>
            <w:gridSpan w:val="6"/>
            <w:tcBorders>
              <w:top w:val="single" w:sz="4" w:space="0" w:color="auto"/>
              <w:left w:val="single" w:sz="4" w:space="0" w:color="auto"/>
              <w:bottom w:val="single" w:sz="4" w:space="0" w:color="auto"/>
              <w:right w:val="single" w:sz="4" w:space="0" w:color="auto"/>
            </w:tcBorders>
            <w:hideMark/>
          </w:tcPr>
          <w:p w:rsidR="004A1EFF" w:rsidRDefault="004A1EFF">
            <w:pPr>
              <w:jc w:val="center"/>
            </w:pPr>
            <w:r>
              <w:t>Individual Estimations Basic Equation</w:t>
            </w:r>
          </w:p>
        </w:tc>
      </w:tr>
      <w:tr w:rsidR="004A1EFF" w:rsidTr="004A1EFF">
        <w:trPr>
          <w:jc w:val="center"/>
        </w:trPr>
        <w:tc>
          <w:tcPr>
            <w:tcW w:w="0" w:type="auto"/>
            <w:gridSpan w:val="2"/>
            <w:tcBorders>
              <w:top w:val="single" w:sz="4" w:space="0" w:color="auto"/>
              <w:left w:val="single" w:sz="4" w:space="0" w:color="auto"/>
              <w:bottom w:val="single" w:sz="4" w:space="0" w:color="auto"/>
              <w:right w:val="single" w:sz="4" w:space="0" w:color="auto"/>
            </w:tcBorders>
            <w:hideMark/>
          </w:tcPr>
          <w:p w:rsidR="004A1EFF" w:rsidRDefault="004A1EFF">
            <w:pPr>
              <w:jc w:val="center"/>
            </w:pPr>
            <w:bookmarkStart w:id="0" w:name="_GoBack"/>
            <w:bookmarkEnd w:id="0"/>
            <w:r>
              <w:t>Countries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Y</w:t>
            </w:r>
            <w:r>
              <w:rPr>
                <w:vertAlign w:val="superscript"/>
              </w:rPr>
              <w:t>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w</w:t>
            </w:r>
            <w:r>
              <w:rPr>
                <w:vertAlign w:val="superscript"/>
              </w:rPr>
              <w:t>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proofErr w:type="spellStart"/>
            <w:r>
              <w:t>w</w:t>
            </w:r>
            <w:r>
              <w:rPr>
                <w:vertAlign w:val="superscript"/>
              </w:rPr>
              <w:t>h</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d</w:t>
            </w:r>
          </w:p>
        </w:tc>
      </w:tr>
      <w:tr w:rsidR="004A1EFF" w:rsidTr="004A1EFF">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Low Debt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Austria</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0.2978</w:t>
            </w:r>
          </w:p>
          <w:p w:rsidR="004A1EFF" w:rsidRDefault="004A1EFF">
            <w:pPr>
              <w:jc w:val="center"/>
            </w:pPr>
            <w:r>
              <w:t>(0.2410)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0.0201</w:t>
            </w:r>
          </w:p>
          <w:p w:rsidR="004A1EFF" w:rsidRDefault="004A1EFF">
            <w:pPr>
              <w:jc w:val="center"/>
            </w:pPr>
            <w:r>
              <w:t>(0.0180)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-0.1372</w:t>
            </w:r>
            <w:r>
              <w:rPr>
                <w:vertAlign w:val="superscript"/>
              </w:rPr>
              <w:t>***</w:t>
            </w:r>
          </w:p>
          <w:p w:rsidR="004A1EFF" w:rsidRDefault="004A1EFF">
            <w:pPr>
              <w:jc w:val="center"/>
            </w:pPr>
            <w:r>
              <w:t>(0.0355)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0.3460***</w:t>
            </w:r>
          </w:p>
          <w:p w:rsidR="004A1EFF" w:rsidRDefault="004A1EFF">
            <w:pPr>
              <w:jc w:val="center"/>
            </w:pPr>
            <w:r>
              <w:t>(0.0695)</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Finland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0.7212</w:t>
            </w:r>
            <w:r>
              <w:rPr>
                <w:vertAlign w:val="superscript"/>
              </w:rPr>
              <w:t>***</w:t>
            </w:r>
          </w:p>
          <w:p w:rsidR="004A1EFF" w:rsidRDefault="004A1EFF">
            <w:pPr>
              <w:jc w:val="center"/>
            </w:pPr>
            <w:r>
              <w:t>(0.2395)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0.0089</w:t>
            </w:r>
          </w:p>
          <w:p w:rsidR="004A1EFF" w:rsidRDefault="004A1EFF">
            <w:pPr>
              <w:jc w:val="center"/>
            </w:pPr>
            <w:r>
              <w:t>(0.0148)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0.1904</w:t>
            </w:r>
          </w:p>
          <w:p w:rsidR="004A1EFF" w:rsidRDefault="004A1EFF">
            <w:pPr>
              <w:jc w:val="center"/>
            </w:pPr>
            <w:r>
              <w:t>(0.1608)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0.0197</w:t>
            </w:r>
          </w:p>
          <w:p w:rsidR="004A1EFF" w:rsidRDefault="004A1EFF">
            <w:pPr>
              <w:jc w:val="center"/>
            </w:pPr>
            <w:r>
              <w:t>(0.0435)</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Netherlands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0.4553</w:t>
            </w:r>
            <w:r>
              <w:rPr>
                <w:vertAlign w:val="superscript"/>
              </w:rPr>
              <w:t>***</w:t>
            </w:r>
          </w:p>
          <w:p w:rsidR="004A1EFF" w:rsidRDefault="004A1EFF">
            <w:pPr>
              <w:jc w:val="center"/>
            </w:pPr>
            <w:r>
              <w:t>(0.1113)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0.0378***</w:t>
            </w:r>
          </w:p>
          <w:p w:rsidR="004A1EFF" w:rsidRDefault="004A1EFF">
            <w:pPr>
              <w:jc w:val="center"/>
            </w:pPr>
            <w:r>
              <w:t>(0.0068)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0.2019***</w:t>
            </w:r>
          </w:p>
          <w:p w:rsidR="004A1EFF" w:rsidRDefault="004A1EFF">
            <w:pPr>
              <w:jc w:val="center"/>
            </w:pPr>
            <w:r>
              <w:t>(0.0219)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0.0430**</w:t>
            </w:r>
          </w:p>
          <w:p w:rsidR="004A1EFF" w:rsidRDefault="004A1EFF">
            <w:pPr>
              <w:jc w:val="center"/>
            </w:pPr>
            <w:r>
              <w:t>(0.0157)</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Germany</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0.9342***</w:t>
            </w:r>
          </w:p>
          <w:p w:rsidR="004A1EFF" w:rsidRDefault="004A1EFF">
            <w:pPr>
              <w:jc w:val="center"/>
            </w:pPr>
            <w:r>
              <w:t>(0.0708)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0.0204***</w:t>
            </w:r>
          </w:p>
          <w:p w:rsidR="004A1EFF" w:rsidRDefault="004A1EFF">
            <w:pPr>
              <w:jc w:val="center"/>
            </w:pPr>
            <w:r>
              <w:t>(0.0042)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0.0450</w:t>
            </w:r>
          </w:p>
          <w:p w:rsidR="004A1EFF" w:rsidRDefault="004A1EFF">
            <w:pPr>
              <w:jc w:val="center"/>
            </w:pPr>
            <w:r>
              <w:t>(0.0627)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0.0452***</w:t>
            </w:r>
          </w:p>
          <w:p w:rsidR="004A1EFF" w:rsidRDefault="004A1EFF">
            <w:pPr>
              <w:jc w:val="center"/>
            </w:pPr>
            <w:r>
              <w:t>(0.0146)</w:t>
            </w:r>
          </w:p>
        </w:tc>
      </w:tr>
      <w:tr w:rsidR="004A1EFF" w:rsidTr="004A1EFF">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High Debt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France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0.7033</w:t>
            </w:r>
            <w:r>
              <w:rPr>
                <w:vertAlign w:val="superscript"/>
              </w:rPr>
              <w:t>***</w:t>
            </w:r>
          </w:p>
          <w:p w:rsidR="004A1EFF" w:rsidRDefault="004A1EFF">
            <w:pPr>
              <w:jc w:val="center"/>
            </w:pPr>
            <w:r>
              <w:t>(0.0454)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0.0206</w:t>
            </w:r>
            <w:r>
              <w:rPr>
                <w:vertAlign w:val="superscript"/>
              </w:rPr>
              <w:t>***</w:t>
            </w:r>
          </w:p>
          <w:p w:rsidR="004A1EFF" w:rsidRDefault="004A1EFF">
            <w:pPr>
              <w:jc w:val="center"/>
            </w:pPr>
            <w:r>
              <w:t>(0.0041)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0.0598</w:t>
            </w:r>
            <w:r>
              <w:rPr>
                <w:vertAlign w:val="superscript"/>
              </w:rPr>
              <w:t>***</w:t>
            </w:r>
          </w:p>
          <w:p w:rsidR="004A1EFF" w:rsidRDefault="004A1EFF">
            <w:pPr>
              <w:jc w:val="center"/>
            </w:pPr>
            <w:r>
              <w:t>(0.0082)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0.0197</w:t>
            </w:r>
            <w:r>
              <w:rPr>
                <w:vertAlign w:val="superscript"/>
              </w:rPr>
              <w:t>**</w:t>
            </w:r>
          </w:p>
          <w:p w:rsidR="004A1EFF" w:rsidRDefault="004A1EFF">
            <w:pPr>
              <w:jc w:val="center"/>
            </w:pPr>
            <w:r>
              <w:t>(0.0084)</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Belgium</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0.8541</w:t>
            </w:r>
            <w:r>
              <w:rPr>
                <w:vertAlign w:val="superscript"/>
              </w:rPr>
              <w:t>***</w:t>
            </w:r>
          </w:p>
          <w:p w:rsidR="004A1EFF" w:rsidRDefault="004A1EFF">
            <w:pPr>
              <w:jc w:val="center"/>
            </w:pPr>
            <w:r>
              <w:t>(0.1841)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0.0506</w:t>
            </w:r>
            <w:r>
              <w:rPr>
                <w:vertAlign w:val="superscript"/>
              </w:rPr>
              <w:t>***</w:t>
            </w:r>
          </w:p>
          <w:p w:rsidR="004A1EFF" w:rsidRDefault="004A1EFF">
            <w:pPr>
              <w:jc w:val="center"/>
            </w:pPr>
            <w:r>
              <w:t>(0.0124)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0.0931</w:t>
            </w:r>
            <w:r>
              <w:rPr>
                <w:vertAlign w:val="superscript"/>
              </w:rPr>
              <w:t>***</w:t>
            </w:r>
          </w:p>
          <w:p w:rsidR="004A1EFF" w:rsidRDefault="004A1EFF">
            <w:pPr>
              <w:jc w:val="center"/>
            </w:pPr>
            <w:r>
              <w:t>(0.0289)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0.2061**</w:t>
            </w:r>
          </w:p>
          <w:p w:rsidR="004A1EFF" w:rsidRDefault="004A1EFF">
            <w:pPr>
              <w:jc w:val="center"/>
            </w:pPr>
            <w:r>
              <w:t>(0.0737)</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Ireland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0.6602</w:t>
            </w:r>
            <w:r>
              <w:rPr>
                <w:vertAlign w:val="superscript"/>
              </w:rPr>
              <w:t>**</w:t>
            </w:r>
          </w:p>
          <w:p w:rsidR="004A1EFF" w:rsidRDefault="004A1EFF">
            <w:pPr>
              <w:jc w:val="center"/>
            </w:pPr>
            <w:r>
              <w:t>(0.2273)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0.0924***</w:t>
            </w:r>
          </w:p>
          <w:p w:rsidR="004A1EFF" w:rsidRDefault="004A1EFF">
            <w:pPr>
              <w:jc w:val="center"/>
            </w:pPr>
            <w:r>
              <w:t>(0.0253)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0.1713</w:t>
            </w:r>
          </w:p>
          <w:p w:rsidR="004A1EFF" w:rsidRDefault="004A1EFF">
            <w:pPr>
              <w:jc w:val="center"/>
            </w:pPr>
            <w:r>
              <w:t>(0.1046)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0.0249</w:t>
            </w:r>
          </w:p>
          <w:p w:rsidR="004A1EFF" w:rsidRDefault="004A1EFF">
            <w:pPr>
              <w:jc w:val="center"/>
            </w:pPr>
            <w:r>
              <w:t>(0.0365)</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Italy</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0.3079</w:t>
            </w:r>
          </w:p>
          <w:p w:rsidR="004A1EFF" w:rsidRDefault="004A1EFF">
            <w:pPr>
              <w:jc w:val="center"/>
            </w:pPr>
            <w:r>
              <w:t>(0.2511)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0.0902</w:t>
            </w:r>
            <w:r>
              <w:rPr>
                <w:vertAlign w:val="superscript"/>
              </w:rPr>
              <w:t>***</w:t>
            </w:r>
          </w:p>
          <w:p w:rsidR="004A1EFF" w:rsidRDefault="004A1EFF">
            <w:pPr>
              <w:jc w:val="center"/>
            </w:pPr>
            <w:r>
              <w:t>(0.0187)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0.2439***</w:t>
            </w:r>
          </w:p>
          <w:p w:rsidR="004A1EFF" w:rsidRDefault="004A1EFF">
            <w:pPr>
              <w:jc w:val="center"/>
            </w:pPr>
            <w:r>
              <w:t>(0.0534)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0.3544*</w:t>
            </w:r>
          </w:p>
          <w:p w:rsidR="004A1EFF" w:rsidRDefault="004A1EFF">
            <w:pPr>
              <w:jc w:val="center"/>
            </w:pPr>
            <w:r>
              <w:t>(0.1920)</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Portugal</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0.9764</w:t>
            </w:r>
            <w:r>
              <w:rPr>
                <w:vertAlign w:val="superscript"/>
              </w:rPr>
              <w:t>***</w:t>
            </w:r>
          </w:p>
          <w:p w:rsidR="004A1EFF" w:rsidRDefault="004A1EFF">
            <w:pPr>
              <w:jc w:val="center"/>
            </w:pPr>
            <w:r>
              <w:t>(0.1389)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0.0095</w:t>
            </w:r>
          </w:p>
          <w:p w:rsidR="004A1EFF" w:rsidRDefault="004A1EFF">
            <w:pPr>
              <w:jc w:val="center"/>
            </w:pPr>
            <w:r>
              <w:t>(0.0161)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0.0266</w:t>
            </w:r>
          </w:p>
          <w:p w:rsidR="004A1EFF" w:rsidRDefault="004A1EFF">
            <w:pPr>
              <w:jc w:val="center"/>
            </w:pPr>
            <w:r>
              <w:t>(0.1046)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0.0492</w:t>
            </w:r>
          </w:p>
          <w:p w:rsidR="004A1EFF" w:rsidRDefault="004A1EFF">
            <w:pPr>
              <w:jc w:val="center"/>
            </w:pPr>
            <w:r>
              <w:t>(0.0442)</w:t>
            </w:r>
          </w:p>
        </w:tc>
      </w:tr>
    </w:tbl>
    <w:p w:rsidR="004A1EFF" w:rsidRDefault="004A1EFF" w:rsidP="004A1EFF">
      <w:pPr>
        <w:jc w:val="center"/>
        <w:rPr>
          <w:sz w:val="18"/>
          <w:szCs w:val="18"/>
        </w:rPr>
      </w:pPr>
      <w:r>
        <w:rPr>
          <w:sz w:val="18"/>
          <w:szCs w:val="18"/>
        </w:rPr>
        <w:t>Notation ***</w:t>
      </w:r>
      <w:proofErr w:type="gramStart"/>
      <w:r>
        <w:rPr>
          <w:sz w:val="18"/>
          <w:szCs w:val="18"/>
        </w:rPr>
        <w:t>,*</w:t>
      </w:r>
      <w:proofErr w:type="gramEnd"/>
      <w:r>
        <w:rPr>
          <w:sz w:val="18"/>
          <w:szCs w:val="18"/>
        </w:rPr>
        <w:t>* and * denotes the 1%, 5% and 10% level of statistical significance.</w:t>
      </w:r>
    </w:p>
    <w:p w:rsidR="004A1EFF" w:rsidRPr="00573D1B" w:rsidRDefault="00573D1B" w:rsidP="00573D1B">
      <w:pPr>
        <w:jc w:val="center"/>
        <w:rPr>
          <w:rFonts w:ascii="Times New Roman" w:hAnsi="Times New Roman" w:cs="Times New Roman"/>
          <w:sz w:val="24"/>
          <w:szCs w:val="24"/>
        </w:rPr>
      </w:pPr>
      <w:r>
        <w:rPr>
          <w:rFonts w:ascii="Times New Roman" w:hAnsi="Times New Roman" w:cs="Times New Roman"/>
          <w:sz w:val="24"/>
          <w:szCs w:val="24"/>
        </w:rPr>
        <w:t xml:space="preserve">Table 16 – Estimations of the </w:t>
      </w:r>
      <w:proofErr w:type="gramStart"/>
      <w:r>
        <w:rPr>
          <w:rFonts w:ascii="Times New Roman" w:hAnsi="Times New Roman" w:cs="Times New Roman"/>
          <w:sz w:val="24"/>
          <w:szCs w:val="24"/>
        </w:rPr>
        <w:t>Extended</w:t>
      </w:r>
      <w:proofErr w:type="gramEnd"/>
      <w:r>
        <w:rPr>
          <w:rFonts w:ascii="Times New Roman" w:hAnsi="Times New Roman" w:cs="Times New Roman"/>
          <w:sz w:val="24"/>
          <w:szCs w:val="24"/>
        </w:rPr>
        <w:t xml:space="preserve"> consumption function (17) including the government expenditures variable</w:t>
      </w:r>
    </w:p>
    <w:tbl>
      <w:tblPr>
        <w:tblStyle w:val="aa"/>
        <w:tblW w:w="0" w:type="auto"/>
        <w:jc w:val="center"/>
        <w:tblLook w:val="04A0"/>
      </w:tblPr>
      <w:tblGrid>
        <w:gridCol w:w="1107"/>
        <w:gridCol w:w="1316"/>
        <w:gridCol w:w="1039"/>
        <w:gridCol w:w="1158"/>
        <w:gridCol w:w="1226"/>
        <w:gridCol w:w="1158"/>
        <w:gridCol w:w="1158"/>
      </w:tblGrid>
      <w:tr w:rsidR="004A1EFF" w:rsidTr="004A1EFF">
        <w:trPr>
          <w:jc w:val="center"/>
        </w:trPr>
        <w:tc>
          <w:tcPr>
            <w:tcW w:w="0" w:type="auto"/>
            <w:gridSpan w:val="7"/>
            <w:tcBorders>
              <w:top w:val="single" w:sz="4" w:space="0" w:color="auto"/>
              <w:left w:val="single" w:sz="4" w:space="0" w:color="auto"/>
              <w:bottom w:val="single" w:sz="4" w:space="0" w:color="auto"/>
              <w:right w:val="single" w:sz="4" w:space="0" w:color="auto"/>
            </w:tcBorders>
            <w:hideMark/>
          </w:tcPr>
          <w:p w:rsidR="004A1EFF" w:rsidRDefault="004A1EFF">
            <w:pPr>
              <w:jc w:val="center"/>
            </w:pPr>
            <w:r>
              <w:t>Individual Estimations Extended Equation (including g)</w:t>
            </w:r>
          </w:p>
        </w:tc>
      </w:tr>
      <w:tr w:rsidR="004A1EFF" w:rsidTr="004A1EFF">
        <w:trPr>
          <w:jc w:val="center"/>
        </w:trPr>
        <w:tc>
          <w:tcPr>
            <w:tcW w:w="0" w:type="auto"/>
            <w:gridSpan w:val="2"/>
            <w:tcBorders>
              <w:top w:val="single" w:sz="4" w:space="0" w:color="auto"/>
              <w:left w:val="single" w:sz="4" w:space="0" w:color="auto"/>
              <w:bottom w:val="single" w:sz="4" w:space="0" w:color="auto"/>
              <w:right w:val="single" w:sz="4" w:space="0" w:color="auto"/>
            </w:tcBorders>
            <w:hideMark/>
          </w:tcPr>
          <w:p w:rsidR="004A1EFF" w:rsidRDefault="004A1EFF">
            <w:pPr>
              <w:jc w:val="center"/>
            </w:pPr>
            <w:r>
              <w:t>Countries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Y</w:t>
            </w:r>
            <w:r>
              <w:rPr>
                <w:vertAlign w:val="superscript"/>
              </w:rPr>
              <w:t>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w</w:t>
            </w:r>
            <w:r>
              <w:rPr>
                <w:vertAlign w:val="superscript"/>
              </w:rPr>
              <w:t>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proofErr w:type="spellStart"/>
            <w:r>
              <w:t>w</w:t>
            </w:r>
            <w:r>
              <w:rPr>
                <w:vertAlign w:val="superscript"/>
              </w:rPr>
              <w:t>h</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g</w:t>
            </w:r>
          </w:p>
        </w:tc>
      </w:tr>
      <w:tr w:rsidR="004A1EFF" w:rsidTr="004A1EFF">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Low Debt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Austria</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0.1493</w:t>
            </w:r>
          </w:p>
          <w:p w:rsidR="004A1EFF" w:rsidRDefault="004A1EFF">
            <w:pPr>
              <w:jc w:val="center"/>
            </w:pPr>
            <w:r>
              <w:t>(0.2581)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0.0151</w:t>
            </w:r>
          </w:p>
          <w:p w:rsidR="004A1EFF" w:rsidRDefault="004A1EFF">
            <w:pPr>
              <w:jc w:val="center"/>
            </w:pPr>
            <w:r>
              <w:t>(0.0179)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-0.1141***</w:t>
            </w:r>
          </w:p>
          <w:p w:rsidR="004A1EFF" w:rsidRDefault="004A1EFF">
            <w:pPr>
              <w:jc w:val="center"/>
            </w:pPr>
            <w:r>
              <w:t>(0.0384)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0.2081</w:t>
            </w:r>
          </w:p>
          <w:p w:rsidR="004A1EFF" w:rsidRDefault="004A1EFF">
            <w:pPr>
              <w:jc w:val="center"/>
            </w:pPr>
            <w:r>
              <w:t>(0.1207)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0.3238</w:t>
            </w:r>
          </w:p>
          <w:p w:rsidR="004A1EFF" w:rsidRDefault="004A1EFF">
            <w:pPr>
              <w:jc w:val="center"/>
            </w:pPr>
            <w:r>
              <w:t>(0.2349)</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Finland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-0.0788</w:t>
            </w:r>
          </w:p>
          <w:p w:rsidR="004A1EFF" w:rsidRDefault="004A1EFF">
            <w:pPr>
              <w:jc w:val="center"/>
            </w:pPr>
            <w:r>
              <w:t>(0.2392)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0.0239</w:t>
            </w:r>
            <w:r>
              <w:rPr>
                <w:vertAlign w:val="superscript"/>
              </w:rPr>
              <w:t>**</w:t>
            </w:r>
          </w:p>
          <w:p w:rsidR="004A1EFF" w:rsidRDefault="004A1EFF">
            <w:pPr>
              <w:jc w:val="center"/>
            </w:pPr>
            <w:r>
              <w:t>(0.0105)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0.1482</w:t>
            </w:r>
          </w:p>
          <w:p w:rsidR="004A1EFF" w:rsidRDefault="004A1EFF">
            <w:pPr>
              <w:jc w:val="center"/>
            </w:pPr>
            <w:r>
              <w:t>(0.1085)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-0.0067</w:t>
            </w:r>
          </w:p>
          <w:p w:rsidR="004A1EFF" w:rsidRDefault="004A1EFF">
            <w:pPr>
              <w:jc w:val="center"/>
            </w:pPr>
            <w:r>
              <w:t>(0.0298)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0.7053***</w:t>
            </w:r>
          </w:p>
          <w:p w:rsidR="004A1EFF" w:rsidRDefault="004A1EFF">
            <w:pPr>
              <w:jc w:val="center"/>
            </w:pPr>
            <w:r>
              <w:t>(0.1560)</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Netherlands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0.3646</w:t>
            </w:r>
            <w:r>
              <w:rPr>
                <w:vertAlign w:val="superscript"/>
              </w:rPr>
              <w:t>***</w:t>
            </w:r>
          </w:p>
          <w:p w:rsidR="004A1EFF" w:rsidRDefault="004A1EFF">
            <w:pPr>
              <w:jc w:val="center"/>
            </w:pPr>
            <w:r>
              <w:t>(0.0995)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0.0278***</w:t>
            </w:r>
          </w:p>
          <w:p w:rsidR="004A1EFF" w:rsidRDefault="004A1EFF">
            <w:pPr>
              <w:jc w:val="center"/>
            </w:pPr>
            <w:r>
              <w:t>(0.0068)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0.2825***</w:t>
            </w:r>
          </w:p>
          <w:p w:rsidR="004A1EFF" w:rsidRDefault="004A1EFF">
            <w:pPr>
              <w:jc w:val="center"/>
            </w:pPr>
            <w:r>
              <w:t>(0.0347)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0.1020***</w:t>
            </w:r>
          </w:p>
          <w:p w:rsidR="004A1EFF" w:rsidRDefault="004A1EFF">
            <w:pPr>
              <w:jc w:val="center"/>
            </w:pPr>
            <w:r>
              <w:t>(0.0252)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-0.1005**</w:t>
            </w:r>
          </w:p>
          <w:p w:rsidR="004A1EFF" w:rsidRDefault="004A1EFF">
            <w:pPr>
              <w:jc w:val="center"/>
            </w:pPr>
            <w:r>
              <w:t>(0.0366)</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Germany</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0.9032</w:t>
            </w:r>
            <w:r>
              <w:rPr>
                <w:vertAlign w:val="superscript"/>
              </w:rPr>
              <w:t>***</w:t>
            </w:r>
          </w:p>
          <w:p w:rsidR="004A1EFF" w:rsidRDefault="004A1EFF">
            <w:pPr>
              <w:jc w:val="center"/>
            </w:pPr>
            <w:r>
              <w:t>(0.0716)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0.0206***</w:t>
            </w:r>
          </w:p>
          <w:p w:rsidR="004A1EFF" w:rsidRDefault="004A1EFF">
            <w:pPr>
              <w:jc w:val="center"/>
            </w:pPr>
            <w:r>
              <w:t>(0.0041)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-0.0212</w:t>
            </w:r>
          </w:p>
          <w:p w:rsidR="004A1EFF" w:rsidRDefault="004A1EFF">
            <w:pPr>
              <w:jc w:val="center"/>
            </w:pPr>
            <w:r>
              <w:t>(0.0755)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0.0205</w:t>
            </w:r>
          </w:p>
          <w:p w:rsidR="004A1EFF" w:rsidRDefault="004A1EFF">
            <w:pPr>
              <w:jc w:val="center"/>
            </w:pPr>
            <w:r>
              <w:t>(0.0220)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0.0877</w:t>
            </w:r>
          </w:p>
          <w:p w:rsidR="004A1EFF" w:rsidRDefault="004A1EFF">
            <w:pPr>
              <w:jc w:val="center"/>
            </w:pPr>
            <w:r>
              <w:t>(0.0597)</w:t>
            </w:r>
          </w:p>
        </w:tc>
      </w:tr>
      <w:tr w:rsidR="004A1EFF" w:rsidTr="004A1EFF">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High Debt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France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0.7308</w:t>
            </w:r>
            <w:r>
              <w:rPr>
                <w:vertAlign w:val="superscript"/>
              </w:rPr>
              <w:t>***</w:t>
            </w:r>
          </w:p>
          <w:p w:rsidR="004A1EFF" w:rsidRDefault="004A1EFF">
            <w:pPr>
              <w:jc w:val="center"/>
            </w:pPr>
            <w:r>
              <w:t>(0.0760)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0.0197***</w:t>
            </w:r>
          </w:p>
          <w:p w:rsidR="004A1EFF" w:rsidRDefault="004A1EFF">
            <w:pPr>
              <w:jc w:val="center"/>
            </w:pPr>
            <w:r>
              <w:t>(0.0046)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0.0626***</w:t>
            </w:r>
          </w:p>
          <w:p w:rsidR="004A1EFF" w:rsidRDefault="004A1EFF">
            <w:pPr>
              <w:jc w:val="center"/>
            </w:pPr>
            <w:r>
              <w:t>(0.0104)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0.0262</w:t>
            </w:r>
          </w:p>
          <w:p w:rsidR="004A1EFF" w:rsidRDefault="004A1EFF">
            <w:pPr>
              <w:jc w:val="center"/>
            </w:pPr>
            <w:r>
              <w:t>(0.0167)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-0.0499</w:t>
            </w:r>
          </w:p>
          <w:p w:rsidR="004A1EFF" w:rsidRDefault="004A1EFF">
            <w:pPr>
              <w:jc w:val="center"/>
            </w:pPr>
            <w:r>
              <w:t>(0.1088)</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Belgium</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0.5323</w:t>
            </w:r>
            <w:r>
              <w:rPr>
                <w:vertAlign w:val="superscript"/>
              </w:rPr>
              <w:t>***</w:t>
            </w:r>
          </w:p>
          <w:p w:rsidR="004A1EFF" w:rsidRDefault="004A1EFF">
            <w:pPr>
              <w:jc w:val="center"/>
            </w:pPr>
            <w:r>
              <w:t>(0.1125)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0.0494***</w:t>
            </w:r>
          </w:p>
          <w:p w:rsidR="004A1EFF" w:rsidRDefault="004A1EFF">
            <w:pPr>
              <w:jc w:val="center"/>
            </w:pPr>
            <w:r>
              <w:t>(0.0046)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-0.1181***</w:t>
            </w:r>
          </w:p>
          <w:p w:rsidR="004A1EFF" w:rsidRDefault="004A1EFF">
            <w:pPr>
              <w:jc w:val="center"/>
            </w:pPr>
            <w:r>
              <w:t>(0.0372)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0.0576</w:t>
            </w:r>
          </w:p>
          <w:p w:rsidR="004A1EFF" w:rsidRDefault="004A1EFF">
            <w:pPr>
              <w:jc w:val="center"/>
            </w:pPr>
            <w:r>
              <w:t>(0.0465)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0.4570***</w:t>
            </w:r>
          </w:p>
          <w:p w:rsidR="004A1EFF" w:rsidRDefault="004A1EFF">
            <w:pPr>
              <w:jc w:val="center"/>
            </w:pPr>
            <w:r>
              <w:t>(0.0730)</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Ireland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0.0080</w:t>
            </w:r>
          </w:p>
          <w:p w:rsidR="004A1EFF" w:rsidRDefault="004A1EFF">
            <w:pPr>
              <w:jc w:val="center"/>
            </w:pPr>
            <w:r>
              <w:t>(0.1820)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0.0528</w:t>
            </w:r>
            <w:r>
              <w:rPr>
                <w:vertAlign w:val="superscript"/>
              </w:rPr>
              <w:t>***</w:t>
            </w:r>
          </w:p>
          <w:p w:rsidR="004A1EFF" w:rsidRDefault="004A1EFF">
            <w:pPr>
              <w:jc w:val="center"/>
            </w:pPr>
            <w:r>
              <w:t>(0.0168)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0.0979</w:t>
            </w:r>
          </w:p>
          <w:p w:rsidR="004A1EFF" w:rsidRDefault="004A1EFF">
            <w:pPr>
              <w:jc w:val="center"/>
            </w:pPr>
            <w:r>
              <w:t>(0.0643)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0.0025</w:t>
            </w:r>
          </w:p>
          <w:p w:rsidR="004A1EFF" w:rsidRDefault="004A1EFF">
            <w:pPr>
              <w:jc w:val="center"/>
            </w:pPr>
            <w:r>
              <w:t>(0.0223)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0.3920***</w:t>
            </w:r>
          </w:p>
          <w:p w:rsidR="004A1EFF" w:rsidRDefault="004A1EFF">
            <w:pPr>
              <w:jc w:val="center"/>
            </w:pPr>
            <w:r>
              <w:t>(0.0724)</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Italy</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-0.1071</w:t>
            </w:r>
          </w:p>
          <w:p w:rsidR="004A1EFF" w:rsidRDefault="004A1EFF">
            <w:pPr>
              <w:jc w:val="center"/>
            </w:pPr>
            <w:r>
              <w:t>(0.1630)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0.0501</w:t>
            </w:r>
            <w:r>
              <w:rPr>
                <w:vertAlign w:val="superscript"/>
              </w:rPr>
              <w:t>***</w:t>
            </w:r>
          </w:p>
          <w:p w:rsidR="004A1EFF" w:rsidRDefault="004A1EFF">
            <w:pPr>
              <w:jc w:val="center"/>
            </w:pPr>
            <w:r>
              <w:t>(0.0129)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-0.0336</w:t>
            </w:r>
          </w:p>
          <w:p w:rsidR="004A1EFF" w:rsidRDefault="004A1EFF">
            <w:pPr>
              <w:jc w:val="center"/>
            </w:pPr>
            <w:r>
              <w:t>(0.0577)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-0.1555</w:t>
            </w:r>
          </w:p>
          <w:p w:rsidR="004A1EFF" w:rsidRDefault="004A1EFF">
            <w:pPr>
              <w:jc w:val="center"/>
            </w:pPr>
            <w:r>
              <w:t>(0.1430)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0.5131***</w:t>
            </w:r>
          </w:p>
          <w:p w:rsidR="004A1EFF" w:rsidRDefault="004A1EFF">
            <w:pPr>
              <w:jc w:val="center"/>
            </w:pPr>
            <w:r>
              <w:t>(0.0901)</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Portugal</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0.6940</w:t>
            </w:r>
            <w:r>
              <w:rPr>
                <w:vertAlign w:val="superscript"/>
              </w:rPr>
              <w:t>**</w:t>
            </w:r>
          </w:p>
          <w:p w:rsidR="004A1EFF" w:rsidRDefault="004A1EFF">
            <w:pPr>
              <w:jc w:val="center"/>
            </w:pPr>
            <w:r>
              <w:t>(0.2672)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0.0161</w:t>
            </w:r>
          </w:p>
          <w:p w:rsidR="004A1EFF" w:rsidRDefault="004A1EFF">
            <w:pPr>
              <w:jc w:val="center"/>
            </w:pPr>
            <w:r>
              <w:t>(0.0167)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-0.0368</w:t>
            </w:r>
          </w:p>
          <w:p w:rsidR="004A1EFF" w:rsidRDefault="004A1EFF">
            <w:pPr>
              <w:jc w:val="center"/>
            </w:pPr>
            <w:r>
              <w:t>(0.1152)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0.0248</w:t>
            </w:r>
          </w:p>
          <w:p w:rsidR="004A1EFF" w:rsidRDefault="004A1EFF">
            <w:pPr>
              <w:jc w:val="center"/>
            </w:pPr>
            <w:r>
              <w:t>(0.0479)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0.1626</w:t>
            </w:r>
          </w:p>
          <w:p w:rsidR="004A1EFF" w:rsidRDefault="004A1EFF">
            <w:pPr>
              <w:jc w:val="center"/>
            </w:pPr>
            <w:r>
              <w:t>(0.1321)</w:t>
            </w:r>
          </w:p>
        </w:tc>
      </w:tr>
    </w:tbl>
    <w:p w:rsidR="004A1EFF" w:rsidRDefault="004A1EFF" w:rsidP="004A1EFF">
      <w:pPr>
        <w:jc w:val="center"/>
        <w:rPr>
          <w:sz w:val="18"/>
          <w:szCs w:val="18"/>
        </w:rPr>
      </w:pPr>
      <w:r>
        <w:rPr>
          <w:sz w:val="18"/>
          <w:szCs w:val="18"/>
        </w:rPr>
        <w:t>Notation ***</w:t>
      </w:r>
      <w:proofErr w:type="gramStart"/>
      <w:r>
        <w:rPr>
          <w:sz w:val="18"/>
          <w:szCs w:val="18"/>
        </w:rPr>
        <w:t>,*</w:t>
      </w:r>
      <w:proofErr w:type="gramEnd"/>
      <w:r>
        <w:rPr>
          <w:sz w:val="18"/>
          <w:szCs w:val="18"/>
        </w:rPr>
        <w:t>* and * denotes the 1%, 5% and 10% level of statistical significance.</w:t>
      </w:r>
    </w:p>
    <w:p w:rsidR="004A1EFF" w:rsidRPr="00573D1B" w:rsidRDefault="002149EC" w:rsidP="004A1EFF">
      <w:pPr>
        <w:jc w:val="both"/>
        <w:rPr>
          <w:rFonts w:ascii="Times New Roman" w:hAnsi="Times New Roman" w:cs="Times New Roman"/>
          <w:sz w:val="24"/>
          <w:szCs w:val="24"/>
        </w:rPr>
      </w:pPr>
      <w:r>
        <w:rPr>
          <w:rFonts w:ascii="Times New Roman" w:hAnsi="Times New Roman" w:cs="Times New Roman"/>
          <w:sz w:val="24"/>
          <w:szCs w:val="24"/>
        </w:rPr>
        <w:t>From the table</w:t>
      </w:r>
      <w:r w:rsidR="004A1EFF" w:rsidRPr="00573D1B">
        <w:rPr>
          <w:rFonts w:ascii="Times New Roman" w:hAnsi="Times New Roman" w:cs="Times New Roman"/>
          <w:sz w:val="24"/>
          <w:szCs w:val="24"/>
        </w:rPr>
        <w:t xml:space="preserve"> </w:t>
      </w:r>
      <w:r w:rsidR="00030D6E">
        <w:rPr>
          <w:rFonts w:ascii="Times New Roman" w:hAnsi="Times New Roman" w:cs="Times New Roman"/>
          <w:sz w:val="24"/>
          <w:szCs w:val="24"/>
        </w:rPr>
        <w:t xml:space="preserve">15 </w:t>
      </w:r>
      <w:r w:rsidR="004A1EFF" w:rsidRPr="00573D1B">
        <w:rPr>
          <w:rFonts w:ascii="Times New Roman" w:hAnsi="Times New Roman" w:cs="Times New Roman"/>
          <w:sz w:val="24"/>
          <w:szCs w:val="24"/>
        </w:rPr>
        <w:t xml:space="preserve">we can observe that </w:t>
      </w:r>
      <w:proofErr w:type="spellStart"/>
      <w:r w:rsidR="004A1EFF" w:rsidRPr="00573D1B">
        <w:rPr>
          <w:rFonts w:ascii="Times New Roman" w:hAnsi="Times New Roman" w:cs="Times New Roman"/>
          <w:sz w:val="24"/>
          <w:szCs w:val="24"/>
        </w:rPr>
        <w:t>Ricardian</w:t>
      </w:r>
      <w:proofErr w:type="spellEnd"/>
      <w:r w:rsidR="00030D6E">
        <w:rPr>
          <w:rFonts w:ascii="Times New Roman" w:hAnsi="Times New Roman" w:cs="Times New Roman"/>
          <w:sz w:val="24"/>
          <w:szCs w:val="24"/>
        </w:rPr>
        <w:t xml:space="preserve"> Equivalence is rejected for the majority of the countries</w:t>
      </w:r>
      <w:r w:rsidR="004A1EFF" w:rsidRPr="00573D1B">
        <w:rPr>
          <w:rFonts w:ascii="Times New Roman" w:hAnsi="Times New Roman" w:cs="Times New Roman"/>
          <w:sz w:val="24"/>
          <w:szCs w:val="24"/>
        </w:rPr>
        <w:t xml:space="preserve"> since the government debt coefficie</w:t>
      </w:r>
      <w:r w:rsidR="00030D6E">
        <w:rPr>
          <w:rFonts w:ascii="Times New Roman" w:hAnsi="Times New Roman" w:cs="Times New Roman"/>
          <w:sz w:val="24"/>
          <w:szCs w:val="24"/>
        </w:rPr>
        <w:t>nt is positive for each country and in most cases statistical significant</w:t>
      </w:r>
      <w:r w:rsidR="004A1EFF" w:rsidRPr="00573D1B">
        <w:rPr>
          <w:rFonts w:ascii="Times New Roman" w:hAnsi="Times New Roman" w:cs="Times New Roman"/>
          <w:sz w:val="24"/>
          <w:szCs w:val="24"/>
        </w:rPr>
        <w:t xml:space="preserve">. </w:t>
      </w:r>
      <w:r w:rsidR="005B6668">
        <w:rPr>
          <w:rFonts w:ascii="Times New Roman" w:hAnsi="Times New Roman" w:cs="Times New Roman"/>
          <w:sz w:val="24"/>
          <w:szCs w:val="24"/>
        </w:rPr>
        <w:t xml:space="preserve">The above mentioned results become less potent regarding the rejection of the </w:t>
      </w:r>
      <w:proofErr w:type="spellStart"/>
      <w:r w:rsidR="005B6668">
        <w:rPr>
          <w:rFonts w:ascii="Times New Roman" w:hAnsi="Times New Roman" w:cs="Times New Roman"/>
          <w:sz w:val="24"/>
          <w:szCs w:val="24"/>
        </w:rPr>
        <w:t>Ricardian</w:t>
      </w:r>
      <w:proofErr w:type="spellEnd"/>
      <w:r w:rsidR="005B6668">
        <w:rPr>
          <w:rFonts w:ascii="Times New Roman" w:hAnsi="Times New Roman" w:cs="Times New Roman"/>
          <w:sz w:val="24"/>
          <w:szCs w:val="24"/>
        </w:rPr>
        <w:t xml:space="preserve"> Equivalence Hypothesis when we estimate the extended consumption function (incorporating the government expenditures) table 16. Specifically, we notice that the debt coefficients although positive become less potent and statistically insignificant. In </w:t>
      </w:r>
      <w:r w:rsidR="00EA6E3F">
        <w:rPr>
          <w:rFonts w:ascii="Times New Roman" w:hAnsi="Times New Roman" w:cs="Times New Roman"/>
          <w:sz w:val="24"/>
          <w:szCs w:val="24"/>
        </w:rPr>
        <w:t xml:space="preserve">only </w:t>
      </w:r>
      <w:r w:rsidR="005B6668">
        <w:rPr>
          <w:rFonts w:ascii="Times New Roman" w:hAnsi="Times New Roman" w:cs="Times New Roman"/>
          <w:sz w:val="24"/>
          <w:szCs w:val="24"/>
        </w:rPr>
        <w:t>two cases</w:t>
      </w:r>
      <w:r w:rsidR="00EA6E3F">
        <w:rPr>
          <w:rStyle w:val="a8"/>
          <w:rFonts w:ascii="Times New Roman" w:hAnsi="Times New Roman" w:cs="Times New Roman"/>
          <w:sz w:val="24"/>
          <w:szCs w:val="24"/>
        </w:rPr>
        <w:footnoteReference w:id="51"/>
      </w:r>
      <w:r w:rsidR="00EA6E3F">
        <w:rPr>
          <w:rFonts w:ascii="Times New Roman" w:hAnsi="Times New Roman" w:cs="Times New Roman"/>
          <w:sz w:val="24"/>
          <w:szCs w:val="24"/>
        </w:rPr>
        <w:t xml:space="preserve">the debt coefficients were negative pointing that individuals obtained </w:t>
      </w:r>
      <w:proofErr w:type="spellStart"/>
      <w:r w:rsidR="00EA6E3F">
        <w:rPr>
          <w:rFonts w:ascii="Times New Roman" w:hAnsi="Times New Roman" w:cs="Times New Roman"/>
          <w:sz w:val="24"/>
          <w:szCs w:val="24"/>
        </w:rPr>
        <w:t>ricardian</w:t>
      </w:r>
      <w:proofErr w:type="spellEnd"/>
      <w:r w:rsidR="00EA6E3F">
        <w:rPr>
          <w:rFonts w:ascii="Times New Roman" w:hAnsi="Times New Roman" w:cs="Times New Roman"/>
          <w:sz w:val="24"/>
          <w:szCs w:val="24"/>
        </w:rPr>
        <w:t xml:space="preserve"> characteristics in these countries, but the debt coefficients were not statistical significant while the government expenditure coefficients were positive </w:t>
      </w:r>
      <w:r w:rsidR="002E15BB">
        <w:rPr>
          <w:rFonts w:ascii="Times New Roman" w:hAnsi="Times New Roman" w:cs="Times New Roman"/>
          <w:sz w:val="24"/>
          <w:szCs w:val="24"/>
        </w:rPr>
        <w:t>and statistical significant in favor of the Keynesian proposition.</w:t>
      </w:r>
      <w:r w:rsidR="00EA6E3F">
        <w:rPr>
          <w:rFonts w:ascii="Times New Roman" w:hAnsi="Times New Roman" w:cs="Times New Roman"/>
          <w:sz w:val="24"/>
          <w:szCs w:val="24"/>
        </w:rPr>
        <w:t xml:space="preserve"> </w:t>
      </w:r>
      <w:r w:rsidR="00A93214">
        <w:rPr>
          <w:rFonts w:ascii="Times New Roman" w:hAnsi="Times New Roman" w:cs="Times New Roman"/>
          <w:sz w:val="24"/>
          <w:szCs w:val="24"/>
        </w:rPr>
        <w:t>From the</w:t>
      </w:r>
      <w:r w:rsidR="002E15BB">
        <w:rPr>
          <w:rFonts w:ascii="Times New Roman" w:hAnsi="Times New Roman" w:cs="Times New Roman"/>
          <w:sz w:val="24"/>
          <w:szCs w:val="24"/>
        </w:rPr>
        <w:t xml:space="preserve"> results in </w:t>
      </w:r>
      <w:r w:rsidR="004A1EFF" w:rsidRPr="00573D1B">
        <w:rPr>
          <w:rFonts w:ascii="Times New Roman" w:hAnsi="Times New Roman" w:cs="Times New Roman"/>
          <w:sz w:val="24"/>
          <w:szCs w:val="24"/>
        </w:rPr>
        <w:t>first</w:t>
      </w:r>
      <w:r w:rsidR="002E15BB">
        <w:rPr>
          <w:rFonts w:ascii="Times New Roman" w:hAnsi="Times New Roman" w:cs="Times New Roman"/>
          <w:sz w:val="24"/>
          <w:szCs w:val="24"/>
        </w:rPr>
        <w:t xml:space="preserve"> differences </w:t>
      </w:r>
      <w:r w:rsidR="00A93214">
        <w:rPr>
          <w:rFonts w:ascii="Times New Roman" w:hAnsi="Times New Roman" w:cs="Times New Roman"/>
          <w:sz w:val="24"/>
          <w:szCs w:val="24"/>
        </w:rPr>
        <w:t>(</w:t>
      </w:r>
      <w:r w:rsidR="002E15BB">
        <w:rPr>
          <w:rFonts w:ascii="Times New Roman" w:hAnsi="Times New Roman" w:cs="Times New Roman"/>
          <w:sz w:val="24"/>
          <w:szCs w:val="24"/>
        </w:rPr>
        <w:t>tables 17</w:t>
      </w:r>
      <w:r w:rsidR="00A93214">
        <w:rPr>
          <w:rFonts w:ascii="Times New Roman" w:hAnsi="Times New Roman" w:cs="Times New Roman"/>
          <w:sz w:val="24"/>
          <w:szCs w:val="24"/>
        </w:rPr>
        <w:t xml:space="preserve">) we notice the presence of </w:t>
      </w:r>
      <w:proofErr w:type="spellStart"/>
      <w:r w:rsidR="00A93214">
        <w:rPr>
          <w:rFonts w:ascii="Times New Roman" w:hAnsi="Times New Roman" w:cs="Times New Roman"/>
          <w:sz w:val="24"/>
          <w:szCs w:val="24"/>
        </w:rPr>
        <w:t>Ricardian</w:t>
      </w:r>
      <w:proofErr w:type="spellEnd"/>
      <w:r w:rsidR="00A93214">
        <w:rPr>
          <w:rFonts w:ascii="Times New Roman" w:hAnsi="Times New Roman" w:cs="Times New Roman"/>
          <w:sz w:val="24"/>
          <w:szCs w:val="24"/>
        </w:rPr>
        <w:t xml:space="preserve"> characteristics</w:t>
      </w:r>
      <w:r w:rsidR="004A1EFF" w:rsidRPr="002E15BB">
        <w:rPr>
          <w:rFonts w:ascii="Times New Roman" w:hAnsi="Times New Roman" w:cs="Times New Roman"/>
          <w:sz w:val="24"/>
          <w:szCs w:val="24"/>
          <w:vertAlign w:val="superscript"/>
        </w:rPr>
        <w:t xml:space="preserve"> </w:t>
      </w:r>
      <w:r w:rsidR="00A93214">
        <w:rPr>
          <w:rFonts w:ascii="Times New Roman" w:hAnsi="Times New Roman" w:cs="Times New Roman"/>
          <w:sz w:val="24"/>
          <w:szCs w:val="24"/>
        </w:rPr>
        <w:t>in</w:t>
      </w:r>
      <w:r w:rsidR="004A1EFF" w:rsidRPr="00573D1B">
        <w:rPr>
          <w:rFonts w:ascii="Times New Roman" w:hAnsi="Times New Roman" w:cs="Times New Roman"/>
          <w:sz w:val="24"/>
          <w:szCs w:val="24"/>
        </w:rPr>
        <w:t xml:space="preserve"> one low debt country (Finland) and for the majority of the high debt countries (Belgium, Ireland, Italy and Portugal)</w:t>
      </w:r>
      <w:r w:rsidR="00A93214">
        <w:rPr>
          <w:rFonts w:ascii="Times New Roman" w:hAnsi="Times New Roman" w:cs="Times New Roman"/>
          <w:sz w:val="24"/>
          <w:szCs w:val="24"/>
        </w:rPr>
        <w:t xml:space="preserve"> since the debt coefficients are negative though statistical insignificant. Furthermore</w:t>
      </w:r>
      <w:r w:rsidR="004A1EFF" w:rsidRPr="00573D1B">
        <w:rPr>
          <w:rFonts w:ascii="Times New Roman" w:hAnsi="Times New Roman" w:cs="Times New Roman"/>
          <w:sz w:val="24"/>
          <w:szCs w:val="24"/>
        </w:rPr>
        <w:t xml:space="preserve">, when we incorporate in our analysis the government expenditures </w:t>
      </w:r>
      <w:r w:rsidR="00A93214">
        <w:rPr>
          <w:rFonts w:ascii="Times New Roman" w:hAnsi="Times New Roman" w:cs="Times New Roman"/>
          <w:sz w:val="24"/>
          <w:szCs w:val="24"/>
        </w:rPr>
        <w:t xml:space="preserve">(table 18) </w:t>
      </w:r>
      <w:r w:rsidR="004A1EFF" w:rsidRPr="00573D1B">
        <w:rPr>
          <w:rFonts w:ascii="Times New Roman" w:hAnsi="Times New Roman" w:cs="Times New Roman"/>
          <w:sz w:val="24"/>
          <w:szCs w:val="24"/>
        </w:rPr>
        <w:t xml:space="preserve">the corresponding </w:t>
      </w:r>
      <w:r w:rsidR="00A93214">
        <w:rPr>
          <w:rFonts w:ascii="Times New Roman" w:hAnsi="Times New Roman" w:cs="Times New Roman"/>
          <w:sz w:val="24"/>
          <w:szCs w:val="24"/>
        </w:rPr>
        <w:t xml:space="preserve">government expenditure </w:t>
      </w:r>
      <w:r w:rsidR="004A1EFF" w:rsidRPr="00573D1B">
        <w:rPr>
          <w:rFonts w:ascii="Times New Roman" w:hAnsi="Times New Roman" w:cs="Times New Roman"/>
          <w:sz w:val="24"/>
          <w:szCs w:val="24"/>
        </w:rPr>
        <w:t>coefficient</w:t>
      </w:r>
      <w:r w:rsidR="00470D15">
        <w:rPr>
          <w:rFonts w:ascii="Times New Roman" w:hAnsi="Times New Roman" w:cs="Times New Roman"/>
          <w:sz w:val="24"/>
          <w:szCs w:val="24"/>
        </w:rPr>
        <w:t>s do</w:t>
      </w:r>
      <w:r w:rsidR="004A1EFF" w:rsidRPr="00573D1B">
        <w:rPr>
          <w:rFonts w:ascii="Times New Roman" w:hAnsi="Times New Roman" w:cs="Times New Roman"/>
          <w:sz w:val="24"/>
          <w:szCs w:val="24"/>
        </w:rPr>
        <w:t xml:space="preserve"> not have the </w:t>
      </w:r>
      <w:r w:rsidR="004A1EFF" w:rsidRPr="00573D1B">
        <w:rPr>
          <w:rFonts w:ascii="Times New Roman" w:hAnsi="Times New Roman" w:cs="Times New Roman"/>
          <w:sz w:val="24"/>
          <w:szCs w:val="24"/>
        </w:rPr>
        <w:lastRenderedPageBreak/>
        <w:t>expected negative sign for these countries. The only exception is the country of Portugal where both coefficients are negative but not statistically signifi</w:t>
      </w:r>
      <w:r w:rsidR="00470D15">
        <w:rPr>
          <w:rFonts w:ascii="Times New Roman" w:hAnsi="Times New Roman" w:cs="Times New Roman"/>
          <w:sz w:val="24"/>
          <w:szCs w:val="24"/>
        </w:rPr>
        <w:t>cant. Moreover</w:t>
      </w:r>
      <w:r w:rsidR="004A1EFF" w:rsidRPr="00573D1B">
        <w:rPr>
          <w:rFonts w:ascii="Times New Roman" w:hAnsi="Times New Roman" w:cs="Times New Roman"/>
          <w:sz w:val="24"/>
          <w:szCs w:val="24"/>
        </w:rPr>
        <w:t xml:space="preserve">, regarding the coefficients of disposable income, equity and housing wealth </w:t>
      </w:r>
      <w:r w:rsidR="00470D15">
        <w:rPr>
          <w:rFonts w:ascii="Times New Roman" w:hAnsi="Times New Roman" w:cs="Times New Roman"/>
          <w:sz w:val="24"/>
          <w:szCs w:val="24"/>
        </w:rPr>
        <w:t xml:space="preserve">all </w:t>
      </w:r>
      <w:r w:rsidR="004A1EFF" w:rsidRPr="00573D1B">
        <w:rPr>
          <w:rFonts w:ascii="Times New Roman" w:hAnsi="Times New Roman" w:cs="Times New Roman"/>
          <w:sz w:val="24"/>
          <w:szCs w:val="24"/>
        </w:rPr>
        <w:t xml:space="preserve">have the expected signs and are statistically significant with few only exceptions. </w:t>
      </w:r>
    </w:p>
    <w:p w:rsidR="004A1EFF" w:rsidRDefault="004A1EFF" w:rsidP="004A1EFF">
      <w:pPr>
        <w:jc w:val="both"/>
        <w:rPr>
          <w:rFonts w:ascii="Times New Roman" w:hAnsi="Times New Roman" w:cs="Times New Roman"/>
          <w:sz w:val="24"/>
          <w:szCs w:val="24"/>
        </w:rPr>
      </w:pPr>
      <w:r w:rsidRPr="00573D1B">
        <w:rPr>
          <w:rFonts w:ascii="Times New Roman" w:hAnsi="Times New Roman" w:cs="Times New Roman"/>
          <w:sz w:val="24"/>
          <w:szCs w:val="24"/>
        </w:rPr>
        <w:t xml:space="preserve">Before proceeding with our panel estimation </w:t>
      </w:r>
      <w:r w:rsidR="00D16489">
        <w:rPr>
          <w:rFonts w:ascii="Times New Roman" w:hAnsi="Times New Roman" w:cs="Times New Roman"/>
          <w:sz w:val="24"/>
          <w:szCs w:val="24"/>
        </w:rPr>
        <w:t xml:space="preserve">approach </w:t>
      </w:r>
      <w:r w:rsidRPr="00573D1B">
        <w:rPr>
          <w:rFonts w:ascii="Times New Roman" w:hAnsi="Times New Roman" w:cs="Times New Roman"/>
          <w:sz w:val="24"/>
          <w:szCs w:val="24"/>
        </w:rPr>
        <w:t xml:space="preserve">we first examined our time series for </w:t>
      </w:r>
      <w:proofErr w:type="spellStart"/>
      <w:r w:rsidRPr="00573D1B">
        <w:rPr>
          <w:rFonts w:ascii="Times New Roman" w:hAnsi="Times New Roman" w:cs="Times New Roman"/>
          <w:sz w:val="24"/>
          <w:szCs w:val="24"/>
        </w:rPr>
        <w:t>stationarity</w:t>
      </w:r>
      <w:proofErr w:type="spellEnd"/>
      <w:r w:rsidRPr="00573D1B">
        <w:rPr>
          <w:rFonts w:ascii="Times New Roman" w:hAnsi="Times New Roman" w:cs="Times New Roman"/>
          <w:sz w:val="24"/>
          <w:szCs w:val="24"/>
        </w:rPr>
        <w:t xml:space="preserve"> and </w:t>
      </w:r>
      <w:proofErr w:type="spellStart"/>
      <w:r w:rsidRPr="00573D1B">
        <w:rPr>
          <w:rFonts w:ascii="Times New Roman" w:hAnsi="Times New Roman" w:cs="Times New Roman"/>
          <w:sz w:val="24"/>
          <w:szCs w:val="24"/>
        </w:rPr>
        <w:t>cointegration</w:t>
      </w:r>
      <w:proofErr w:type="spellEnd"/>
      <w:r w:rsidRPr="00573D1B">
        <w:rPr>
          <w:rFonts w:ascii="Times New Roman" w:hAnsi="Times New Roman" w:cs="Times New Roman"/>
          <w:sz w:val="24"/>
          <w:szCs w:val="24"/>
        </w:rPr>
        <w:t xml:space="preserve">.  Following </w:t>
      </w:r>
      <w:proofErr w:type="spellStart"/>
      <w:r w:rsidRPr="00573D1B">
        <w:rPr>
          <w:rFonts w:ascii="Times New Roman" w:hAnsi="Times New Roman" w:cs="Times New Roman"/>
          <w:sz w:val="24"/>
          <w:szCs w:val="24"/>
        </w:rPr>
        <w:t>Berben</w:t>
      </w:r>
      <w:proofErr w:type="spellEnd"/>
      <w:r w:rsidRPr="00573D1B">
        <w:rPr>
          <w:rFonts w:ascii="Times New Roman" w:hAnsi="Times New Roman" w:cs="Times New Roman"/>
          <w:sz w:val="24"/>
          <w:szCs w:val="24"/>
        </w:rPr>
        <w:t xml:space="preserve"> and </w:t>
      </w:r>
      <w:proofErr w:type="spellStart"/>
      <w:r w:rsidRPr="00573D1B">
        <w:rPr>
          <w:rFonts w:ascii="Times New Roman" w:hAnsi="Times New Roman" w:cs="Times New Roman"/>
          <w:sz w:val="24"/>
          <w:szCs w:val="24"/>
        </w:rPr>
        <w:t>Brosens</w:t>
      </w:r>
      <w:proofErr w:type="spellEnd"/>
      <w:r w:rsidRPr="00573D1B">
        <w:rPr>
          <w:rFonts w:ascii="Times New Roman" w:hAnsi="Times New Roman" w:cs="Times New Roman"/>
          <w:sz w:val="24"/>
          <w:szCs w:val="24"/>
        </w:rPr>
        <w:t xml:space="preserve"> </w:t>
      </w:r>
      <w:r w:rsidR="00D16489">
        <w:rPr>
          <w:rFonts w:ascii="Times New Roman" w:hAnsi="Times New Roman" w:cs="Times New Roman"/>
          <w:sz w:val="24"/>
          <w:szCs w:val="24"/>
        </w:rPr>
        <w:t xml:space="preserve">(2007) </w:t>
      </w:r>
      <w:r w:rsidRPr="00573D1B">
        <w:rPr>
          <w:rFonts w:ascii="Times New Roman" w:hAnsi="Times New Roman" w:cs="Times New Roman"/>
          <w:sz w:val="24"/>
          <w:szCs w:val="24"/>
        </w:rPr>
        <w:t xml:space="preserve">we tested for </w:t>
      </w:r>
      <w:proofErr w:type="spellStart"/>
      <w:r w:rsidRPr="00573D1B">
        <w:rPr>
          <w:rFonts w:ascii="Times New Roman" w:hAnsi="Times New Roman" w:cs="Times New Roman"/>
          <w:sz w:val="24"/>
          <w:szCs w:val="24"/>
        </w:rPr>
        <w:t>stationarity</w:t>
      </w:r>
      <w:proofErr w:type="spellEnd"/>
      <w:r w:rsidRPr="00573D1B">
        <w:rPr>
          <w:rFonts w:ascii="Times New Roman" w:hAnsi="Times New Roman" w:cs="Times New Roman"/>
          <w:sz w:val="24"/>
          <w:szCs w:val="24"/>
        </w:rPr>
        <w:t xml:space="preserve"> using the </w:t>
      </w:r>
      <w:proofErr w:type="spellStart"/>
      <w:r w:rsidRPr="00573D1B">
        <w:rPr>
          <w:rFonts w:ascii="Times New Roman" w:hAnsi="Times New Roman" w:cs="Times New Roman"/>
          <w:sz w:val="24"/>
          <w:szCs w:val="24"/>
        </w:rPr>
        <w:t>Im</w:t>
      </w:r>
      <w:proofErr w:type="spellEnd"/>
      <w:r w:rsidRPr="00573D1B">
        <w:rPr>
          <w:rFonts w:ascii="Times New Roman" w:hAnsi="Times New Roman" w:cs="Times New Roman"/>
          <w:sz w:val="24"/>
          <w:szCs w:val="24"/>
        </w:rPr>
        <w:t xml:space="preserve">, </w:t>
      </w:r>
      <w:proofErr w:type="spellStart"/>
      <w:r w:rsidRPr="00573D1B">
        <w:rPr>
          <w:rFonts w:ascii="Times New Roman" w:hAnsi="Times New Roman" w:cs="Times New Roman"/>
          <w:sz w:val="24"/>
          <w:szCs w:val="24"/>
        </w:rPr>
        <w:t>Pesaran</w:t>
      </w:r>
      <w:proofErr w:type="spellEnd"/>
      <w:r w:rsidRPr="00573D1B">
        <w:rPr>
          <w:rFonts w:ascii="Times New Roman" w:hAnsi="Times New Roman" w:cs="Times New Roman"/>
          <w:sz w:val="24"/>
          <w:szCs w:val="24"/>
        </w:rPr>
        <w:t xml:space="preserve"> &amp; Shin and ADF -</w:t>
      </w:r>
      <w:r w:rsidR="00D16489">
        <w:rPr>
          <w:rFonts w:ascii="Times New Roman" w:hAnsi="Times New Roman" w:cs="Times New Roman"/>
          <w:sz w:val="24"/>
          <w:szCs w:val="24"/>
        </w:rPr>
        <w:t xml:space="preserve"> Fisher Chi – Square tests and for </w:t>
      </w:r>
      <w:proofErr w:type="spellStart"/>
      <w:r w:rsidR="00D16489">
        <w:rPr>
          <w:rFonts w:ascii="Times New Roman" w:hAnsi="Times New Roman" w:cs="Times New Roman"/>
          <w:sz w:val="24"/>
          <w:szCs w:val="24"/>
        </w:rPr>
        <w:t>cointegration</w:t>
      </w:r>
      <w:proofErr w:type="spellEnd"/>
      <w:r w:rsidRPr="00573D1B">
        <w:rPr>
          <w:rFonts w:ascii="Times New Roman" w:hAnsi="Times New Roman" w:cs="Times New Roman"/>
          <w:sz w:val="24"/>
          <w:szCs w:val="24"/>
        </w:rPr>
        <w:t xml:space="preserve"> </w:t>
      </w:r>
      <w:r w:rsidR="00D16489">
        <w:rPr>
          <w:rFonts w:ascii="Times New Roman" w:hAnsi="Times New Roman" w:cs="Times New Roman"/>
          <w:sz w:val="24"/>
          <w:szCs w:val="24"/>
        </w:rPr>
        <w:t xml:space="preserve">applying </w:t>
      </w:r>
      <w:r w:rsidRPr="00573D1B">
        <w:rPr>
          <w:rFonts w:ascii="Times New Roman" w:hAnsi="Times New Roman" w:cs="Times New Roman"/>
          <w:sz w:val="24"/>
          <w:szCs w:val="24"/>
        </w:rPr>
        <w:t xml:space="preserve">the Group ADF test. Our results are in accordance with </w:t>
      </w:r>
      <w:proofErr w:type="spellStart"/>
      <w:r w:rsidRPr="00573D1B">
        <w:rPr>
          <w:rFonts w:ascii="Times New Roman" w:hAnsi="Times New Roman" w:cs="Times New Roman"/>
          <w:sz w:val="24"/>
          <w:szCs w:val="24"/>
        </w:rPr>
        <w:t>Berben</w:t>
      </w:r>
      <w:proofErr w:type="spellEnd"/>
      <w:r w:rsidRPr="00573D1B">
        <w:rPr>
          <w:rFonts w:ascii="Times New Roman" w:hAnsi="Times New Roman" w:cs="Times New Roman"/>
          <w:sz w:val="24"/>
          <w:szCs w:val="24"/>
        </w:rPr>
        <w:t xml:space="preserve"> and </w:t>
      </w:r>
      <w:proofErr w:type="spellStart"/>
      <w:r w:rsidRPr="00573D1B">
        <w:rPr>
          <w:rFonts w:ascii="Times New Roman" w:hAnsi="Times New Roman" w:cs="Times New Roman"/>
          <w:sz w:val="24"/>
          <w:szCs w:val="24"/>
        </w:rPr>
        <w:t>Brosens</w:t>
      </w:r>
      <w:proofErr w:type="spellEnd"/>
      <w:r w:rsidRPr="00573D1B">
        <w:rPr>
          <w:rFonts w:ascii="Times New Roman" w:hAnsi="Times New Roman" w:cs="Times New Roman"/>
          <w:sz w:val="24"/>
          <w:szCs w:val="24"/>
        </w:rPr>
        <w:t xml:space="preserve"> as we found that that all the variables are non stationary </w:t>
      </w:r>
      <w:proofErr w:type="gramStart"/>
      <w:r w:rsidRPr="00573D1B">
        <w:rPr>
          <w:rFonts w:ascii="Times New Roman" w:hAnsi="Times New Roman" w:cs="Times New Roman"/>
          <w:sz w:val="24"/>
          <w:szCs w:val="24"/>
        </w:rPr>
        <w:t>I(</w:t>
      </w:r>
      <w:proofErr w:type="gramEnd"/>
      <w:r w:rsidRPr="00573D1B">
        <w:rPr>
          <w:rFonts w:ascii="Times New Roman" w:hAnsi="Times New Roman" w:cs="Times New Roman"/>
          <w:sz w:val="24"/>
          <w:szCs w:val="24"/>
        </w:rPr>
        <w:t xml:space="preserve">1) </w:t>
      </w:r>
      <w:r w:rsidR="00335519">
        <w:rPr>
          <w:rFonts w:ascii="Times New Roman" w:hAnsi="Times New Roman" w:cs="Times New Roman"/>
          <w:sz w:val="24"/>
          <w:szCs w:val="24"/>
        </w:rPr>
        <w:t xml:space="preserve">(tables 19 and 20) </w:t>
      </w:r>
      <w:r w:rsidRPr="00573D1B">
        <w:rPr>
          <w:rFonts w:ascii="Times New Roman" w:hAnsi="Times New Roman" w:cs="Times New Roman"/>
          <w:sz w:val="24"/>
          <w:szCs w:val="24"/>
        </w:rPr>
        <w:t xml:space="preserve">and </w:t>
      </w:r>
      <w:proofErr w:type="spellStart"/>
      <w:r w:rsidRPr="00573D1B">
        <w:rPr>
          <w:rFonts w:ascii="Times New Roman" w:hAnsi="Times New Roman" w:cs="Times New Roman"/>
          <w:sz w:val="24"/>
          <w:szCs w:val="24"/>
        </w:rPr>
        <w:t>cointegrated</w:t>
      </w:r>
      <w:proofErr w:type="spellEnd"/>
      <w:r w:rsidR="00335519">
        <w:rPr>
          <w:rFonts w:ascii="Times New Roman" w:hAnsi="Times New Roman" w:cs="Times New Roman"/>
          <w:sz w:val="24"/>
          <w:szCs w:val="24"/>
        </w:rPr>
        <w:t xml:space="preserve"> (tables 21 and 22)</w:t>
      </w:r>
      <w:r w:rsidRPr="00573D1B">
        <w:rPr>
          <w:rFonts w:ascii="Times New Roman" w:hAnsi="Times New Roman" w:cs="Times New Roman"/>
          <w:sz w:val="24"/>
          <w:szCs w:val="24"/>
        </w:rPr>
        <w:t xml:space="preserve">. Especially for the </w:t>
      </w:r>
      <w:proofErr w:type="spellStart"/>
      <w:r w:rsidRPr="00573D1B">
        <w:rPr>
          <w:rFonts w:ascii="Times New Roman" w:hAnsi="Times New Roman" w:cs="Times New Roman"/>
          <w:sz w:val="24"/>
          <w:szCs w:val="24"/>
        </w:rPr>
        <w:t>cointeg</w:t>
      </w:r>
      <w:r w:rsidR="00D16489">
        <w:rPr>
          <w:rFonts w:ascii="Times New Roman" w:hAnsi="Times New Roman" w:cs="Times New Roman"/>
          <w:sz w:val="24"/>
          <w:szCs w:val="24"/>
        </w:rPr>
        <w:t>ration</w:t>
      </w:r>
      <w:proofErr w:type="spellEnd"/>
      <w:r w:rsidR="00D16489">
        <w:rPr>
          <w:rFonts w:ascii="Times New Roman" w:hAnsi="Times New Roman" w:cs="Times New Roman"/>
          <w:sz w:val="24"/>
          <w:szCs w:val="24"/>
        </w:rPr>
        <w:t xml:space="preserve"> test we </w:t>
      </w:r>
      <w:r w:rsidR="00335519">
        <w:rPr>
          <w:rFonts w:ascii="Times New Roman" w:hAnsi="Times New Roman" w:cs="Times New Roman"/>
          <w:sz w:val="24"/>
          <w:szCs w:val="24"/>
        </w:rPr>
        <w:t>revealed</w:t>
      </w:r>
      <w:r w:rsidRPr="00573D1B">
        <w:rPr>
          <w:rFonts w:ascii="Times New Roman" w:hAnsi="Times New Roman" w:cs="Times New Roman"/>
          <w:sz w:val="24"/>
          <w:szCs w:val="24"/>
        </w:rPr>
        <w:t xml:space="preserve"> that the </w:t>
      </w:r>
      <w:proofErr w:type="spellStart"/>
      <w:r w:rsidRPr="00573D1B">
        <w:rPr>
          <w:rFonts w:ascii="Times New Roman" w:hAnsi="Times New Roman" w:cs="Times New Roman"/>
          <w:sz w:val="24"/>
          <w:szCs w:val="24"/>
        </w:rPr>
        <w:t>cointegration</w:t>
      </w:r>
      <w:proofErr w:type="spellEnd"/>
      <w:r w:rsidRPr="00573D1B">
        <w:rPr>
          <w:rFonts w:ascii="Times New Roman" w:hAnsi="Times New Roman" w:cs="Times New Roman"/>
          <w:sz w:val="24"/>
          <w:szCs w:val="24"/>
        </w:rPr>
        <w:t xml:space="preserve"> is less potent when we exclude the private consumption </w:t>
      </w:r>
      <w:r w:rsidR="00335519">
        <w:rPr>
          <w:rFonts w:ascii="Times New Roman" w:hAnsi="Times New Roman" w:cs="Times New Roman"/>
          <w:sz w:val="24"/>
          <w:szCs w:val="24"/>
        </w:rPr>
        <w:t xml:space="preserve">variable </w:t>
      </w:r>
      <w:r w:rsidRPr="00573D1B">
        <w:rPr>
          <w:rFonts w:ascii="Times New Roman" w:hAnsi="Times New Roman" w:cs="Times New Roman"/>
          <w:sz w:val="24"/>
          <w:szCs w:val="24"/>
        </w:rPr>
        <w:t xml:space="preserve">from the </w:t>
      </w:r>
      <w:proofErr w:type="spellStart"/>
      <w:r w:rsidRPr="00573D1B">
        <w:rPr>
          <w:rFonts w:ascii="Times New Roman" w:hAnsi="Times New Roman" w:cs="Times New Roman"/>
          <w:sz w:val="24"/>
          <w:szCs w:val="24"/>
        </w:rPr>
        <w:t>cointegration</w:t>
      </w:r>
      <w:proofErr w:type="spellEnd"/>
      <w:r w:rsidRPr="00573D1B">
        <w:rPr>
          <w:rFonts w:ascii="Times New Roman" w:hAnsi="Times New Roman" w:cs="Times New Roman"/>
          <w:sz w:val="24"/>
          <w:szCs w:val="24"/>
        </w:rPr>
        <w:t xml:space="preserve"> test. This </w:t>
      </w:r>
      <w:r w:rsidR="00335519">
        <w:rPr>
          <w:rFonts w:ascii="Times New Roman" w:hAnsi="Times New Roman" w:cs="Times New Roman"/>
          <w:sz w:val="24"/>
          <w:szCs w:val="24"/>
        </w:rPr>
        <w:t>also holds true in</w:t>
      </w:r>
      <w:r w:rsidRPr="00573D1B">
        <w:rPr>
          <w:rFonts w:ascii="Times New Roman" w:hAnsi="Times New Roman" w:cs="Times New Roman"/>
          <w:sz w:val="24"/>
          <w:szCs w:val="24"/>
        </w:rPr>
        <w:t xml:space="preserve"> the case that we incorporate the government expenditure variable in our analysis.</w:t>
      </w:r>
      <w:r w:rsidR="00335519">
        <w:rPr>
          <w:rFonts w:ascii="Times New Roman" w:hAnsi="Times New Roman" w:cs="Times New Roman"/>
          <w:sz w:val="24"/>
          <w:szCs w:val="24"/>
        </w:rPr>
        <w:t xml:space="preserve"> In the tables</w:t>
      </w:r>
      <w:r w:rsidRPr="00573D1B">
        <w:rPr>
          <w:rFonts w:ascii="Times New Roman" w:hAnsi="Times New Roman" w:cs="Times New Roman"/>
          <w:sz w:val="24"/>
          <w:szCs w:val="24"/>
        </w:rPr>
        <w:t xml:space="preserve"> </w:t>
      </w:r>
      <w:r w:rsidR="00335519">
        <w:rPr>
          <w:rFonts w:ascii="Times New Roman" w:hAnsi="Times New Roman" w:cs="Times New Roman"/>
          <w:sz w:val="24"/>
          <w:szCs w:val="24"/>
        </w:rPr>
        <w:t xml:space="preserve">below </w:t>
      </w:r>
      <w:r w:rsidRPr="00573D1B">
        <w:rPr>
          <w:rFonts w:ascii="Times New Roman" w:hAnsi="Times New Roman" w:cs="Times New Roman"/>
          <w:sz w:val="24"/>
          <w:szCs w:val="24"/>
        </w:rPr>
        <w:t xml:space="preserve">we can observe the results from the </w:t>
      </w:r>
      <w:proofErr w:type="spellStart"/>
      <w:r w:rsidRPr="00573D1B">
        <w:rPr>
          <w:rFonts w:ascii="Times New Roman" w:hAnsi="Times New Roman" w:cs="Times New Roman"/>
          <w:sz w:val="24"/>
          <w:szCs w:val="24"/>
        </w:rPr>
        <w:t>stationarity</w:t>
      </w:r>
      <w:proofErr w:type="spellEnd"/>
      <w:r w:rsidR="00335519">
        <w:rPr>
          <w:rFonts w:ascii="Times New Roman" w:hAnsi="Times New Roman" w:cs="Times New Roman"/>
          <w:sz w:val="24"/>
          <w:szCs w:val="24"/>
        </w:rPr>
        <w:t xml:space="preserve"> and </w:t>
      </w:r>
      <w:proofErr w:type="spellStart"/>
      <w:r w:rsidR="00335519">
        <w:rPr>
          <w:rFonts w:ascii="Times New Roman" w:hAnsi="Times New Roman" w:cs="Times New Roman"/>
          <w:sz w:val="24"/>
          <w:szCs w:val="24"/>
        </w:rPr>
        <w:t>cointegration</w:t>
      </w:r>
      <w:proofErr w:type="spellEnd"/>
      <w:r w:rsidR="00335519">
        <w:rPr>
          <w:rFonts w:ascii="Times New Roman" w:hAnsi="Times New Roman" w:cs="Times New Roman"/>
          <w:sz w:val="24"/>
          <w:szCs w:val="24"/>
        </w:rPr>
        <w:t xml:space="preserve"> tests for</w:t>
      </w:r>
      <w:r w:rsidRPr="00573D1B">
        <w:rPr>
          <w:rFonts w:ascii="Times New Roman" w:hAnsi="Times New Roman" w:cs="Times New Roman"/>
          <w:sz w:val="24"/>
          <w:szCs w:val="24"/>
        </w:rPr>
        <w:t xml:space="preserve"> both cases.  </w:t>
      </w:r>
    </w:p>
    <w:p w:rsidR="00335519" w:rsidRPr="00335519" w:rsidRDefault="00335519" w:rsidP="004A1EFF">
      <w:pPr>
        <w:jc w:val="both"/>
        <w:rPr>
          <w:rFonts w:ascii="Times New Roman" w:hAnsi="Times New Roman" w:cs="Times New Roman"/>
          <w:sz w:val="24"/>
          <w:szCs w:val="24"/>
        </w:rPr>
      </w:pPr>
    </w:p>
    <w:p w:rsidR="004A1EFF" w:rsidRPr="00335519" w:rsidRDefault="00335519" w:rsidP="00335519">
      <w:pPr>
        <w:jc w:val="center"/>
        <w:rPr>
          <w:rFonts w:ascii="Times New Roman" w:hAnsi="Times New Roman" w:cs="Times New Roman"/>
          <w:sz w:val="24"/>
          <w:szCs w:val="24"/>
        </w:rPr>
      </w:pPr>
      <w:r>
        <w:rPr>
          <w:rFonts w:ascii="Times New Roman" w:hAnsi="Times New Roman" w:cs="Times New Roman"/>
          <w:sz w:val="24"/>
          <w:szCs w:val="24"/>
        </w:rPr>
        <w:t>Table 19 – Panel unit root tests for the basic equation</w:t>
      </w:r>
    </w:p>
    <w:tbl>
      <w:tblPr>
        <w:tblStyle w:val="aa"/>
        <w:tblW w:w="0" w:type="auto"/>
        <w:jc w:val="center"/>
        <w:tblLook w:val="04A0"/>
      </w:tblPr>
      <w:tblGrid>
        <w:gridCol w:w="2267"/>
        <w:gridCol w:w="2619"/>
        <w:gridCol w:w="2353"/>
      </w:tblGrid>
      <w:tr w:rsidR="004A1EFF" w:rsidTr="004A1EFF">
        <w:trPr>
          <w:jc w:val="center"/>
        </w:trPr>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Panel Unit Root Estimates / Basic Equation</w:t>
            </w:r>
          </w:p>
        </w:tc>
      </w:tr>
      <w:tr w:rsidR="004A1EFF" w:rsidTr="004A1EFF">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Variables</w:t>
            </w:r>
          </w:p>
        </w:tc>
        <w:tc>
          <w:tcPr>
            <w:tcW w:w="0" w:type="auto"/>
            <w:gridSpan w:val="2"/>
            <w:tcBorders>
              <w:top w:val="single" w:sz="4" w:space="0" w:color="auto"/>
              <w:left w:val="single" w:sz="4" w:space="0" w:color="auto"/>
              <w:bottom w:val="single" w:sz="4" w:space="0" w:color="auto"/>
              <w:right w:val="single" w:sz="4" w:space="0" w:color="auto"/>
            </w:tcBorders>
            <w:hideMark/>
          </w:tcPr>
          <w:p w:rsidR="004A1EFF" w:rsidRDefault="004A1EFF">
            <w:pPr>
              <w:jc w:val="center"/>
            </w:pPr>
            <w:r>
              <w:t>Tests</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roofErr w:type="spellStart"/>
            <w:r>
              <w:t>Im</w:t>
            </w:r>
            <w:proofErr w:type="spellEnd"/>
            <w:r>
              <w:t xml:space="preserve">, </w:t>
            </w:r>
            <w:proofErr w:type="spellStart"/>
            <w:r>
              <w:t>Pesaran</w:t>
            </w:r>
            <w:proofErr w:type="spellEnd"/>
            <w:r>
              <w:t xml:space="preserve"> &amp; Shin W-Stat.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 Fisher Chi-Square</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Consumption / c</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4.4946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3.0907</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Disposable Income / Y</w:t>
            </w:r>
            <w:r>
              <w:rPr>
                <w:vertAlign w:val="superscript"/>
              </w:rPr>
              <w:t>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5.1915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2.0660</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Stock Price / w</w:t>
            </w:r>
            <w:r>
              <w:rPr>
                <w:vertAlign w:val="superscript"/>
              </w:rPr>
              <w:t>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-1.6876</w:t>
            </w:r>
            <w:r>
              <w:rPr>
                <w:vertAlign w:val="superscript"/>
              </w:rPr>
              <w: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26.2938</w:t>
            </w:r>
            <w:r>
              <w:rPr>
                <w:vertAlign w:val="superscript"/>
              </w:rPr>
              <w:t>*</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 xml:space="preserve">House Price / </w:t>
            </w:r>
            <w:proofErr w:type="spellStart"/>
            <w:r>
              <w:t>w</w:t>
            </w:r>
            <w:r>
              <w:rPr>
                <w:vertAlign w:val="superscript"/>
              </w:rPr>
              <w:t>h</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-0.2446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20.4339</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Government Debt / 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1.8824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7.4729</w:t>
            </w:r>
          </w:p>
        </w:tc>
      </w:tr>
    </w:tbl>
    <w:p w:rsidR="004A1EFF" w:rsidRDefault="004A1EFF" w:rsidP="004A1EFF">
      <w:pPr>
        <w:jc w:val="center"/>
        <w:rPr>
          <w:sz w:val="18"/>
          <w:szCs w:val="18"/>
        </w:rPr>
      </w:pPr>
      <w:r>
        <w:rPr>
          <w:sz w:val="18"/>
          <w:szCs w:val="18"/>
        </w:rPr>
        <w:t>Notation ***</w:t>
      </w:r>
      <w:proofErr w:type="gramStart"/>
      <w:r>
        <w:rPr>
          <w:sz w:val="18"/>
          <w:szCs w:val="18"/>
        </w:rPr>
        <w:t>,*</w:t>
      </w:r>
      <w:proofErr w:type="gramEnd"/>
      <w:r>
        <w:rPr>
          <w:sz w:val="18"/>
          <w:szCs w:val="18"/>
        </w:rPr>
        <w:t>* and * denotes 1%, 5% and 10% level of statistical significance.</w:t>
      </w:r>
    </w:p>
    <w:p w:rsidR="00335519" w:rsidRPr="00335519" w:rsidRDefault="00335519" w:rsidP="00335519">
      <w:pPr>
        <w:jc w:val="center"/>
        <w:rPr>
          <w:rFonts w:ascii="Times New Roman" w:hAnsi="Times New Roman" w:cs="Times New Roman"/>
          <w:sz w:val="24"/>
          <w:szCs w:val="24"/>
        </w:rPr>
      </w:pPr>
      <w:r>
        <w:rPr>
          <w:rFonts w:ascii="Times New Roman" w:hAnsi="Times New Roman" w:cs="Times New Roman"/>
          <w:sz w:val="24"/>
          <w:szCs w:val="24"/>
        </w:rPr>
        <w:t>Table 20 – Panel unit root tests for the extended equation including also the government expenditures variable</w:t>
      </w:r>
    </w:p>
    <w:tbl>
      <w:tblPr>
        <w:tblStyle w:val="aa"/>
        <w:tblW w:w="0" w:type="auto"/>
        <w:jc w:val="center"/>
        <w:tblLook w:val="04A0"/>
      </w:tblPr>
      <w:tblGrid>
        <w:gridCol w:w="2856"/>
        <w:gridCol w:w="2619"/>
        <w:gridCol w:w="2353"/>
      </w:tblGrid>
      <w:tr w:rsidR="004A1EFF" w:rsidTr="004A1EFF">
        <w:trPr>
          <w:jc w:val="center"/>
        </w:trPr>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Panel Unit Root Estimates / Extended Equation (including g)</w:t>
            </w:r>
          </w:p>
        </w:tc>
      </w:tr>
      <w:tr w:rsidR="004A1EFF" w:rsidTr="004A1EFF">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Variables</w:t>
            </w:r>
          </w:p>
        </w:tc>
        <w:tc>
          <w:tcPr>
            <w:tcW w:w="0" w:type="auto"/>
            <w:gridSpan w:val="2"/>
            <w:tcBorders>
              <w:top w:val="single" w:sz="4" w:space="0" w:color="auto"/>
              <w:left w:val="single" w:sz="4" w:space="0" w:color="auto"/>
              <w:bottom w:val="single" w:sz="4" w:space="0" w:color="auto"/>
              <w:right w:val="single" w:sz="4" w:space="0" w:color="auto"/>
            </w:tcBorders>
            <w:hideMark/>
          </w:tcPr>
          <w:p w:rsidR="004A1EFF" w:rsidRDefault="004A1EFF">
            <w:pPr>
              <w:jc w:val="center"/>
            </w:pPr>
            <w:r>
              <w:t>Test</w:t>
            </w:r>
          </w:p>
        </w:tc>
      </w:tr>
      <w:tr w:rsidR="004A1EFF" w:rsidTr="004A1EF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roofErr w:type="spellStart"/>
            <w:r>
              <w:t>Im</w:t>
            </w:r>
            <w:proofErr w:type="spellEnd"/>
            <w:r>
              <w:t xml:space="preserve">, </w:t>
            </w:r>
            <w:proofErr w:type="spellStart"/>
            <w:r>
              <w:t>Pesaran</w:t>
            </w:r>
            <w:proofErr w:type="spellEnd"/>
            <w:r>
              <w:t xml:space="preserve"> &amp; Shin W-Stat.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 Fisher Chi-Square</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Consumption / c</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4.4946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3.0907</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Disposable Income / Y</w:t>
            </w:r>
            <w:r>
              <w:rPr>
                <w:vertAlign w:val="superscript"/>
              </w:rPr>
              <w:t>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5.1915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2.0660</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Stock Price / w</w:t>
            </w:r>
            <w:r>
              <w:rPr>
                <w:vertAlign w:val="superscript"/>
              </w:rPr>
              <w:t>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-1.6876</w:t>
            </w:r>
            <w:r>
              <w:rPr>
                <w:vertAlign w:val="superscript"/>
              </w:rPr>
              <w: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26.2938</w:t>
            </w:r>
            <w:r>
              <w:rPr>
                <w:vertAlign w:val="superscript"/>
              </w:rPr>
              <w:t>*</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 xml:space="preserve">House Price / </w:t>
            </w:r>
            <w:proofErr w:type="spellStart"/>
            <w:r>
              <w:t>w</w:t>
            </w:r>
            <w:r>
              <w:rPr>
                <w:vertAlign w:val="superscript"/>
              </w:rPr>
              <w:t>h</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-0.2446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20.4339</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Government Debt / 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1.8824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7.4729</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Government Expenditures / g</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3.6068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4.7517</w:t>
            </w:r>
          </w:p>
        </w:tc>
      </w:tr>
    </w:tbl>
    <w:p w:rsidR="004A1EFF" w:rsidRDefault="004A1EFF" w:rsidP="004A1EFF">
      <w:pPr>
        <w:jc w:val="center"/>
        <w:rPr>
          <w:sz w:val="18"/>
          <w:szCs w:val="18"/>
        </w:rPr>
      </w:pPr>
      <w:r>
        <w:rPr>
          <w:sz w:val="18"/>
          <w:szCs w:val="18"/>
        </w:rPr>
        <w:t>Notation ***</w:t>
      </w:r>
      <w:proofErr w:type="gramStart"/>
      <w:r>
        <w:rPr>
          <w:sz w:val="18"/>
          <w:szCs w:val="18"/>
        </w:rPr>
        <w:t>,*</w:t>
      </w:r>
      <w:proofErr w:type="gramEnd"/>
      <w:r>
        <w:rPr>
          <w:sz w:val="18"/>
          <w:szCs w:val="18"/>
        </w:rPr>
        <w:t>* and * denotes 1%, 5% and 10% level of statistical significance.</w:t>
      </w:r>
    </w:p>
    <w:p w:rsidR="004A1EFF" w:rsidRPr="00335519" w:rsidRDefault="00335519" w:rsidP="00335519">
      <w:pPr>
        <w:jc w:val="center"/>
        <w:rPr>
          <w:rFonts w:ascii="Times New Roman" w:hAnsi="Times New Roman" w:cs="Times New Roman"/>
          <w:sz w:val="24"/>
          <w:szCs w:val="24"/>
        </w:rPr>
      </w:pPr>
      <w:r>
        <w:rPr>
          <w:rFonts w:ascii="Times New Roman" w:hAnsi="Times New Roman" w:cs="Times New Roman"/>
          <w:sz w:val="24"/>
          <w:szCs w:val="24"/>
        </w:rPr>
        <w:t xml:space="preserve">Table 21- Panel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 Group ADF test – for the basic equation </w:t>
      </w:r>
    </w:p>
    <w:tbl>
      <w:tblPr>
        <w:tblStyle w:val="aa"/>
        <w:tblW w:w="5956" w:type="dxa"/>
        <w:jc w:val="center"/>
        <w:tblInd w:w="-570" w:type="dxa"/>
        <w:tblLook w:val="04A0"/>
      </w:tblPr>
      <w:tblGrid>
        <w:gridCol w:w="4230"/>
        <w:gridCol w:w="1726"/>
      </w:tblGrid>
      <w:tr w:rsidR="004A1EFF" w:rsidTr="004A1EFF">
        <w:trPr>
          <w:trHeight w:val="263"/>
          <w:jc w:val="center"/>
        </w:trPr>
        <w:tc>
          <w:tcPr>
            <w:tcW w:w="0" w:type="auto"/>
            <w:gridSpan w:val="2"/>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Panel </w:t>
            </w:r>
            <w:proofErr w:type="spellStart"/>
            <w:r>
              <w:t>Cointegration</w:t>
            </w:r>
            <w:proofErr w:type="spellEnd"/>
            <w:r>
              <w:t xml:space="preserve"> - Group ADF test - Basic Equation</w:t>
            </w:r>
          </w:p>
        </w:tc>
      </w:tr>
      <w:tr w:rsidR="004A1EFF" w:rsidTr="004A1EFF">
        <w:trPr>
          <w:trHeight w:val="249"/>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lastRenderedPageBreak/>
              <w:t>Variables</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-1.5956</w:t>
            </w:r>
            <w:r>
              <w:rPr>
                <w:vertAlign w:val="superscript"/>
              </w:rPr>
              <w:t>*</w:t>
            </w:r>
          </w:p>
        </w:tc>
      </w:tr>
      <w:tr w:rsidR="004A1EFF" w:rsidTr="004A1EFF">
        <w:trPr>
          <w:trHeight w:val="249"/>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Consumption / 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63"/>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Disposable Income / y</w:t>
            </w:r>
            <w:r>
              <w:rPr>
                <w:vertAlign w:val="superscript"/>
              </w:rPr>
              <w:t>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49"/>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Stock Price / w</w:t>
            </w:r>
            <w:r>
              <w:rPr>
                <w:vertAlign w:val="superscript"/>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63"/>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 xml:space="preserve">House Price / </w:t>
            </w:r>
            <w:proofErr w:type="spellStart"/>
            <w:r>
              <w:t>w</w:t>
            </w:r>
            <w:r>
              <w:rPr>
                <w:vertAlign w:val="superscript"/>
              </w:rPr>
              <w:t>h</w:t>
            </w:r>
            <w:proofErr w:type="spellEnd"/>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49"/>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Government Debt / 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63"/>
          <w:jc w:val="center"/>
        </w:trPr>
        <w:tc>
          <w:tcPr>
            <w:tcW w:w="0" w:type="auto"/>
            <w:gridSpan w:val="2"/>
            <w:tcBorders>
              <w:top w:val="single" w:sz="4" w:space="0" w:color="auto"/>
              <w:left w:val="single" w:sz="4" w:space="0" w:color="auto"/>
              <w:bottom w:val="single" w:sz="4" w:space="0" w:color="auto"/>
              <w:right w:val="single" w:sz="4" w:space="0" w:color="auto"/>
            </w:tcBorders>
            <w:hideMark/>
          </w:tcPr>
          <w:p w:rsidR="004A1EFF" w:rsidRDefault="004A1EFF">
            <w:pPr>
              <w:jc w:val="center"/>
            </w:pPr>
            <w:r>
              <w:t>Excluding Private Consumption variable</w:t>
            </w:r>
          </w:p>
        </w:tc>
      </w:tr>
      <w:tr w:rsidR="004A1EFF" w:rsidTr="004A1EFF">
        <w:trPr>
          <w:trHeight w:val="249"/>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Variables</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-0.9611</w:t>
            </w:r>
          </w:p>
        </w:tc>
      </w:tr>
      <w:tr w:rsidR="004A1EFF" w:rsidTr="004A1EFF">
        <w:trPr>
          <w:trHeight w:val="249"/>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Disposable Income / y</w:t>
            </w:r>
            <w:r>
              <w:rPr>
                <w:vertAlign w:val="superscript"/>
              </w:rPr>
              <w:t>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63"/>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Stock Price / w</w:t>
            </w:r>
            <w:r>
              <w:rPr>
                <w:vertAlign w:val="superscript"/>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49"/>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 xml:space="preserve">House Price / </w:t>
            </w:r>
            <w:proofErr w:type="spellStart"/>
            <w:r>
              <w:t>w</w:t>
            </w:r>
            <w:r>
              <w:rPr>
                <w:vertAlign w:val="superscript"/>
              </w:rPr>
              <w:t>h</w:t>
            </w:r>
            <w:proofErr w:type="spellEnd"/>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63"/>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Government debt / 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bl>
    <w:p w:rsidR="004A1EFF" w:rsidRPr="002149EC" w:rsidRDefault="004A1EFF" w:rsidP="002149EC">
      <w:pPr>
        <w:jc w:val="center"/>
        <w:rPr>
          <w:sz w:val="18"/>
          <w:szCs w:val="18"/>
        </w:rPr>
      </w:pPr>
      <w:r>
        <w:rPr>
          <w:sz w:val="18"/>
          <w:szCs w:val="18"/>
        </w:rPr>
        <w:t>Notation ***</w:t>
      </w:r>
      <w:proofErr w:type="gramStart"/>
      <w:r>
        <w:rPr>
          <w:sz w:val="18"/>
          <w:szCs w:val="18"/>
        </w:rPr>
        <w:t>,*</w:t>
      </w:r>
      <w:proofErr w:type="gramEnd"/>
      <w:r>
        <w:rPr>
          <w:sz w:val="18"/>
          <w:szCs w:val="18"/>
        </w:rPr>
        <w:t>* and * denotes 1%, 5% and 10% level of statistical significance.</w:t>
      </w:r>
    </w:p>
    <w:p w:rsidR="009203C7" w:rsidRDefault="009203C7" w:rsidP="009203C7">
      <w:pPr>
        <w:jc w:val="center"/>
        <w:rPr>
          <w:rFonts w:ascii="Times New Roman" w:hAnsi="Times New Roman" w:cs="Times New Roman"/>
          <w:sz w:val="24"/>
          <w:szCs w:val="24"/>
        </w:rPr>
      </w:pPr>
    </w:p>
    <w:p w:rsidR="009203C7" w:rsidRDefault="009203C7" w:rsidP="009203C7">
      <w:pPr>
        <w:jc w:val="center"/>
        <w:rPr>
          <w:rFonts w:ascii="Times New Roman" w:hAnsi="Times New Roman" w:cs="Times New Roman"/>
          <w:sz w:val="24"/>
          <w:szCs w:val="24"/>
        </w:rPr>
      </w:pPr>
    </w:p>
    <w:p w:rsidR="004A1EFF" w:rsidRPr="009203C7" w:rsidRDefault="009203C7" w:rsidP="009203C7">
      <w:pPr>
        <w:jc w:val="center"/>
        <w:rPr>
          <w:rFonts w:ascii="Times New Roman" w:hAnsi="Times New Roman" w:cs="Times New Roman"/>
          <w:sz w:val="24"/>
          <w:szCs w:val="24"/>
        </w:rPr>
      </w:pPr>
      <w:r>
        <w:rPr>
          <w:rFonts w:ascii="Times New Roman" w:hAnsi="Times New Roman" w:cs="Times New Roman"/>
          <w:sz w:val="24"/>
          <w:szCs w:val="24"/>
        </w:rPr>
        <w:t xml:space="preserve">Table 22- Panel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 Group ADF test – for the extended equation including also the government expenditures variable </w:t>
      </w:r>
    </w:p>
    <w:tbl>
      <w:tblPr>
        <w:tblStyle w:val="aa"/>
        <w:tblW w:w="6511" w:type="dxa"/>
        <w:jc w:val="center"/>
        <w:tblLook w:val="04A0"/>
      </w:tblPr>
      <w:tblGrid>
        <w:gridCol w:w="4692"/>
        <w:gridCol w:w="1819"/>
      </w:tblGrid>
      <w:tr w:rsidR="004A1EFF" w:rsidTr="004A1EFF">
        <w:trPr>
          <w:trHeight w:val="226"/>
          <w:jc w:val="center"/>
        </w:trPr>
        <w:tc>
          <w:tcPr>
            <w:tcW w:w="0" w:type="auto"/>
            <w:gridSpan w:val="2"/>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Panel </w:t>
            </w:r>
            <w:proofErr w:type="spellStart"/>
            <w:r>
              <w:t>Cointegration</w:t>
            </w:r>
            <w:proofErr w:type="spellEnd"/>
            <w:r>
              <w:t xml:space="preserve"> - Group ADF test - Extended Equation (including g)</w:t>
            </w:r>
          </w:p>
        </w:tc>
      </w:tr>
      <w:tr w:rsidR="004A1EFF" w:rsidTr="004A1EFF">
        <w:trPr>
          <w:trHeight w:val="226"/>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Variables</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-3.7068</w:t>
            </w:r>
            <w:r>
              <w:rPr>
                <w:vertAlign w:val="superscript"/>
              </w:rPr>
              <w:t>***</w:t>
            </w:r>
          </w:p>
        </w:tc>
      </w:tr>
      <w:tr w:rsidR="004A1EFF" w:rsidTr="004A1EFF">
        <w:trPr>
          <w:trHeight w:val="226"/>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Consumption / 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13"/>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Disposable Income / y</w:t>
            </w:r>
            <w:r>
              <w:rPr>
                <w:vertAlign w:val="superscript"/>
              </w:rPr>
              <w:t>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26"/>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Stock Price / w</w:t>
            </w:r>
            <w:r>
              <w:rPr>
                <w:vertAlign w:val="superscript"/>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13"/>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 xml:space="preserve">House Price / </w:t>
            </w:r>
            <w:proofErr w:type="spellStart"/>
            <w:r>
              <w:t>w</w:t>
            </w:r>
            <w:r>
              <w:rPr>
                <w:vertAlign w:val="superscript"/>
              </w:rPr>
              <w:t>h</w:t>
            </w:r>
            <w:proofErr w:type="spellEnd"/>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26"/>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Government Debt / 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13"/>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Government Expenditures / 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26"/>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A1EFF" w:rsidRDefault="004A1EFF">
            <w:pPr>
              <w:jc w:val="center"/>
            </w:pPr>
            <w:r>
              <w:t>Excluding  Private Consumption variable</w:t>
            </w:r>
          </w:p>
        </w:tc>
      </w:tr>
      <w:tr w:rsidR="004A1EFF" w:rsidTr="004A1EFF">
        <w:trPr>
          <w:trHeight w:val="226"/>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Variables</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-2.1241</w:t>
            </w:r>
            <w:r>
              <w:rPr>
                <w:vertAlign w:val="superscript"/>
              </w:rPr>
              <w:t>**</w:t>
            </w:r>
          </w:p>
        </w:tc>
      </w:tr>
      <w:tr w:rsidR="004A1EFF" w:rsidTr="004A1EFF">
        <w:trPr>
          <w:trHeight w:val="213"/>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Disposable Income / y</w:t>
            </w:r>
            <w:r>
              <w:rPr>
                <w:vertAlign w:val="superscript"/>
              </w:rPr>
              <w:t>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26"/>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Stock Price / w</w:t>
            </w:r>
            <w:r>
              <w:rPr>
                <w:vertAlign w:val="superscript"/>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13"/>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 xml:space="preserve">House Price / </w:t>
            </w:r>
            <w:proofErr w:type="spellStart"/>
            <w:r>
              <w:t>w</w:t>
            </w:r>
            <w:r>
              <w:rPr>
                <w:vertAlign w:val="superscript"/>
              </w:rPr>
              <w:t>h</w:t>
            </w:r>
            <w:proofErr w:type="spellEnd"/>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26"/>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Government Debt / 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r w:rsidR="004A1EFF" w:rsidTr="004A1EFF">
        <w:trPr>
          <w:trHeight w:val="226"/>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Government Expenditures / 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pPr>
              <w:rPr>
                <w:vertAlign w:val="superscript"/>
                <w:lang w:val="nl-NL"/>
              </w:rPr>
            </w:pPr>
          </w:p>
        </w:tc>
      </w:tr>
    </w:tbl>
    <w:p w:rsidR="004A1EFF" w:rsidRDefault="004A1EFF" w:rsidP="004A1EFF">
      <w:pPr>
        <w:jc w:val="center"/>
        <w:rPr>
          <w:sz w:val="18"/>
          <w:szCs w:val="18"/>
        </w:rPr>
      </w:pPr>
      <w:r>
        <w:rPr>
          <w:sz w:val="18"/>
          <w:szCs w:val="18"/>
        </w:rPr>
        <w:t>Notation ***</w:t>
      </w:r>
      <w:proofErr w:type="gramStart"/>
      <w:r>
        <w:rPr>
          <w:sz w:val="18"/>
          <w:szCs w:val="18"/>
        </w:rPr>
        <w:t>,*</w:t>
      </w:r>
      <w:proofErr w:type="gramEnd"/>
      <w:r>
        <w:rPr>
          <w:sz w:val="18"/>
          <w:szCs w:val="18"/>
        </w:rPr>
        <w:t>* and * denotes 1%, 5% and 10% level of statistical significance.</w:t>
      </w:r>
    </w:p>
    <w:p w:rsidR="009203C7" w:rsidRPr="00037D78" w:rsidRDefault="009203C7" w:rsidP="009203C7">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We will proceed in our main analysis estimating both the basic and th</w:t>
      </w:r>
      <w:r w:rsidR="002819D4">
        <w:rPr>
          <w:rFonts w:ascii="Times New Roman" w:eastAsiaTheme="minorEastAsia" w:hAnsi="Times New Roman" w:cs="Times New Roman"/>
          <w:sz w:val="24"/>
          <w:szCs w:val="24"/>
        </w:rPr>
        <w:t xml:space="preserve">e extended consumption function in a panel data framework </w:t>
      </w:r>
      <w:r w:rsidR="00235F3D">
        <w:rPr>
          <w:rFonts w:ascii="Times New Roman" w:eastAsiaTheme="minorEastAsia" w:hAnsi="Times New Roman" w:cs="Times New Roman"/>
          <w:sz w:val="24"/>
          <w:szCs w:val="24"/>
        </w:rPr>
        <w:t>for three groups of countries</w:t>
      </w:r>
      <w:r w:rsidR="00235F3D">
        <w:rPr>
          <w:rStyle w:val="a8"/>
          <w:rFonts w:ascii="Times New Roman" w:eastAsiaTheme="minorEastAsia" w:hAnsi="Times New Roman" w:cs="Times New Roman"/>
          <w:sz w:val="24"/>
          <w:szCs w:val="24"/>
        </w:rPr>
        <w:footnoteReference w:id="52"/>
      </w:r>
      <w:r w:rsidR="00235F3D">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in order </w:t>
      </w:r>
      <w:r w:rsidR="002819D4">
        <w:rPr>
          <w:rFonts w:ascii="Times New Roman" w:eastAsiaTheme="minorEastAsia" w:hAnsi="Times New Roman" w:cs="Times New Roman"/>
          <w:sz w:val="24"/>
          <w:szCs w:val="24"/>
        </w:rPr>
        <w:t xml:space="preserve">to study the long run effects of the explanatory variables on private consumption. This approach allows us to investigate the long run effects and </w:t>
      </w:r>
      <w:r w:rsidR="00235F3D">
        <w:rPr>
          <w:rFonts w:ascii="Times New Roman" w:eastAsiaTheme="minorEastAsia" w:hAnsi="Times New Roman" w:cs="Times New Roman"/>
          <w:sz w:val="24"/>
          <w:szCs w:val="24"/>
        </w:rPr>
        <w:t>more interestingly</w:t>
      </w:r>
      <w:r w:rsidR="002819D4">
        <w:rPr>
          <w:rFonts w:ascii="Times New Roman" w:eastAsiaTheme="minorEastAsia" w:hAnsi="Times New Roman" w:cs="Times New Roman"/>
          <w:sz w:val="24"/>
          <w:szCs w:val="24"/>
        </w:rPr>
        <w:t xml:space="preserve"> the impact of government debt </w:t>
      </w:r>
      <w:r w:rsidR="00235F3D">
        <w:rPr>
          <w:rFonts w:ascii="Times New Roman" w:eastAsiaTheme="minorEastAsia" w:hAnsi="Times New Roman" w:cs="Times New Roman"/>
          <w:sz w:val="24"/>
          <w:szCs w:val="24"/>
        </w:rPr>
        <w:t xml:space="preserve">on private consumption </w:t>
      </w:r>
      <w:r w:rsidR="002819D4">
        <w:rPr>
          <w:rFonts w:ascii="Times New Roman" w:eastAsiaTheme="minorEastAsia" w:hAnsi="Times New Roman" w:cs="Times New Roman"/>
          <w:sz w:val="24"/>
          <w:szCs w:val="24"/>
        </w:rPr>
        <w:t xml:space="preserve">for different levels </w:t>
      </w:r>
      <w:r w:rsidR="00235F3D">
        <w:rPr>
          <w:rFonts w:ascii="Times New Roman" w:eastAsiaTheme="minorEastAsia" w:hAnsi="Times New Roman" w:cs="Times New Roman"/>
          <w:sz w:val="24"/>
          <w:szCs w:val="24"/>
        </w:rPr>
        <w:t xml:space="preserve">of </w:t>
      </w:r>
      <w:r w:rsidR="002819D4">
        <w:rPr>
          <w:rFonts w:ascii="Times New Roman" w:eastAsiaTheme="minorEastAsia" w:hAnsi="Times New Roman" w:cs="Times New Roman"/>
          <w:sz w:val="24"/>
          <w:szCs w:val="24"/>
        </w:rPr>
        <w:t>debt</w:t>
      </w:r>
      <w:r w:rsidR="00235F3D">
        <w:rPr>
          <w:rFonts w:ascii="Times New Roman" w:eastAsiaTheme="minorEastAsia" w:hAnsi="Times New Roman" w:cs="Times New Roman"/>
          <w:sz w:val="24"/>
          <w:szCs w:val="24"/>
        </w:rPr>
        <w:t xml:space="preserve">. In the tables 23 and 24 </w:t>
      </w:r>
      <w:r w:rsidR="00454DDA">
        <w:rPr>
          <w:rFonts w:ascii="Times New Roman" w:eastAsiaTheme="minorEastAsia" w:hAnsi="Times New Roman" w:cs="Times New Roman"/>
          <w:sz w:val="24"/>
          <w:szCs w:val="24"/>
        </w:rPr>
        <w:t xml:space="preserve">below </w:t>
      </w:r>
      <w:r w:rsidR="00235F3D">
        <w:rPr>
          <w:rFonts w:ascii="Times New Roman" w:eastAsiaTheme="minorEastAsia" w:hAnsi="Times New Roman" w:cs="Times New Roman"/>
          <w:sz w:val="24"/>
          <w:szCs w:val="24"/>
        </w:rPr>
        <w:t xml:space="preserve">we can observe the results </w:t>
      </w:r>
      <w:r w:rsidR="00235F3D">
        <w:rPr>
          <w:rFonts w:ascii="Times New Roman" w:eastAsiaTheme="minorEastAsia" w:hAnsi="Times New Roman" w:cs="Times New Roman"/>
          <w:sz w:val="24"/>
          <w:szCs w:val="24"/>
        </w:rPr>
        <w:lastRenderedPageBreak/>
        <w:t>obtained from the estimation</w:t>
      </w:r>
      <w:r w:rsidR="00454DDA">
        <w:rPr>
          <w:rFonts w:ascii="Times New Roman" w:eastAsiaTheme="minorEastAsia" w:hAnsi="Times New Roman" w:cs="Times New Roman"/>
          <w:sz w:val="24"/>
          <w:szCs w:val="24"/>
        </w:rPr>
        <w:t>s of both the basic equation</w:t>
      </w:r>
      <w:r w:rsidR="00235F3D">
        <w:rPr>
          <w:rFonts w:ascii="Times New Roman" w:eastAsiaTheme="minorEastAsia" w:hAnsi="Times New Roman" w:cs="Times New Roman"/>
          <w:sz w:val="24"/>
          <w:szCs w:val="24"/>
        </w:rPr>
        <w:t xml:space="preserve"> and the extended consumption function </w:t>
      </w:r>
      <w:r w:rsidR="00454DDA">
        <w:rPr>
          <w:rFonts w:ascii="Times New Roman" w:eastAsiaTheme="minorEastAsia" w:hAnsi="Times New Roman" w:cs="Times New Roman"/>
          <w:sz w:val="24"/>
          <w:szCs w:val="24"/>
        </w:rPr>
        <w:t>which incorporates the government expenditure variable.</w:t>
      </w:r>
    </w:p>
    <w:p w:rsidR="009203C7" w:rsidRPr="00454DDA" w:rsidRDefault="00454DDA" w:rsidP="00454DDA">
      <w:pPr>
        <w:jc w:val="center"/>
        <w:rPr>
          <w:rFonts w:ascii="Times New Roman" w:eastAsiaTheme="minorEastAsia" w:hAnsi="Times New Roman" w:cs="Times New Roman"/>
          <w:sz w:val="24"/>
          <w:szCs w:val="24"/>
        </w:rPr>
      </w:pPr>
      <w:r w:rsidRPr="00454DDA">
        <w:rPr>
          <w:rFonts w:ascii="Times New Roman" w:eastAsiaTheme="minorEastAsia" w:hAnsi="Times New Roman" w:cs="Times New Roman"/>
          <w:sz w:val="24"/>
          <w:szCs w:val="24"/>
        </w:rPr>
        <w:t>Table 24 – Panel Estimation</w:t>
      </w:r>
      <w:r>
        <w:rPr>
          <w:rFonts w:ascii="Times New Roman" w:eastAsiaTheme="minorEastAsia" w:hAnsi="Times New Roman" w:cs="Times New Roman"/>
          <w:sz w:val="24"/>
          <w:szCs w:val="24"/>
        </w:rPr>
        <w:t>s</w:t>
      </w:r>
      <w:r w:rsidRPr="00454DDA">
        <w:rPr>
          <w:rFonts w:ascii="Times New Roman" w:eastAsiaTheme="minorEastAsia" w:hAnsi="Times New Roman" w:cs="Times New Roman"/>
          <w:sz w:val="24"/>
          <w:szCs w:val="24"/>
        </w:rPr>
        <w:t xml:space="preserve"> of the basic equation </w:t>
      </w:r>
    </w:p>
    <w:tbl>
      <w:tblPr>
        <w:tblStyle w:val="aa"/>
        <w:tblW w:w="0" w:type="auto"/>
        <w:jc w:val="center"/>
        <w:tblLook w:val="04A0"/>
      </w:tblPr>
      <w:tblGrid>
        <w:gridCol w:w="2295"/>
        <w:gridCol w:w="1039"/>
        <w:gridCol w:w="1039"/>
        <w:gridCol w:w="1039"/>
        <w:gridCol w:w="1039"/>
      </w:tblGrid>
      <w:tr w:rsidR="009203C7" w:rsidTr="00235F3D">
        <w:trPr>
          <w:jc w:val="center"/>
        </w:trPr>
        <w:tc>
          <w:tcPr>
            <w:tcW w:w="0" w:type="auto"/>
            <w:gridSpan w:val="5"/>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Panel Estimation Basic Equation</w:t>
            </w:r>
          </w:p>
        </w:tc>
      </w:tr>
      <w:tr w:rsidR="009203C7" w:rsidTr="00235F3D">
        <w:trPr>
          <w:jc w:val="center"/>
        </w:trPr>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Countries Classification</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Y</w:t>
            </w:r>
            <w:r>
              <w:rPr>
                <w:vertAlign w:val="superscript"/>
              </w:rPr>
              <w:t>d</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w</w:t>
            </w:r>
            <w:r>
              <w:rPr>
                <w:vertAlign w:val="superscript"/>
              </w:rPr>
              <w:t>e</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proofErr w:type="spellStart"/>
            <w:r>
              <w:t>W</w:t>
            </w:r>
            <w:r>
              <w:rPr>
                <w:vertAlign w:val="superscript"/>
              </w:rPr>
              <w:t>h</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d</w:t>
            </w:r>
          </w:p>
        </w:tc>
      </w:tr>
      <w:tr w:rsidR="009203C7" w:rsidTr="00235F3D">
        <w:trPr>
          <w:jc w:val="center"/>
        </w:trPr>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All countries</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0.8304</w:t>
            </w:r>
            <w:r>
              <w:rPr>
                <w:vertAlign w:val="superscript"/>
              </w:rPr>
              <w:t>***</w:t>
            </w:r>
          </w:p>
          <w:p w:rsidR="009203C7" w:rsidRDefault="009203C7" w:rsidP="00235F3D">
            <w:pPr>
              <w:jc w:val="center"/>
            </w:pPr>
            <w:r>
              <w:t>(0.0166)</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0.0131</w:t>
            </w:r>
            <w:r>
              <w:rPr>
                <w:vertAlign w:val="superscript"/>
              </w:rPr>
              <w:t>***</w:t>
            </w:r>
          </w:p>
          <w:p w:rsidR="009203C7" w:rsidRDefault="009203C7" w:rsidP="00235F3D">
            <w:pPr>
              <w:jc w:val="center"/>
            </w:pPr>
            <w:r>
              <w:t>(0.0017)</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0.0776</w:t>
            </w:r>
            <w:r>
              <w:rPr>
                <w:vertAlign w:val="superscript"/>
              </w:rPr>
              <w:t>***</w:t>
            </w:r>
          </w:p>
          <w:p w:rsidR="009203C7" w:rsidRDefault="009203C7" w:rsidP="00235F3D">
            <w:pPr>
              <w:jc w:val="center"/>
            </w:pPr>
            <w:r>
              <w:t>(0.0082)</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0.0154</w:t>
            </w:r>
            <w:r>
              <w:rPr>
                <w:vertAlign w:val="superscript"/>
              </w:rPr>
              <w:t>**</w:t>
            </w:r>
          </w:p>
          <w:p w:rsidR="009203C7" w:rsidRDefault="009203C7" w:rsidP="00235F3D">
            <w:pPr>
              <w:jc w:val="center"/>
            </w:pPr>
            <w:r>
              <w:t>(0.0080)</w:t>
            </w:r>
          </w:p>
        </w:tc>
      </w:tr>
      <w:tr w:rsidR="009203C7" w:rsidTr="00235F3D">
        <w:trPr>
          <w:jc w:val="center"/>
        </w:trPr>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Low Debt Countries</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0.8072</w:t>
            </w:r>
            <w:r>
              <w:rPr>
                <w:vertAlign w:val="superscript"/>
              </w:rPr>
              <w:t>***</w:t>
            </w:r>
          </w:p>
          <w:p w:rsidR="009203C7" w:rsidRDefault="009203C7" w:rsidP="00235F3D">
            <w:pPr>
              <w:jc w:val="center"/>
            </w:pPr>
            <w:r>
              <w:t>(0.0271)</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0.0148</w:t>
            </w:r>
            <w:r>
              <w:rPr>
                <w:vertAlign w:val="superscript"/>
              </w:rPr>
              <w:t>***</w:t>
            </w:r>
          </w:p>
          <w:p w:rsidR="009203C7" w:rsidRDefault="009203C7" w:rsidP="00235F3D">
            <w:pPr>
              <w:jc w:val="center"/>
            </w:pPr>
            <w:r>
              <w:t>(0.0026)</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0.1255</w:t>
            </w:r>
            <w:r>
              <w:rPr>
                <w:vertAlign w:val="superscript"/>
              </w:rPr>
              <w:t>***</w:t>
            </w:r>
          </w:p>
          <w:p w:rsidR="009203C7" w:rsidRDefault="009203C7" w:rsidP="00235F3D">
            <w:pPr>
              <w:jc w:val="center"/>
            </w:pPr>
            <w:r>
              <w:t>(0.0068)</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0.0709</w:t>
            </w:r>
            <w:r>
              <w:rPr>
                <w:vertAlign w:val="superscript"/>
              </w:rPr>
              <w:t>***</w:t>
            </w:r>
          </w:p>
          <w:p w:rsidR="009203C7" w:rsidRDefault="009203C7" w:rsidP="00235F3D">
            <w:pPr>
              <w:jc w:val="center"/>
            </w:pPr>
            <w:r>
              <w:t>(0.0145)</w:t>
            </w:r>
          </w:p>
        </w:tc>
      </w:tr>
      <w:tr w:rsidR="009203C7" w:rsidTr="00235F3D">
        <w:trPr>
          <w:jc w:val="center"/>
        </w:trPr>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High Debt countries</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0.7911</w:t>
            </w:r>
            <w:r>
              <w:rPr>
                <w:vertAlign w:val="superscript"/>
              </w:rPr>
              <w:t>***</w:t>
            </w:r>
          </w:p>
          <w:p w:rsidR="009203C7" w:rsidRDefault="009203C7" w:rsidP="00235F3D">
            <w:pPr>
              <w:jc w:val="center"/>
            </w:pPr>
            <w:r>
              <w:t>(0.0333)</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0.0133</w:t>
            </w:r>
            <w:r>
              <w:rPr>
                <w:vertAlign w:val="superscript"/>
              </w:rPr>
              <w:t>***</w:t>
            </w:r>
          </w:p>
          <w:p w:rsidR="009203C7" w:rsidRDefault="009203C7" w:rsidP="00235F3D">
            <w:pPr>
              <w:jc w:val="center"/>
            </w:pPr>
            <w:r>
              <w:t>(0.0026)</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0.0710</w:t>
            </w:r>
            <w:r>
              <w:rPr>
                <w:vertAlign w:val="superscript"/>
              </w:rPr>
              <w:t>***</w:t>
            </w:r>
          </w:p>
          <w:p w:rsidR="009203C7" w:rsidRDefault="009203C7" w:rsidP="00235F3D">
            <w:pPr>
              <w:jc w:val="center"/>
            </w:pPr>
            <w:r>
              <w:t>(0.0195)</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0.0267</w:t>
            </w:r>
            <w:r>
              <w:rPr>
                <w:vertAlign w:val="superscript"/>
              </w:rPr>
              <w:t>**</w:t>
            </w:r>
          </w:p>
          <w:p w:rsidR="009203C7" w:rsidRDefault="009203C7" w:rsidP="00235F3D">
            <w:pPr>
              <w:jc w:val="center"/>
            </w:pPr>
            <w:r>
              <w:t>(0.0134)</w:t>
            </w:r>
          </w:p>
        </w:tc>
      </w:tr>
    </w:tbl>
    <w:p w:rsidR="00454DDA" w:rsidRDefault="009203C7" w:rsidP="00B93788">
      <w:pPr>
        <w:jc w:val="center"/>
        <w:rPr>
          <w:sz w:val="18"/>
          <w:szCs w:val="18"/>
        </w:rPr>
      </w:pPr>
      <w:r>
        <w:rPr>
          <w:sz w:val="18"/>
          <w:szCs w:val="18"/>
        </w:rPr>
        <w:t>Notation ***</w:t>
      </w:r>
      <w:proofErr w:type="gramStart"/>
      <w:r>
        <w:rPr>
          <w:sz w:val="18"/>
          <w:szCs w:val="18"/>
        </w:rPr>
        <w:t>,*</w:t>
      </w:r>
      <w:proofErr w:type="gramEnd"/>
      <w:r>
        <w:rPr>
          <w:sz w:val="18"/>
          <w:szCs w:val="18"/>
        </w:rPr>
        <w:t>* and * denotes 1%, 5% and 10% level of statistical significance. The values in the parentheses depict standard errors.</w:t>
      </w:r>
    </w:p>
    <w:p w:rsidR="00454DDA" w:rsidRPr="00454DDA" w:rsidRDefault="00454DDA" w:rsidP="00454DDA">
      <w:pPr>
        <w:jc w:val="center"/>
        <w:rPr>
          <w:rFonts w:ascii="Times New Roman" w:eastAsiaTheme="minorEastAsia" w:hAnsi="Times New Roman" w:cs="Times New Roman"/>
          <w:sz w:val="24"/>
          <w:szCs w:val="24"/>
        </w:rPr>
      </w:pPr>
      <w:r w:rsidRPr="00454DDA">
        <w:rPr>
          <w:rFonts w:ascii="Times New Roman" w:eastAsiaTheme="minorEastAsia" w:hAnsi="Times New Roman" w:cs="Times New Roman"/>
          <w:sz w:val="24"/>
          <w:szCs w:val="24"/>
        </w:rPr>
        <w:t>Table 2</w:t>
      </w:r>
      <w:r>
        <w:rPr>
          <w:rFonts w:ascii="Times New Roman" w:eastAsiaTheme="minorEastAsia" w:hAnsi="Times New Roman" w:cs="Times New Roman"/>
          <w:sz w:val="24"/>
          <w:szCs w:val="24"/>
        </w:rPr>
        <w:t>5</w:t>
      </w:r>
      <w:r w:rsidRPr="00454DDA">
        <w:rPr>
          <w:rFonts w:ascii="Times New Roman" w:eastAsiaTheme="minorEastAsia" w:hAnsi="Times New Roman" w:cs="Times New Roman"/>
          <w:sz w:val="24"/>
          <w:szCs w:val="24"/>
        </w:rPr>
        <w:t xml:space="preserve"> – Panel Estimation</w:t>
      </w:r>
      <w:r>
        <w:rPr>
          <w:rFonts w:ascii="Times New Roman" w:eastAsiaTheme="minorEastAsia" w:hAnsi="Times New Roman" w:cs="Times New Roman"/>
          <w:sz w:val="24"/>
          <w:szCs w:val="24"/>
        </w:rPr>
        <w:t>s</w:t>
      </w:r>
      <w:r w:rsidRPr="00454DDA">
        <w:rPr>
          <w:rFonts w:ascii="Times New Roman" w:eastAsiaTheme="minorEastAsia" w:hAnsi="Times New Roman" w:cs="Times New Roman"/>
          <w:sz w:val="24"/>
          <w:szCs w:val="24"/>
        </w:rPr>
        <w:t xml:space="preserve"> of the</w:t>
      </w:r>
      <w:r>
        <w:rPr>
          <w:rFonts w:ascii="Times New Roman" w:eastAsiaTheme="minorEastAsia" w:hAnsi="Times New Roman" w:cs="Times New Roman"/>
          <w:sz w:val="24"/>
          <w:szCs w:val="24"/>
        </w:rPr>
        <w:t xml:space="preserve"> extended</w:t>
      </w:r>
      <w:r w:rsidRPr="00454DDA">
        <w:rPr>
          <w:rFonts w:ascii="Times New Roman" w:eastAsiaTheme="minorEastAsia" w:hAnsi="Times New Roman" w:cs="Times New Roman"/>
          <w:sz w:val="24"/>
          <w:szCs w:val="24"/>
        </w:rPr>
        <w:t xml:space="preserve"> equation </w:t>
      </w:r>
    </w:p>
    <w:tbl>
      <w:tblPr>
        <w:tblStyle w:val="aa"/>
        <w:tblW w:w="0" w:type="auto"/>
        <w:jc w:val="center"/>
        <w:tblLook w:val="04A0"/>
      </w:tblPr>
      <w:tblGrid>
        <w:gridCol w:w="2295"/>
        <w:gridCol w:w="1039"/>
        <w:gridCol w:w="1039"/>
        <w:gridCol w:w="1039"/>
        <w:gridCol w:w="1039"/>
        <w:gridCol w:w="1039"/>
      </w:tblGrid>
      <w:tr w:rsidR="009203C7" w:rsidTr="00235F3D">
        <w:trPr>
          <w:jc w:val="center"/>
        </w:trPr>
        <w:tc>
          <w:tcPr>
            <w:tcW w:w="0" w:type="auto"/>
            <w:gridSpan w:val="6"/>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Panel Estimation Extended Equation (including g)</w:t>
            </w:r>
          </w:p>
        </w:tc>
      </w:tr>
      <w:tr w:rsidR="009203C7" w:rsidTr="00235F3D">
        <w:trPr>
          <w:jc w:val="center"/>
        </w:trPr>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Countries Classification</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Y</w:t>
            </w:r>
            <w:r>
              <w:rPr>
                <w:vertAlign w:val="superscript"/>
              </w:rPr>
              <w:t>d</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w</w:t>
            </w:r>
            <w:r>
              <w:rPr>
                <w:vertAlign w:val="superscript"/>
              </w:rPr>
              <w:t>e</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proofErr w:type="spellStart"/>
            <w:r>
              <w:t>W</w:t>
            </w:r>
            <w:r>
              <w:rPr>
                <w:vertAlign w:val="superscript"/>
              </w:rPr>
              <w:t>h</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d</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g</w:t>
            </w:r>
          </w:p>
        </w:tc>
      </w:tr>
      <w:tr w:rsidR="009203C7" w:rsidTr="00235F3D">
        <w:trPr>
          <w:jc w:val="center"/>
        </w:trPr>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All the countries</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0.7067</w:t>
            </w:r>
            <w:r>
              <w:rPr>
                <w:vertAlign w:val="superscript"/>
              </w:rPr>
              <w:t>***</w:t>
            </w:r>
          </w:p>
          <w:p w:rsidR="009203C7" w:rsidRDefault="009203C7" w:rsidP="00235F3D">
            <w:pPr>
              <w:jc w:val="center"/>
            </w:pPr>
            <w:r>
              <w:t>(0.0200)</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0.0139</w:t>
            </w:r>
            <w:r>
              <w:rPr>
                <w:vertAlign w:val="superscript"/>
              </w:rPr>
              <w:t>***</w:t>
            </w:r>
          </w:p>
          <w:p w:rsidR="009203C7" w:rsidRDefault="009203C7" w:rsidP="00235F3D">
            <w:pPr>
              <w:jc w:val="center"/>
            </w:pPr>
            <w:r>
              <w:t>(0.0014)</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0.0432</w:t>
            </w:r>
            <w:r>
              <w:rPr>
                <w:vertAlign w:val="superscript"/>
              </w:rPr>
              <w:t>***</w:t>
            </w:r>
          </w:p>
          <w:p w:rsidR="009203C7" w:rsidRDefault="009203C7" w:rsidP="00235F3D">
            <w:pPr>
              <w:jc w:val="center"/>
            </w:pPr>
            <w:r>
              <w:t>(0.0080)</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0.0095</w:t>
            </w:r>
            <w:r>
              <w:rPr>
                <w:vertAlign w:val="superscript"/>
              </w:rPr>
              <w:t>***</w:t>
            </w:r>
          </w:p>
          <w:p w:rsidR="009203C7" w:rsidRDefault="009203C7" w:rsidP="00235F3D">
            <w:pPr>
              <w:jc w:val="center"/>
            </w:pPr>
            <w:r>
              <w:t>(0.0068)</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0.1141</w:t>
            </w:r>
            <w:r>
              <w:rPr>
                <w:vertAlign w:val="superscript"/>
              </w:rPr>
              <w:t>***</w:t>
            </w:r>
          </w:p>
          <w:p w:rsidR="009203C7" w:rsidRDefault="009203C7" w:rsidP="00235F3D">
            <w:pPr>
              <w:jc w:val="center"/>
            </w:pPr>
            <w:r>
              <w:t>(0.0132)</w:t>
            </w:r>
          </w:p>
        </w:tc>
      </w:tr>
      <w:tr w:rsidR="009203C7" w:rsidTr="00235F3D">
        <w:trPr>
          <w:jc w:val="center"/>
        </w:trPr>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Low Debt Countries</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0.7959</w:t>
            </w:r>
            <w:r>
              <w:rPr>
                <w:vertAlign w:val="superscript"/>
              </w:rPr>
              <w:t>***</w:t>
            </w:r>
          </w:p>
          <w:p w:rsidR="009203C7" w:rsidRDefault="009203C7" w:rsidP="00235F3D">
            <w:pPr>
              <w:jc w:val="center"/>
            </w:pPr>
            <w:r>
              <w:t>(0.0257)</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0.0139</w:t>
            </w:r>
            <w:r>
              <w:rPr>
                <w:vertAlign w:val="superscript"/>
              </w:rPr>
              <w:t>***</w:t>
            </w:r>
          </w:p>
          <w:p w:rsidR="009203C7" w:rsidRDefault="009203C7" w:rsidP="00235F3D">
            <w:pPr>
              <w:jc w:val="center"/>
            </w:pPr>
            <w:r>
              <w:t>(0.0024)</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0.0670</w:t>
            </w:r>
            <w:r>
              <w:rPr>
                <w:vertAlign w:val="superscript"/>
              </w:rPr>
              <w:t>***</w:t>
            </w:r>
          </w:p>
          <w:p w:rsidR="009203C7" w:rsidRDefault="009203C7" w:rsidP="00235F3D">
            <w:pPr>
              <w:jc w:val="center"/>
            </w:pPr>
            <w:r>
              <w:t>(0.0184)</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0.0335</w:t>
            </w:r>
            <w:r>
              <w:rPr>
                <w:vertAlign w:val="superscript"/>
              </w:rPr>
              <w:t>*</w:t>
            </w:r>
          </w:p>
          <w:p w:rsidR="009203C7" w:rsidRDefault="009203C7" w:rsidP="00235F3D">
            <w:pPr>
              <w:jc w:val="center"/>
            </w:pPr>
            <w:r>
              <w:t>(0.0176)</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0.1125</w:t>
            </w:r>
            <w:r>
              <w:rPr>
                <w:vertAlign w:val="superscript"/>
              </w:rPr>
              <w:t>***</w:t>
            </w:r>
          </w:p>
          <w:p w:rsidR="009203C7" w:rsidRDefault="009203C7" w:rsidP="00235F3D">
            <w:pPr>
              <w:jc w:val="center"/>
            </w:pPr>
            <w:r>
              <w:t>(0.0333)</w:t>
            </w:r>
          </w:p>
        </w:tc>
      </w:tr>
      <w:tr w:rsidR="009203C7" w:rsidTr="00235F3D">
        <w:trPr>
          <w:jc w:val="center"/>
        </w:trPr>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High Debt countries</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0.6752</w:t>
            </w:r>
            <w:r>
              <w:rPr>
                <w:vertAlign w:val="superscript"/>
              </w:rPr>
              <w:t>***</w:t>
            </w:r>
          </w:p>
          <w:p w:rsidR="009203C7" w:rsidRDefault="009203C7" w:rsidP="00235F3D">
            <w:pPr>
              <w:jc w:val="center"/>
            </w:pPr>
            <w:r>
              <w:t>(0.0381)</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0.0134</w:t>
            </w:r>
            <w:r>
              <w:rPr>
                <w:vertAlign w:val="superscript"/>
              </w:rPr>
              <w:t>***</w:t>
            </w:r>
          </w:p>
          <w:p w:rsidR="009203C7" w:rsidRDefault="009203C7" w:rsidP="00235F3D">
            <w:pPr>
              <w:jc w:val="center"/>
            </w:pPr>
            <w:r>
              <w:t>(0.0023)</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0.0489</w:t>
            </w:r>
            <w:r>
              <w:rPr>
                <w:vertAlign w:val="superscript"/>
              </w:rPr>
              <w:t>***</w:t>
            </w:r>
          </w:p>
          <w:p w:rsidR="009203C7" w:rsidRDefault="009203C7" w:rsidP="00235F3D">
            <w:pPr>
              <w:jc w:val="center"/>
            </w:pPr>
            <w:r>
              <w:t>(0.0181)</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pPr>
            <w:r>
              <w:t>0.0149</w:t>
            </w:r>
          </w:p>
          <w:p w:rsidR="009203C7" w:rsidRDefault="009203C7" w:rsidP="00235F3D">
            <w:pPr>
              <w:jc w:val="center"/>
            </w:pPr>
            <w:r>
              <w:t>(0.0123)</w:t>
            </w:r>
          </w:p>
        </w:tc>
        <w:tc>
          <w:tcPr>
            <w:tcW w:w="0" w:type="auto"/>
            <w:tcBorders>
              <w:top w:val="single" w:sz="4" w:space="0" w:color="auto"/>
              <w:left w:val="single" w:sz="4" w:space="0" w:color="auto"/>
              <w:bottom w:val="single" w:sz="4" w:space="0" w:color="auto"/>
              <w:right w:val="single" w:sz="4" w:space="0" w:color="auto"/>
            </w:tcBorders>
            <w:hideMark/>
          </w:tcPr>
          <w:p w:rsidR="009203C7" w:rsidRDefault="009203C7" w:rsidP="00235F3D">
            <w:pPr>
              <w:jc w:val="center"/>
              <w:rPr>
                <w:vertAlign w:val="superscript"/>
              </w:rPr>
            </w:pPr>
            <w:r>
              <w:t>0.1101</w:t>
            </w:r>
            <w:r>
              <w:rPr>
                <w:vertAlign w:val="superscript"/>
              </w:rPr>
              <w:t>***</w:t>
            </w:r>
          </w:p>
          <w:p w:rsidR="009203C7" w:rsidRDefault="009203C7" w:rsidP="00235F3D">
            <w:pPr>
              <w:jc w:val="center"/>
            </w:pPr>
            <w:r>
              <w:t>(0.0222)</w:t>
            </w:r>
          </w:p>
        </w:tc>
      </w:tr>
    </w:tbl>
    <w:p w:rsidR="009203C7" w:rsidRDefault="009203C7" w:rsidP="009203C7">
      <w:pPr>
        <w:jc w:val="center"/>
        <w:rPr>
          <w:sz w:val="18"/>
          <w:szCs w:val="18"/>
        </w:rPr>
      </w:pPr>
      <w:r>
        <w:rPr>
          <w:sz w:val="18"/>
          <w:szCs w:val="18"/>
        </w:rPr>
        <w:t>Notation ***</w:t>
      </w:r>
      <w:proofErr w:type="gramStart"/>
      <w:r>
        <w:rPr>
          <w:sz w:val="18"/>
          <w:szCs w:val="18"/>
        </w:rPr>
        <w:t>,*</w:t>
      </w:r>
      <w:proofErr w:type="gramEnd"/>
      <w:r>
        <w:rPr>
          <w:sz w:val="18"/>
          <w:szCs w:val="18"/>
        </w:rPr>
        <w:t xml:space="preserve">* and * denotes 1%, 5% and 10% level of statistical significance. The </w:t>
      </w:r>
      <w:proofErr w:type="spellStart"/>
      <w:r>
        <w:rPr>
          <w:sz w:val="18"/>
          <w:szCs w:val="18"/>
        </w:rPr>
        <w:t>vaules</w:t>
      </w:r>
      <w:proofErr w:type="spellEnd"/>
      <w:r>
        <w:rPr>
          <w:sz w:val="18"/>
          <w:szCs w:val="18"/>
        </w:rPr>
        <w:t xml:space="preserve"> in the parentheses depict the standard errors.</w:t>
      </w:r>
    </w:p>
    <w:p w:rsidR="004A1EFF" w:rsidRDefault="00454DDA" w:rsidP="009203C7">
      <w:pPr>
        <w:jc w:val="both"/>
        <w:rPr>
          <w:sz w:val="18"/>
          <w:szCs w:val="18"/>
        </w:rPr>
      </w:pPr>
      <w:r>
        <w:rPr>
          <w:rFonts w:ascii="Times New Roman" w:hAnsi="Times New Roman" w:cs="Times New Roman"/>
          <w:sz w:val="24"/>
          <w:szCs w:val="24"/>
        </w:rPr>
        <w:t>Commenting on the results we can observe that</w:t>
      </w:r>
      <w:r w:rsidR="009203C7">
        <w:rPr>
          <w:rFonts w:ascii="Times New Roman" w:hAnsi="Times New Roman" w:cs="Times New Roman"/>
          <w:sz w:val="24"/>
          <w:szCs w:val="24"/>
        </w:rPr>
        <w:t xml:space="preserve"> the </w:t>
      </w:r>
      <w:r w:rsidR="00BD0BF5">
        <w:rPr>
          <w:rFonts w:ascii="Times New Roman" w:hAnsi="Times New Roman" w:cs="Times New Roman"/>
          <w:sz w:val="24"/>
          <w:szCs w:val="24"/>
        </w:rPr>
        <w:t xml:space="preserve">coefficients of the </w:t>
      </w:r>
      <w:r w:rsidR="009203C7">
        <w:rPr>
          <w:rFonts w:ascii="Times New Roman" w:hAnsi="Times New Roman" w:cs="Times New Roman"/>
          <w:sz w:val="24"/>
          <w:szCs w:val="24"/>
        </w:rPr>
        <w:t>disposable income, t</w:t>
      </w:r>
      <w:r w:rsidR="00BD0BF5">
        <w:rPr>
          <w:rFonts w:ascii="Times New Roman" w:hAnsi="Times New Roman" w:cs="Times New Roman"/>
          <w:sz w:val="24"/>
          <w:szCs w:val="24"/>
        </w:rPr>
        <w:t>he equity and housing wealth have</w:t>
      </w:r>
      <w:r w:rsidR="009203C7">
        <w:rPr>
          <w:rFonts w:ascii="Times New Roman" w:hAnsi="Times New Roman" w:cs="Times New Roman"/>
          <w:sz w:val="24"/>
          <w:szCs w:val="24"/>
        </w:rPr>
        <w:t xml:space="preserve"> the expected </w:t>
      </w:r>
      <w:r w:rsidR="00BD0BF5">
        <w:rPr>
          <w:rFonts w:ascii="Times New Roman" w:hAnsi="Times New Roman" w:cs="Times New Roman"/>
          <w:sz w:val="24"/>
          <w:szCs w:val="24"/>
        </w:rPr>
        <w:t xml:space="preserve">sign </w:t>
      </w:r>
      <w:r w:rsidR="009203C7">
        <w:rPr>
          <w:rFonts w:ascii="Times New Roman" w:hAnsi="Times New Roman" w:cs="Times New Roman"/>
          <w:sz w:val="24"/>
          <w:szCs w:val="24"/>
        </w:rPr>
        <w:t>and are statisti</w:t>
      </w:r>
      <w:r w:rsidR="00BD0BF5">
        <w:rPr>
          <w:rFonts w:ascii="Times New Roman" w:hAnsi="Times New Roman" w:cs="Times New Roman"/>
          <w:sz w:val="24"/>
          <w:szCs w:val="24"/>
        </w:rPr>
        <w:t>cally significant. However,</w:t>
      </w:r>
      <w:r w:rsidR="009203C7">
        <w:rPr>
          <w:rFonts w:ascii="Times New Roman" w:hAnsi="Times New Roman" w:cs="Times New Roman"/>
          <w:sz w:val="24"/>
          <w:szCs w:val="24"/>
        </w:rPr>
        <w:t xml:space="preserve"> the coefficient</w:t>
      </w:r>
      <w:r w:rsidR="00BD0BF5">
        <w:rPr>
          <w:rFonts w:ascii="Times New Roman" w:hAnsi="Times New Roman" w:cs="Times New Roman"/>
          <w:sz w:val="24"/>
          <w:szCs w:val="24"/>
        </w:rPr>
        <w:t xml:space="preserve"> of government debt </w:t>
      </w:r>
      <w:r w:rsidR="00D85DFF">
        <w:rPr>
          <w:rFonts w:ascii="Times New Roman" w:hAnsi="Times New Roman" w:cs="Times New Roman"/>
          <w:sz w:val="24"/>
          <w:szCs w:val="24"/>
        </w:rPr>
        <w:t>is</w:t>
      </w:r>
      <w:r w:rsidR="009203C7">
        <w:rPr>
          <w:rFonts w:ascii="Times New Roman" w:hAnsi="Times New Roman" w:cs="Times New Roman"/>
          <w:sz w:val="24"/>
          <w:szCs w:val="24"/>
        </w:rPr>
        <w:t xml:space="preserve"> positive and statistically significant </w:t>
      </w:r>
      <w:r w:rsidR="00D85DFF">
        <w:rPr>
          <w:rFonts w:ascii="Times New Roman" w:hAnsi="Times New Roman" w:cs="Times New Roman"/>
          <w:sz w:val="24"/>
          <w:szCs w:val="24"/>
        </w:rPr>
        <w:t xml:space="preserve">(table 25) </w:t>
      </w:r>
      <w:r w:rsidR="009203C7">
        <w:rPr>
          <w:rFonts w:ascii="Times New Roman" w:hAnsi="Times New Roman" w:cs="Times New Roman"/>
          <w:sz w:val="24"/>
          <w:szCs w:val="24"/>
        </w:rPr>
        <w:t>for all the group of countries</w:t>
      </w:r>
      <w:r w:rsidR="00BD0BF5">
        <w:rPr>
          <w:rFonts w:ascii="Times New Roman" w:hAnsi="Times New Roman" w:cs="Times New Roman"/>
          <w:sz w:val="24"/>
          <w:szCs w:val="24"/>
        </w:rPr>
        <w:t xml:space="preserve">, pointing at the rejection of the </w:t>
      </w:r>
      <w:proofErr w:type="spellStart"/>
      <w:r w:rsidR="00BD0BF5">
        <w:rPr>
          <w:rFonts w:ascii="Times New Roman" w:hAnsi="Times New Roman" w:cs="Times New Roman"/>
          <w:sz w:val="24"/>
          <w:szCs w:val="24"/>
        </w:rPr>
        <w:t>Ricardian</w:t>
      </w:r>
      <w:proofErr w:type="spellEnd"/>
      <w:r w:rsidR="00BD0BF5">
        <w:rPr>
          <w:rFonts w:ascii="Times New Roman" w:hAnsi="Times New Roman" w:cs="Times New Roman"/>
          <w:sz w:val="24"/>
          <w:szCs w:val="24"/>
        </w:rPr>
        <w:t xml:space="preserve"> Equivalence proposition since the positive relationship between the government debt and private consumption implies that the public debt is perceived as net wealth for all the groups of countries</w:t>
      </w:r>
      <w:r w:rsidR="00D85DFF">
        <w:rPr>
          <w:rFonts w:ascii="Times New Roman" w:hAnsi="Times New Roman" w:cs="Times New Roman"/>
          <w:sz w:val="24"/>
          <w:szCs w:val="24"/>
        </w:rPr>
        <w:t xml:space="preserve">. Although, we can notice that </w:t>
      </w:r>
      <w:r w:rsidR="009203C7">
        <w:rPr>
          <w:rFonts w:ascii="Times New Roman" w:hAnsi="Times New Roman" w:cs="Times New Roman"/>
          <w:sz w:val="24"/>
          <w:szCs w:val="24"/>
        </w:rPr>
        <w:t>the specific coefficient is less potent for the high debt countries and larger for the low debt count</w:t>
      </w:r>
      <w:r w:rsidR="00D85DFF">
        <w:rPr>
          <w:rFonts w:ascii="Times New Roman" w:hAnsi="Times New Roman" w:cs="Times New Roman"/>
          <w:sz w:val="24"/>
          <w:szCs w:val="24"/>
        </w:rPr>
        <w:t>ries group which implies that in the high debt countries individuals become more concerned about the sustainability of debt, more forward looking</w:t>
      </w:r>
      <w:r w:rsidR="00C06A91">
        <w:rPr>
          <w:rFonts w:ascii="Times New Roman" w:hAnsi="Times New Roman" w:cs="Times New Roman"/>
          <w:sz w:val="24"/>
          <w:szCs w:val="24"/>
        </w:rPr>
        <w:t xml:space="preserve"> and hence obtain </w:t>
      </w:r>
      <w:proofErr w:type="spellStart"/>
      <w:r w:rsidR="00C06A91">
        <w:rPr>
          <w:rFonts w:ascii="Times New Roman" w:hAnsi="Times New Roman" w:cs="Times New Roman"/>
          <w:sz w:val="24"/>
          <w:szCs w:val="24"/>
        </w:rPr>
        <w:t>Ricardian</w:t>
      </w:r>
      <w:proofErr w:type="spellEnd"/>
      <w:r w:rsidR="00C06A91">
        <w:rPr>
          <w:rFonts w:ascii="Times New Roman" w:hAnsi="Times New Roman" w:cs="Times New Roman"/>
          <w:sz w:val="24"/>
          <w:szCs w:val="24"/>
        </w:rPr>
        <w:t xml:space="preserve"> characteristics</w:t>
      </w:r>
      <w:r w:rsidR="00D85DFF">
        <w:rPr>
          <w:rFonts w:ascii="Times New Roman" w:hAnsi="Times New Roman" w:cs="Times New Roman"/>
          <w:sz w:val="24"/>
          <w:szCs w:val="24"/>
        </w:rPr>
        <w:t xml:space="preserve"> </w:t>
      </w:r>
      <w:r w:rsidR="009203C7">
        <w:rPr>
          <w:rFonts w:ascii="Times New Roman" w:hAnsi="Times New Roman" w:cs="Times New Roman"/>
          <w:sz w:val="24"/>
          <w:szCs w:val="24"/>
        </w:rPr>
        <w:t xml:space="preserve">. These results also hold and in the case that we include the government expenditures variable </w:t>
      </w:r>
      <w:r w:rsidR="00C06A91">
        <w:rPr>
          <w:rFonts w:ascii="Times New Roman" w:hAnsi="Times New Roman" w:cs="Times New Roman"/>
          <w:sz w:val="24"/>
          <w:szCs w:val="24"/>
        </w:rPr>
        <w:t xml:space="preserve">in our analysis with the difference that in high debt countries the debt coefficient becomes statistically insignificant </w:t>
      </w:r>
      <w:r w:rsidR="00142E8D">
        <w:rPr>
          <w:rFonts w:ascii="Times New Roman" w:hAnsi="Times New Roman" w:cs="Times New Roman"/>
          <w:sz w:val="24"/>
          <w:szCs w:val="24"/>
        </w:rPr>
        <w:t xml:space="preserve">(table 25) implying that in high debt countries individuals do not perceive public debt as net wealth and hence do not change their consumption accordingly. This result although insufficient to ground the </w:t>
      </w:r>
      <w:proofErr w:type="spellStart"/>
      <w:r w:rsidR="00142E8D">
        <w:rPr>
          <w:rFonts w:ascii="Times New Roman" w:hAnsi="Times New Roman" w:cs="Times New Roman"/>
          <w:sz w:val="24"/>
          <w:szCs w:val="24"/>
        </w:rPr>
        <w:t>Ricardian</w:t>
      </w:r>
      <w:proofErr w:type="spellEnd"/>
      <w:r w:rsidR="00142E8D">
        <w:rPr>
          <w:rFonts w:ascii="Times New Roman" w:hAnsi="Times New Roman" w:cs="Times New Roman"/>
          <w:sz w:val="24"/>
          <w:szCs w:val="24"/>
        </w:rPr>
        <w:t xml:space="preserve"> Equivalence proposition is an indication that the individuals in high debt countries </w:t>
      </w:r>
      <w:r w:rsidR="00A46606">
        <w:rPr>
          <w:rFonts w:ascii="Times New Roman" w:hAnsi="Times New Roman" w:cs="Times New Roman"/>
          <w:sz w:val="24"/>
          <w:szCs w:val="24"/>
        </w:rPr>
        <w:t>obtain</w:t>
      </w:r>
      <w:r w:rsidR="000D7D91">
        <w:rPr>
          <w:rFonts w:ascii="Times New Roman" w:hAnsi="Times New Roman" w:cs="Times New Roman"/>
          <w:sz w:val="24"/>
          <w:szCs w:val="24"/>
        </w:rPr>
        <w:t xml:space="preserve"> </w:t>
      </w:r>
      <w:proofErr w:type="spellStart"/>
      <w:r w:rsidR="000D7D91">
        <w:rPr>
          <w:rFonts w:ascii="Times New Roman" w:hAnsi="Times New Roman" w:cs="Times New Roman"/>
          <w:sz w:val="24"/>
          <w:szCs w:val="24"/>
        </w:rPr>
        <w:t>Ricardian</w:t>
      </w:r>
      <w:proofErr w:type="spellEnd"/>
      <w:r w:rsidR="000D7D91">
        <w:rPr>
          <w:rFonts w:ascii="Times New Roman" w:hAnsi="Times New Roman" w:cs="Times New Roman"/>
          <w:sz w:val="24"/>
          <w:szCs w:val="24"/>
        </w:rPr>
        <w:t xml:space="preserve"> characteristics. Though, the positive and statistically significant </w:t>
      </w:r>
      <w:r w:rsidR="009203C7">
        <w:rPr>
          <w:rFonts w:ascii="Times New Roman" w:hAnsi="Times New Roman" w:cs="Times New Roman"/>
          <w:sz w:val="24"/>
          <w:szCs w:val="24"/>
        </w:rPr>
        <w:t>coefficients</w:t>
      </w:r>
      <w:r w:rsidR="000D7D91">
        <w:rPr>
          <w:rFonts w:ascii="Times New Roman" w:hAnsi="Times New Roman" w:cs="Times New Roman"/>
          <w:sz w:val="24"/>
          <w:szCs w:val="24"/>
        </w:rPr>
        <w:t xml:space="preserve"> of the government expenditures point in the opposite direction (table 25). </w:t>
      </w:r>
    </w:p>
    <w:p w:rsidR="004A1EFF" w:rsidRDefault="004A1EFF" w:rsidP="004A1EFF">
      <w:pPr>
        <w:jc w:val="both"/>
        <w:rPr>
          <w:rFonts w:ascii="Times New Roman" w:hAnsi="Times New Roman" w:cs="Times New Roman"/>
          <w:sz w:val="24"/>
          <w:szCs w:val="24"/>
        </w:rPr>
      </w:pPr>
      <w:r>
        <w:rPr>
          <w:rFonts w:ascii="Times New Roman" w:hAnsi="Times New Roman" w:cs="Times New Roman"/>
          <w:sz w:val="24"/>
          <w:szCs w:val="24"/>
        </w:rPr>
        <w:lastRenderedPageBreak/>
        <w:t xml:space="preserve">In order to investigate the short run effects we incorporated </w:t>
      </w:r>
      <w:r w:rsidR="008B7D99">
        <w:rPr>
          <w:rFonts w:ascii="Times New Roman" w:hAnsi="Times New Roman" w:cs="Times New Roman"/>
          <w:sz w:val="24"/>
          <w:szCs w:val="24"/>
        </w:rPr>
        <w:t xml:space="preserve">both </w:t>
      </w:r>
      <w:r>
        <w:rPr>
          <w:rFonts w:ascii="Times New Roman" w:hAnsi="Times New Roman" w:cs="Times New Roman"/>
          <w:sz w:val="24"/>
          <w:szCs w:val="24"/>
        </w:rPr>
        <w:t xml:space="preserve">our </w:t>
      </w:r>
      <w:r w:rsidR="008B7D99">
        <w:rPr>
          <w:rFonts w:ascii="Times New Roman" w:hAnsi="Times New Roman" w:cs="Times New Roman"/>
          <w:sz w:val="24"/>
          <w:szCs w:val="24"/>
        </w:rPr>
        <w:t xml:space="preserve">basic and the extended </w:t>
      </w:r>
      <w:r>
        <w:rPr>
          <w:rFonts w:ascii="Times New Roman" w:hAnsi="Times New Roman" w:cs="Times New Roman"/>
          <w:sz w:val="24"/>
          <w:szCs w:val="24"/>
        </w:rPr>
        <w:t>long run consumption function in an autoregressive distributed lag (ADRL) model wi</w:t>
      </w:r>
      <w:r w:rsidR="008B7D99">
        <w:rPr>
          <w:rFonts w:ascii="Times New Roman" w:hAnsi="Times New Roman" w:cs="Times New Roman"/>
          <w:sz w:val="24"/>
          <w:szCs w:val="24"/>
        </w:rPr>
        <w:t>th an error correction form</w:t>
      </w:r>
      <w:r>
        <w:rPr>
          <w:rFonts w:ascii="Times New Roman" w:hAnsi="Times New Roman" w:cs="Times New Roman"/>
          <w:sz w:val="24"/>
          <w:szCs w:val="24"/>
        </w:rPr>
        <w:t xml:space="preserve"> as </w:t>
      </w:r>
      <w:proofErr w:type="spellStart"/>
      <w:r>
        <w:rPr>
          <w:rFonts w:ascii="Times New Roman" w:hAnsi="Times New Roman" w:cs="Times New Roman"/>
          <w:sz w:val="24"/>
          <w:szCs w:val="24"/>
        </w:rPr>
        <w:t>Berben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Brosens</w:t>
      </w:r>
      <w:proofErr w:type="spellEnd"/>
      <w:r>
        <w:rPr>
          <w:rFonts w:ascii="Times New Roman" w:hAnsi="Times New Roman" w:cs="Times New Roman"/>
          <w:sz w:val="24"/>
          <w:szCs w:val="24"/>
        </w:rPr>
        <w:t xml:space="preserve"> </w:t>
      </w:r>
      <w:r w:rsidR="008B7D99">
        <w:rPr>
          <w:rFonts w:ascii="Times New Roman" w:hAnsi="Times New Roman" w:cs="Times New Roman"/>
          <w:sz w:val="24"/>
          <w:szCs w:val="24"/>
        </w:rPr>
        <w:t>(2007) as follows</w:t>
      </w:r>
      <w:r>
        <w:rPr>
          <w:rFonts w:ascii="Times New Roman" w:hAnsi="Times New Roman" w:cs="Times New Roman"/>
          <w:sz w:val="24"/>
          <w:szCs w:val="24"/>
        </w:rPr>
        <w:t>:</w:t>
      </w:r>
    </w:p>
    <w:p w:rsidR="004A1EFF" w:rsidRDefault="00C16EA4" w:rsidP="004A1EFF">
      <w:pPr>
        <w:rPr>
          <w:rFonts w:ascii="Times New Roman" w:eastAsiaTheme="minorEastAsia" w:hAnsi="Times New Roman" w:cs="Times New Roman"/>
          <w:sz w:val="24"/>
          <w:szCs w:val="24"/>
        </w:rPr>
      </w:pPr>
      <m:oMathPara>
        <m:oMathParaPr>
          <m:jc m:val="center"/>
        </m:oMathParaPr>
        <m:oMath>
          <m:sSub>
            <m:sSubPr>
              <m:ctrlPr>
                <w:rPr>
                  <w:rFonts w:ascii="Cambria Math" w:hAnsi="Cambria Math" w:cs="Times New Roman"/>
                  <w:i/>
                  <w:sz w:val="24"/>
                  <w:szCs w:val="24"/>
                </w:rPr>
              </m:ctrlPr>
            </m:sSubPr>
            <m:e>
              <m:r>
                <w:rPr>
                  <w:rFonts w:ascii="Cambria Math" w:hAnsi="Cambria Math" w:cs="Times New Roman"/>
                  <w:sz w:val="24"/>
                  <w:szCs w:val="24"/>
                  <w:lang w:val="el-GR"/>
                </w:rPr>
                <m:t>Δ</m:t>
              </m:r>
              <m:r>
                <w:rPr>
                  <w:rFonts w:ascii="Cambria Math" w:hAnsi="Cambria Math" w:cs="Times New Roman"/>
                  <w:sz w:val="24"/>
                  <w:szCs w:val="24"/>
                </w:rPr>
                <m:t>c</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i</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l-GR"/>
                    </w:rPr>
                    <m:t>β</m:t>
                  </m:r>
                </m:e>
                <m:sub>
                  <m:r>
                    <w:rPr>
                      <w:rFonts w:ascii="Cambria Math" w:hAnsi="Cambria Math" w:cs="Times New Roman"/>
                      <w:sz w:val="24"/>
                      <w:szCs w:val="24"/>
                    </w:rPr>
                    <m:t>1</m:t>
                  </m:r>
                </m:sub>
              </m:sSub>
              <m:sSubSup>
                <m:sSubSupPr>
                  <m:ctrlPr>
                    <w:rPr>
                      <w:rFonts w:ascii="Cambria Math" w:hAnsi="Cambria Math" w:cs="Times New Roman"/>
                      <w:i/>
                      <w:sz w:val="24"/>
                      <w:szCs w:val="24"/>
                    </w:rPr>
                  </m:ctrlPr>
                </m:sSubSupPr>
                <m:e>
                  <m:r>
                    <w:rPr>
                      <w:rFonts w:ascii="Cambria Math" w:hAnsi="Cambria Math" w:cs="Times New Roman"/>
                      <w:sz w:val="24"/>
                      <w:szCs w:val="24"/>
                    </w:rPr>
                    <m:t>y</m:t>
                  </m:r>
                </m:e>
                <m:sub>
                  <m:r>
                    <w:rPr>
                      <w:rFonts w:ascii="Cambria Math" w:hAnsi="Cambria Math" w:cs="Times New Roman"/>
                      <w:sz w:val="24"/>
                      <w:szCs w:val="24"/>
                    </w:rPr>
                    <m:t>t-1,i</m:t>
                  </m:r>
                </m:sub>
                <m:sup>
                  <m:r>
                    <w:rPr>
                      <w:rFonts w:ascii="Cambria Math" w:hAnsi="Cambria Math" w:cs="Times New Roman"/>
                      <w:sz w:val="24"/>
                      <w:szCs w:val="24"/>
                    </w:rPr>
                    <m:t>d</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sSubSup>
                <m:sSubSupPr>
                  <m:ctrlPr>
                    <w:rPr>
                      <w:rFonts w:ascii="Cambria Math" w:hAnsi="Cambria Math" w:cs="Times New Roman"/>
                      <w:i/>
                      <w:sz w:val="24"/>
                      <w:szCs w:val="24"/>
                    </w:rPr>
                  </m:ctrlPr>
                </m:sSubSupPr>
                <m:e>
                  <m:r>
                    <w:rPr>
                      <w:rFonts w:ascii="Cambria Math" w:hAnsi="Cambria Math" w:cs="Times New Roman"/>
                      <w:sz w:val="24"/>
                      <w:szCs w:val="24"/>
                    </w:rPr>
                    <m:t>w</m:t>
                  </m:r>
                </m:e>
                <m:sub>
                  <m:r>
                    <w:rPr>
                      <w:rFonts w:ascii="Cambria Math" w:hAnsi="Cambria Math" w:cs="Times New Roman"/>
                      <w:sz w:val="24"/>
                      <w:szCs w:val="24"/>
                    </w:rPr>
                    <m:t>t-1,</m:t>
                  </m:r>
                  <m:r>
                    <w:rPr>
                      <w:rFonts w:ascii="Cambria Math" w:hAnsi="Cambria Math" w:cs="Times New Roman"/>
                      <w:sz w:val="24"/>
                      <w:szCs w:val="24"/>
                      <w:lang w:val="el-GR"/>
                    </w:rPr>
                    <m:t>i</m:t>
                  </m:r>
                </m:sub>
                <m:sup>
                  <m:r>
                    <w:rPr>
                      <w:rFonts w:ascii="Cambria Math" w:hAnsi="Cambria Math" w:cs="Times New Roman"/>
                      <w:sz w:val="24"/>
                      <w:szCs w:val="24"/>
                    </w:rPr>
                    <m:t>e</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l-GR"/>
                    </w:rPr>
                    <m:t>β</m:t>
                  </m:r>
                </m:e>
                <m:sub>
                  <m:r>
                    <w:rPr>
                      <w:rFonts w:ascii="Cambria Math" w:hAnsi="Cambria Math" w:cs="Times New Roman"/>
                      <w:sz w:val="24"/>
                      <w:szCs w:val="24"/>
                    </w:rPr>
                    <m:t>3</m:t>
                  </m:r>
                </m:sub>
              </m:sSub>
              <m:sSubSup>
                <m:sSubSupPr>
                  <m:ctrlPr>
                    <w:rPr>
                      <w:rFonts w:ascii="Cambria Math" w:hAnsi="Cambria Math" w:cs="Times New Roman"/>
                      <w:i/>
                      <w:sz w:val="24"/>
                      <w:szCs w:val="24"/>
                    </w:rPr>
                  </m:ctrlPr>
                </m:sSubSupPr>
                <m:e>
                  <m:r>
                    <w:rPr>
                      <w:rFonts w:ascii="Cambria Math" w:hAnsi="Cambria Math" w:cs="Times New Roman"/>
                      <w:sz w:val="24"/>
                      <w:szCs w:val="24"/>
                    </w:rPr>
                    <m:t>w</m:t>
                  </m:r>
                </m:e>
                <m:sub>
                  <m:r>
                    <w:rPr>
                      <w:rFonts w:ascii="Cambria Math" w:hAnsi="Cambria Math" w:cs="Times New Roman"/>
                      <w:sz w:val="24"/>
                      <w:szCs w:val="24"/>
                    </w:rPr>
                    <m:t>t-1,i</m:t>
                  </m:r>
                </m:sub>
                <m:sup>
                  <m:r>
                    <w:rPr>
                      <w:rFonts w:ascii="Cambria Math" w:hAnsi="Cambria Math" w:cs="Times New Roman"/>
                      <w:sz w:val="24"/>
                      <w:szCs w:val="24"/>
                    </w:rPr>
                    <m:t>h</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t-1,i</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0,i</m:t>
              </m:r>
            </m:sub>
          </m:sSub>
          <m:d>
            <m:dPr>
              <m:ctrlPr>
                <w:rPr>
                  <w:rFonts w:ascii="Cambria Math" w:hAnsi="Cambria Math" w:cs="Times New Roman"/>
                  <w:i/>
                  <w:sz w:val="24"/>
                  <w:szCs w:val="24"/>
                </w:rPr>
              </m:ctrlPr>
            </m:dPr>
            <m:e>
              <m:r>
                <w:rPr>
                  <w:rFonts w:ascii="Cambria Math" w:hAnsi="Cambria Math" w:cs="Times New Roman"/>
                  <w:sz w:val="24"/>
                  <w:szCs w:val="24"/>
                </w:rPr>
                <m:t>L</m:t>
              </m:r>
            </m:e>
          </m:d>
          <m:sSub>
            <m:sSubPr>
              <m:ctrlPr>
                <w:rPr>
                  <w:rFonts w:ascii="Cambria Math" w:hAnsi="Cambria Math" w:cs="Times New Roman"/>
                  <w:i/>
                  <w:sz w:val="24"/>
                  <w:szCs w:val="24"/>
                </w:rPr>
              </m:ctrlPr>
            </m:sSubPr>
            <m:e>
              <m:r>
                <w:rPr>
                  <w:rFonts w:ascii="Cambria Math" w:hAnsi="Cambria Math" w:cs="Times New Roman"/>
                  <w:sz w:val="24"/>
                  <w:szCs w:val="24"/>
                  <w:lang w:val="el-GR"/>
                </w:rPr>
                <m:t>Δ</m:t>
              </m:r>
              <m:r>
                <w:rPr>
                  <w:rFonts w:ascii="Cambria Math" w:hAnsi="Cambria Math" w:cs="Times New Roman"/>
                  <w:sz w:val="24"/>
                  <w:szCs w:val="24"/>
                </w:rPr>
                <m:t>c</m:t>
              </m:r>
            </m:e>
            <m:sub>
              <m:r>
                <w:rPr>
                  <w:rFonts w:ascii="Cambria Math" w:hAnsi="Cambria Math" w:cs="Times New Roman"/>
                  <w:sz w:val="24"/>
                  <w:szCs w:val="24"/>
                </w:rPr>
                <m:t>i,t-1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1,i</m:t>
              </m:r>
            </m:sub>
          </m:sSub>
          <m:d>
            <m:dPr>
              <m:ctrlPr>
                <w:rPr>
                  <w:rFonts w:ascii="Cambria Math" w:hAnsi="Cambria Math" w:cs="Times New Roman"/>
                  <w:i/>
                  <w:sz w:val="24"/>
                  <w:szCs w:val="24"/>
                </w:rPr>
              </m:ctrlPr>
            </m:dPr>
            <m:e>
              <m:r>
                <w:rPr>
                  <w:rFonts w:ascii="Cambria Math" w:hAnsi="Cambria Math" w:cs="Times New Roman"/>
                  <w:sz w:val="24"/>
                  <w:szCs w:val="24"/>
                </w:rPr>
                <m:t>L</m:t>
              </m:r>
            </m:e>
          </m:d>
          <m:sSubSup>
            <m:sSubSupPr>
              <m:ctrlPr>
                <w:rPr>
                  <w:rFonts w:ascii="Cambria Math" w:hAnsi="Cambria Math" w:cs="Times New Roman"/>
                  <w:i/>
                  <w:sz w:val="24"/>
                  <w:szCs w:val="24"/>
                </w:rPr>
              </m:ctrlPr>
            </m:sSubSupPr>
            <m:e>
              <m:r>
                <w:rPr>
                  <w:rFonts w:ascii="Cambria Math" w:hAnsi="Cambria Math" w:cs="Times New Roman"/>
                  <w:sz w:val="24"/>
                  <w:szCs w:val="24"/>
                  <w:lang w:val="el-GR"/>
                </w:rPr>
                <m:t>Δ</m:t>
              </m:r>
              <m:r>
                <w:rPr>
                  <w:rFonts w:ascii="Cambria Math" w:hAnsi="Cambria Math" w:cs="Times New Roman"/>
                  <w:sz w:val="24"/>
                  <w:szCs w:val="24"/>
                </w:rPr>
                <m:t>y</m:t>
              </m:r>
            </m:e>
            <m:sub>
              <m:r>
                <w:rPr>
                  <w:rFonts w:ascii="Cambria Math" w:hAnsi="Cambria Math" w:cs="Times New Roman"/>
                  <w:sz w:val="24"/>
                  <w:szCs w:val="24"/>
                </w:rPr>
                <m:t>i,t-1</m:t>
              </m:r>
            </m:sub>
            <m:sup>
              <m:r>
                <w:rPr>
                  <w:rFonts w:ascii="Cambria Math" w:hAnsi="Cambria Math" w:cs="Times New Roman"/>
                  <w:sz w:val="24"/>
                  <w:szCs w:val="24"/>
                </w:rPr>
                <m:t>d</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2,i</m:t>
              </m:r>
            </m:sub>
          </m:sSub>
          <m:d>
            <m:dPr>
              <m:ctrlPr>
                <w:rPr>
                  <w:rFonts w:ascii="Cambria Math" w:hAnsi="Cambria Math" w:cs="Times New Roman"/>
                  <w:i/>
                  <w:sz w:val="24"/>
                  <w:szCs w:val="24"/>
                </w:rPr>
              </m:ctrlPr>
            </m:dPr>
            <m:e>
              <m:r>
                <w:rPr>
                  <w:rFonts w:ascii="Cambria Math" w:hAnsi="Cambria Math" w:cs="Times New Roman"/>
                  <w:sz w:val="24"/>
                  <w:szCs w:val="24"/>
                </w:rPr>
                <m:t>L</m:t>
              </m:r>
            </m:e>
          </m:d>
          <m:sSubSup>
            <m:sSubSupPr>
              <m:ctrlPr>
                <w:rPr>
                  <w:rFonts w:ascii="Cambria Math" w:hAnsi="Cambria Math" w:cs="Times New Roman"/>
                  <w:i/>
                  <w:sz w:val="24"/>
                  <w:szCs w:val="24"/>
                </w:rPr>
              </m:ctrlPr>
            </m:sSubSupPr>
            <m:e>
              <m:r>
                <w:rPr>
                  <w:rFonts w:ascii="Cambria Math" w:hAnsi="Cambria Math" w:cs="Times New Roman"/>
                  <w:sz w:val="24"/>
                  <w:szCs w:val="24"/>
                  <w:lang w:val="el-GR"/>
                </w:rPr>
                <m:t>Δw</m:t>
              </m:r>
            </m:e>
            <m:sub>
              <m:r>
                <w:rPr>
                  <w:rFonts w:ascii="Cambria Math" w:hAnsi="Cambria Math" w:cs="Times New Roman"/>
                  <w:sz w:val="24"/>
                  <w:szCs w:val="24"/>
                </w:rPr>
                <m:t>i,t-1</m:t>
              </m:r>
            </m:sub>
            <m:sup>
              <m:r>
                <w:rPr>
                  <w:rFonts w:ascii="Cambria Math" w:hAnsi="Cambria Math" w:cs="Times New Roman"/>
                  <w:sz w:val="24"/>
                  <w:szCs w:val="24"/>
                </w:rPr>
                <m:t>e</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3,i</m:t>
              </m:r>
            </m:sub>
          </m:sSub>
          <m:d>
            <m:dPr>
              <m:ctrlPr>
                <w:rPr>
                  <w:rFonts w:ascii="Cambria Math" w:hAnsi="Cambria Math" w:cs="Times New Roman"/>
                  <w:i/>
                  <w:sz w:val="24"/>
                  <w:szCs w:val="24"/>
                </w:rPr>
              </m:ctrlPr>
            </m:dPr>
            <m:e>
              <m:r>
                <w:rPr>
                  <w:rFonts w:ascii="Cambria Math" w:hAnsi="Cambria Math" w:cs="Times New Roman"/>
                  <w:sz w:val="24"/>
                  <w:szCs w:val="24"/>
                </w:rPr>
                <m:t>L</m:t>
              </m:r>
            </m:e>
          </m:d>
          <m:sSubSup>
            <m:sSubSupPr>
              <m:ctrlPr>
                <w:rPr>
                  <w:rFonts w:ascii="Cambria Math" w:hAnsi="Cambria Math" w:cs="Times New Roman"/>
                  <w:i/>
                  <w:sz w:val="24"/>
                  <w:szCs w:val="24"/>
                </w:rPr>
              </m:ctrlPr>
            </m:sSubSupPr>
            <m:e>
              <m:r>
                <w:rPr>
                  <w:rFonts w:ascii="Cambria Math" w:hAnsi="Cambria Math" w:cs="Times New Roman"/>
                  <w:sz w:val="24"/>
                  <w:szCs w:val="24"/>
                  <w:lang w:val="el-GR"/>
                </w:rPr>
                <m:t>Δ</m:t>
              </m:r>
              <m:r>
                <w:rPr>
                  <w:rFonts w:ascii="Cambria Math" w:hAnsi="Cambria Math" w:cs="Times New Roman"/>
                  <w:sz w:val="24"/>
                  <w:szCs w:val="24"/>
                </w:rPr>
                <m:t>w</m:t>
              </m:r>
            </m:e>
            <m:sub>
              <m:r>
                <w:rPr>
                  <w:rFonts w:ascii="Cambria Math" w:hAnsi="Cambria Math" w:cs="Times New Roman"/>
                  <w:sz w:val="24"/>
                  <w:szCs w:val="24"/>
                </w:rPr>
                <m:t>i,t-1</m:t>
              </m:r>
            </m:sub>
            <m:sup>
              <m:r>
                <w:rPr>
                  <w:rFonts w:ascii="Cambria Math" w:hAnsi="Cambria Math" w:cs="Times New Roman"/>
                  <w:sz w:val="24"/>
                  <w:szCs w:val="24"/>
                </w:rPr>
                <m:t>h</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4,i</m:t>
              </m:r>
            </m:sub>
          </m:sSub>
          <m:d>
            <m:dPr>
              <m:ctrlPr>
                <w:rPr>
                  <w:rFonts w:ascii="Cambria Math" w:hAnsi="Cambria Math" w:cs="Times New Roman"/>
                  <w:i/>
                  <w:sz w:val="24"/>
                  <w:szCs w:val="24"/>
                </w:rPr>
              </m:ctrlPr>
            </m:dPr>
            <m:e>
              <m:r>
                <w:rPr>
                  <w:rFonts w:ascii="Cambria Math" w:hAnsi="Cambria Math" w:cs="Times New Roman"/>
                  <w:sz w:val="24"/>
                  <w:szCs w:val="24"/>
                </w:rPr>
                <m:t>L</m:t>
              </m:r>
            </m:e>
          </m:d>
          <m:sSub>
            <m:sSubPr>
              <m:ctrlPr>
                <w:rPr>
                  <w:rFonts w:ascii="Cambria Math" w:hAnsi="Cambria Math" w:cs="Times New Roman"/>
                  <w:i/>
                  <w:sz w:val="24"/>
                  <w:szCs w:val="24"/>
                </w:rPr>
              </m:ctrlPr>
            </m:sSubPr>
            <m:e>
              <m:r>
                <w:rPr>
                  <w:rFonts w:ascii="Cambria Math" w:hAnsi="Cambria Math" w:cs="Times New Roman"/>
                  <w:sz w:val="24"/>
                  <w:szCs w:val="24"/>
                  <w:lang w:val="el-GR"/>
                </w:rPr>
                <m:t>Δ</m:t>
              </m:r>
              <m:r>
                <w:rPr>
                  <w:rFonts w:ascii="Cambria Math" w:hAnsi="Cambria Math" w:cs="Times New Roman"/>
                  <w:sz w:val="24"/>
                  <w:szCs w:val="24"/>
                </w:rPr>
                <m:t>g</m:t>
              </m:r>
            </m:e>
            <m:sub>
              <m:r>
                <w:rPr>
                  <w:rFonts w:ascii="Cambria Math" w:hAnsi="Cambria Math" w:cs="Times New Roman"/>
                  <w:sz w:val="24"/>
                  <w:szCs w:val="24"/>
                </w:rPr>
                <m:t>i,t-1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t,i</m:t>
              </m:r>
            </m:sub>
          </m:sSub>
          <m:r>
            <w:rPr>
              <w:rFonts w:ascii="Cambria Math" w:hAnsi="Cambria Math" w:cs="Times New Roman"/>
              <w:sz w:val="24"/>
              <w:szCs w:val="24"/>
            </w:rPr>
            <m:t xml:space="preserve"> , i=1,2,…,N,t=1,2,…,T.</m:t>
          </m:r>
        </m:oMath>
      </m:oMathPara>
    </w:p>
    <w:p w:rsidR="006C5D58" w:rsidRDefault="004A1EFF" w:rsidP="004A1EFF">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j,i</m:t>
            </m:r>
          </m:sub>
        </m:sSub>
        <m:r>
          <w:rPr>
            <w:rFonts w:ascii="Cambria Math" w:eastAsiaTheme="minorEastAsia" w:hAnsi="Cambria Math" w:cs="Times New Roman"/>
            <w:sz w:val="24"/>
            <w:szCs w:val="24"/>
          </w:rPr>
          <m:t>(L)</m:t>
        </m:r>
      </m:oMath>
      <w:r>
        <w:rPr>
          <w:rFonts w:ascii="Times New Roman" w:eastAsiaTheme="minorEastAsia" w:hAnsi="Times New Roman" w:cs="Times New Roman"/>
          <w:sz w:val="24"/>
          <w:szCs w:val="24"/>
        </w:rPr>
        <w:t xml:space="preserve"> (j=0,…</w:t>
      </w:r>
      <w:proofErr w:type="gramStart"/>
      <w:r>
        <w:rPr>
          <w:rFonts w:ascii="Times New Roman" w:eastAsiaTheme="minorEastAsia" w:hAnsi="Times New Roman" w:cs="Times New Roman"/>
          <w:sz w:val="24"/>
          <w:szCs w:val="24"/>
        </w:rPr>
        <w:t>,4</w:t>
      </w:r>
      <w:proofErr w:type="gramEnd"/>
      <w:r>
        <w:rPr>
          <w:rFonts w:ascii="Times New Roman" w:eastAsiaTheme="minorEastAsia" w:hAnsi="Times New Roman" w:cs="Times New Roman"/>
          <w:sz w:val="24"/>
          <w:szCs w:val="24"/>
        </w:rPr>
        <w:t>) denote polynomials in the lag operator. Our results regarding the ADRL model estimations appear in the following tables:</w:t>
      </w:r>
    </w:p>
    <w:p w:rsidR="008B7D99" w:rsidRDefault="008B7D99" w:rsidP="008B7D99">
      <w:pPr>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Table 26 - Short run estimated coefficients of the ADRL model – basic equation  </w:t>
      </w:r>
    </w:p>
    <w:tbl>
      <w:tblPr>
        <w:tblStyle w:val="aa"/>
        <w:tblW w:w="0" w:type="auto"/>
        <w:jc w:val="center"/>
        <w:tblLook w:val="04A0"/>
      </w:tblPr>
      <w:tblGrid>
        <w:gridCol w:w="2921"/>
        <w:gridCol w:w="1331"/>
        <w:gridCol w:w="1046"/>
        <w:gridCol w:w="1106"/>
      </w:tblGrid>
      <w:tr w:rsidR="004A1EFF" w:rsidTr="004A1EFF">
        <w:trPr>
          <w:jc w:val="center"/>
        </w:trPr>
        <w:tc>
          <w:tcPr>
            <w:tcW w:w="0" w:type="auto"/>
            <w:gridSpan w:val="4"/>
            <w:tcBorders>
              <w:top w:val="single" w:sz="4" w:space="0" w:color="auto"/>
              <w:left w:val="single" w:sz="4" w:space="0" w:color="auto"/>
              <w:bottom w:val="single" w:sz="4" w:space="0" w:color="auto"/>
              <w:right w:val="single" w:sz="4" w:space="0" w:color="auto"/>
            </w:tcBorders>
            <w:hideMark/>
          </w:tcPr>
          <w:p w:rsidR="004A1EFF" w:rsidRDefault="004A1EFF">
            <w:pPr>
              <w:jc w:val="center"/>
            </w:pPr>
            <w:r>
              <w:t>Short run coefficients / ADRL model – Basic equation</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tcPr>
          <w:p w:rsidR="004A1EFF" w:rsidRDefault="004A1EFF">
            <w:pPr>
              <w:jc w:val="center"/>
            </w:pP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All countries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Low debt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High debt</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proofErr w:type="spellStart"/>
            <w:r>
              <w:t>Cointegration</w:t>
            </w:r>
            <w:proofErr w:type="spellEnd"/>
            <w:r>
              <w:t xml:space="preserve"> term coefficient</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-0.1819</w:t>
            </w:r>
            <w:r>
              <w:rPr>
                <w:vertAlign w:val="superscript"/>
              </w:rPr>
              <w:t>***</w:t>
            </w:r>
          </w:p>
          <w:p w:rsidR="004A1EFF" w:rsidRDefault="004A1EFF">
            <w:pPr>
              <w:jc w:val="center"/>
            </w:pPr>
            <w:r>
              <w:t>(0.0295)</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-0.1986</w:t>
            </w:r>
            <w:r>
              <w:rPr>
                <w:vertAlign w:val="superscript"/>
              </w:rPr>
              <w:t>**</w:t>
            </w:r>
          </w:p>
          <w:p w:rsidR="004A1EFF" w:rsidRDefault="004A1EFF">
            <w:pPr>
              <w:jc w:val="center"/>
            </w:pPr>
            <w:r>
              <w:t>(0.0838)</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-0.2371</w:t>
            </w:r>
            <w:r>
              <w:rPr>
                <w:vertAlign w:val="superscript"/>
              </w:rPr>
              <w:t>***</w:t>
            </w:r>
          </w:p>
          <w:p w:rsidR="004A1EFF" w:rsidRDefault="004A1EFF">
            <w:pPr>
              <w:jc w:val="center"/>
            </w:pPr>
            <w:r>
              <w:t>(0.0404)</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Δy</w:t>
            </w:r>
            <w:r>
              <w:rPr>
                <w:vertAlign w:val="superscript"/>
              </w:rPr>
              <w:t>d</w:t>
            </w:r>
            <w:r>
              <w:rPr>
                <w:vertAlign w:val="subscript"/>
              </w:rPr>
              <w:t>t-1</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-0.0545</w:t>
            </w:r>
          </w:p>
          <w:p w:rsidR="004A1EFF" w:rsidRDefault="004A1EFF">
            <w:pPr>
              <w:jc w:val="center"/>
            </w:pPr>
            <w:r>
              <w:t>(0.0778)</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0.0815</w:t>
            </w:r>
          </w:p>
          <w:p w:rsidR="004A1EFF" w:rsidRDefault="004A1EFF">
            <w:pPr>
              <w:jc w:val="center"/>
            </w:pPr>
            <w:r>
              <w:t>(0.1091)</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-0.1517</w:t>
            </w:r>
          </w:p>
          <w:p w:rsidR="004A1EFF" w:rsidRDefault="004A1EFF">
            <w:pPr>
              <w:jc w:val="center"/>
            </w:pPr>
            <w:r>
              <w:t>(0.1149)</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bscript"/>
              </w:rPr>
            </w:pPr>
            <w:r>
              <w:t>Δw</w:t>
            </w:r>
            <w:r>
              <w:rPr>
                <w:vertAlign w:val="superscript"/>
              </w:rPr>
              <w:t>e</w:t>
            </w:r>
            <w:r>
              <w:rPr>
                <w:vertAlign w:val="subscript"/>
              </w:rPr>
              <w:t>t-1</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0.0178</w:t>
            </w:r>
            <w:r>
              <w:rPr>
                <w:vertAlign w:val="superscript"/>
              </w:rPr>
              <w:t>***</w:t>
            </w:r>
          </w:p>
          <w:p w:rsidR="004A1EFF" w:rsidRDefault="004A1EFF">
            <w:pPr>
              <w:jc w:val="center"/>
            </w:pPr>
            <w:r>
              <w:t>(0.0054)</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0.0162</w:t>
            </w:r>
            <w:r>
              <w:rPr>
                <w:vertAlign w:val="superscript"/>
              </w:rPr>
              <w:t>**</w:t>
            </w:r>
          </w:p>
          <w:p w:rsidR="004A1EFF" w:rsidRDefault="004A1EFF">
            <w:pPr>
              <w:jc w:val="center"/>
            </w:pPr>
            <w:r>
              <w:t>(0.0064)</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0.0234</w:t>
            </w:r>
            <w:r>
              <w:rPr>
                <w:vertAlign w:val="superscript"/>
              </w:rPr>
              <w:t>***</w:t>
            </w:r>
          </w:p>
          <w:p w:rsidR="004A1EFF" w:rsidRDefault="004A1EFF">
            <w:pPr>
              <w:jc w:val="center"/>
            </w:pPr>
            <w:r>
              <w:t>(0.0087)</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bscript"/>
              </w:rPr>
            </w:pPr>
            <w:r>
              <w:t>Δw</w:t>
            </w:r>
            <w:r>
              <w:rPr>
                <w:vertAlign w:val="superscript"/>
              </w:rPr>
              <w:t>h</w:t>
            </w:r>
            <w:r>
              <w:rPr>
                <w:vertAlign w:val="subscript"/>
              </w:rPr>
              <w:t>t-1</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0.1066</w:t>
            </w:r>
            <w:r>
              <w:rPr>
                <w:vertAlign w:val="superscript"/>
              </w:rPr>
              <w:t>***</w:t>
            </w:r>
          </w:p>
          <w:p w:rsidR="004A1EFF" w:rsidRDefault="004A1EFF">
            <w:pPr>
              <w:jc w:val="center"/>
            </w:pPr>
            <w:r>
              <w:t>(0.0270)</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0.0612</w:t>
            </w:r>
          </w:p>
          <w:p w:rsidR="004A1EFF" w:rsidRDefault="004A1EFF">
            <w:pPr>
              <w:jc w:val="center"/>
            </w:pPr>
            <w:r>
              <w:t>(0.0372)</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0.0918</w:t>
            </w:r>
            <w:r>
              <w:rPr>
                <w:vertAlign w:val="superscript"/>
              </w:rPr>
              <w:t>**</w:t>
            </w:r>
          </w:p>
          <w:p w:rsidR="004A1EFF" w:rsidRDefault="004A1EFF">
            <w:pPr>
              <w:jc w:val="center"/>
            </w:pPr>
            <w:r>
              <w:t>(0.0374)</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bscript"/>
              </w:rPr>
            </w:pPr>
            <w:r>
              <w:t>Δd</w:t>
            </w:r>
            <w:r>
              <w:rPr>
                <w:vertAlign w:val="subscript"/>
              </w:rPr>
              <w:t>t-1</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-0.0401</w:t>
            </w:r>
            <w:r>
              <w:rPr>
                <w:vertAlign w:val="superscript"/>
              </w:rPr>
              <w:t>**</w:t>
            </w:r>
          </w:p>
          <w:p w:rsidR="004A1EFF" w:rsidRDefault="004A1EFF">
            <w:pPr>
              <w:jc w:val="center"/>
            </w:pPr>
            <w:r>
              <w:t>(0.0191)</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0.0192</w:t>
            </w:r>
          </w:p>
          <w:p w:rsidR="004A1EFF" w:rsidRDefault="004A1EFF">
            <w:pPr>
              <w:jc w:val="center"/>
            </w:pPr>
            <w:r>
              <w:t>(0.0295)</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-0.0737</w:t>
            </w:r>
            <w:r>
              <w:rPr>
                <w:vertAlign w:val="superscript"/>
              </w:rPr>
              <w:t>***</w:t>
            </w:r>
          </w:p>
          <w:p w:rsidR="004A1EFF" w:rsidRDefault="004A1EFF">
            <w:pPr>
              <w:jc w:val="center"/>
            </w:pPr>
            <w:r>
              <w:t>(0.0263)</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Intercept</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0.0072</w:t>
            </w:r>
            <w:r>
              <w:rPr>
                <w:vertAlign w:val="superscript"/>
              </w:rPr>
              <w:t>***</w:t>
            </w:r>
          </w:p>
          <w:p w:rsidR="004A1EFF" w:rsidRDefault="004A1EFF">
            <w:pPr>
              <w:jc w:val="center"/>
            </w:pPr>
            <w:r>
              <w:t>(0.0016)</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0.0036</w:t>
            </w:r>
          </w:p>
          <w:p w:rsidR="004A1EFF" w:rsidRDefault="004A1EFF">
            <w:pPr>
              <w:jc w:val="center"/>
            </w:pPr>
            <w:r>
              <w:t>(0.0022)</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rPr>
                <w:vertAlign w:val="superscript"/>
              </w:rPr>
            </w:pPr>
            <w:r>
              <w:t>0.0101</w:t>
            </w:r>
            <w:r>
              <w:rPr>
                <w:vertAlign w:val="superscript"/>
              </w:rPr>
              <w:t>***</w:t>
            </w:r>
          </w:p>
          <w:p w:rsidR="004A1EFF" w:rsidRDefault="004A1EFF">
            <w:pPr>
              <w:jc w:val="center"/>
            </w:pPr>
            <w:r>
              <w:t>(0.0022)</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R</w:t>
            </w:r>
            <w:r>
              <w:rPr>
                <w:vertAlign w:val="superscript"/>
              </w:rPr>
              <w:t>2</w:t>
            </w:r>
            <w:r>
              <w:t>- adj.</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0.5663</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0.4359</w:t>
            </w:r>
          </w:p>
        </w:tc>
        <w:tc>
          <w:tcPr>
            <w:tcW w:w="0" w:type="auto"/>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0.6350</w:t>
            </w:r>
          </w:p>
        </w:tc>
      </w:tr>
    </w:tbl>
    <w:p w:rsidR="004A1EFF" w:rsidRDefault="004A1EFF" w:rsidP="004A1EFF">
      <w:pPr>
        <w:jc w:val="center"/>
      </w:pPr>
      <w:r>
        <w:t xml:space="preserve">Values in parentheses denote the </w:t>
      </w:r>
      <w:proofErr w:type="gramStart"/>
      <w:r>
        <w:t>Std</w:t>
      </w:r>
      <w:proofErr w:type="gramEnd"/>
      <w:r>
        <w:t xml:space="preserve"> errors.  ***, ** and * stand for 1%, 5% and 10% level of statistical significance.</w:t>
      </w:r>
    </w:p>
    <w:p w:rsidR="008B7D99" w:rsidRPr="00B0397A" w:rsidRDefault="00B0397A" w:rsidP="00B0397A">
      <w:pPr>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Table 27 - Short run estimated coefficients of the ADRL model – extended equation  </w:t>
      </w:r>
    </w:p>
    <w:tbl>
      <w:tblPr>
        <w:tblStyle w:val="aa"/>
        <w:tblW w:w="0" w:type="auto"/>
        <w:jc w:val="center"/>
        <w:tblLook w:val="04A0"/>
      </w:tblPr>
      <w:tblGrid>
        <w:gridCol w:w="2921"/>
        <w:gridCol w:w="1331"/>
        <w:gridCol w:w="1106"/>
        <w:gridCol w:w="1106"/>
      </w:tblGrid>
      <w:tr w:rsidR="004A1EFF" w:rsidTr="004A1EFF">
        <w:trPr>
          <w:jc w:val="center"/>
        </w:trPr>
        <w:tc>
          <w:tcPr>
            <w:tcW w:w="0" w:type="auto"/>
            <w:gridSpan w:val="4"/>
            <w:tcBorders>
              <w:top w:val="single" w:sz="4" w:space="0" w:color="auto"/>
              <w:left w:val="single" w:sz="4" w:space="0" w:color="auto"/>
              <w:bottom w:val="single" w:sz="4" w:space="0" w:color="auto"/>
              <w:right w:val="single" w:sz="4" w:space="0" w:color="auto"/>
            </w:tcBorders>
            <w:hideMark/>
          </w:tcPr>
          <w:p w:rsidR="004A1EFF" w:rsidRDefault="004A1EFF">
            <w:pPr>
              <w:jc w:val="center"/>
            </w:pPr>
            <w:r>
              <w:t>Short run coefficients / ADRL model – Extended equation (including g)</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tcPr>
          <w:p w:rsidR="004A1EFF" w:rsidRDefault="004A1EFF"/>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All countries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 xml:space="preserve">Low debt </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High debt</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roofErr w:type="spellStart"/>
            <w:r>
              <w:t>Cointegration</w:t>
            </w:r>
            <w:proofErr w:type="spellEnd"/>
            <w:r>
              <w:t xml:space="preserve"> term coefficient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-0.2304</w:t>
            </w:r>
            <w:r>
              <w:rPr>
                <w:vertAlign w:val="superscript"/>
              </w:rPr>
              <w:t>***</w:t>
            </w:r>
          </w:p>
          <w:p w:rsidR="004A1EFF" w:rsidRDefault="004A1EFF">
            <w:pPr>
              <w:jc w:val="center"/>
            </w:pPr>
            <w:r>
              <w:t>(0.0335)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-0.2940</w:t>
            </w:r>
            <w:r>
              <w:rPr>
                <w:vertAlign w:val="superscript"/>
              </w:rPr>
              <w:t>***</w:t>
            </w:r>
          </w:p>
          <w:p w:rsidR="004A1EFF" w:rsidRDefault="004A1EFF">
            <w:pPr>
              <w:jc w:val="center"/>
            </w:pPr>
            <w:r>
              <w:t>(0.0797)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-0.1577</w:t>
            </w:r>
            <w:r>
              <w:rPr>
                <w:vertAlign w:val="superscript"/>
              </w:rPr>
              <w:t>***</w:t>
            </w:r>
          </w:p>
          <w:p w:rsidR="004A1EFF" w:rsidRDefault="004A1EFF">
            <w:pPr>
              <w:jc w:val="center"/>
            </w:pPr>
            <w:r>
              <w:t>(0.0349)</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perscript"/>
              </w:rPr>
            </w:pPr>
            <w:r>
              <w:t>Δy</w:t>
            </w:r>
            <w:r>
              <w:rPr>
                <w:vertAlign w:val="superscript"/>
              </w:rPr>
              <w:t>d</w:t>
            </w:r>
            <w:r>
              <w:rPr>
                <w:vertAlign w:val="subscript"/>
              </w:rPr>
              <w:t>t-1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-0.1563</w:t>
            </w:r>
            <w:r>
              <w:rPr>
                <w:vertAlign w:val="superscript"/>
              </w:rPr>
              <w:t>**</w:t>
            </w:r>
          </w:p>
          <w:p w:rsidR="004A1EFF" w:rsidRDefault="004A1EFF">
            <w:pPr>
              <w:jc w:val="center"/>
            </w:pPr>
            <w:r>
              <w:t>(0.0722)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-0.0273</w:t>
            </w:r>
          </w:p>
          <w:p w:rsidR="004A1EFF" w:rsidRDefault="004A1EFF">
            <w:pPr>
              <w:jc w:val="center"/>
            </w:pPr>
            <w:r>
              <w:t>(0.1061)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-0.2907</w:t>
            </w:r>
            <w:r>
              <w:rPr>
                <w:vertAlign w:val="superscript"/>
              </w:rPr>
              <w:t>**</w:t>
            </w:r>
          </w:p>
          <w:p w:rsidR="004A1EFF" w:rsidRDefault="004A1EFF">
            <w:pPr>
              <w:jc w:val="center"/>
            </w:pPr>
            <w:r>
              <w:t>(0.1134)</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bscript"/>
              </w:rPr>
            </w:pPr>
            <w:r>
              <w:t>Δw</w:t>
            </w:r>
            <w:r>
              <w:rPr>
                <w:vertAlign w:val="superscript"/>
              </w:rPr>
              <w:t>e</w:t>
            </w:r>
            <w:r>
              <w:rPr>
                <w:vertAlign w:val="subscript"/>
              </w:rPr>
              <w:t>t-1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0.0221</w:t>
            </w:r>
            <w:r>
              <w:rPr>
                <w:vertAlign w:val="superscript"/>
              </w:rPr>
              <w:t>***</w:t>
            </w:r>
          </w:p>
          <w:p w:rsidR="004A1EFF" w:rsidRDefault="004A1EFF">
            <w:pPr>
              <w:jc w:val="center"/>
            </w:pPr>
            <w:r>
              <w:t>(0.0052)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0.0173</w:t>
            </w:r>
            <w:r>
              <w:rPr>
                <w:vertAlign w:val="superscript"/>
              </w:rPr>
              <w:t>**</w:t>
            </w:r>
          </w:p>
          <w:p w:rsidR="004A1EFF" w:rsidRDefault="004A1EFF">
            <w:pPr>
              <w:jc w:val="center"/>
            </w:pPr>
            <w:r>
              <w:t>(0.0065)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0.0359</w:t>
            </w:r>
            <w:r>
              <w:rPr>
                <w:vertAlign w:val="superscript"/>
              </w:rPr>
              <w:t>***</w:t>
            </w:r>
          </w:p>
          <w:p w:rsidR="004A1EFF" w:rsidRDefault="004A1EFF">
            <w:pPr>
              <w:jc w:val="center"/>
            </w:pPr>
            <w:r>
              <w:t>(0.0084)</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bscript"/>
              </w:rPr>
            </w:pPr>
            <w:r>
              <w:t>Δw</w:t>
            </w:r>
            <w:r>
              <w:rPr>
                <w:vertAlign w:val="superscript"/>
              </w:rPr>
              <w:t>h</w:t>
            </w:r>
            <w:r>
              <w:rPr>
                <w:vertAlign w:val="subscript"/>
              </w:rPr>
              <w:t>t-1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0.0896</w:t>
            </w:r>
            <w:r>
              <w:rPr>
                <w:vertAlign w:val="superscript"/>
              </w:rPr>
              <w:t>***</w:t>
            </w:r>
          </w:p>
          <w:p w:rsidR="004A1EFF" w:rsidRDefault="004A1EFF">
            <w:pPr>
              <w:jc w:val="center"/>
            </w:pPr>
            <w:r>
              <w:t>(0.0248)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0.0968</w:t>
            </w:r>
            <w:r>
              <w:rPr>
                <w:vertAlign w:val="superscript"/>
              </w:rPr>
              <w:t>***</w:t>
            </w:r>
          </w:p>
          <w:p w:rsidR="004A1EFF" w:rsidRDefault="004A1EFF">
            <w:pPr>
              <w:jc w:val="center"/>
            </w:pPr>
            <w:r>
              <w:t>(0.0360)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0.0458</w:t>
            </w:r>
          </w:p>
          <w:p w:rsidR="004A1EFF" w:rsidRDefault="004A1EFF">
            <w:pPr>
              <w:jc w:val="center"/>
            </w:pPr>
            <w:r>
              <w:t>(0.0354)</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rPr>
                <w:vertAlign w:val="subscript"/>
              </w:rPr>
            </w:pPr>
            <w:r>
              <w:t>Δd</w:t>
            </w:r>
            <w:r>
              <w:rPr>
                <w:vertAlign w:val="subscript"/>
              </w:rPr>
              <w:t>t-1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-0.0442</w:t>
            </w:r>
            <w:r>
              <w:rPr>
                <w:vertAlign w:val="superscript"/>
              </w:rPr>
              <w:t>**</w:t>
            </w:r>
          </w:p>
          <w:p w:rsidR="004A1EFF" w:rsidRDefault="004A1EFF">
            <w:pPr>
              <w:jc w:val="center"/>
            </w:pPr>
            <w:r>
              <w:t>(0.0176)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0.0045</w:t>
            </w:r>
          </w:p>
          <w:p w:rsidR="004A1EFF" w:rsidRDefault="004A1EFF">
            <w:pPr>
              <w:jc w:val="center"/>
            </w:pPr>
            <w:r>
              <w:t>(0.0280)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-0.0642</w:t>
            </w:r>
            <w:r>
              <w:rPr>
                <w:vertAlign w:val="superscript"/>
              </w:rPr>
              <w:t>**</w:t>
            </w:r>
          </w:p>
          <w:p w:rsidR="004A1EFF" w:rsidRDefault="004A1EFF">
            <w:pPr>
              <w:jc w:val="center"/>
            </w:pPr>
            <w:r>
              <w:t>(0.0246)</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Δg</w:t>
            </w:r>
            <w:r>
              <w:rPr>
                <w:vertAlign w:val="subscript"/>
              </w:rPr>
              <w:t>t-1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0.1876</w:t>
            </w:r>
            <w:r>
              <w:rPr>
                <w:vertAlign w:val="superscript"/>
              </w:rPr>
              <w:t>***</w:t>
            </w:r>
          </w:p>
          <w:p w:rsidR="004A1EFF" w:rsidRDefault="004A1EFF">
            <w:pPr>
              <w:jc w:val="center"/>
            </w:pPr>
            <w:r>
              <w:lastRenderedPageBreak/>
              <w:t>(0.0410)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lastRenderedPageBreak/>
              <w:t>0.1432</w:t>
            </w:r>
            <w:r>
              <w:rPr>
                <w:vertAlign w:val="superscript"/>
              </w:rPr>
              <w:t>*</w:t>
            </w:r>
          </w:p>
          <w:p w:rsidR="004A1EFF" w:rsidRDefault="004A1EFF">
            <w:pPr>
              <w:jc w:val="center"/>
            </w:pPr>
            <w:r>
              <w:lastRenderedPageBreak/>
              <w:t>(0.0024)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lastRenderedPageBreak/>
              <w:t>0.2762</w:t>
            </w:r>
            <w:r>
              <w:rPr>
                <w:vertAlign w:val="superscript"/>
              </w:rPr>
              <w:t>***</w:t>
            </w:r>
          </w:p>
          <w:p w:rsidR="004A1EFF" w:rsidRDefault="004A1EFF">
            <w:pPr>
              <w:jc w:val="center"/>
            </w:pPr>
            <w:r>
              <w:lastRenderedPageBreak/>
              <w:t>(0.0575)</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lastRenderedPageBreak/>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0.0054</w:t>
            </w:r>
            <w:r>
              <w:rPr>
                <w:vertAlign w:val="superscript"/>
              </w:rPr>
              <w:t>***</w:t>
            </w:r>
          </w:p>
          <w:p w:rsidR="004A1EFF" w:rsidRDefault="004A1EFF">
            <w:pPr>
              <w:jc w:val="center"/>
            </w:pPr>
            <w:r>
              <w:t>(0.0015)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0.0013</w:t>
            </w:r>
          </w:p>
          <w:p w:rsidR="004A1EFF" w:rsidRDefault="004A1EFF">
            <w:pPr>
              <w:jc w:val="center"/>
            </w:pPr>
            <w:r>
              <w:t>(0.0024)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rPr>
                <w:vertAlign w:val="superscript"/>
              </w:rPr>
            </w:pPr>
            <w:r>
              <w:t>0.0073</w:t>
            </w:r>
            <w:r>
              <w:rPr>
                <w:vertAlign w:val="superscript"/>
              </w:rPr>
              <w:t>***</w:t>
            </w:r>
          </w:p>
          <w:p w:rsidR="004A1EFF" w:rsidRDefault="004A1EFF">
            <w:pPr>
              <w:jc w:val="center"/>
            </w:pPr>
            <w:r>
              <w:t>(0.0022)</w:t>
            </w:r>
          </w:p>
        </w:tc>
      </w:tr>
      <w:tr w:rsidR="004A1EFF" w:rsidTr="004A1EFF">
        <w:trPr>
          <w:jc w:val="center"/>
        </w:trPr>
        <w:tc>
          <w:tcPr>
            <w:tcW w:w="0" w:type="auto"/>
            <w:tcBorders>
              <w:top w:val="single" w:sz="4" w:space="0" w:color="auto"/>
              <w:left w:val="single" w:sz="4" w:space="0" w:color="auto"/>
              <w:bottom w:val="single" w:sz="4" w:space="0" w:color="auto"/>
              <w:right w:val="single" w:sz="4" w:space="0" w:color="auto"/>
            </w:tcBorders>
            <w:hideMark/>
          </w:tcPr>
          <w:p w:rsidR="004A1EFF" w:rsidRDefault="004A1EFF">
            <w:r>
              <w:t>R</w:t>
            </w:r>
            <w:r>
              <w:rPr>
                <w:vertAlign w:val="superscript"/>
              </w:rPr>
              <w:t>2</w:t>
            </w:r>
            <w:r>
              <w:t>- adj.</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0.6459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0.5125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pPr>
              <w:jc w:val="center"/>
            </w:pPr>
            <w:r>
              <w:t>0.6852</w:t>
            </w:r>
          </w:p>
        </w:tc>
      </w:tr>
    </w:tbl>
    <w:p w:rsidR="006C5D58" w:rsidRPr="00B93788" w:rsidRDefault="004A1EFF" w:rsidP="00B93788">
      <w:pPr>
        <w:jc w:val="center"/>
      </w:pPr>
      <w:r>
        <w:t xml:space="preserve">Values in parentheses denote the </w:t>
      </w:r>
      <w:proofErr w:type="gramStart"/>
      <w:r>
        <w:t>Std</w:t>
      </w:r>
      <w:proofErr w:type="gramEnd"/>
      <w:r>
        <w:t xml:space="preserve"> errors.  ***, ** and * stand for 1%, 5% and 10% level of statistical significance.</w:t>
      </w:r>
    </w:p>
    <w:p w:rsidR="00B0397A" w:rsidRDefault="00B0397A" w:rsidP="00B0397A">
      <w:pPr>
        <w:jc w:val="both"/>
        <w:rPr>
          <w:rFonts w:ascii="Times New Roman" w:eastAsiaTheme="minorEastAsia" w:hAnsi="Times New Roman" w:cs="Times New Roman"/>
          <w:sz w:val="24"/>
          <w:szCs w:val="24"/>
        </w:rPr>
      </w:pPr>
      <w:r w:rsidRPr="00B0397A">
        <w:rPr>
          <w:rFonts w:ascii="Times New Roman" w:eastAsiaTheme="minorEastAsia" w:hAnsi="Times New Roman" w:cs="Times New Roman"/>
          <w:sz w:val="24"/>
          <w:szCs w:val="24"/>
        </w:rPr>
        <w:t xml:space="preserve">In the tables below we can observe the </w:t>
      </w:r>
      <w:r>
        <w:rPr>
          <w:rFonts w:ascii="Times New Roman" w:eastAsiaTheme="minorEastAsia" w:hAnsi="Times New Roman" w:cs="Times New Roman"/>
          <w:sz w:val="24"/>
          <w:szCs w:val="24"/>
        </w:rPr>
        <w:t xml:space="preserve">long run coefficients of the </w:t>
      </w:r>
      <w:proofErr w:type="spellStart"/>
      <w:r w:rsidR="007F0A83">
        <w:rPr>
          <w:rFonts w:ascii="Times New Roman" w:eastAsiaTheme="minorEastAsia" w:hAnsi="Times New Roman" w:cs="Times New Roman"/>
          <w:sz w:val="24"/>
          <w:szCs w:val="24"/>
        </w:rPr>
        <w:t>cointegration</w:t>
      </w:r>
      <w:proofErr w:type="spellEnd"/>
      <w:r>
        <w:rPr>
          <w:rFonts w:ascii="Times New Roman" w:eastAsiaTheme="minorEastAsia" w:hAnsi="Times New Roman" w:cs="Times New Roman"/>
          <w:sz w:val="24"/>
          <w:szCs w:val="24"/>
        </w:rPr>
        <w:t xml:space="preserve"> term: </w:t>
      </w:r>
    </w:p>
    <w:p w:rsidR="007F0A83" w:rsidRDefault="007F0A83" w:rsidP="007F0A83">
      <w:pPr>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Table 28 – long run coefficients of the </w:t>
      </w:r>
      <w:proofErr w:type="spellStart"/>
      <w:r>
        <w:rPr>
          <w:rFonts w:ascii="Times New Roman" w:eastAsiaTheme="minorEastAsia" w:hAnsi="Times New Roman" w:cs="Times New Roman"/>
          <w:sz w:val="24"/>
          <w:szCs w:val="24"/>
        </w:rPr>
        <w:t>cointegration</w:t>
      </w:r>
      <w:proofErr w:type="spellEnd"/>
      <w:r>
        <w:rPr>
          <w:rFonts w:ascii="Times New Roman" w:eastAsiaTheme="minorEastAsia" w:hAnsi="Times New Roman" w:cs="Times New Roman"/>
          <w:sz w:val="24"/>
          <w:szCs w:val="24"/>
        </w:rPr>
        <w:t xml:space="preserve"> term – basic equation</w:t>
      </w:r>
    </w:p>
    <w:tbl>
      <w:tblPr>
        <w:tblStyle w:val="aa"/>
        <w:tblW w:w="0" w:type="auto"/>
        <w:jc w:val="center"/>
        <w:tblLook w:val="04A0"/>
      </w:tblPr>
      <w:tblGrid>
        <w:gridCol w:w="1262"/>
        <w:gridCol w:w="1616"/>
        <w:gridCol w:w="1270"/>
        <w:gridCol w:w="1320"/>
      </w:tblGrid>
      <w:tr w:rsidR="007F0A83" w:rsidTr="00BA5638">
        <w:trPr>
          <w:jc w:val="center"/>
        </w:trPr>
        <w:tc>
          <w:tcPr>
            <w:tcW w:w="0" w:type="auto"/>
            <w:gridSpan w:val="4"/>
            <w:tcBorders>
              <w:top w:val="single" w:sz="4" w:space="0" w:color="auto"/>
              <w:left w:val="single" w:sz="4" w:space="0" w:color="auto"/>
              <w:bottom w:val="single" w:sz="4" w:space="0" w:color="auto"/>
              <w:right w:val="single" w:sz="4" w:space="0" w:color="auto"/>
            </w:tcBorders>
            <w:hideMark/>
          </w:tcPr>
          <w:p w:rsidR="007F0A83" w:rsidRDefault="007F0A83" w:rsidP="00BA5638">
            <w:pPr>
              <w:jc w:val="center"/>
            </w:pPr>
            <w:r>
              <w:t xml:space="preserve">Long run coefficients / </w:t>
            </w:r>
            <w:proofErr w:type="spellStart"/>
            <w:r>
              <w:t>cointegration</w:t>
            </w:r>
            <w:proofErr w:type="spellEnd"/>
            <w:r>
              <w:t xml:space="preserve"> term – Basic equation</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tcPr>
          <w:p w:rsidR="007F0A83" w:rsidRDefault="007F0A83" w:rsidP="00BA5638">
            <w:pPr>
              <w:jc w:val="center"/>
            </w:pPr>
          </w:p>
        </w:tc>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pPr>
              <w:jc w:val="center"/>
            </w:pPr>
            <w:r>
              <w:t>All countries</w:t>
            </w:r>
          </w:p>
        </w:tc>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pPr>
              <w:jc w:val="center"/>
            </w:pPr>
            <w:r>
              <w:t>Low debt</w:t>
            </w:r>
          </w:p>
        </w:tc>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pPr>
              <w:jc w:val="center"/>
            </w:pPr>
            <w:r>
              <w:t>High debt</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7F0A83" w:rsidP="00BA5638">
            <w:pPr>
              <w:jc w:val="center"/>
              <w:rPr>
                <w:vertAlign w:val="superscript"/>
              </w:rPr>
            </w:pPr>
            <w:r>
              <w:t>y</w:t>
            </w:r>
            <w:r>
              <w:rPr>
                <w:vertAlign w:val="superscript"/>
              </w:rPr>
              <w:t>d</w:t>
            </w:r>
            <w:r>
              <w:rPr>
                <w:vertAlign w:val="subscript"/>
              </w:rPr>
              <w:t>t-1</w:t>
            </w:r>
            <w:r w:rsidR="00BA5638">
              <w:rPr>
                <w:vertAlign w:val="subscript"/>
              </w:rPr>
              <w:t>,i</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-0,8493</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-0,7998</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-1,0260</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7F0A83" w:rsidP="00BA5638">
            <w:pPr>
              <w:jc w:val="center"/>
              <w:rPr>
                <w:vertAlign w:val="subscript"/>
              </w:rPr>
            </w:pPr>
            <w:r>
              <w:t>w</w:t>
            </w:r>
            <w:r>
              <w:rPr>
                <w:vertAlign w:val="superscript"/>
              </w:rPr>
              <w:t>e</w:t>
            </w:r>
            <w:r>
              <w:rPr>
                <w:vertAlign w:val="subscript"/>
              </w:rPr>
              <w:t>t-1</w:t>
            </w:r>
            <w:r w:rsidR="00BA5638">
              <w:rPr>
                <w:vertAlign w:val="subscript"/>
              </w:rPr>
              <w:t>,i</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-0,0149</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-0,0062</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-0,0246</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7F0A83" w:rsidP="00BA5638">
            <w:pPr>
              <w:jc w:val="center"/>
              <w:rPr>
                <w:vertAlign w:val="subscript"/>
              </w:rPr>
            </w:pPr>
            <w:r>
              <w:t>w</w:t>
            </w:r>
            <w:r>
              <w:rPr>
                <w:vertAlign w:val="superscript"/>
              </w:rPr>
              <w:t>h</w:t>
            </w:r>
            <w:r>
              <w:rPr>
                <w:vertAlign w:val="subscript"/>
              </w:rPr>
              <w:t>t-1</w:t>
            </w:r>
            <w:r w:rsidR="00BA5638">
              <w:rPr>
                <w:vertAlign w:val="subscript"/>
              </w:rPr>
              <w:t>,i</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-0,0528</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-0,1050</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0,0402</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7F0A83" w:rsidP="00BA5638">
            <w:pPr>
              <w:jc w:val="center"/>
              <w:rPr>
                <w:vertAlign w:val="subscript"/>
              </w:rPr>
            </w:pPr>
            <w:r>
              <w:t>d</w:t>
            </w:r>
            <w:r>
              <w:rPr>
                <w:vertAlign w:val="subscript"/>
              </w:rPr>
              <w:t>t-1</w:t>
            </w:r>
            <w:r w:rsidR="00BA5638">
              <w:rPr>
                <w:vertAlign w:val="subscript"/>
              </w:rPr>
              <w:t>,i</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0,0627</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-0,0407</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0,1173</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7F0A83" w:rsidP="00BA5638">
            <w:pPr>
              <w:jc w:val="center"/>
            </w:pPr>
            <w:r>
              <w:t>Intercept</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-1,6784</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-0,9532</w:t>
            </w:r>
          </w:p>
        </w:tc>
        <w:tc>
          <w:tcPr>
            <w:tcW w:w="0" w:type="auto"/>
            <w:tcBorders>
              <w:top w:val="single" w:sz="4" w:space="0" w:color="auto"/>
              <w:left w:val="single" w:sz="4" w:space="0" w:color="auto"/>
              <w:bottom w:val="single" w:sz="4" w:space="0" w:color="auto"/>
              <w:right w:val="single" w:sz="4" w:space="0" w:color="auto"/>
            </w:tcBorders>
            <w:vAlign w:val="center"/>
            <w:hideMark/>
          </w:tcPr>
          <w:p w:rsidR="007F0A83" w:rsidRDefault="00BA5638" w:rsidP="00BA5638">
            <w:pPr>
              <w:jc w:val="center"/>
            </w:pPr>
            <w:r>
              <w:t>-0,9315</w:t>
            </w:r>
          </w:p>
        </w:tc>
      </w:tr>
    </w:tbl>
    <w:p w:rsidR="007F0A83" w:rsidRDefault="007F0A83" w:rsidP="007F0A83">
      <w:pPr>
        <w:jc w:val="center"/>
        <w:rPr>
          <w:rFonts w:ascii="Times New Roman" w:eastAsiaTheme="minorEastAsia" w:hAnsi="Times New Roman" w:cs="Times New Roman"/>
          <w:sz w:val="24"/>
          <w:szCs w:val="24"/>
        </w:rPr>
      </w:pPr>
    </w:p>
    <w:p w:rsidR="007F0A83" w:rsidRDefault="007F0A83" w:rsidP="007F0A83">
      <w:pPr>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Table 29 – long run coefficients of the </w:t>
      </w:r>
      <w:proofErr w:type="spellStart"/>
      <w:r>
        <w:rPr>
          <w:rFonts w:ascii="Times New Roman" w:eastAsiaTheme="minorEastAsia" w:hAnsi="Times New Roman" w:cs="Times New Roman"/>
          <w:sz w:val="24"/>
          <w:szCs w:val="24"/>
        </w:rPr>
        <w:t>cointegration</w:t>
      </w:r>
      <w:proofErr w:type="spellEnd"/>
      <w:r>
        <w:rPr>
          <w:rFonts w:ascii="Times New Roman" w:eastAsiaTheme="minorEastAsia" w:hAnsi="Times New Roman" w:cs="Times New Roman"/>
          <w:sz w:val="24"/>
          <w:szCs w:val="24"/>
        </w:rPr>
        <w:t xml:space="preserve"> term – extended equation</w:t>
      </w:r>
    </w:p>
    <w:tbl>
      <w:tblPr>
        <w:tblStyle w:val="aa"/>
        <w:tblW w:w="0" w:type="auto"/>
        <w:jc w:val="center"/>
        <w:tblLook w:val="04A0"/>
      </w:tblPr>
      <w:tblGrid>
        <w:gridCol w:w="1616"/>
        <w:gridCol w:w="2070"/>
        <w:gridCol w:w="1626"/>
        <w:gridCol w:w="1690"/>
      </w:tblGrid>
      <w:tr w:rsidR="007F0A83" w:rsidTr="00BA5638">
        <w:trPr>
          <w:jc w:val="center"/>
        </w:trPr>
        <w:tc>
          <w:tcPr>
            <w:tcW w:w="0" w:type="auto"/>
            <w:gridSpan w:val="4"/>
            <w:tcBorders>
              <w:top w:val="single" w:sz="4" w:space="0" w:color="auto"/>
              <w:left w:val="single" w:sz="4" w:space="0" w:color="auto"/>
              <w:bottom w:val="single" w:sz="4" w:space="0" w:color="auto"/>
              <w:right w:val="single" w:sz="4" w:space="0" w:color="auto"/>
            </w:tcBorders>
            <w:hideMark/>
          </w:tcPr>
          <w:p w:rsidR="007F0A83" w:rsidRDefault="007F0A83" w:rsidP="00BA5638">
            <w:pPr>
              <w:jc w:val="center"/>
            </w:pPr>
            <w:r>
              <w:t xml:space="preserve">Long run coefficients / </w:t>
            </w:r>
            <w:proofErr w:type="spellStart"/>
            <w:r>
              <w:t>cointegration</w:t>
            </w:r>
            <w:proofErr w:type="spellEnd"/>
            <w:r>
              <w:t xml:space="preserve"> term – Extended equation (including g)</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tcPr>
          <w:p w:rsidR="007F0A83" w:rsidRDefault="007F0A83" w:rsidP="00BA5638"/>
        </w:tc>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r>
              <w:t>All countries</w:t>
            </w:r>
          </w:p>
        </w:tc>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r>
              <w:t xml:space="preserve">Low debt </w:t>
            </w:r>
          </w:p>
        </w:tc>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r>
              <w:t>High debt</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pPr>
              <w:rPr>
                <w:vertAlign w:val="superscript"/>
              </w:rPr>
            </w:pPr>
            <w:r>
              <w:t>y</w:t>
            </w:r>
            <w:r>
              <w:rPr>
                <w:vertAlign w:val="superscript"/>
              </w:rPr>
              <w:t>d</w:t>
            </w:r>
            <w:r>
              <w:rPr>
                <w:vertAlign w:val="subscript"/>
              </w:rPr>
              <w:t>t-1</w:t>
            </w:r>
            <w:r w:rsidR="00BA5638">
              <w:rPr>
                <w:vertAlign w:val="subscript"/>
              </w:rPr>
              <w:t>,i</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-0,7517</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-0,7574</w:t>
            </w:r>
          </w:p>
        </w:tc>
        <w:tc>
          <w:tcPr>
            <w:tcW w:w="0" w:type="auto"/>
            <w:tcBorders>
              <w:top w:val="single" w:sz="4" w:space="0" w:color="auto"/>
              <w:left w:val="single" w:sz="4" w:space="0" w:color="auto"/>
              <w:bottom w:val="single" w:sz="4" w:space="0" w:color="auto"/>
              <w:right w:val="single" w:sz="4" w:space="0" w:color="auto"/>
            </w:tcBorders>
            <w:hideMark/>
          </w:tcPr>
          <w:p w:rsidR="007F0A83" w:rsidRDefault="006C5D58" w:rsidP="00BA5638">
            <w:pPr>
              <w:jc w:val="center"/>
            </w:pPr>
            <w:r>
              <w:t>-1,0253</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pPr>
              <w:rPr>
                <w:vertAlign w:val="subscript"/>
              </w:rPr>
            </w:pPr>
            <w:r>
              <w:t>w</w:t>
            </w:r>
            <w:r>
              <w:rPr>
                <w:vertAlign w:val="superscript"/>
              </w:rPr>
              <w:t>e</w:t>
            </w:r>
            <w:r>
              <w:rPr>
                <w:vertAlign w:val="subscript"/>
              </w:rPr>
              <w:t>t-1</w:t>
            </w:r>
            <w:r w:rsidR="00BA5638">
              <w:rPr>
                <w:vertAlign w:val="subscript"/>
              </w:rPr>
              <w:t>,i</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-0,0135</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-0,0076</w:t>
            </w:r>
          </w:p>
        </w:tc>
        <w:tc>
          <w:tcPr>
            <w:tcW w:w="0" w:type="auto"/>
            <w:tcBorders>
              <w:top w:val="single" w:sz="4" w:space="0" w:color="auto"/>
              <w:left w:val="single" w:sz="4" w:space="0" w:color="auto"/>
              <w:bottom w:val="single" w:sz="4" w:space="0" w:color="auto"/>
              <w:right w:val="single" w:sz="4" w:space="0" w:color="auto"/>
            </w:tcBorders>
            <w:hideMark/>
          </w:tcPr>
          <w:p w:rsidR="007F0A83" w:rsidRDefault="006C5D58" w:rsidP="00BA5638">
            <w:pPr>
              <w:jc w:val="center"/>
            </w:pPr>
            <w:r>
              <w:t>-0,0252</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pPr>
              <w:rPr>
                <w:vertAlign w:val="subscript"/>
              </w:rPr>
            </w:pPr>
            <w:r>
              <w:t>w</w:t>
            </w:r>
            <w:r>
              <w:rPr>
                <w:vertAlign w:val="superscript"/>
              </w:rPr>
              <w:t>h</w:t>
            </w:r>
            <w:r>
              <w:rPr>
                <w:vertAlign w:val="subscript"/>
              </w:rPr>
              <w:t>t-1</w:t>
            </w:r>
            <w:r w:rsidR="00BA5638">
              <w:rPr>
                <w:vertAlign w:val="subscript"/>
              </w:rPr>
              <w:t>,i</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-0,0238</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0,0049</w:t>
            </w:r>
          </w:p>
        </w:tc>
        <w:tc>
          <w:tcPr>
            <w:tcW w:w="0" w:type="auto"/>
            <w:tcBorders>
              <w:top w:val="single" w:sz="4" w:space="0" w:color="auto"/>
              <w:left w:val="single" w:sz="4" w:space="0" w:color="auto"/>
              <w:bottom w:val="single" w:sz="4" w:space="0" w:color="auto"/>
              <w:right w:val="single" w:sz="4" w:space="0" w:color="auto"/>
            </w:tcBorders>
            <w:hideMark/>
          </w:tcPr>
          <w:p w:rsidR="007F0A83" w:rsidRDefault="006C5D58" w:rsidP="00BA5638">
            <w:pPr>
              <w:jc w:val="center"/>
            </w:pPr>
            <w:r>
              <w:t>0,0727</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pPr>
              <w:rPr>
                <w:vertAlign w:val="subscript"/>
              </w:rPr>
            </w:pPr>
            <w:r>
              <w:t>d</w:t>
            </w:r>
            <w:r>
              <w:rPr>
                <w:vertAlign w:val="subscript"/>
              </w:rPr>
              <w:t>t-1</w:t>
            </w:r>
            <w:r w:rsidR="00BA5638">
              <w:rPr>
                <w:vertAlign w:val="subscript"/>
              </w:rPr>
              <w:t>,i</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0,0385</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0,0187</w:t>
            </w:r>
          </w:p>
        </w:tc>
        <w:tc>
          <w:tcPr>
            <w:tcW w:w="0" w:type="auto"/>
            <w:tcBorders>
              <w:top w:val="single" w:sz="4" w:space="0" w:color="auto"/>
              <w:left w:val="single" w:sz="4" w:space="0" w:color="auto"/>
              <w:bottom w:val="single" w:sz="4" w:space="0" w:color="auto"/>
              <w:right w:val="single" w:sz="4" w:space="0" w:color="auto"/>
            </w:tcBorders>
            <w:hideMark/>
          </w:tcPr>
          <w:p w:rsidR="007F0A83" w:rsidRDefault="006C5D58" w:rsidP="00BA5638">
            <w:pPr>
              <w:jc w:val="center"/>
            </w:pPr>
            <w:r>
              <w:t>0,1603</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r>
              <w:t>g</w:t>
            </w:r>
            <w:r>
              <w:rPr>
                <w:vertAlign w:val="subscript"/>
              </w:rPr>
              <w:t>t-1</w:t>
            </w:r>
            <w:r w:rsidR="00BA5638">
              <w:rPr>
                <w:vertAlign w:val="subscript"/>
              </w:rPr>
              <w:t>,i</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-0,0746</w:t>
            </w:r>
          </w:p>
        </w:tc>
        <w:tc>
          <w:tcPr>
            <w:tcW w:w="0" w:type="auto"/>
            <w:tcBorders>
              <w:top w:val="single" w:sz="4" w:space="0" w:color="auto"/>
              <w:left w:val="single" w:sz="4" w:space="0" w:color="auto"/>
              <w:bottom w:val="single" w:sz="4" w:space="0" w:color="auto"/>
              <w:right w:val="single" w:sz="4" w:space="0" w:color="auto"/>
            </w:tcBorders>
            <w:hideMark/>
          </w:tcPr>
          <w:p w:rsidR="007F0A83" w:rsidRDefault="006C5D58" w:rsidP="00BA5638">
            <w:pPr>
              <w:jc w:val="center"/>
            </w:pPr>
            <w:r>
              <w:t>-0,1773</w:t>
            </w:r>
          </w:p>
        </w:tc>
        <w:tc>
          <w:tcPr>
            <w:tcW w:w="0" w:type="auto"/>
            <w:tcBorders>
              <w:top w:val="single" w:sz="4" w:space="0" w:color="auto"/>
              <w:left w:val="single" w:sz="4" w:space="0" w:color="auto"/>
              <w:bottom w:val="single" w:sz="4" w:space="0" w:color="auto"/>
              <w:right w:val="single" w:sz="4" w:space="0" w:color="auto"/>
            </w:tcBorders>
            <w:hideMark/>
          </w:tcPr>
          <w:p w:rsidR="007F0A83" w:rsidRDefault="006C5D58" w:rsidP="00BA5638">
            <w:pPr>
              <w:jc w:val="center"/>
            </w:pPr>
            <w:r>
              <w:t>-0,0582</w:t>
            </w:r>
          </w:p>
        </w:tc>
      </w:tr>
      <w:tr w:rsidR="007F0A83" w:rsidTr="00BA5638">
        <w:trPr>
          <w:jc w:val="center"/>
        </w:trPr>
        <w:tc>
          <w:tcPr>
            <w:tcW w:w="0" w:type="auto"/>
            <w:tcBorders>
              <w:top w:val="single" w:sz="4" w:space="0" w:color="auto"/>
              <w:left w:val="single" w:sz="4" w:space="0" w:color="auto"/>
              <w:bottom w:val="single" w:sz="4" w:space="0" w:color="auto"/>
              <w:right w:val="single" w:sz="4" w:space="0" w:color="auto"/>
            </w:tcBorders>
            <w:hideMark/>
          </w:tcPr>
          <w:p w:rsidR="007F0A83" w:rsidRDefault="007F0A83" w:rsidP="00BA5638">
            <w:r>
              <w:t>Intercept</w:t>
            </w:r>
          </w:p>
        </w:tc>
        <w:tc>
          <w:tcPr>
            <w:tcW w:w="0" w:type="auto"/>
            <w:tcBorders>
              <w:top w:val="single" w:sz="4" w:space="0" w:color="auto"/>
              <w:left w:val="single" w:sz="4" w:space="0" w:color="auto"/>
              <w:bottom w:val="single" w:sz="4" w:space="0" w:color="auto"/>
              <w:right w:val="single" w:sz="4" w:space="0" w:color="auto"/>
            </w:tcBorders>
            <w:hideMark/>
          </w:tcPr>
          <w:p w:rsidR="007F0A83" w:rsidRDefault="00BA5638" w:rsidP="00BA5638">
            <w:pPr>
              <w:jc w:val="center"/>
            </w:pPr>
            <w:r>
              <w:t>-1,8931</w:t>
            </w:r>
          </w:p>
        </w:tc>
        <w:tc>
          <w:tcPr>
            <w:tcW w:w="0" w:type="auto"/>
            <w:tcBorders>
              <w:top w:val="single" w:sz="4" w:space="0" w:color="auto"/>
              <w:left w:val="single" w:sz="4" w:space="0" w:color="auto"/>
              <w:bottom w:val="single" w:sz="4" w:space="0" w:color="auto"/>
              <w:right w:val="single" w:sz="4" w:space="0" w:color="auto"/>
            </w:tcBorders>
            <w:hideMark/>
          </w:tcPr>
          <w:p w:rsidR="007F0A83" w:rsidRDefault="006C5D58" w:rsidP="00BA5638">
            <w:pPr>
              <w:jc w:val="center"/>
            </w:pPr>
            <w:r>
              <w:t>-0,9345</w:t>
            </w:r>
          </w:p>
        </w:tc>
        <w:tc>
          <w:tcPr>
            <w:tcW w:w="0" w:type="auto"/>
            <w:tcBorders>
              <w:top w:val="single" w:sz="4" w:space="0" w:color="auto"/>
              <w:left w:val="single" w:sz="4" w:space="0" w:color="auto"/>
              <w:bottom w:val="single" w:sz="4" w:space="0" w:color="auto"/>
              <w:right w:val="single" w:sz="4" w:space="0" w:color="auto"/>
            </w:tcBorders>
            <w:hideMark/>
          </w:tcPr>
          <w:p w:rsidR="007F0A83" w:rsidRDefault="006C5D58" w:rsidP="00BA5638">
            <w:pPr>
              <w:jc w:val="center"/>
            </w:pPr>
            <w:r>
              <w:t>-1,0292</w:t>
            </w:r>
          </w:p>
        </w:tc>
      </w:tr>
    </w:tbl>
    <w:p w:rsidR="00B0397A" w:rsidRPr="00B0397A" w:rsidRDefault="00B0397A" w:rsidP="00B0397A">
      <w:pPr>
        <w:jc w:val="both"/>
        <w:rPr>
          <w:rFonts w:ascii="Times New Roman" w:eastAsiaTheme="minorEastAsia" w:hAnsi="Times New Roman" w:cs="Times New Roman"/>
          <w:sz w:val="24"/>
          <w:szCs w:val="24"/>
        </w:rPr>
      </w:pPr>
    </w:p>
    <w:p w:rsidR="004A1EFF" w:rsidRPr="003419E3" w:rsidRDefault="004A1EFF" w:rsidP="004A1EF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From the </w:t>
      </w:r>
      <w:r w:rsidR="006C5D58">
        <w:rPr>
          <w:rFonts w:ascii="Times New Roman" w:eastAsiaTheme="minorEastAsia" w:hAnsi="Times New Roman" w:cs="Times New Roman"/>
          <w:sz w:val="24"/>
          <w:szCs w:val="24"/>
        </w:rPr>
        <w:t xml:space="preserve">obtained </w:t>
      </w:r>
      <w:r>
        <w:rPr>
          <w:rFonts w:ascii="Times New Roman" w:eastAsiaTheme="minorEastAsia" w:hAnsi="Times New Roman" w:cs="Times New Roman"/>
          <w:sz w:val="24"/>
          <w:szCs w:val="24"/>
        </w:rPr>
        <w:t xml:space="preserve">results </w:t>
      </w:r>
      <w:r w:rsidR="006C5D58">
        <w:rPr>
          <w:rFonts w:ascii="Times New Roman" w:eastAsiaTheme="minorEastAsia" w:hAnsi="Times New Roman" w:cs="Times New Roman"/>
          <w:sz w:val="24"/>
          <w:szCs w:val="24"/>
        </w:rPr>
        <w:t xml:space="preserve">(tables 26 and 28) </w:t>
      </w:r>
      <w:r>
        <w:rPr>
          <w:rFonts w:ascii="Times New Roman" w:eastAsiaTheme="minorEastAsia" w:hAnsi="Times New Roman" w:cs="Times New Roman"/>
          <w:sz w:val="24"/>
          <w:szCs w:val="24"/>
        </w:rPr>
        <w:t>we can observe that the coefficients regarding the disposable income, the equity wealth and the housing wealth have the expected sign</w:t>
      </w:r>
      <w:r w:rsidR="00315AD0">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 xml:space="preserve"> and are </w:t>
      </w:r>
      <w:r w:rsidR="00315AD0">
        <w:rPr>
          <w:rFonts w:ascii="Times New Roman" w:eastAsiaTheme="minorEastAsia" w:hAnsi="Times New Roman" w:cs="Times New Roman"/>
          <w:sz w:val="24"/>
          <w:szCs w:val="24"/>
        </w:rPr>
        <w:t>statistically significant with</w:t>
      </w:r>
      <w:r>
        <w:rPr>
          <w:rFonts w:ascii="Times New Roman" w:eastAsiaTheme="minorEastAsia" w:hAnsi="Times New Roman" w:cs="Times New Roman"/>
          <w:sz w:val="24"/>
          <w:szCs w:val="24"/>
        </w:rPr>
        <w:t xml:space="preserve"> few only exceptions. More interestingly, the debt coefficient is negative </w:t>
      </w:r>
      <w:r w:rsidR="008D3B1C">
        <w:rPr>
          <w:rFonts w:ascii="Times New Roman" w:eastAsiaTheme="minorEastAsia" w:hAnsi="Times New Roman" w:cs="Times New Roman"/>
          <w:sz w:val="24"/>
          <w:szCs w:val="24"/>
        </w:rPr>
        <w:t xml:space="preserve">and statistically significant </w:t>
      </w:r>
      <w:r>
        <w:rPr>
          <w:rFonts w:ascii="Times New Roman" w:eastAsiaTheme="minorEastAsia" w:hAnsi="Times New Roman" w:cs="Times New Roman"/>
          <w:sz w:val="24"/>
          <w:szCs w:val="24"/>
        </w:rPr>
        <w:t>for the</w:t>
      </w:r>
      <w:r w:rsidR="008D3B1C">
        <w:rPr>
          <w:rFonts w:ascii="Times New Roman" w:eastAsiaTheme="minorEastAsia" w:hAnsi="Times New Roman" w:cs="Times New Roman"/>
          <w:sz w:val="24"/>
          <w:szCs w:val="24"/>
        </w:rPr>
        <w:t xml:space="preserve"> all countries</w:t>
      </w:r>
      <w:r>
        <w:rPr>
          <w:rFonts w:ascii="Times New Roman" w:eastAsiaTheme="minorEastAsia" w:hAnsi="Times New Roman" w:cs="Times New Roman"/>
          <w:sz w:val="24"/>
          <w:szCs w:val="24"/>
        </w:rPr>
        <w:t xml:space="preserve"> group, positive though not significant for </w:t>
      </w:r>
      <w:r w:rsidR="008D3B1C">
        <w:rPr>
          <w:rFonts w:ascii="Times New Roman" w:eastAsiaTheme="minorEastAsia" w:hAnsi="Times New Roman" w:cs="Times New Roman"/>
          <w:sz w:val="24"/>
          <w:szCs w:val="24"/>
        </w:rPr>
        <w:t>the low debt countries group while</w:t>
      </w:r>
      <w:r>
        <w:rPr>
          <w:rFonts w:ascii="Times New Roman" w:eastAsiaTheme="minorEastAsia" w:hAnsi="Times New Roman" w:cs="Times New Roman"/>
          <w:sz w:val="24"/>
          <w:szCs w:val="24"/>
        </w:rPr>
        <w:t xml:space="preserve"> negative and statistical significant for the </w:t>
      </w:r>
      <w:r w:rsidR="008D3B1C">
        <w:rPr>
          <w:rFonts w:ascii="Times New Roman" w:eastAsiaTheme="minorEastAsia" w:hAnsi="Times New Roman" w:cs="Times New Roman"/>
          <w:sz w:val="24"/>
          <w:szCs w:val="24"/>
        </w:rPr>
        <w:t xml:space="preserve">group of </w:t>
      </w:r>
      <w:r>
        <w:rPr>
          <w:rFonts w:ascii="Times New Roman" w:eastAsiaTheme="minorEastAsia" w:hAnsi="Times New Roman" w:cs="Times New Roman"/>
          <w:sz w:val="24"/>
          <w:szCs w:val="24"/>
        </w:rPr>
        <w:t>high d</w:t>
      </w:r>
      <w:r w:rsidR="008D3B1C">
        <w:rPr>
          <w:rFonts w:ascii="Times New Roman" w:eastAsiaTheme="minorEastAsia" w:hAnsi="Times New Roman" w:cs="Times New Roman"/>
          <w:sz w:val="24"/>
          <w:szCs w:val="24"/>
        </w:rPr>
        <w:t xml:space="preserve">ebt countries. Our findings in </w:t>
      </w:r>
      <w:r>
        <w:rPr>
          <w:rFonts w:ascii="Times New Roman" w:eastAsiaTheme="minorEastAsia" w:hAnsi="Times New Roman" w:cs="Times New Roman"/>
          <w:sz w:val="24"/>
          <w:szCs w:val="24"/>
        </w:rPr>
        <w:t xml:space="preserve">accordance with the results of </w:t>
      </w:r>
      <w:proofErr w:type="spellStart"/>
      <w:r>
        <w:rPr>
          <w:rFonts w:ascii="Times New Roman" w:eastAsiaTheme="minorEastAsia" w:hAnsi="Times New Roman" w:cs="Times New Roman"/>
          <w:sz w:val="24"/>
          <w:szCs w:val="24"/>
        </w:rPr>
        <w:t>Berben</w:t>
      </w:r>
      <w:proofErr w:type="spellEnd"/>
      <w:r>
        <w:rPr>
          <w:rFonts w:ascii="Times New Roman" w:eastAsiaTheme="minorEastAsia" w:hAnsi="Times New Roman" w:cs="Times New Roman"/>
          <w:sz w:val="24"/>
          <w:szCs w:val="24"/>
        </w:rPr>
        <w:t xml:space="preserve"> and </w:t>
      </w:r>
      <w:proofErr w:type="spellStart"/>
      <w:r>
        <w:rPr>
          <w:rFonts w:ascii="Times New Roman" w:eastAsiaTheme="minorEastAsia" w:hAnsi="Times New Roman" w:cs="Times New Roman"/>
          <w:sz w:val="24"/>
          <w:szCs w:val="24"/>
        </w:rPr>
        <w:t>Brosens</w:t>
      </w:r>
      <w:proofErr w:type="spellEnd"/>
      <w:r>
        <w:rPr>
          <w:rFonts w:ascii="Times New Roman" w:eastAsiaTheme="minorEastAsia" w:hAnsi="Times New Roman" w:cs="Times New Roman"/>
          <w:sz w:val="24"/>
          <w:szCs w:val="24"/>
        </w:rPr>
        <w:t xml:space="preserve"> </w:t>
      </w:r>
      <w:r w:rsidR="008D3B1C">
        <w:rPr>
          <w:rFonts w:ascii="Times New Roman" w:eastAsiaTheme="minorEastAsia" w:hAnsi="Times New Roman" w:cs="Times New Roman"/>
          <w:sz w:val="24"/>
          <w:szCs w:val="24"/>
        </w:rPr>
        <w:t xml:space="preserve">(2007) </w:t>
      </w:r>
      <w:r>
        <w:rPr>
          <w:rFonts w:ascii="Times New Roman" w:eastAsiaTheme="minorEastAsia" w:hAnsi="Times New Roman" w:cs="Times New Roman"/>
          <w:sz w:val="24"/>
          <w:szCs w:val="24"/>
        </w:rPr>
        <w:t xml:space="preserve">confirmed our initial expectations. </w:t>
      </w:r>
      <w:r w:rsidR="008D3B1C">
        <w:rPr>
          <w:rFonts w:ascii="Times New Roman" w:eastAsiaTheme="minorEastAsia" w:hAnsi="Times New Roman" w:cs="Times New Roman"/>
          <w:sz w:val="24"/>
          <w:szCs w:val="24"/>
        </w:rPr>
        <w:t>Specifically, i</w:t>
      </w:r>
      <w:r>
        <w:rPr>
          <w:rFonts w:ascii="Times New Roman" w:eastAsiaTheme="minorEastAsia" w:hAnsi="Times New Roman" w:cs="Times New Roman"/>
          <w:sz w:val="24"/>
          <w:szCs w:val="24"/>
        </w:rPr>
        <w:t xml:space="preserve">n low debt countries individuals </w:t>
      </w:r>
      <w:r w:rsidR="008D3B1C">
        <w:rPr>
          <w:rFonts w:ascii="Times New Roman" w:eastAsiaTheme="minorEastAsia" w:hAnsi="Times New Roman" w:cs="Times New Roman"/>
          <w:sz w:val="24"/>
          <w:szCs w:val="24"/>
        </w:rPr>
        <w:t>do not perceive</w:t>
      </w:r>
      <w:r>
        <w:rPr>
          <w:rFonts w:ascii="Times New Roman" w:eastAsiaTheme="minorEastAsia" w:hAnsi="Times New Roman" w:cs="Times New Roman"/>
          <w:sz w:val="24"/>
          <w:szCs w:val="24"/>
        </w:rPr>
        <w:t xml:space="preserve"> public debt as net wealth and hence </w:t>
      </w:r>
      <w:r w:rsidR="008D3B1C">
        <w:rPr>
          <w:rFonts w:ascii="Times New Roman" w:eastAsiaTheme="minorEastAsia" w:hAnsi="Times New Roman" w:cs="Times New Roman"/>
          <w:sz w:val="24"/>
          <w:szCs w:val="24"/>
        </w:rPr>
        <w:t xml:space="preserve">do not change their consuming </w:t>
      </w:r>
      <w:r w:rsidR="0067028F">
        <w:rPr>
          <w:rFonts w:ascii="Times New Roman" w:eastAsiaTheme="minorEastAsia" w:hAnsi="Times New Roman" w:cs="Times New Roman"/>
          <w:sz w:val="24"/>
          <w:szCs w:val="24"/>
        </w:rPr>
        <w:t xml:space="preserve">behavior due to debt issue </w:t>
      </w:r>
      <w:r w:rsidR="008D3B1C">
        <w:rPr>
          <w:rFonts w:ascii="Times New Roman" w:eastAsiaTheme="minorEastAsia" w:hAnsi="Times New Roman" w:cs="Times New Roman"/>
          <w:sz w:val="24"/>
          <w:szCs w:val="24"/>
        </w:rPr>
        <w:t>(statistically insignificant government debt coefficient)</w:t>
      </w:r>
      <w:r w:rsidR="0067028F">
        <w:rPr>
          <w:rFonts w:ascii="Times New Roman" w:eastAsiaTheme="minorEastAsia" w:hAnsi="Times New Roman" w:cs="Times New Roman"/>
          <w:sz w:val="24"/>
          <w:szCs w:val="24"/>
        </w:rPr>
        <w:t xml:space="preserve"> On the contrary,</w:t>
      </w:r>
      <w:r>
        <w:rPr>
          <w:rFonts w:ascii="Times New Roman" w:eastAsiaTheme="minorEastAsia" w:hAnsi="Times New Roman" w:cs="Times New Roman"/>
          <w:sz w:val="24"/>
          <w:szCs w:val="24"/>
        </w:rPr>
        <w:t xml:space="preserve"> in high debt countries that ind</w:t>
      </w:r>
      <w:r w:rsidR="0067028F">
        <w:rPr>
          <w:rFonts w:ascii="Times New Roman" w:eastAsiaTheme="minorEastAsia" w:hAnsi="Times New Roman" w:cs="Times New Roman"/>
          <w:sz w:val="24"/>
          <w:szCs w:val="24"/>
        </w:rPr>
        <w:t xml:space="preserve">ividuals are more </w:t>
      </w:r>
      <w:r>
        <w:rPr>
          <w:rFonts w:ascii="Times New Roman" w:eastAsiaTheme="minorEastAsia" w:hAnsi="Times New Roman" w:cs="Times New Roman"/>
          <w:sz w:val="24"/>
          <w:szCs w:val="24"/>
        </w:rPr>
        <w:t>concer</w:t>
      </w:r>
      <w:r w:rsidR="0067028F">
        <w:rPr>
          <w:rFonts w:ascii="Times New Roman" w:eastAsiaTheme="minorEastAsia" w:hAnsi="Times New Roman" w:cs="Times New Roman"/>
          <w:sz w:val="24"/>
          <w:szCs w:val="24"/>
        </w:rPr>
        <w:t xml:space="preserve">ned about the sustainability of </w:t>
      </w:r>
      <w:r>
        <w:rPr>
          <w:rFonts w:ascii="Times New Roman" w:eastAsiaTheme="minorEastAsia" w:hAnsi="Times New Roman" w:cs="Times New Roman"/>
          <w:sz w:val="24"/>
          <w:szCs w:val="24"/>
        </w:rPr>
        <w:t xml:space="preserve">government debt </w:t>
      </w:r>
      <w:r w:rsidR="0067028F">
        <w:rPr>
          <w:rFonts w:ascii="Times New Roman" w:eastAsiaTheme="minorEastAsia" w:hAnsi="Times New Roman" w:cs="Times New Roman"/>
          <w:sz w:val="24"/>
          <w:szCs w:val="24"/>
        </w:rPr>
        <w:t>and hence more forward looking decrease</w:t>
      </w:r>
      <w:r>
        <w:rPr>
          <w:rFonts w:ascii="Times New Roman" w:eastAsiaTheme="minorEastAsia" w:hAnsi="Times New Roman" w:cs="Times New Roman"/>
          <w:sz w:val="24"/>
          <w:szCs w:val="24"/>
        </w:rPr>
        <w:t xml:space="preserve"> their consumption </w:t>
      </w:r>
      <w:r w:rsidR="0067028F">
        <w:rPr>
          <w:rFonts w:ascii="Times New Roman" w:eastAsiaTheme="minorEastAsia" w:hAnsi="Times New Roman" w:cs="Times New Roman"/>
          <w:sz w:val="24"/>
          <w:szCs w:val="24"/>
        </w:rPr>
        <w:t xml:space="preserve">as a result of the deficit financed tax cuts or government expenditures raise. </w:t>
      </w:r>
      <w:r w:rsidR="00CB02EE">
        <w:rPr>
          <w:rFonts w:ascii="Times New Roman" w:eastAsiaTheme="minorEastAsia" w:hAnsi="Times New Roman" w:cs="Times New Roman"/>
          <w:sz w:val="24"/>
          <w:szCs w:val="24"/>
        </w:rPr>
        <w:t xml:space="preserve">Furthermore, they </w:t>
      </w:r>
      <w:r w:rsidR="0067028F">
        <w:rPr>
          <w:rFonts w:ascii="Times New Roman" w:eastAsiaTheme="minorEastAsia" w:hAnsi="Times New Roman" w:cs="Times New Roman"/>
          <w:sz w:val="24"/>
          <w:szCs w:val="24"/>
        </w:rPr>
        <w:t>increase</w:t>
      </w:r>
      <w:r>
        <w:rPr>
          <w:rFonts w:ascii="Times New Roman" w:eastAsiaTheme="minorEastAsia" w:hAnsi="Times New Roman" w:cs="Times New Roman"/>
          <w:sz w:val="24"/>
          <w:szCs w:val="24"/>
        </w:rPr>
        <w:t xml:space="preserve"> their savings </w:t>
      </w:r>
      <w:r w:rsidR="00CB02EE">
        <w:rPr>
          <w:rFonts w:ascii="Times New Roman" w:eastAsiaTheme="minorEastAsia" w:hAnsi="Times New Roman" w:cs="Times New Roman"/>
          <w:sz w:val="24"/>
          <w:szCs w:val="24"/>
        </w:rPr>
        <w:t xml:space="preserve">accordingly </w:t>
      </w:r>
      <w:r>
        <w:rPr>
          <w:rFonts w:ascii="Times New Roman" w:eastAsiaTheme="minorEastAsia" w:hAnsi="Times New Roman" w:cs="Times New Roman"/>
          <w:sz w:val="24"/>
          <w:szCs w:val="24"/>
        </w:rPr>
        <w:t>in order to cope with the future taxes</w:t>
      </w:r>
      <w:r w:rsidR="00CB02EE">
        <w:rPr>
          <w:rFonts w:ascii="Times New Roman" w:eastAsiaTheme="minorEastAsia" w:hAnsi="Times New Roman" w:cs="Times New Roman"/>
          <w:sz w:val="24"/>
          <w:szCs w:val="24"/>
        </w:rPr>
        <w:t xml:space="preserve"> liabilities derived from these fiscal policies</w:t>
      </w:r>
      <w:r>
        <w:rPr>
          <w:rFonts w:ascii="Times New Roman" w:eastAsiaTheme="minorEastAsia" w:hAnsi="Times New Roman" w:cs="Times New Roman"/>
          <w:sz w:val="24"/>
          <w:szCs w:val="24"/>
        </w:rPr>
        <w:t>. These findings</w:t>
      </w:r>
      <w:r w:rsidR="00CB02EE">
        <w:rPr>
          <w:rFonts w:ascii="Times New Roman" w:eastAsiaTheme="minorEastAsia" w:hAnsi="Times New Roman" w:cs="Times New Roman"/>
          <w:sz w:val="24"/>
          <w:szCs w:val="24"/>
        </w:rPr>
        <w:t xml:space="preserve"> are in </w:t>
      </w:r>
      <w:r w:rsidR="00CB02EE">
        <w:rPr>
          <w:rFonts w:ascii="Times New Roman" w:eastAsiaTheme="minorEastAsia" w:hAnsi="Times New Roman" w:cs="Times New Roman"/>
          <w:sz w:val="24"/>
          <w:szCs w:val="24"/>
        </w:rPr>
        <w:lastRenderedPageBreak/>
        <w:t xml:space="preserve">favor of the </w:t>
      </w:r>
      <w:proofErr w:type="spellStart"/>
      <w:r w:rsidR="00CB02EE">
        <w:rPr>
          <w:rFonts w:ascii="Times New Roman" w:eastAsiaTheme="minorEastAsia" w:hAnsi="Times New Roman" w:cs="Times New Roman"/>
          <w:sz w:val="24"/>
          <w:szCs w:val="24"/>
        </w:rPr>
        <w:t>Ricardian</w:t>
      </w:r>
      <w:proofErr w:type="spellEnd"/>
      <w:r w:rsidR="00CB02EE">
        <w:rPr>
          <w:rFonts w:ascii="Times New Roman" w:eastAsiaTheme="minorEastAsia" w:hAnsi="Times New Roman" w:cs="Times New Roman"/>
          <w:sz w:val="24"/>
          <w:szCs w:val="24"/>
        </w:rPr>
        <w:t xml:space="preserve"> Equivalence proposition</w:t>
      </w:r>
      <w:r>
        <w:rPr>
          <w:rFonts w:ascii="Times New Roman" w:eastAsiaTheme="minorEastAsia" w:hAnsi="Times New Roman" w:cs="Times New Roman"/>
          <w:sz w:val="24"/>
          <w:szCs w:val="24"/>
        </w:rPr>
        <w:t xml:space="preserve"> v</w:t>
      </w:r>
      <w:r w:rsidR="00CB02EE">
        <w:rPr>
          <w:rFonts w:ascii="Times New Roman" w:eastAsiaTheme="minorEastAsia" w:hAnsi="Times New Roman" w:cs="Times New Roman"/>
          <w:sz w:val="24"/>
          <w:szCs w:val="24"/>
        </w:rPr>
        <w:t>alidity. Although, the incorporation of our extended consumption function in the autoregressive distributed lag model (ADRL)</w:t>
      </w:r>
      <w:r w:rsidR="005D6A54">
        <w:rPr>
          <w:rFonts w:ascii="Times New Roman" w:eastAsiaTheme="minorEastAsia" w:hAnsi="Times New Roman" w:cs="Times New Roman"/>
          <w:sz w:val="24"/>
          <w:szCs w:val="24"/>
        </w:rPr>
        <w:t xml:space="preserve"> yielded</w:t>
      </w:r>
      <w:r>
        <w:rPr>
          <w:rFonts w:ascii="Times New Roman" w:eastAsiaTheme="minorEastAsia" w:hAnsi="Times New Roman" w:cs="Times New Roman"/>
          <w:sz w:val="24"/>
          <w:szCs w:val="24"/>
        </w:rPr>
        <w:t xml:space="preserve"> positive and statistically significant coefficient</w:t>
      </w:r>
      <w:r w:rsidR="005D6A54">
        <w:rPr>
          <w:rFonts w:ascii="Times New Roman" w:eastAsiaTheme="minorEastAsia" w:hAnsi="Times New Roman" w:cs="Times New Roman"/>
          <w:sz w:val="24"/>
          <w:szCs w:val="24"/>
        </w:rPr>
        <w:t xml:space="preserve">s for the government expenditures variable that violate the </w:t>
      </w:r>
      <w:proofErr w:type="spellStart"/>
      <w:r w:rsidR="005D6A54">
        <w:rPr>
          <w:rFonts w:ascii="Times New Roman" w:eastAsiaTheme="minorEastAsia" w:hAnsi="Times New Roman" w:cs="Times New Roman"/>
          <w:sz w:val="24"/>
          <w:szCs w:val="24"/>
        </w:rPr>
        <w:t>Ricardian</w:t>
      </w:r>
      <w:proofErr w:type="spellEnd"/>
      <w:r w:rsidR="005D6A54">
        <w:rPr>
          <w:rFonts w:ascii="Times New Roman" w:eastAsiaTheme="minorEastAsia" w:hAnsi="Times New Roman" w:cs="Times New Roman"/>
          <w:sz w:val="24"/>
          <w:szCs w:val="24"/>
        </w:rPr>
        <w:t xml:space="preserve"> Equivalence proposition. Hence, we can draw the primary conclusion that although </w:t>
      </w:r>
      <w:proofErr w:type="spellStart"/>
      <w:r w:rsidR="005D6A54">
        <w:rPr>
          <w:rFonts w:ascii="Times New Roman" w:eastAsiaTheme="minorEastAsia" w:hAnsi="Times New Roman" w:cs="Times New Roman"/>
          <w:sz w:val="24"/>
          <w:szCs w:val="24"/>
        </w:rPr>
        <w:t>Ricardian</w:t>
      </w:r>
      <w:proofErr w:type="spellEnd"/>
      <w:r w:rsidR="005D6A54">
        <w:rPr>
          <w:rFonts w:ascii="Times New Roman" w:eastAsiaTheme="minorEastAsia" w:hAnsi="Times New Roman" w:cs="Times New Roman"/>
          <w:sz w:val="24"/>
          <w:szCs w:val="24"/>
        </w:rPr>
        <w:t xml:space="preserve"> Equivalence is rejected for all the countries groups in high debt countries individuals obtain </w:t>
      </w:r>
      <w:proofErr w:type="spellStart"/>
      <w:r w:rsidR="005D6A54">
        <w:rPr>
          <w:rFonts w:ascii="Times New Roman" w:eastAsiaTheme="minorEastAsia" w:hAnsi="Times New Roman" w:cs="Times New Roman"/>
          <w:sz w:val="24"/>
          <w:szCs w:val="24"/>
        </w:rPr>
        <w:t>Ricardian</w:t>
      </w:r>
      <w:proofErr w:type="spellEnd"/>
      <w:r w:rsidR="005D6A54">
        <w:rPr>
          <w:rFonts w:ascii="Times New Roman" w:eastAsiaTheme="minorEastAsia" w:hAnsi="Times New Roman" w:cs="Times New Roman"/>
          <w:sz w:val="24"/>
          <w:szCs w:val="24"/>
        </w:rPr>
        <w:t xml:space="preserve"> characteristics</w:t>
      </w:r>
      <w:r w:rsidR="00A46606">
        <w:rPr>
          <w:rFonts w:ascii="Times New Roman" w:eastAsiaTheme="minorEastAsia" w:hAnsi="Times New Roman" w:cs="Times New Roman"/>
          <w:sz w:val="24"/>
          <w:szCs w:val="24"/>
        </w:rPr>
        <w:t xml:space="preserve"> as we have discussed in our previous analysis</w:t>
      </w:r>
      <w:r w:rsidR="005D6A54">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w:p>
    <w:p w:rsidR="00E62699" w:rsidRDefault="00A46606" w:rsidP="004A1EFF">
      <w:pPr>
        <w:jc w:val="both"/>
        <w:rPr>
          <w:rFonts w:ascii="Times New Roman" w:hAnsi="Times New Roman" w:cs="Times New Roman"/>
          <w:sz w:val="24"/>
          <w:szCs w:val="24"/>
        </w:rPr>
      </w:pPr>
      <w:r>
        <w:rPr>
          <w:rFonts w:ascii="Times New Roman" w:hAnsi="Times New Roman" w:cs="Times New Roman"/>
          <w:sz w:val="24"/>
          <w:szCs w:val="24"/>
        </w:rPr>
        <w:t xml:space="preserve">From the analysis </w:t>
      </w:r>
      <w:r w:rsidR="00030FC9">
        <w:rPr>
          <w:rFonts w:ascii="Times New Roman" w:hAnsi="Times New Roman" w:cs="Times New Roman"/>
          <w:sz w:val="24"/>
          <w:szCs w:val="24"/>
        </w:rPr>
        <w:t xml:space="preserve">above </w:t>
      </w:r>
      <w:r>
        <w:rPr>
          <w:rFonts w:ascii="Times New Roman" w:hAnsi="Times New Roman" w:cs="Times New Roman"/>
          <w:sz w:val="24"/>
          <w:szCs w:val="24"/>
        </w:rPr>
        <w:t xml:space="preserve">regarding the long run and short run effects of government debt on private consumption </w:t>
      </w:r>
      <w:r w:rsidR="005105CC">
        <w:rPr>
          <w:rFonts w:ascii="Times New Roman" w:hAnsi="Times New Roman" w:cs="Times New Roman"/>
          <w:sz w:val="24"/>
          <w:szCs w:val="24"/>
        </w:rPr>
        <w:t xml:space="preserve">we can derive a very crucial conclusion. Specifically, </w:t>
      </w:r>
      <w:r w:rsidR="003419E3">
        <w:rPr>
          <w:rFonts w:ascii="Times New Roman" w:hAnsi="Times New Roman" w:cs="Times New Roman"/>
          <w:sz w:val="24"/>
          <w:szCs w:val="24"/>
        </w:rPr>
        <w:t>although</w:t>
      </w:r>
      <w:r w:rsidR="005105CC">
        <w:rPr>
          <w:rFonts w:ascii="Times New Roman" w:hAnsi="Times New Roman" w:cs="Times New Roman"/>
          <w:sz w:val="24"/>
          <w:szCs w:val="24"/>
        </w:rPr>
        <w:t xml:space="preserve"> in the long run the public debt coefficients are positive and statistically significant for all</w:t>
      </w:r>
      <w:r w:rsidR="00030FC9">
        <w:rPr>
          <w:rFonts w:ascii="Times New Roman" w:hAnsi="Times New Roman" w:cs="Times New Roman"/>
          <w:sz w:val="24"/>
          <w:szCs w:val="24"/>
        </w:rPr>
        <w:t xml:space="preserve"> the</w:t>
      </w:r>
      <w:r w:rsidR="005105CC">
        <w:rPr>
          <w:rFonts w:ascii="Times New Roman" w:hAnsi="Times New Roman" w:cs="Times New Roman"/>
          <w:sz w:val="24"/>
          <w:szCs w:val="24"/>
        </w:rPr>
        <w:t xml:space="preserve"> groups</w:t>
      </w:r>
      <w:r w:rsidR="00030FC9">
        <w:rPr>
          <w:rFonts w:ascii="Times New Roman" w:hAnsi="Times New Roman" w:cs="Times New Roman"/>
          <w:sz w:val="24"/>
          <w:szCs w:val="24"/>
        </w:rPr>
        <w:t xml:space="preserve"> of countries</w:t>
      </w:r>
      <w:r w:rsidR="005105CC">
        <w:rPr>
          <w:rFonts w:ascii="Times New Roman" w:hAnsi="Times New Roman" w:cs="Times New Roman"/>
          <w:sz w:val="24"/>
          <w:szCs w:val="24"/>
        </w:rPr>
        <w:t xml:space="preserve">, the relative short run coefficients are statistically insignificant for the group of low debt countries </w:t>
      </w:r>
      <w:r w:rsidR="003419E3">
        <w:rPr>
          <w:rFonts w:ascii="Times New Roman" w:hAnsi="Times New Roman" w:cs="Times New Roman"/>
          <w:sz w:val="24"/>
          <w:szCs w:val="24"/>
        </w:rPr>
        <w:t>while</w:t>
      </w:r>
      <w:r w:rsidR="005105CC">
        <w:rPr>
          <w:rFonts w:ascii="Times New Roman" w:hAnsi="Times New Roman" w:cs="Times New Roman"/>
          <w:sz w:val="24"/>
          <w:szCs w:val="24"/>
        </w:rPr>
        <w:t xml:space="preserve"> negative</w:t>
      </w:r>
      <w:r w:rsidR="003419E3">
        <w:rPr>
          <w:rFonts w:ascii="Times New Roman" w:hAnsi="Times New Roman" w:cs="Times New Roman"/>
          <w:sz w:val="24"/>
          <w:szCs w:val="24"/>
        </w:rPr>
        <w:t xml:space="preserve"> and statistically significant for the group of high debt countries. This means that </w:t>
      </w:r>
      <w:r w:rsidR="006E0FA7">
        <w:rPr>
          <w:rFonts w:ascii="Times New Roman" w:hAnsi="Times New Roman" w:cs="Times New Roman"/>
          <w:sz w:val="24"/>
          <w:szCs w:val="24"/>
        </w:rPr>
        <w:t xml:space="preserve">although </w:t>
      </w:r>
      <w:r w:rsidR="003419E3">
        <w:rPr>
          <w:rFonts w:ascii="Times New Roman" w:hAnsi="Times New Roman" w:cs="Times New Roman"/>
          <w:sz w:val="24"/>
          <w:szCs w:val="24"/>
        </w:rPr>
        <w:t>in the long run individuals perceive the government debt as net wealth increasing their consumption in the short run</w:t>
      </w:r>
      <w:r w:rsidR="006E0FA7">
        <w:rPr>
          <w:rFonts w:ascii="Times New Roman" w:hAnsi="Times New Roman" w:cs="Times New Roman"/>
          <w:sz w:val="24"/>
          <w:szCs w:val="24"/>
        </w:rPr>
        <w:t xml:space="preserve"> individuals </w:t>
      </w:r>
      <w:r w:rsidR="00030FC9">
        <w:rPr>
          <w:rFonts w:ascii="Times New Roman" w:hAnsi="Times New Roman" w:cs="Times New Roman"/>
          <w:sz w:val="24"/>
          <w:szCs w:val="24"/>
        </w:rPr>
        <w:t xml:space="preserve">do not realize the public as net wealth. Specifically, </w:t>
      </w:r>
      <w:r w:rsidR="006E0FA7">
        <w:rPr>
          <w:rFonts w:ascii="Times New Roman" w:hAnsi="Times New Roman" w:cs="Times New Roman"/>
          <w:sz w:val="24"/>
          <w:szCs w:val="24"/>
        </w:rPr>
        <w:t xml:space="preserve">in </w:t>
      </w:r>
      <w:r w:rsidR="00030FC9">
        <w:rPr>
          <w:rFonts w:ascii="Times New Roman" w:hAnsi="Times New Roman" w:cs="Times New Roman"/>
          <w:sz w:val="24"/>
          <w:szCs w:val="24"/>
        </w:rPr>
        <w:t xml:space="preserve">the </w:t>
      </w:r>
      <w:r w:rsidR="006E0FA7">
        <w:rPr>
          <w:rFonts w:ascii="Times New Roman" w:hAnsi="Times New Roman" w:cs="Times New Roman"/>
          <w:sz w:val="24"/>
          <w:szCs w:val="24"/>
        </w:rPr>
        <w:t xml:space="preserve">low debt countries </w:t>
      </w:r>
      <w:r w:rsidR="00030FC9">
        <w:rPr>
          <w:rFonts w:ascii="Times New Roman" w:hAnsi="Times New Roman" w:cs="Times New Roman"/>
          <w:sz w:val="24"/>
          <w:szCs w:val="24"/>
        </w:rPr>
        <w:t xml:space="preserve">individuals </w:t>
      </w:r>
      <w:r w:rsidR="006E0FA7">
        <w:rPr>
          <w:rFonts w:ascii="Times New Roman" w:hAnsi="Times New Roman" w:cs="Times New Roman"/>
          <w:sz w:val="24"/>
          <w:szCs w:val="24"/>
        </w:rPr>
        <w:t>do not change their consum</w:t>
      </w:r>
      <w:r w:rsidR="00E11907">
        <w:rPr>
          <w:rFonts w:ascii="Times New Roman" w:hAnsi="Times New Roman" w:cs="Times New Roman"/>
          <w:sz w:val="24"/>
          <w:szCs w:val="24"/>
        </w:rPr>
        <w:t>ption</w:t>
      </w:r>
      <w:r w:rsidR="006E0FA7">
        <w:rPr>
          <w:rFonts w:ascii="Times New Roman" w:hAnsi="Times New Roman" w:cs="Times New Roman"/>
          <w:sz w:val="24"/>
          <w:szCs w:val="24"/>
        </w:rPr>
        <w:t xml:space="preserve"> as a result of a debt issue while </w:t>
      </w:r>
      <w:r w:rsidR="00E11907">
        <w:rPr>
          <w:rFonts w:ascii="Times New Roman" w:hAnsi="Times New Roman" w:cs="Times New Roman"/>
          <w:sz w:val="24"/>
          <w:szCs w:val="24"/>
        </w:rPr>
        <w:t xml:space="preserve">in high debt countries </w:t>
      </w:r>
      <w:r w:rsidR="00030FC9">
        <w:rPr>
          <w:rFonts w:ascii="Times New Roman" w:hAnsi="Times New Roman" w:cs="Times New Roman"/>
          <w:sz w:val="24"/>
          <w:szCs w:val="24"/>
        </w:rPr>
        <w:t xml:space="preserve">they </w:t>
      </w:r>
      <w:r w:rsidR="006E0FA7">
        <w:rPr>
          <w:rFonts w:ascii="Times New Roman" w:hAnsi="Times New Roman" w:cs="Times New Roman"/>
          <w:sz w:val="24"/>
          <w:szCs w:val="24"/>
        </w:rPr>
        <w:t>decrease it.</w:t>
      </w:r>
      <w:r w:rsidR="004C369D">
        <w:rPr>
          <w:rFonts w:ascii="Times New Roman" w:hAnsi="Times New Roman" w:cs="Times New Roman"/>
          <w:sz w:val="24"/>
          <w:szCs w:val="24"/>
        </w:rPr>
        <w:t xml:space="preserve"> The difference between the</w:t>
      </w:r>
      <w:r w:rsidR="006E0FA7">
        <w:rPr>
          <w:rFonts w:ascii="Times New Roman" w:hAnsi="Times New Roman" w:cs="Times New Roman"/>
          <w:sz w:val="24"/>
          <w:szCs w:val="24"/>
        </w:rPr>
        <w:t xml:space="preserve"> </w:t>
      </w:r>
      <w:r w:rsidR="004C369D">
        <w:rPr>
          <w:rFonts w:ascii="Times New Roman" w:hAnsi="Times New Roman" w:cs="Times New Roman"/>
          <w:sz w:val="24"/>
          <w:szCs w:val="24"/>
        </w:rPr>
        <w:t xml:space="preserve">short and long run effects can be explained as in the short run individuals </w:t>
      </w:r>
      <w:r w:rsidR="00A01EC9">
        <w:rPr>
          <w:rFonts w:ascii="Times New Roman" w:hAnsi="Times New Roman" w:cs="Times New Roman"/>
          <w:sz w:val="24"/>
          <w:szCs w:val="24"/>
        </w:rPr>
        <w:t xml:space="preserve">especially in high debt countries </w:t>
      </w:r>
      <w:r w:rsidR="004C369D">
        <w:rPr>
          <w:rFonts w:ascii="Times New Roman" w:hAnsi="Times New Roman" w:cs="Times New Roman"/>
          <w:sz w:val="24"/>
          <w:szCs w:val="24"/>
        </w:rPr>
        <w:t>are more possible to be affected by the news regarding the development of government debt and hence they become more conce</w:t>
      </w:r>
      <w:r w:rsidR="00A01EC9">
        <w:rPr>
          <w:rFonts w:ascii="Times New Roman" w:hAnsi="Times New Roman" w:cs="Times New Roman"/>
          <w:sz w:val="24"/>
          <w:szCs w:val="24"/>
        </w:rPr>
        <w:t>rned about the debt level and</w:t>
      </w:r>
      <w:r w:rsidR="004C369D">
        <w:rPr>
          <w:rFonts w:ascii="Times New Roman" w:hAnsi="Times New Roman" w:cs="Times New Roman"/>
          <w:sz w:val="24"/>
          <w:szCs w:val="24"/>
        </w:rPr>
        <w:t xml:space="preserve"> more forward looking.</w:t>
      </w:r>
      <w:r w:rsidR="00A01EC9">
        <w:rPr>
          <w:rFonts w:ascii="Times New Roman" w:hAnsi="Times New Roman" w:cs="Times New Roman"/>
          <w:sz w:val="24"/>
          <w:szCs w:val="24"/>
        </w:rPr>
        <w:t xml:space="preserve"> In the long run though these short run effects diminish and the relationship between</w:t>
      </w:r>
      <w:r w:rsidR="004C369D">
        <w:rPr>
          <w:rFonts w:ascii="Times New Roman" w:hAnsi="Times New Roman" w:cs="Times New Roman"/>
          <w:sz w:val="24"/>
          <w:szCs w:val="24"/>
        </w:rPr>
        <w:t xml:space="preserve"> </w:t>
      </w:r>
      <w:r w:rsidR="00A01EC9">
        <w:rPr>
          <w:rFonts w:ascii="Times New Roman" w:hAnsi="Times New Roman" w:cs="Times New Roman"/>
          <w:sz w:val="24"/>
          <w:szCs w:val="24"/>
        </w:rPr>
        <w:t xml:space="preserve">the public debt and consumption becomes positive. The reason behind this fact is that in the long run and especially in high debt countries individuals </w:t>
      </w:r>
      <w:r w:rsidR="00F40007">
        <w:rPr>
          <w:rFonts w:ascii="Times New Roman" w:hAnsi="Times New Roman" w:cs="Times New Roman"/>
          <w:sz w:val="24"/>
          <w:szCs w:val="24"/>
        </w:rPr>
        <w:t xml:space="preserve">may </w:t>
      </w:r>
      <w:r w:rsidR="00A01EC9">
        <w:rPr>
          <w:rFonts w:ascii="Times New Roman" w:hAnsi="Times New Roman" w:cs="Times New Roman"/>
          <w:sz w:val="24"/>
          <w:szCs w:val="24"/>
        </w:rPr>
        <w:t>face liquidity constraints. Hence</w:t>
      </w:r>
      <w:r w:rsidR="00F40007">
        <w:rPr>
          <w:rFonts w:ascii="Times New Roman" w:hAnsi="Times New Roman" w:cs="Times New Roman"/>
          <w:sz w:val="24"/>
          <w:szCs w:val="24"/>
        </w:rPr>
        <w:t>,</w:t>
      </w:r>
      <w:r w:rsidR="00A01EC9">
        <w:rPr>
          <w:rFonts w:ascii="Times New Roman" w:hAnsi="Times New Roman" w:cs="Times New Roman"/>
          <w:sz w:val="24"/>
          <w:szCs w:val="24"/>
        </w:rPr>
        <w:t xml:space="preserve"> </w:t>
      </w:r>
      <w:r w:rsidR="00F40007">
        <w:rPr>
          <w:rFonts w:ascii="Times New Roman" w:hAnsi="Times New Roman" w:cs="Times New Roman"/>
          <w:sz w:val="24"/>
          <w:szCs w:val="24"/>
        </w:rPr>
        <w:t>individuals</w:t>
      </w:r>
      <w:r w:rsidR="00A01EC9">
        <w:rPr>
          <w:rFonts w:ascii="Times New Roman" w:hAnsi="Times New Roman" w:cs="Times New Roman"/>
          <w:sz w:val="24"/>
          <w:szCs w:val="24"/>
        </w:rPr>
        <w:t xml:space="preserve"> are unable to smooth their consumption </w:t>
      </w:r>
      <w:r w:rsidR="00F40007">
        <w:rPr>
          <w:rFonts w:ascii="Times New Roman" w:hAnsi="Times New Roman" w:cs="Times New Roman"/>
          <w:sz w:val="24"/>
          <w:szCs w:val="24"/>
        </w:rPr>
        <w:t xml:space="preserve">and base their consumption decisions on their disposable rather than on their permanent income as the </w:t>
      </w:r>
      <w:proofErr w:type="spellStart"/>
      <w:r w:rsidR="00F40007">
        <w:rPr>
          <w:rFonts w:ascii="Times New Roman" w:hAnsi="Times New Roman" w:cs="Times New Roman"/>
          <w:sz w:val="24"/>
          <w:szCs w:val="24"/>
        </w:rPr>
        <w:t>Ricardian</w:t>
      </w:r>
      <w:proofErr w:type="spellEnd"/>
      <w:r w:rsidR="00F40007">
        <w:rPr>
          <w:rFonts w:ascii="Times New Roman" w:hAnsi="Times New Roman" w:cs="Times New Roman"/>
          <w:sz w:val="24"/>
          <w:szCs w:val="24"/>
        </w:rPr>
        <w:t xml:space="preserve"> Equivalence Hypothesis implies. </w:t>
      </w:r>
      <w:r w:rsidR="00A01EC9">
        <w:rPr>
          <w:rFonts w:ascii="Times New Roman" w:hAnsi="Times New Roman" w:cs="Times New Roman"/>
          <w:sz w:val="24"/>
          <w:szCs w:val="24"/>
        </w:rPr>
        <w:t xml:space="preserve"> </w:t>
      </w:r>
      <w:r w:rsidR="00BE5479">
        <w:rPr>
          <w:rFonts w:ascii="Times New Roman" w:hAnsi="Times New Roman" w:cs="Times New Roman"/>
          <w:sz w:val="24"/>
          <w:szCs w:val="24"/>
        </w:rPr>
        <w:t xml:space="preserve">This argument is in line with the findings of </w:t>
      </w:r>
      <w:proofErr w:type="spellStart"/>
      <w:r w:rsidR="00BE5479">
        <w:rPr>
          <w:rFonts w:ascii="Times New Roman" w:hAnsi="Times New Roman" w:cs="Times New Roman"/>
          <w:sz w:val="24"/>
          <w:szCs w:val="24"/>
        </w:rPr>
        <w:t>Pozzi</w:t>
      </w:r>
      <w:proofErr w:type="spellEnd"/>
      <w:r w:rsidR="00BE5479">
        <w:rPr>
          <w:rFonts w:ascii="Times New Roman" w:hAnsi="Times New Roman" w:cs="Times New Roman"/>
          <w:sz w:val="24"/>
          <w:szCs w:val="24"/>
        </w:rPr>
        <w:t xml:space="preserve"> et al. (2004) regarding the excess sensitivity of consumption as we have already discussed in the literature review section. </w:t>
      </w:r>
      <w:r w:rsidR="004C369D">
        <w:rPr>
          <w:rFonts w:ascii="Times New Roman" w:hAnsi="Times New Roman" w:cs="Times New Roman"/>
          <w:sz w:val="24"/>
          <w:szCs w:val="24"/>
        </w:rPr>
        <w:t xml:space="preserve"> </w:t>
      </w:r>
      <w:r w:rsidR="006E0FA7">
        <w:rPr>
          <w:rFonts w:ascii="Times New Roman" w:hAnsi="Times New Roman" w:cs="Times New Roman"/>
          <w:sz w:val="24"/>
          <w:szCs w:val="24"/>
        </w:rPr>
        <w:t xml:space="preserve">  </w:t>
      </w:r>
    </w:p>
    <w:p w:rsidR="001A060A" w:rsidRDefault="001A060A" w:rsidP="004A1EFF">
      <w:pPr>
        <w:jc w:val="both"/>
        <w:rPr>
          <w:rFonts w:ascii="Times New Roman" w:hAnsi="Times New Roman" w:cs="Times New Roman"/>
          <w:sz w:val="24"/>
          <w:szCs w:val="24"/>
        </w:rPr>
      </w:pPr>
    </w:p>
    <w:p w:rsidR="00E62699" w:rsidRDefault="00E62699" w:rsidP="00E62699">
      <w:pPr>
        <w:pStyle w:val="a9"/>
        <w:numPr>
          <w:ilvl w:val="0"/>
          <w:numId w:val="1"/>
        </w:numPr>
        <w:ind w:left="0"/>
        <w:jc w:val="both"/>
        <w:rPr>
          <w:rFonts w:ascii="Times New Roman" w:hAnsi="Times New Roman" w:cs="Times New Roman"/>
          <w:b/>
          <w:sz w:val="24"/>
          <w:szCs w:val="24"/>
        </w:rPr>
      </w:pPr>
      <w:r w:rsidRPr="00E62699">
        <w:rPr>
          <w:rFonts w:ascii="Times New Roman" w:hAnsi="Times New Roman" w:cs="Times New Roman"/>
          <w:b/>
          <w:sz w:val="24"/>
          <w:szCs w:val="24"/>
        </w:rPr>
        <w:t>Conclusions</w:t>
      </w:r>
      <w:r w:rsidR="003419E3" w:rsidRPr="00E62699">
        <w:rPr>
          <w:rFonts w:ascii="Times New Roman" w:hAnsi="Times New Roman" w:cs="Times New Roman"/>
          <w:b/>
          <w:sz w:val="24"/>
          <w:szCs w:val="24"/>
        </w:rPr>
        <w:t xml:space="preserve"> </w:t>
      </w:r>
    </w:p>
    <w:p w:rsidR="00B82743" w:rsidRDefault="00B82743" w:rsidP="00E62699">
      <w:pPr>
        <w:jc w:val="both"/>
        <w:rPr>
          <w:rFonts w:ascii="Times New Roman" w:hAnsi="Times New Roman" w:cs="Times New Roman"/>
          <w:sz w:val="24"/>
          <w:szCs w:val="24"/>
        </w:rPr>
      </w:pPr>
      <w:r>
        <w:rPr>
          <w:rFonts w:ascii="Times New Roman" w:hAnsi="Times New Roman" w:cs="Times New Roman"/>
          <w:sz w:val="24"/>
          <w:szCs w:val="24"/>
        </w:rPr>
        <w:t xml:space="preserve">The objective of this Master Thesis was to investigate the impact of government debt on private consumption and therefore to test the validity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for different levels of public debt. To this end we performed both a graphical and a quantitative approach. </w:t>
      </w:r>
    </w:p>
    <w:p w:rsidR="00B02ADB" w:rsidRDefault="00B82743" w:rsidP="00E62699">
      <w:pPr>
        <w:jc w:val="both"/>
        <w:rPr>
          <w:rFonts w:ascii="Times New Roman" w:hAnsi="Times New Roman" w:cs="Times New Roman"/>
          <w:sz w:val="24"/>
          <w:szCs w:val="24"/>
        </w:rPr>
      </w:pPr>
      <w:r>
        <w:rPr>
          <w:rFonts w:ascii="Times New Roman" w:hAnsi="Times New Roman" w:cs="Times New Roman"/>
          <w:sz w:val="24"/>
          <w:szCs w:val="24"/>
        </w:rPr>
        <w:t xml:space="preserve">The graphical approach and specifically the simultaneous study of the Public and Private savings revealed an offsetting trend – negative relationship between them implying possible validity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proposition for a few low debt countries and for the majority of the high debt countries. Furthermore, from the Government debt graphs we noticed that </w:t>
      </w:r>
      <w:r w:rsidR="00B02ADB">
        <w:rPr>
          <w:rFonts w:ascii="Times New Roman" w:hAnsi="Times New Roman" w:cs="Times New Roman"/>
          <w:sz w:val="24"/>
          <w:szCs w:val="24"/>
        </w:rPr>
        <w:t>the public debt problem escalated for all the countries in our sample after the outbreak of the economic crisis.</w:t>
      </w:r>
    </w:p>
    <w:p w:rsidR="00665172" w:rsidRDefault="00B02ADB" w:rsidP="00E62699">
      <w:pPr>
        <w:jc w:val="both"/>
        <w:rPr>
          <w:rFonts w:ascii="Times New Roman" w:hAnsi="Times New Roman" w:cs="Times New Roman"/>
          <w:sz w:val="24"/>
          <w:szCs w:val="24"/>
        </w:rPr>
      </w:pPr>
      <w:r>
        <w:rPr>
          <w:rFonts w:ascii="Times New Roman" w:hAnsi="Times New Roman" w:cs="Times New Roman"/>
          <w:sz w:val="24"/>
          <w:szCs w:val="24"/>
        </w:rPr>
        <w:t xml:space="preserve">To proceed with our quantitative analysis we used the long run consumption function developed by </w:t>
      </w:r>
      <w:proofErr w:type="spellStart"/>
      <w:r>
        <w:rPr>
          <w:rFonts w:ascii="Times New Roman" w:hAnsi="Times New Roman" w:cs="Times New Roman"/>
          <w:sz w:val="24"/>
          <w:szCs w:val="24"/>
        </w:rPr>
        <w:t>Berben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Brosens</w:t>
      </w:r>
      <w:proofErr w:type="spellEnd"/>
      <w:r>
        <w:rPr>
          <w:rFonts w:ascii="Times New Roman" w:hAnsi="Times New Roman" w:cs="Times New Roman"/>
          <w:sz w:val="24"/>
          <w:szCs w:val="24"/>
        </w:rPr>
        <w:t xml:space="preserve"> (2007) that was allowing us to study the impact of government debt on </w:t>
      </w:r>
      <w:r>
        <w:rPr>
          <w:rFonts w:ascii="Times New Roman" w:hAnsi="Times New Roman" w:cs="Times New Roman"/>
          <w:sz w:val="24"/>
          <w:szCs w:val="24"/>
        </w:rPr>
        <w:lastRenderedPageBreak/>
        <w:t>private consumption for different levels of debt namely for low and high indebted countries. In order to investigate the long run effects we estimated our consumption function in a panel estimation approach for</w:t>
      </w:r>
      <w:r w:rsidR="00665172">
        <w:rPr>
          <w:rFonts w:ascii="Times New Roman" w:hAnsi="Times New Roman" w:cs="Times New Roman"/>
          <w:sz w:val="24"/>
          <w:szCs w:val="24"/>
        </w:rPr>
        <w:t xml:space="preserve"> different groups of countries</w:t>
      </w:r>
      <w:r w:rsidR="00665172">
        <w:rPr>
          <w:rStyle w:val="a8"/>
          <w:rFonts w:ascii="Times New Roman" w:hAnsi="Times New Roman" w:cs="Times New Roman"/>
          <w:sz w:val="24"/>
          <w:szCs w:val="24"/>
        </w:rPr>
        <w:footnoteReference w:id="53"/>
      </w:r>
      <w:r w:rsidR="00665172">
        <w:rPr>
          <w:rFonts w:ascii="Times New Roman" w:hAnsi="Times New Roman" w:cs="Times New Roman"/>
          <w:sz w:val="24"/>
          <w:szCs w:val="24"/>
        </w:rPr>
        <w:t xml:space="preserve">. For studying the short run effects, we incorporated our long run consumption equation in an autoregressive distributed lag model (ADRL) with an error correction framework. </w:t>
      </w:r>
    </w:p>
    <w:p w:rsidR="00E62699" w:rsidRDefault="000D448A" w:rsidP="00E62699">
      <w:pPr>
        <w:jc w:val="both"/>
        <w:rPr>
          <w:rFonts w:ascii="Times New Roman" w:hAnsi="Times New Roman" w:cs="Times New Roman"/>
          <w:sz w:val="24"/>
          <w:szCs w:val="24"/>
        </w:rPr>
      </w:pPr>
      <w:r>
        <w:rPr>
          <w:rFonts w:ascii="Times New Roman" w:hAnsi="Times New Roman" w:cs="Times New Roman"/>
          <w:sz w:val="24"/>
          <w:szCs w:val="24"/>
        </w:rPr>
        <w:t>The estimations regarding the long run effects revealed a positive and statistically significant relationship between the public debt and private consumption both for the high and low debt group of countries,</w:t>
      </w:r>
      <w:r w:rsidRPr="000D448A">
        <w:rPr>
          <w:rFonts w:ascii="Times New Roman" w:hAnsi="Times New Roman" w:cs="Times New Roman"/>
          <w:sz w:val="24"/>
          <w:szCs w:val="24"/>
        </w:rPr>
        <w:t xml:space="preserve"> </w:t>
      </w:r>
      <w:r>
        <w:rPr>
          <w:rFonts w:ascii="Times New Roman" w:hAnsi="Times New Roman" w:cs="Times New Roman"/>
          <w:sz w:val="24"/>
          <w:szCs w:val="24"/>
        </w:rPr>
        <w:t xml:space="preserve">though less potent for the high indebted countries, pointing at the rejection of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hypothesis. On the contrary, the estimations from the ADRL model indicated that individuals both in </w:t>
      </w:r>
      <w:r w:rsidR="004F73A0">
        <w:rPr>
          <w:rFonts w:ascii="Times New Roman" w:hAnsi="Times New Roman" w:cs="Times New Roman"/>
          <w:sz w:val="24"/>
          <w:szCs w:val="24"/>
        </w:rPr>
        <w:t>high and low debt countries obtain</w:t>
      </w:r>
      <w:r>
        <w:rPr>
          <w:rFonts w:ascii="Times New Roman" w:hAnsi="Times New Roman" w:cs="Times New Roman"/>
          <w:sz w:val="24"/>
          <w:szCs w:val="24"/>
        </w:rPr>
        <w:t xml:space="preserve"> </w:t>
      </w:r>
      <w:proofErr w:type="spellStart"/>
      <w:r w:rsidR="004F73A0">
        <w:rPr>
          <w:rFonts w:ascii="Times New Roman" w:hAnsi="Times New Roman" w:cs="Times New Roman"/>
          <w:sz w:val="24"/>
          <w:szCs w:val="24"/>
        </w:rPr>
        <w:t>Ricardian</w:t>
      </w:r>
      <w:proofErr w:type="spellEnd"/>
      <w:r w:rsidR="004F73A0">
        <w:rPr>
          <w:rFonts w:ascii="Times New Roman" w:hAnsi="Times New Roman" w:cs="Times New Roman"/>
          <w:sz w:val="24"/>
          <w:szCs w:val="24"/>
        </w:rPr>
        <w:t xml:space="preserve"> characteristics. Specifically, in low debt countries the corresponding coefficient was not statistically significant, meaning that individuals in these countries don’t </w:t>
      </w:r>
      <w:r w:rsidR="009C6E3A">
        <w:rPr>
          <w:rFonts w:ascii="Times New Roman" w:hAnsi="Times New Roman" w:cs="Times New Roman"/>
          <w:sz w:val="24"/>
          <w:szCs w:val="24"/>
        </w:rPr>
        <w:t>change</w:t>
      </w:r>
      <w:r w:rsidR="004F73A0">
        <w:rPr>
          <w:rFonts w:ascii="Times New Roman" w:hAnsi="Times New Roman" w:cs="Times New Roman"/>
          <w:sz w:val="24"/>
          <w:szCs w:val="24"/>
        </w:rPr>
        <w:t xml:space="preserve"> their consuming behavior based on the debt level, while negative and statistical significant for the high </w:t>
      </w:r>
      <w:r w:rsidR="009C6E3A">
        <w:rPr>
          <w:rFonts w:ascii="Times New Roman" w:hAnsi="Times New Roman" w:cs="Times New Roman"/>
          <w:sz w:val="24"/>
          <w:szCs w:val="24"/>
        </w:rPr>
        <w:t>indebted</w:t>
      </w:r>
      <w:r w:rsidR="004F73A0">
        <w:rPr>
          <w:rFonts w:ascii="Times New Roman" w:hAnsi="Times New Roman" w:cs="Times New Roman"/>
          <w:sz w:val="24"/>
          <w:szCs w:val="24"/>
        </w:rPr>
        <w:t xml:space="preserve"> countries.</w:t>
      </w:r>
      <w:r w:rsidR="009C6E3A">
        <w:rPr>
          <w:rFonts w:ascii="Times New Roman" w:hAnsi="Times New Roman" w:cs="Times New Roman"/>
          <w:sz w:val="24"/>
          <w:szCs w:val="24"/>
        </w:rPr>
        <w:t xml:space="preserve"> The rejection of </w:t>
      </w:r>
      <w:proofErr w:type="spellStart"/>
      <w:r w:rsidR="009C6E3A">
        <w:rPr>
          <w:rFonts w:ascii="Times New Roman" w:hAnsi="Times New Roman" w:cs="Times New Roman"/>
          <w:sz w:val="24"/>
          <w:szCs w:val="24"/>
        </w:rPr>
        <w:t>Ricardian</w:t>
      </w:r>
      <w:proofErr w:type="spellEnd"/>
      <w:r w:rsidR="009C6E3A">
        <w:rPr>
          <w:rFonts w:ascii="Times New Roman" w:hAnsi="Times New Roman" w:cs="Times New Roman"/>
          <w:sz w:val="24"/>
          <w:szCs w:val="24"/>
        </w:rPr>
        <w:t xml:space="preserve"> Equivalence proposition in the long term could be attributed to reasons related to liquidity constraints. </w:t>
      </w:r>
    </w:p>
    <w:p w:rsidR="007401DD" w:rsidRDefault="009C6E3A" w:rsidP="00E62699">
      <w:pPr>
        <w:jc w:val="both"/>
        <w:rPr>
          <w:rFonts w:ascii="Times New Roman" w:hAnsi="Times New Roman" w:cs="Times New Roman"/>
          <w:sz w:val="24"/>
          <w:szCs w:val="24"/>
        </w:rPr>
      </w:pPr>
      <w:r>
        <w:rPr>
          <w:rFonts w:ascii="Times New Roman" w:hAnsi="Times New Roman" w:cs="Times New Roman"/>
          <w:sz w:val="24"/>
          <w:szCs w:val="24"/>
        </w:rPr>
        <w:t xml:space="preserve">The policy implications deriving from the above stated findings </w:t>
      </w:r>
      <w:r w:rsidR="007401DD">
        <w:rPr>
          <w:rFonts w:ascii="Times New Roman" w:hAnsi="Times New Roman" w:cs="Times New Roman"/>
          <w:sz w:val="24"/>
          <w:szCs w:val="24"/>
        </w:rPr>
        <w:t xml:space="preserve">concern mainly the effectiveness of the expansionary fiscal policy. This means that a deficit financed tax cut or government expenditures increase would be more effective in the long run and in the low debt countries rather in the short run and in the more indebted countries. </w:t>
      </w:r>
    </w:p>
    <w:p w:rsidR="007401DD" w:rsidRDefault="007401DD" w:rsidP="00E62699">
      <w:pPr>
        <w:jc w:val="both"/>
        <w:rPr>
          <w:rFonts w:ascii="Times New Roman" w:hAnsi="Times New Roman" w:cs="Times New Roman"/>
          <w:sz w:val="24"/>
          <w:szCs w:val="24"/>
        </w:rPr>
      </w:pPr>
    </w:p>
    <w:p w:rsidR="00E62699" w:rsidRPr="001A060A" w:rsidRDefault="00E62699" w:rsidP="00E62699">
      <w:pPr>
        <w:jc w:val="both"/>
        <w:rPr>
          <w:rFonts w:ascii="Times New Roman" w:hAnsi="Times New Roman" w:cs="Times New Roman"/>
          <w:sz w:val="24"/>
          <w:szCs w:val="24"/>
        </w:rPr>
      </w:pPr>
    </w:p>
    <w:p w:rsidR="00E62699" w:rsidRDefault="00E62699" w:rsidP="00E62699">
      <w:pPr>
        <w:jc w:val="both"/>
        <w:rPr>
          <w:rFonts w:ascii="Times New Roman" w:hAnsi="Times New Roman" w:cs="Times New Roman"/>
          <w:b/>
          <w:sz w:val="24"/>
          <w:szCs w:val="24"/>
        </w:rPr>
      </w:pPr>
    </w:p>
    <w:p w:rsidR="00E62699" w:rsidRDefault="003419E3" w:rsidP="00E62699">
      <w:pPr>
        <w:jc w:val="both"/>
        <w:rPr>
          <w:rFonts w:ascii="Times New Roman" w:hAnsi="Times New Roman" w:cs="Times New Roman"/>
          <w:b/>
          <w:sz w:val="24"/>
          <w:szCs w:val="24"/>
        </w:rPr>
      </w:pPr>
      <w:r w:rsidRPr="00E62699">
        <w:rPr>
          <w:rFonts w:ascii="Times New Roman" w:hAnsi="Times New Roman" w:cs="Times New Roman"/>
          <w:b/>
          <w:sz w:val="24"/>
          <w:szCs w:val="24"/>
        </w:rPr>
        <w:t xml:space="preserve">  </w:t>
      </w:r>
      <w:r w:rsidR="005105CC" w:rsidRPr="00E62699">
        <w:rPr>
          <w:rFonts w:ascii="Times New Roman" w:hAnsi="Times New Roman" w:cs="Times New Roman"/>
          <w:b/>
          <w:sz w:val="24"/>
          <w:szCs w:val="24"/>
        </w:rPr>
        <w:t xml:space="preserve">  </w:t>
      </w:r>
    </w:p>
    <w:p w:rsidR="00B93788" w:rsidRDefault="00B93788" w:rsidP="00E62699">
      <w:pPr>
        <w:jc w:val="both"/>
        <w:rPr>
          <w:rFonts w:ascii="Times New Roman" w:hAnsi="Times New Roman" w:cs="Times New Roman"/>
          <w:b/>
          <w:sz w:val="24"/>
          <w:szCs w:val="24"/>
        </w:rPr>
      </w:pPr>
    </w:p>
    <w:p w:rsidR="00B93788" w:rsidRDefault="00B93788" w:rsidP="00E62699">
      <w:pPr>
        <w:jc w:val="both"/>
        <w:rPr>
          <w:rFonts w:ascii="Times New Roman" w:hAnsi="Times New Roman" w:cs="Times New Roman"/>
          <w:b/>
          <w:sz w:val="24"/>
          <w:szCs w:val="24"/>
        </w:rPr>
      </w:pPr>
    </w:p>
    <w:p w:rsidR="00B93788" w:rsidRDefault="00B93788" w:rsidP="00E62699">
      <w:pPr>
        <w:jc w:val="both"/>
        <w:rPr>
          <w:rFonts w:ascii="Times New Roman" w:hAnsi="Times New Roman" w:cs="Times New Roman"/>
          <w:b/>
          <w:sz w:val="24"/>
          <w:szCs w:val="24"/>
        </w:rPr>
      </w:pPr>
    </w:p>
    <w:p w:rsidR="00B93788" w:rsidRDefault="00B93788" w:rsidP="00E62699">
      <w:pPr>
        <w:jc w:val="both"/>
        <w:rPr>
          <w:rFonts w:ascii="Times New Roman" w:hAnsi="Times New Roman" w:cs="Times New Roman"/>
          <w:b/>
          <w:sz w:val="24"/>
          <w:szCs w:val="24"/>
        </w:rPr>
      </w:pPr>
    </w:p>
    <w:p w:rsidR="00B93788" w:rsidRDefault="00B93788" w:rsidP="00E62699">
      <w:pPr>
        <w:jc w:val="both"/>
        <w:rPr>
          <w:rFonts w:ascii="Times New Roman" w:hAnsi="Times New Roman" w:cs="Times New Roman"/>
          <w:b/>
          <w:sz w:val="24"/>
          <w:szCs w:val="24"/>
        </w:rPr>
      </w:pPr>
    </w:p>
    <w:p w:rsidR="00983523" w:rsidRDefault="00983523" w:rsidP="00E62699">
      <w:pPr>
        <w:jc w:val="both"/>
        <w:rPr>
          <w:rFonts w:ascii="Times New Roman" w:hAnsi="Times New Roman" w:cs="Times New Roman"/>
          <w:b/>
          <w:sz w:val="24"/>
          <w:szCs w:val="24"/>
        </w:rPr>
      </w:pPr>
    </w:p>
    <w:p w:rsidR="00B93788" w:rsidRPr="00E62699" w:rsidRDefault="00B93788" w:rsidP="00E62699">
      <w:pPr>
        <w:jc w:val="both"/>
        <w:rPr>
          <w:rFonts w:ascii="Times New Roman" w:hAnsi="Times New Roman" w:cs="Times New Roman"/>
          <w:b/>
          <w:sz w:val="24"/>
          <w:szCs w:val="24"/>
        </w:rPr>
      </w:pPr>
    </w:p>
    <w:p w:rsidR="00E62699" w:rsidRPr="00E62699" w:rsidRDefault="00E62699" w:rsidP="00E62699">
      <w:pPr>
        <w:pStyle w:val="a9"/>
        <w:numPr>
          <w:ilvl w:val="0"/>
          <w:numId w:val="1"/>
        </w:numPr>
        <w:ind w:left="0"/>
        <w:jc w:val="both"/>
        <w:rPr>
          <w:rFonts w:ascii="Times New Roman" w:hAnsi="Times New Roman" w:cs="Times New Roman"/>
          <w:b/>
          <w:sz w:val="24"/>
          <w:szCs w:val="24"/>
        </w:rPr>
      </w:pPr>
      <w:r>
        <w:rPr>
          <w:rFonts w:ascii="Times New Roman" w:hAnsi="Times New Roman" w:cs="Times New Roman"/>
          <w:b/>
          <w:sz w:val="24"/>
          <w:szCs w:val="24"/>
        </w:rPr>
        <w:lastRenderedPageBreak/>
        <w:t>References</w:t>
      </w:r>
      <w:r w:rsidR="005105CC" w:rsidRPr="00E62699">
        <w:rPr>
          <w:rFonts w:ascii="Times New Roman" w:hAnsi="Times New Roman" w:cs="Times New Roman"/>
          <w:b/>
          <w:sz w:val="24"/>
          <w:szCs w:val="24"/>
        </w:rPr>
        <w:t xml:space="preserve"> </w:t>
      </w:r>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Afonso</w:t>
      </w:r>
      <w:proofErr w:type="spellEnd"/>
      <w:r>
        <w:rPr>
          <w:rFonts w:ascii="Times New Roman" w:hAnsi="Times New Roman" w:cs="Times New Roman"/>
          <w:sz w:val="24"/>
          <w:szCs w:val="24"/>
        </w:rPr>
        <w:t>, A. 2001.</w:t>
      </w:r>
      <w:proofErr w:type="gramEnd"/>
      <w:r>
        <w:rPr>
          <w:rFonts w:ascii="Times New Roman" w:hAnsi="Times New Roman" w:cs="Times New Roman"/>
          <w:sz w:val="24"/>
          <w:szCs w:val="24"/>
        </w:rPr>
        <w:t xml:space="preserve"> “Government Indebtedness and European Consumers Behavior”, </w:t>
      </w:r>
      <w:r>
        <w:rPr>
          <w:rFonts w:ascii="Times New Roman" w:hAnsi="Times New Roman" w:cs="Times New Roman"/>
          <w:i/>
          <w:sz w:val="24"/>
          <w:szCs w:val="24"/>
        </w:rPr>
        <w:t xml:space="preserve">University of Lisbon, ISEG Economics Department Working Paper, </w:t>
      </w:r>
      <w:r>
        <w:rPr>
          <w:rFonts w:ascii="Times New Roman" w:hAnsi="Times New Roman" w:cs="Times New Roman"/>
          <w:sz w:val="24"/>
          <w:szCs w:val="24"/>
        </w:rPr>
        <w:t>(Oct., 2001).</w:t>
      </w:r>
    </w:p>
    <w:p w:rsidR="00E62699" w:rsidRDefault="00E62699" w:rsidP="00E62699">
      <w:pPr>
        <w:ind w:firstLine="810"/>
        <w:jc w:val="both"/>
        <w:rPr>
          <w:rFonts w:ascii="Times New Roman" w:hAnsi="Times New Roman" w:cs="Times New Roman"/>
          <w:sz w:val="24"/>
          <w:szCs w:val="24"/>
        </w:rPr>
      </w:pP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R. J. 1974. “Are Government Bonds Net Wealth?</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Pr>
          <w:rFonts w:ascii="Times New Roman" w:hAnsi="Times New Roman" w:cs="Times New Roman"/>
          <w:i/>
          <w:sz w:val="24"/>
          <w:szCs w:val="24"/>
        </w:rPr>
        <w:t xml:space="preserve">Journal of Political Economy, </w:t>
      </w:r>
      <w:r>
        <w:rPr>
          <w:rFonts w:ascii="Times New Roman" w:hAnsi="Times New Roman" w:cs="Times New Roman"/>
          <w:sz w:val="24"/>
          <w:szCs w:val="24"/>
        </w:rPr>
        <w:t>Vol. 82, No. 6, (Nov., – Dec., 1974), pp. 1095-1117.</w:t>
      </w:r>
    </w:p>
    <w:p w:rsidR="00E62699" w:rsidRDefault="00E62699" w:rsidP="00E62699">
      <w:pPr>
        <w:ind w:firstLine="720"/>
        <w:jc w:val="both"/>
        <w:rPr>
          <w:rFonts w:ascii="Times New Roman" w:hAnsi="Times New Roman" w:cs="Times New Roman"/>
          <w:sz w:val="24"/>
          <w:szCs w:val="24"/>
        </w:rPr>
      </w:pPr>
      <w:proofErr w:type="spellStart"/>
      <w:r>
        <w:rPr>
          <w:rFonts w:ascii="Times New Roman" w:hAnsi="Times New Roman" w:cs="Times New Roman"/>
          <w:sz w:val="24"/>
          <w:szCs w:val="24"/>
        </w:rPr>
        <w:t>Barro</w:t>
      </w:r>
      <w:proofErr w:type="spellEnd"/>
      <w:r>
        <w:rPr>
          <w:rFonts w:ascii="Times New Roman" w:hAnsi="Times New Roman" w:cs="Times New Roman"/>
          <w:sz w:val="24"/>
          <w:szCs w:val="24"/>
        </w:rPr>
        <w:t xml:space="preserve">, R. J. 1989. </w:t>
      </w:r>
      <w:proofErr w:type="gramStart"/>
      <w:r>
        <w:rPr>
          <w:rFonts w:ascii="Times New Roman" w:hAnsi="Times New Roman" w:cs="Times New Roman"/>
          <w:sz w:val="24"/>
          <w:szCs w:val="24"/>
        </w:rPr>
        <w:t xml:space="preserve">“The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Approach to Budget Deficits”, </w:t>
      </w:r>
      <w:r w:rsidRPr="002946D5">
        <w:rPr>
          <w:rFonts w:ascii="Times New Roman" w:hAnsi="Times New Roman" w:cs="Times New Roman"/>
          <w:i/>
          <w:sz w:val="24"/>
          <w:szCs w:val="24"/>
        </w:rPr>
        <w:t>Journal of Economic Perspectives</w:t>
      </w:r>
      <w:r>
        <w:rPr>
          <w:rFonts w:ascii="Times New Roman" w:hAnsi="Times New Roman" w:cs="Times New Roman"/>
          <w:sz w:val="24"/>
          <w:szCs w:val="24"/>
        </w:rPr>
        <w:t>, Vol.3, No.2, (Spring 1989), pp.37-54.</w:t>
      </w:r>
      <w:proofErr w:type="gramEnd"/>
    </w:p>
    <w:p w:rsidR="00E62699" w:rsidRDefault="00E62699" w:rsidP="00E62699">
      <w:pPr>
        <w:ind w:firstLine="810"/>
        <w:jc w:val="both"/>
        <w:rPr>
          <w:rFonts w:ascii="Times New Roman" w:hAnsi="Times New Roman" w:cs="Times New Roman"/>
          <w:sz w:val="24"/>
          <w:szCs w:val="24"/>
        </w:rPr>
      </w:pPr>
      <w:proofErr w:type="gramStart"/>
      <w:r>
        <w:rPr>
          <w:rFonts w:ascii="Times New Roman" w:hAnsi="Times New Roman" w:cs="Times New Roman"/>
          <w:sz w:val="24"/>
          <w:szCs w:val="24"/>
        </w:rPr>
        <w:t>Beck, E. S. 1994.</w:t>
      </w:r>
      <w:proofErr w:type="gramEnd"/>
      <w:r>
        <w:rPr>
          <w:rFonts w:ascii="Times New Roman" w:hAnsi="Times New Roman" w:cs="Times New Roman"/>
          <w:sz w:val="24"/>
          <w:szCs w:val="24"/>
        </w:rPr>
        <w:t xml:space="preserve"> “The Effect of Budget Deficits on Exchange Rates: Evidence </w:t>
      </w:r>
      <w:proofErr w:type="gramStart"/>
      <w:r>
        <w:rPr>
          <w:rFonts w:ascii="Times New Roman" w:hAnsi="Times New Roman" w:cs="Times New Roman"/>
          <w:sz w:val="24"/>
          <w:szCs w:val="24"/>
        </w:rPr>
        <w:t>From</w:t>
      </w:r>
      <w:proofErr w:type="gramEnd"/>
      <w:r>
        <w:rPr>
          <w:rFonts w:ascii="Times New Roman" w:hAnsi="Times New Roman" w:cs="Times New Roman"/>
          <w:sz w:val="24"/>
          <w:szCs w:val="24"/>
        </w:rPr>
        <w:t xml:space="preserve"> Five Industrialized Countries”, </w:t>
      </w:r>
      <w:r>
        <w:rPr>
          <w:rFonts w:ascii="Times New Roman" w:hAnsi="Times New Roman" w:cs="Times New Roman"/>
          <w:i/>
          <w:sz w:val="24"/>
          <w:szCs w:val="24"/>
        </w:rPr>
        <w:t xml:space="preserve">Journal of Economics and Business, </w:t>
      </w:r>
      <w:r>
        <w:rPr>
          <w:rFonts w:ascii="Times New Roman" w:hAnsi="Times New Roman" w:cs="Times New Roman"/>
          <w:sz w:val="24"/>
          <w:szCs w:val="24"/>
        </w:rPr>
        <w:t xml:space="preserve">Vol. 46, pp. 397-408. </w:t>
      </w:r>
    </w:p>
    <w:p w:rsidR="00E62699" w:rsidRDefault="00E62699" w:rsidP="00E62699">
      <w:pPr>
        <w:ind w:firstLine="810"/>
        <w:jc w:val="both"/>
        <w:rPr>
          <w:rFonts w:ascii="Times New Roman" w:hAnsi="Times New Roman" w:cs="Times New Roman"/>
          <w:sz w:val="24"/>
          <w:szCs w:val="24"/>
        </w:rPr>
      </w:pPr>
      <w:proofErr w:type="spellStart"/>
      <w:r>
        <w:rPr>
          <w:rFonts w:ascii="Times New Roman" w:hAnsi="Times New Roman" w:cs="Times New Roman"/>
          <w:sz w:val="24"/>
          <w:szCs w:val="24"/>
        </w:rPr>
        <w:t>Berben</w:t>
      </w:r>
      <w:proofErr w:type="spellEnd"/>
      <w:r>
        <w:rPr>
          <w:rFonts w:ascii="Times New Roman" w:hAnsi="Times New Roman" w:cs="Times New Roman"/>
          <w:sz w:val="24"/>
          <w:szCs w:val="24"/>
        </w:rPr>
        <w:t xml:space="preserve">, R. P., and </w:t>
      </w:r>
      <w:proofErr w:type="spellStart"/>
      <w:r>
        <w:rPr>
          <w:rFonts w:ascii="Times New Roman" w:hAnsi="Times New Roman" w:cs="Times New Roman"/>
          <w:sz w:val="24"/>
          <w:szCs w:val="24"/>
        </w:rPr>
        <w:t>Brosens</w:t>
      </w:r>
      <w:proofErr w:type="spellEnd"/>
      <w:r>
        <w:rPr>
          <w:rFonts w:ascii="Times New Roman" w:hAnsi="Times New Roman" w:cs="Times New Roman"/>
          <w:sz w:val="24"/>
          <w:szCs w:val="24"/>
        </w:rPr>
        <w:t xml:space="preserve">, T. 2007. “The Impact of Government Debt on Private Consumption in OECD Countries”, </w:t>
      </w:r>
      <w:r>
        <w:rPr>
          <w:rFonts w:ascii="Times New Roman" w:hAnsi="Times New Roman" w:cs="Times New Roman"/>
          <w:i/>
          <w:sz w:val="24"/>
          <w:szCs w:val="24"/>
        </w:rPr>
        <w:t xml:space="preserve">Economics Letter, </w:t>
      </w:r>
      <w:r>
        <w:rPr>
          <w:rFonts w:ascii="Times New Roman" w:hAnsi="Times New Roman" w:cs="Times New Roman"/>
          <w:sz w:val="24"/>
          <w:szCs w:val="24"/>
        </w:rPr>
        <w:t xml:space="preserve">Vol. 94, pp. 220-225. </w:t>
      </w:r>
    </w:p>
    <w:p w:rsidR="00E62699" w:rsidRDefault="00E62699" w:rsidP="00E62699">
      <w:pPr>
        <w:ind w:firstLine="810"/>
        <w:jc w:val="both"/>
        <w:rPr>
          <w:rFonts w:ascii="Times New Roman" w:hAnsi="Times New Roman" w:cs="Times New Roman"/>
          <w:sz w:val="24"/>
          <w:szCs w:val="24"/>
        </w:rPr>
      </w:pPr>
      <w:proofErr w:type="spellStart"/>
      <w:r>
        <w:rPr>
          <w:rFonts w:ascii="Times New Roman" w:hAnsi="Times New Roman" w:cs="Times New Roman"/>
          <w:sz w:val="24"/>
          <w:szCs w:val="24"/>
        </w:rPr>
        <w:t>Bernheim</w:t>
      </w:r>
      <w:proofErr w:type="spellEnd"/>
      <w:r>
        <w:rPr>
          <w:rFonts w:ascii="Times New Roman" w:hAnsi="Times New Roman" w:cs="Times New Roman"/>
          <w:sz w:val="24"/>
          <w:szCs w:val="24"/>
        </w:rPr>
        <w:t>, B. D. 1987.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An Evaluation of Theory and Evidence”, Fischer S., </w:t>
      </w:r>
      <w:proofErr w:type="spellStart"/>
      <w:r>
        <w:rPr>
          <w:rFonts w:ascii="Times New Roman" w:hAnsi="Times New Roman" w:cs="Times New Roman"/>
          <w:i/>
          <w:sz w:val="24"/>
          <w:szCs w:val="24"/>
        </w:rPr>
        <w:t>Nber</w:t>
      </w:r>
      <w:proofErr w:type="spellEnd"/>
      <w:r>
        <w:rPr>
          <w:rFonts w:ascii="Times New Roman" w:hAnsi="Times New Roman" w:cs="Times New Roman"/>
          <w:i/>
          <w:sz w:val="24"/>
          <w:szCs w:val="24"/>
        </w:rPr>
        <w:t xml:space="preserve"> Macroeconomics Annual 1987, </w:t>
      </w:r>
      <w:r>
        <w:rPr>
          <w:rFonts w:ascii="Times New Roman" w:hAnsi="Times New Roman" w:cs="Times New Roman"/>
          <w:sz w:val="24"/>
          <w:szCs w:val="24"/>
        </w:rPr>
        <w:t xml:space="preserve">Vol. 2,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MIT Press, pp. 263-316.</w:t>
      </w:r>
    </w:p>
    <w:p w:rsidR="00E62699" w:rsidRDefault="00E62699" w:rsidP="00E62699">
      <w:pPr>
        <w:ind w:firstLine="810"/>
        <w:jc w:val="both"/>
        <w:rPr>
          <w:rFonts w:ascii="Times New Roman" w:hAnsi="Times New Roman" w:cs="Times New Roman"/>
          <w:sz w:val="24"/>
          <w:szCs w:val="24"/>
        </w:rPr>
      </w:pPr>
      <w:proofErr w:type="gramStart"/>
      <w:r>
        <w:rPr>
          <w:rFonts w:ascii="Times New Roman" w:hAnsi="Times New Roman" w:cs="Times New Roman"/>
          <w:sz w:val="24"/>
          <w:szCs w:val="24"/>
        </w:rPr>
        <w:t>Blanchard, O. 1985.</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Debt</w:t>
      </w:r>
      <w:proofErr w:type="gramEnd"/>
      <w:r>
        <w:rPr>
          <w:rFonts w:ascii="Times New Roman" w:hAnsi="Times New Roman" w:cs="Times New Roman"/>
          <w:sz w:val="24"/>
          <w:szCs w:val="24"/>
        </w:rPr>
        <w:t xml:space="preserve">, Deficits and Finite Horizons”, </w:t>
      </w:r>
      <w:r>
        <w:rPr>
          <w:rFonts w:ascii="Times New Roman" w:hAnsi="Times New Roman" w:cs="Times New Roman"/>
          <w:i/>
          <w:sz w:val="24"/>
          <w:szCs w:val="24"/>
        </w:rPr>
        <w:t xml:space="preserve">Journal of Political Economy, </w:t>
      </w:r>
      <w:r>
        <w:rPr>
          <w:rFonts w:ascii="Times New Roman" w:hAnsi="Times New Roman" w:cs="Times New Roman"/>
          <w:sz w:val="24"/>
          <w:szCs w:val="24"/>
        </w:rPr>
        <w:t xml:space="preserve">Vol. 93, pp. 223-247. </w:t>
      </w:r>
    </w:p>
    <w:p w:rsidR="00E62699" w:rsidRDefault="00E62699" w:rsidP="00E62699">
      <w:pPr>
        <w:ind w:firstLine="810"/>
        <w:jc w:val="both"/>
        <w:rPr>
          <w:rFonts w:ascii="Times New Roman" w:hAnsi="Times New Roman" w:cs="Times New Roman"/>
          <w:sz w:val="24"/>
          <w:szCs w:val="24"/>
        </w:rPr>
      </w:pPr>
      <w:proofErr w:type="gramStart"/>
      <w:r>
        <w:rPr>
          <w:rFonts w:ascii="Times New Roman" w:hAnsi="Times New Roman" w:cs="Times New Roman"/>
          <w:sz w:val="24"/>
          <w:szCs w:val="24"/>
        </w:rPr>
        <w:t>Castro, de F., and Fernandez, J. L. 2009.</w:t>
      </w:r>
      <w:proofErr w:type="gramEnd"/>
      <w:r>
        <w:rPr>
          <w:rFonts w:ascii="Times New Roman" w:hAnsi="Times New Roman" w:cs="Times New Roman"/>
          <w:sz w:val="24"/>
          <w:szCs w:val="24"/>
        </w:rPr>
        <w:t xml:space="preserve"> “The Relationship </w:t>
      </w:r>
      <w:proofErr w:type="gramStart"/>
      <w:r>
        <w:rPr>
          <w:rFonts w:ascii="Times New Roman" w:hAnsi="Times New Roman" w:cs="Times New Roman"/>
          <w:sz w:val="24"/>
          <w:szCs w:val="24"/>
        </w:rPr>
        <w:t>Between</w:t>
      </w:r>
      <w:proofErr w:type="gramEnd"/>
      <w:r>
        <w:rPr>
          <w:rFonts w:ascii="Times New Roman" w:hAnsi="Times New Roman" w:cs="Times New Roman"/>
          <w:sz w:val="24"/>
          <w:szCs w:val="24"/>
        </w:rPr>
        <w:t xml:space="preserve"> Public and Private Savings in Spain: Does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hold?” </w:t>
      </w:r>
      <w:proofErr w:type="gramStart"/>
      <w:r>
        <w:rPr>
          <w:rFonts w:ascii="Times New Roman" w:hAnsi="Times New Roman" w:cs="Times New Roman"/>
          <w:i/>
          <w:sz w:val="24"/>
          <w:szCs w:val="24"/>
        </w:rPr>
        <w:t xml:space="preserve">Bank of Spain Working Paper, </w:t>
      </w:r>
      <w:r>
        <w:rPr>
          <w:rFonts w:ascii="Times New Roman" w:hAnsi="Times New Roman" w:cs="Times New Roman"/>
          <w:sz w:val="24"/>
          <w:szCs w:val="24"/>
        </w:rPr>
        <w:t>No. 0923.</w:t>
      </w:r>
      <w:proofErr w:type="gramEnd"/>
      <w:r>
        <w:rPr>
          <w:rFonts w:ascii="Times New Roman" w:hAnsi="Times New Roman" w:cs="Times New Roman"/>
          <w:sz w:val="24"/>
          <w:szCs w:val="24"/>
        </w:rPr>
        <w:t xml:space="preserve">  </w:t>
      </w:r>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t xml:space="preserve">Chan, L. K. C. 1983. </w:t>
      </w:r>
      <w:proofErr w:type="gramStart"/>
      <w:r>
        <w:rPr>
          <w:rFonts w:ascii="Times New Roman" w:hAnsi="Times New Roman" w:cs="Times New Roman"/>
          <w:sz w:val="24"/>
          <w:szCs w:val="24"/>
        </w:rPr>
        <w:t xml:space="preserve">“Uncertainty and the Neutrality of Government Financing Policy”, </w:t>
      </w:r>
      <w:r>
        <w:rPr>
          <w:rFonts w:ascii="Times New Roman" w:hAnsi="Times New Roman" w:cs="Times New Roman"/>
          <w:i/>
          <w:sz w:val="24"/>
          <w:szCs w:val="24"/>
        </w:rPr>
        <w:t xml:space="preserve">Journal of Monetary Economics, </w:t>
      </w:r>
      <w:r>
        <w:rPr>
          <w:rFonts w:ascii="Times New Roman" w:hAnsi="Times New Roman" w:cs="Times New Roman"/>
          <w:sz w:val="24"/>
          <w:szCs w:val="24"/>
        </w:rPr>
        <w:t>pp. 351-372.</w:t>
      </w:r>
      <w:proofErr w:type="gramEnd"/>
      <w:r>
        <w:rPr>
          <w:rFonts w:ascii="Times New Roman" w:hAnsi="Times New Roman" w:cs="Times New Roman"/>
          <w:sz w:val="24"/>
          <w:szCs w:val="24"/>
        </w:rPr>
        <w:t xml:space="preserve"> </w:t>
      </w:r>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t xml:space="preserve">Chow, G. C. 2011. “Usefulness of Adaptive and Rational Expectations in Economics”, </w:t>
      </w:r>
      <w:r>
        <w:rPr>
          <w:rFonts w:ascii="Times New Roman" w:hAnsi="Times New Roman" w:cs="Times New Roman"/>
          <w:i/>
          <w:sz w:val="24"/>
          <w:szCs w:val="24"/>
        </w:rPr>
        <w:t xml:space="preserve">CEPS Working Paper, </w:t>
      </w:r>
      <w:r>
        <w:rPr>
          <w:rFonts w:ascii="Times New Roman" w:hAnsi="Times New Roman" w:cs="Times New Roman"/>
          <w:sz w:val="24"/>
          <w:szCs w:val="24"/>
        </w:rPr>
        <w:t xml:space="preserve">No. 221, (Sept., 2011). </w:t>
      </w:r>
    </w:p>
    <w:p w:rsidR="00E62699" w:rsidRDefault="00E62699" w:rsidP="00E62699">
      <w:pPr>
        <w:ind w:firstLine="810"/>
        <w:jc w:val="both"/>
        <w:rPr>
          <w:rFonts w:ascii="Times New Roman" w:hAnsi="Times New Roman" w:cs="Times New Roman"/>
          <w:sz w:val="24"/>
          <w:szCs w:val="24"/>
        </w:rPr>
      </w:pPr>
      <w:proofErr w:type="gramStart"/>
      <w:r>
        <w:rPr>
          <w:rFonts w:ascii="Times New Roman" w:hAnsi="Times New Roman" w:cs="Times New Roman"/>
          <w:sz w:val="24"/>
          <w:szCs w:val="24"/>
        </w:rPr>
        <w:t xml:space="preserve">Cox, D., and </w:t>
      </w:r>
      <w:proofErr w:type="spellStart"/>
      <w:r>
        <w:rPr>
          <w:rFonts w:ascii="Times New Roman" w:hAnsi="Times New Roman" w:cs="Times New Roman"/>
          <w:sz w:val="24"/>
          <w:szCs w:val="24"/>
        </w:rPr>
        <w:t>Jappelli</w:t>
      </w:r>
      <w:proofErr w:type="spellEnd"/>
      <w:r>
        <w:rPr>
          <w:rFonts w:ascii="Times New Roman" w:hAnsi="Times New Roman" w:cs="Times New Roman"/>
          <w:sz w:val="24"/>
          <w:szCs w:val="24"/>
        </w:rPr>
        <w:t>, T. 1990.</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Credit</w:t>
      </w:r>
      <w:proofErr w:type="gramEnd"/>
      <w:r>
        <w:rPr>
          <w:rFonts w:ascii="Times New Roman" w:hAnsi="Times New Roman" w:cs="Times New Roman"/>
          <w:sz w:val="24"/>
          <w:szCs w:val="24"/>
        </w:rPr>
        <w:t xml:space="preserve"> Rationing and Private Transfers: Evidence from Survey Data” </w:t>
      </w:r>
      <w:r>
        <w:rPr>
          <w:rFonts w:ascii="Times New Roman" w:hAnsi="Times New Roman" w:cs="Times New Roman"/>
          <w:i/>
          <w:sz w:val="24"/>
          <w:szCs w:val="24"/>
        </w:rPr>
        <w:t xml:space="preserve">The Review of Economics and Statistics, </w:t>
      </w:r>
      <w:r>
        <w:rPr>
          <w:rFonts w:ascii="Times New Roman" w:hAnsi="Times New Roman" w:cs="Times New Roman"/>
          <w:sz w:val="24"/>
          <w:szCs w:val="24"/>
        </w:rPr>
        <w:t xml:space="preserve">Vol. 72, No. 3, (Aug., 1990), pp. 445-454. </w:t>
      </w:r>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t xml:space="preserve">Evans, P. 1987. “Interest Rates and Expected Future Budget Deficits in the United States”, </w:t>
      </w:r>
      <w:r>
        <w:rPr>
          <w:rFonts w:ascii="Times New Roman" w:hAnsi="Times New Roman" w:cs="Times New Roman"/>
          <w:i/>
          <w:sz w:val="24"/>
          <w:szCs w:val="24"/>
        </w:rPr>
        <w:t xml:space="preserve">Journal of Political Economy, </w:t>
      </w:r>
      <w:r>
        <w:rPr>
          <w:rFonts w:ascii="Times New Roman" w:hAnsi="Times New Roman" w:cs="Times New Roman"/>
          <w:sz w:val="24"/>
          <w:szCs w:val="24"/>
        </w:rPr>
        <w:t>Vol. 95, No. 1, (</w:t>
      </w:r>
      <w:proofErr w:type="spellStart"/>
      <w:proofErr w:type="gramStart"/>
      <w:r>
        <w:rPr>
          <w:rFonts w:ascii="Times New Roman" w:hAnsi="Times New Roman" w:cs="Times New Roman"/>
          <w:sz w:val="24"/>
          <w:szCs w:val="24"/>
        </w:rPr>
        <w:t>Febr</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1987), pp. 34-58. </w:t>
      </w:r>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t xml:space="preserve">Feldstein, M. 1976. “Perceived Wealth in Bonds and Social Security: A Comment”, </w:t>
      </w:r>
      <w:r>
        <w:rPr>
          <w:rFonts w:ascii="Times New Roman" w:hAnsi="Times New Roman" w:cs="Times New Roman"/>
          <w:i/>
          <w:sz w:val="24"/>
          <w:szCs w:val="24"/>
        </w:rPr>
        <w:t xml:space="preserve">Journal of Political Economy, </w:t>
      </w:r>
      <w:r>
        <w:rPr>
          <w:rFonts w:ascii="Times New Roman" w:hAnsi="Times New Roman" w:cs="Times New Roman"/>
          <w:sz w:val="24"/>
          <w:szCs w:val="24"/>
        </w:rPr>
        <w:t xml:space="preserve">Vol. 84, No. 2, (Apr., 1976), pp. 331-336. </w:t>
      </w:r>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t xml:space="preserve">Feldstein, M. 1982. “Government Deficits and Aggregate Demand”, </w:t>
      </w:r>
      <w:r>
        <w:rPr>
          <w:rFonts w:ascii="Times New Roman" w:hAnsi="Times New Roman" w:cs="Times New Roman"/>
          <w:i/>
          <w:sz w:val="24"/>
          <w:szCs w:val="24"/>
        </w:rPr>
        <w:t xml:space="preserve">Journal of Monetary Economics, </w:t>
      </w:r>
      <w:r>
        <w:rPr>
          <w:rFonts w:ascii="Times New Roman" w:hAnsi="Times New Roman" w:cs="Times New Roman"/>
          <w:sz w:val="24"/>
          <w:szCs w:val="24"/>
        </w:rPr>
        <w:t xml:space="preserve">No. 9, pp. 1-20. </w:t>
      </w:r>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lastRenderedPageBreak/>
        <w:t xml:space="preserve">Feldstein, M. 1988. </w:t>
      </w:r>
      <w:proofErr w:type="gramStart"/>
      <w:r>
        <w:rPr>
          <w:rFonts w:ascii="Times New Roman" w:hAnsi="Times New Roman" w:cs="Times New Roman"/>
          <w:sz w:val="24"/>
          <w:szCs w:val="24"/>
        </w:rPr>
        <w:t xml:space="preserve">“The Effects of Fiscal Policies When Incomes Are Uncertain: A Contradiction to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w:t>
      </w:r>
      <w:r>
        <w:rPr>
          <w:rFonts w:ascii="Times New Roman" w:hAnsi="Times New Roman" w:cs="Times New Roman"/>
          <w:i/>
          <w:sz w:val="24"/>
          <w:szCs w:val="24"/>
        </w:rPr>
        <w:t xml:space="preserve">The American Economic Review, </w:t>
      </w:r>
      <w:r>
        <w:rPr>
          <w:rFonts w:ascii="Times New Roman" w:hAnsi="Times New Roman" w:cs="Times New Roman"/>
          <w:sz w:val="24"/>
          <w:szCs w:val="24"/>
        </w:rPr>
        <w:t>Vol. 78, No. 1, (Mar., 1988), pp. 14-23.</w:t>
      </w:r>
      <w:proofErr w:type="gramEnd"/>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Gogas</w:t>
      </w:r>
      <w:proofErr w:type="spellEnd"/>
      <w:r>
        <w:rPr>
          <w:rFonts w:ascii="Times New Roman" w:hAnsi="Times New Roman" w:cs="Times New Roman"/>
          <w:sz w:val="24"/>
          <w:szCs w:val="24"/>
        </w:rPr>
        <w:t xml:space="preserve">, P., </w:t>
      </w:r>
      <w:proofErr w:type="spellStart"/>
      <w:r>
        <w:rPr>
          <w:rFonts w:ascii="Times New Roman" w:hAnsi="Times New Roman" w:cs="Times New Roman"/>
          <w:sz w:val="24"/>
          <w:szCs w:val="24"/>
        </w:rPr>
        <w:t>Plakandaras</w:t>
      </w:r>
      <w:proofErr w:type="spellEnd"/>
      <w:r>
        <w:rPr>
          <w:rFonts w:ascii="Times New Roman" w:hAnsi="Times New Roman" w:cs="Times New Roman"/>
          <w:sz w:val="24"/>
          <w:szCs w:val="24"/>
        </w:rPr>
        <w:t>, V., and Papadimitriou, T. 2013.</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“Public Debt and Private consumption in OECD countries” Department of Economics, Democritus University of Thrace, (Apr., 2013).</w:t>
      </w:r>
      <w:proofErr w:type="gramEnd"/>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t xml:space="preserve">Hall, R. E. 1978. </w:t>
      </w:r>
      <w:proofErr w:type="gramStart"/>
      <w:r>
        <w:rPr>
          <w:rFonts w:ascii="Times New Roman" w:hAnsi="Times New Roman" w:cs="Times New Roman"/>
          <w:sz w:val="24"/>
          <w:szCs w:val="24"/>
        </w:rPr>
        <w:t xml:space="preserve">“Stochastic Implications of the Life Cycle – permanent income hypothesis: Theory and evidence”, </w:t>
      </w:r>
      <w:r>
        <w:rPr>
          <w:rFonts w:ascii="Times New Roman" w:hAnsi="Times New Roman" w:cs="Times New Roman"/>
          <w:i/>
          <w:sz w:val="24"/>
          <w:szCs w:val="24"/>
        </w:rPr>
        <w:t xml:space="preserve">Journal of Political Economy, </w:t>
      </w:r>
      <w:r>
        <w:rPr>
          <w:rFonts w:ascii="Times New Roman" w:hAnsi="Times New Roman" w:cs="Times New Roman"/>
          <w:sz w:val="24"/>
          <w:szCs w:val="24"/>
        </w:rPr>
        <w:t>Vol. 86, pp. 971-987.</w:t>
      </w:r>
      <w:proofErr w:type="gramEnd"/>
      <w:r>
        <w:rPr>
          <w:rFonts w:ascii="Times New Roman" w:hAnsi="Times New Roman" w:cs="Times New Roman"/>
          <w:sz w:val="24"/>
          <w:szCs w:val="24"/>
        </w:rPr>
        <w:t xml:space="preserve"> </w:t>
      </w:r>
    </w:p>
    <w:p w:rsidR="00E62699" w:rsidRDefault="00E62699" w:rsidP="00E62699">
      <w:pPr>
        <w:ind w:firstLine="810"/>
        <w:jc w:val="both"/>
        <w:rPr>
          <w:rFonts w:ascii="Times New Roman" w:hAnsi="Times New Roman" w:cs="Times New Roman"/>
          <w:sz w:val="24"/>
          <w:szCs w:val="24"/>
        </w:rPr>
      </w:pPr>
      <w:proofErr w:type="gramStart"/>
      <w:r>
        <w:rPr>
          <w:rFonts w:ascii="Times New Roman" w:hAnsi="Times New Roman" w:cs="Times New Roman"/>
          <w:sz w:val="24"/>
          <w:szCs w:val="24"/>
        </w:rPr>
        <w:t>Heller, W. P., and Star, R. M. 1979.</w:t>
      </w:r>
      <w:proofErr w:type="gramEnd"/>
      <w:r>
        <w:rPr>
          <w:rFonts w:ascii="Times New Roman" w:hAnsi="Times New Roman" w:cs="Times New Roman"/>
          <w:sz w:val="24"/>
          <w:szCs w:val="24"/>
        </w:rPr>
        <w:t xml:space="preserve"> “Capital Market Imperfection, The Consumption Function, And the Effectiveness of Fiscal Policy” </w:t>
      </w:r>
      <w:r>
        <w:rPr>
          <w:rFonts w:ascii="Times New Roman" w:hAnsi="Times New Roman" w:cs="Times New Roman"/>
          <w:i/>
          <w:sz w:val="24"/>
          <w:szCs w:val="24"/>
        </w:rPr>
        <w:t xml:space="preserve">The Quarterly journal of Economics, </w:t>
      </w:r>
      <w:r>
        <w:rPr>
          <w:rFonts w:ascii="Times New Roman" w:hAnsi="Times New Roman" w:cs="Times New Roman"/>
          <w:sz w:val="24"/>
          <w:szCs w:val="24"/>
        </w:rPr>
        <w:t>Vol. 93, No. 3, (Aug., 1979), pp. 455-463.</w:t>
      </w:r>
    </w:p>
    <w:p w:rsidR="00E62699" w:rsidRDefault="00E62699" w:rsidP="00E62699">
      <w:pPr>
        <w:ind w:firstLine="810"/>
        <w:jc w:val="both"/>
        <w:rPr>
          <w:rFonts w:ascii="Times New Roman" w:hAnsi="Times New Roman" w:cs="Times New Roman"/>
          <w:sz w:val="24"/>
          <w:szCs w:val="24"/>
        </w:rPr>
      </w:pPr>
      <w:proofErr w:type="gramStart"/>
      <w:r>
        <w:rPr>
          <w:rFonts w:ascii="Times New Roman" w:hAnsi="Times New Roman" w:cs="Times New Roman"/>
          <w:sz w:val="24"/>
          <w:szCs w:val="24"/>
        </w:rPr>
        <w:t>Hogan, V. 2004.</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“Expansionary Fiscal Contractions?</w:t>
      </w:r>
      <w:proofErr w:type="gramEnd"/>
      <w:r>
        <w:rPr>
          <w:rFonts w:ascii="Times New Roman" w:hAnsi="Times New Roman" w:cs="Times New Roman"/>
          <w:sz w:val="24"/>
          <w:szCs w:val="24"/>
        </w:rPr>
        <w:t xml:space="preserve"> Evidence from Panel Data” </w:t>
      </w:r>
      <w:r>
        <w:rPr>
          <w:rFonts w:ascii="Times New Roman" w:hAnsi="Times New Roman" w:cs="Times New Roman"/>
          <w:i/>
          <w:sz w:val="24"/>
          <w:szCs w:val="24"/>
        </w:rPr>
        <w:t xml:space="preserve">The Scandinavian Journal of Economics, </w:t>
      </w:r>
      <w:r>
        <w:rPr>
          <w:rFonts w:ascii="Times New Roman" w:hAnsi="Times New Roman" w:cs="Times New Roman"/>
          <w:sz w:val="24"/>
          <w:szCs w:val="24"/>
        </w:rPr>
        <w:t>Vol. 106, No. 4, (Dec., 2004) pp. 647-659.</w:t>
      </w:r>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t xml:space="preserve">Johansen, S. 1991. </w:t>
      </w:r>
      <w:proofErr w:type="gramStart"/>
      <w:r>
        <w:rPr>
          <w:rFonts w:ascii="Times New Roman" w:hAnsi="Times New Roman" w:cs="Times New Roman"/>
          <w:sz w:val="24"/>
          <w:szCs w:val="24"/>
        </w:rPr>
        <w:t xml:space="preserve">“Estimation and Hypothesis Testing of </w:t>
      </w:r>
      <w:proofErr w:type="spellStart"/>
      <w:r>
        <w:rPr>
          <w:rFonts w:ascii="Times New Roman" w:hAnsi="Times New Roman" w:cs="Times New Roman"/>
          <w:sz w:val="24"/>
          <w:szCs w:val="24"/>
        </w:rPr>
        <w:t>Cointegration</w:t>
      </w:r>
      <w:proofErr w:type="spellEnd"/>
      <w:r>
        <w:rPr>
          <w:rFonts w:ascii="Times New Roman" w:hAnsi="Times New Roman" w:cs="Times New Roman"/>
          <w:sz w:val="24"/>
          <w:szCs w:val="24"/>
        </w:rPr>
        <w:t xml:space="preserve"> Vectors in Gaussian Vector Autoregressive Models”, </w:t>
      </w:r>
      <w:proofErr w:type="spellStart"/>
      <w:r>
        <w:rPr>
          <w:rFonts w:ascii="Times New Roman" w:hAnsi="Times New Roman" w:cs="Times New Roman"/>
          <w:i/>
          <w:sz w:val="24"/>
          <w:szCs w:val="24"/>
        </w:rPr>
        <w:t>Econometrica</w:t>
      </w:r>
      <w:proofErr w:type="spellEnd"/>
      <w:r>
        <w:rPr>
          <w:rFonts w:ascii="Times New Roman" w:hAnsi="Times New Roman" w:cs="Times New Roman"/>
          <w:i/>
          <w:sz w:val="24"/>
          <w:szCs w:val="24"/>
        </w:rPr>
        <w:t xml:space="preserve">, </w:t>
      </w:r>
      <w:r>
        <w:rPr>
          <w:rFonts w:ascii="Times New Roman" w:hAnsi="Times New Roman" w:cs="Times New Roman"/>
          <w:sz w:val="24"/>
          <w:szCs w:val="24"/>
        </w:rPr>
        <w:t>Vol. 59, pp. 1551-1580.</w:t>
      </w:r>
      <w:proofErr w:type="gramEnd"/>
      <w:r>
        <w:rPr>
          <w:rFonts w:ascii="Times New Roman" w:hAnsi="Times New Roman" w:cs="Times New Roman"/>
          <w:sz w:val="24"/>
          <w:szCs w:val="24"/>
        </w:rPr>
        <w:t xml:space="preserve"> </w:t>
      </w:r>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t xml:space="preserve">Khalid, A. M. 1996. </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Empirical Evidence from developing Economies”, </w:t>
      </w:r>
      <w:r>
        <w:rPr>
          <w:rFonts w:ascii="Times New Roman" w:hAnsi="Times New Roman" w:cs="Times New Roman"/>
          <w:i/>
          <w:sz w:val="24"/>
          <w:szCs w:val="24"/>
        </w:rPr>
        <w:t xml:space="preserve">Journal of Development Economics, </w:t>
      </w:r>
      <w:r>
        <w:rPr>
          <w:rFonts w:ascii="Times New Roman" w:hAnsi="Times New Roman" w:cs="Times New Roman"/>
          <w:sz w:val="24"/>
          <w:szCs w:val="24"/>
        </w:rPr>
        <w:t>Vol. 51, pp. 413-432.</w:t>
      </w:r>
      <w:proofErr w:type="gramEnd"/>
    </w:p>
    <w:p w:rsidR="00E62699" w:rsidRPr="003F142F" w:rsidRDefault="00E62699" w:rsidP="00E62699">
      <w:pPr>
        <w:ind w:firstLine="810"/>
        <w:jc w:val="both"/>
        <w:rPr>
          <w:rFonts w:ascii="Times New Roman" w:hAnsi="Times New Roman" w:cs="Times New Roman"/>
          <w:sz w:val="24"/>
          <w:szCs w:val="24"/>
        </w:rPr>
      </w:pPr>
      <w:proofErr w:type="spellStart"/>
      <w:r>
        <w:rPr>
          <w:rFonts w:ascii="Times New Roman" w:hAnsi="Times New Roman" w:cs="Times New Roman"/>
          <w:sz w:val="24"/>
          <w:szCs w:val="24"/>
        </w:rPr>
        <w:t>Kormendi</w:t>
      </w:r>
      <w:proofErr w:type="spellEnd"/>
      <w:r>
        <w:rPr>
          <w:rFonts w:ascii="Times New Roman" w:hAnsi="Times New Roman" w:cs="Times New Roman"/>
          <w:sz w:val="24"/>
          <w:szCs w:val="24"/>
        </w:rPr>
        <w:t xml:space="preserve">, C. R. 1983. “Government Debt, Government Spending, and Private Sector Behavior”, </w:t>
      </w:r>
      <w:r>
        <w:rPr>
          <w:rFonts w:ascii="Times New Roman" w:hAnsi="Times New Roman" w:cs="Times New Roman"/>
          <w:i/>
          <w:sz w:val="24"/>
          <w:szCs w:val="24"/>
        </w:rPr>
        <w:t xml:space="preserve">American Economic Review, </w:t>
      </w:r>
      <w:r>
        <w:rPr>
          <w:rFonts w:ascii="Times New Roman" w:hAnsi="Times New Roman" w:cs="Times New Roman"/>
          <w:sz w:val="24"/>
          <w:szCs w:val="24"/>
        </w:rPr>
        <w:t xml:space="preserve">Vol. 73, pp. 994-1010. </w:t>
      </w:r>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Leiderman</w:t>
      </w:r>
      <w:proofErr w:type="spellEnd"/>
      <w:r>
        <w:rPr>
          <w:rFonts w:ascii="Times New Roman" w:hAnsi="Times New Roman" w:cs="Times New Roman"/>
          <w:sz w:val="24"/>
          <w:szCs w:val="24"/>
        </w:rPr>
        <w:t xml:space="preserve">, L., and </w:t>
      </w:r>
      <w:proofErr w:type="spellStart"/>
      <w:r>
        <w:rPr>
          <w:rFonts w:ascii="Times New Roman" w:hAnsi="Times New Roman" w:cs="Times New Roman"/>
          <w:sz w:val="24"/>
          <w:szCs w:val="24"/>
        </w:rPr>
        <w:t>Razin</w:t>
      </w:r>
      <w:proofErr w:type="spellEnd"/>
      <w:r>
        <w:rPr>
          <w:rFonts w:ascii="Times New Roman" w:hAnsi="Times New Roman" w:cs="Times New Roman"/>
          <w:sz w:val="24"/>
          <w:szCs w:val="24"/>
        </w:rPr>
        <w:t>, A. 1988.</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“Testing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Neutrality with an </w:t>
      </w:r>
      <w:proofErr w:type="spellStart"/>
      <w:r>
        <w:rPr>
          <w:rFonts w:ascii="Times New Roman" w:hAnsi="Times New Roman" w:cs="Times New Roman"/>
          <w:sz w:val="24"/>
          <w:szCs w:val="24"/>
        </w:rPr>
        <w:t>Intertemporal</w:t>
      </w:r>
      <w:proofErr w:type="spellEnd"/>
      <w:r>
        <w:rPr>
          <w:rFonts w:ascii="Times New Roman" w:hAnsi="Times New Roman" w:cs="Times New Roman"/>
          <w:sz w:val="24"/>
          <w:szCs w:val="24"/>
        </w:rPr>
        <w:t xml:space="preserve"> Stochastic model”, </w:t>
      </w:r>
      <w:r>
        <w:rPr>
          <w:rFonts w:ascii="Times New Roman" w:hAnsi="Times New Roman" w:cs="Times New Roman"/>
          <w:i/>
          <w:sz w:val="24"/>
          <w:szCs w:val="24"/>
        </w:rPr>
        <w:t xml:space="preserve">Journal of Money, Credit and Banking, </w:t>
      </w:r>
      <w:r>
        <w:rPr>
          <w:rFonts w:ascii="Times New Roman" w:hAnsi="Times New Roman" w:cs="Times New Roman"/>
          <w:sz w:val="24"/>
          <w:szCs w:val="24"/>
        </w:rPr>
        <w:t>Vol. 20, pp. 1-21.</w:t>
      </w:r>
      <w:proofErr w:type="gramEnd"/>
      <w:r>
        <w:rPr>
          <w:rFonts w:ascii="Times New Roman" w:hAnsi="Times New Roman" w:cs="Times New Roman"/>
          <w:sz w:val="24"/>
          <w:szCs w:val="24"/>
        </w:rPr>
        <w:t xml:space="preserve"> </w:t>
      </w:r>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Lucke</w:t>
      </w:r>
      <w:proofErr w:type="spellEnd"/>
      <w:r>
        <w:rPr>
          <w:rFonts w:ascii="Times New Roman" w:hAnsi="Times New Roman" w:cs="Times New Roman"/>
          <w:sz w:val="24"/>
          <w:szCs w:val="24"/>
        </w:rPr>
        <w:t>, B. 1998.</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“Econometric tests of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Results for Germany”, </w:t>
      </w:r>
      <w:r>
        <w:rPr>
          <w:rFonts w:ascii="Times New Roman" w:hAnsi="Times New Roman" w:cs="Times New Roman"/>
          <w:i/>
          <w:sz w:val="24"/>
          <w:szCs w:val="24"/>
        </w:rPr>
        <w:t xml:space="preserve">University of Hamburg, </w:t>
      </w:r>
      <w:r>
        <w:rPr>
          <w:rFonts w:ascii="Times New Roman" w:hAnsi="Times New Roman" w:cs="Times New Roman"/>
          <w:sz w:val="24"/>
          <w:szCs w:val="24"/>
        </w:rPr>
        <w:t>(Oct., 1998).</w:t>
      </w:r>
      <w:proofErr w:type="gramEnd"/>
      <w:r>
        <w:rPr>
          <w:rFonts w:ascii="Times New Roman" w:hAnsi="Times New Roman" w:cs="Times New Roman"/>
          <w:sz w:val="24"/>
          <w:szCs w:val="24"/>
        </w:rPr>
        <w:t xml:space="preserve"> </w:t>
      </w:r>
    </w:p>
    <w:p w:rsidR="00E62699" w:rsidRDefault="00E62699" w:rsidP="00E62699">
      <w:pPr>
        <w:ind w:firstLine="810"/>
        <w:jc w:val="both"/>
        <w:rPr>
          <w:rFonts w:ascii="Times New Roman" w:hAnsi="Times New Roman" w:cs="Times New Roman"/>
          <w:sz w:val="24"/>
          <w:szCs w:val="24"/>
        </w:rPr>
      </w:pPr>
      <w:proofErr w:type="gramStart"/>
      <w:r>
        <w:rPr>
          <w:rFonts w:ascii="Times New Roman" w:hAnsi="Times New Roman" w:cs="Times New Roman"/>
          <w:sz w:val="24"/>
          <w:szCs w:val="24"/>
        </w:rPr>
        <w:t xml:space="preserve">Mello, de L., </w:t>
      </w:r>
      <w:proofErr w:type="spellStart"/>
      <w:r>
        <w:rPr>
          <w:rFonts w:ascii="Times New Roman" w:hAnsi="Times New Roman" w:cs="Times New Roman"/>
          <w:sz w:val="24"/>
          <w:szCs w:val="24"/>
        </w:rPr>
        <w:t>Kongsgrud</w:t>
      </w:r>
      <w:proofErr w:type="spellEnd"/>
      <w:r>
        <w:rPr>
          <w:rFonts w:ascii="Times New Roman" w:hAnsi="Times New Roman" w:cs="Times New Roman"/>
          <w:sz w:val="24"/>
          <w:szCs w:val="24"/>
        </w:rPr>
        <w:t>, M., and Price, R. 2004.</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Saving</w:t>
      </w:r>
      <w:proofErr w:type="gramEnd"/>
      <w:r>
        <w:rPr>
          <w:rFonts w:ascii="Times New Roman" w:hAnsi="Times New Roman" w:cs="Times New Roman"/>
          <w:sz w:val="24"/>
          <w:szCs w:val="24"/>
        </w:rPr>
        <w:t xml:space="preserve"> Behavior and the Effectiveness of Fiscal Policy”, </w:t>
      </w:r>
      <w:r>
        <w:rPr>
          <w:rFonts w:ascii="Times New Roman" w:hAnsi="Times New Roman" w:cs="Times New Roman"/>
          <w:i/>
          <w:sz w:val="24"/>
          <w:szCs w:val="24"/>
        </w:rPr>
        <w:t xml:space="preserve"> OECD Economics Department, Working Papers,</w:t>
      </w:r>
      <w:r>
        <w:rPr>
          <w:rFonts w:ascii="Times New Roman" w:hAnsi="Times New Roman" w:cs="Times New Roman"/>
          <w:sz w:val="24"/>
          <w:szCs w:val="24"/>
        </w:rPr>
        <w:t xml:space="preserve"> No. 397 (Jul., 2004).</w:t>
      </w:r>
    </w:p>
    <w:p w:rsidR="00E62699" w:rsidRDefault="00E62699" w:rsidP="00E62699">
      <w:pPr>
        <w:ind w:firstLine="810"/>
        <w:jc w:val="both"/>
        <w:rPr>
          <w:rFonts w:ascii="Times New Roman" w:hAnsi="Times New Roman" w:cs="Times New Roman"/>
          <w:sz w:val="24"/>
          <w:szCs w:val="24"/>
        </w:rPr>
      </w:pPr>
      <w:proofErr w:type="gramStart"/>
      <w:r>
        <w:rPr>
          <w:rFonts w:ascii="Times New Roman" w:hAnsi="Times New Roman" w:cs="Times New Roman"/>
          <w:sz w:val="24"/>
          <w:szCs w:val="24"/>
        </w:rPr>
        <w:t>Modigliani, F., and Sterling, A. G. 1990.</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Government</w:t>
      </w:r>
      <w:proofErr w:type="gramEnd"/>
      <w:r>
        <w:rPr>
          <w:rFonts w:ascii="Times New Roman" w:hAnsi="Times New Roman" w:cs="Times New Roman"/>
          <w:sz w:val="24"/>
          <w:szCs w:val="24"/>
        </w:rPr>
        <w:t xml:space="preserve"> Debt, Government Spending, and Private Sector Behavior: A Further Comment”, </w:t>
      </w:r>
      <w:r>
        <w:rPr>
          <w:rFonts w:ascii="Times New Roman" w:hAnsi="Times New Roman" w:cs="Times New Roman"/>
          <w:i/>
          <w:sz w:val="24"/>
          <w:szCs w:val="24"/>
        </w:rPr>
        <w:t xml:space="preserve">The American Economic Review, </w:t>
      </w:r>
      <w:r>
        <w:rPr>
          <w:rFonts w:ascii="Times New Roman" w:hAnsi="Times New Roman" w:cs="Times New Roman"/>
          <w:sz w:val="24"/>
          <w:szCs w:val="24"/>
        </w:rPr>
        <w:t xml:space="preserve">Vol. 80, No. 3 (jun., 1990), pp. 600-603. </w:t>
      </w:r>
    </w:p>
    <w:p w:rsidR="00E62699" w:rsidRDefault="00E62699" w:rsidP="00E62699">
      <w:pPr>
        <w:ind w:firstLine="810"/>
        <w:jc w:val="both"/>
        <w:rPr>
          <w:rFonts w:ascii="Times New Roman" w:hAnsi="Times New Roman" w:cs="Times New Roman"/>
          <w:sz w:val="24"/>
          <w:szCs w:val="24"/>
        </w:rPr>
      </w:pPr>
      <w:proofErr w:type="gramStart"/>
      <w:r>
        <w:rPr>
          <w:rFonts w:ascii="Times New Roman" w:hAnsi="Times New Roman" w:cs="Times New Roman"/>
          <w:sz w:val="24"/>
          <w:szCs w:val="24"/>
        </w:rPr>
        <w:t xml:space="preserve">Nickel, C., and </w:t>
      </w:r>
      <w:proofErr w:type="spellStart"/>
      <w:r>
        <w:rPr>
          <w:rFonts w:ascii="Times New Roman" w:hAnsi="Times New Roman" w:cs="Times New Roman"/>
          <w:sz w:val="24"/>
          <w:szCs w:val="24"/>
        </w:rPr>
        <w:t>Vansteenkiste</w:t>
      </w:r>
      <w:proofErr w:type="spellEnd"/>
      <w:r>
        <w:rPr>
          <w:rFonts w:ascii="Times New Roman" w:hAnsi="Times New Roman" w:cs="Times New Roman"/>
          <w:sz w:val="24"/>
          <w:szCs w:val="24"/>
        </w:rPr>
        <w:t>, I. 2008.</w:t>
      </w:r>
      <w:proofErr w:type="gramEnd"/>
      <w:r>
        <w:rPr>
          <w:rFonts w:ascii="Times New Roman" w:hAnsi="Times New Roman" w:cs="Times New Roman"/>
          <w:sz w:val="24"/>
          <w:szCs w:val="24"/>
        </w:rPr>
        <w:t xml:space="preserve"> “Fiscal Policies,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Current Account and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w:t>
      </w:r>
      <w:r>
        <w:rPr>
          <w:rFonts w:ascii="Times New Roman" w:hAnsi="Times New Roman" w:cs="Times New Roman"/>
          <w:i/>
          <w:sz w:val="24"/>
          <w:szCs w:val="24"/>
        </w:rPr>
        <w:t xml:space="preserve">European Central Bank, </w:t>
      </w:r>
      <w:proofErr w:type="spellStart"/>
      <w:r>
        <w:rPr>
          <w:rFonts w:ascii="Times New Roman" w:hAnsi="Times New Roman" w:cs="Times New Roman"/>
          <w:i/>
          <w:sz w:val="24"/>
          <w:szCs w:val="24"/>
        </w:rPr>
        <w:t>Eurosystem</w:t>
      </w:r>
      <w:proofErr w:type="spellEnd"/>
      <w:r>
        <w:rPr>
          <w:rFonts w:ascii="Times New Roman" w:hAnsi="Times New Roman" w:cs="Times New Roman"/>
          <w:i/>
          <w:sz w:val="24"/>
          <w:szCs w:val="24"/>
        </w:rPr>
        <w:t xml:space="preserve">, Working Paper Series, </w:t>
      </w:r>
      <w:r>
        <w:rPr>
          <w:rFonts w:ascii="Times New Roman" w:hAnsi="Times New Roman" w:cs="Times New Roman"/>
          <w:sz w:val="24"/>
          <w:szCs w:val="24"/>
        </w:rPr>
        <w:t xml:space="preserve">No. 935, (Sept., 2008). </w:t>
      </w:r>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lastRenderedPageBreak/>
        <w:t>Pesaran</w:t>
      </w:r>
      <w:proofErr w:type="spellEnd"/>
      <w:r>
        <w:rPr>
          <w:rFonts w:ascii="Times New Roman" w:hAnsi="Times New Roman" w:cs="Times New Roman"/>
          <w:sz w:val="24"/>
          <w:szCs w:val="24"/>
        </w:rPr>
        <w:t>, M. H., Shin, Y., and Smith, R. P. 1999.</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“Pooled Mean Group Estimation of Dynamic Heterogeneous Panels”, </w:t>
      </w:r>
      <w:r>
        <w:rPr>
          <w:rFonts w:ascii="Times New Roman" w:hAnsi="Times New Roman" w:cs="Times New Roman"/>
          <w:i/>
          <w:sz w:val="24"/>
          <w:szCs w:val="24"/>
        </w:rPr>
        <w:t xml:space="preserve">journal of the American Statistical Association, </w:t>
      </w:r>
      <w:r>
        <w:rPr>
          <w:rFonts w:ascii="Times New Roman" w:hAnsi="Times New Roman" w:cs="Times New Roman"/>
          <w:sz w:val="24"/>
          <w:szCs w:val="24"/>
        </w:rPr>
        <w:t>Vol. 94, (Aug., 1997) pp. 621-634.</w:t>
      </w:r>
      <w:proofErr w:type="gramEnd"/>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Pesaran</w:t>
      </w:r>
      <w:proofErr w:type="spellEnd"/>
      <w:r>
        <w:rPr>
          <w:rFonts w:ascii="Times New Roman" w:hAnsi="Times New Roman" w:cs="Times New Roman"/>
          <w:sz w:val="24"/>
          <w:szCs w:val="24"/>
        </w:rPr>
        <w:t>, M., and Smith, R. 1995.</w:t>
      </w:r>
      <w:proofErr w:type="gramEnd"/>
      <w:r>
        <w:rPr>
          <w:rFonts w:ascii="Times New Roman" w:hAnsi="Times New Roman" w:cs="Times New Roman"/>
          <w:sz w:val="24"/>
          <w:szCs w:val="24"/>
        </w:rPr>
        <w:t xml:space="preserve"> “Estimating Long Run Relationships from Dynamic Heterogeneous Panels”, </w:t>
      </w:r>
      <w:r>
        <w:rPr>
          <w:rFonts w:ascii="Times New Roman" w:hAnsi="Times New Roman" w:cs="Times New Roman"/>
          <w:i/>
          <w:sz w:val="24"/>
          <w:szCs w:val="24"/>
        </w:rPr>
        <w:t xml:space="preserve">Journal of Econometrics, </w:t>
      </w:r>
      <w:r>
        <w:rPr>
          <w:rFonts w:ascii="Times New Roman" w:hAnsi="Times New Roman" w:cs="Times New Roman"/>
          <w:sz w:val="24"/>
          <w:szCs w:val="24"/>
        </w:rPr>
        <w:t xml:space="preserve">Vol. 68, pp. 79-113. </w:t>
      </w:r>
    </w:p>
    <w:p w:rsidR="00E62699" w:rsidRDefault="00E62699" w:rsidP="00E62699">
      <w:pPr>
        <w:ind w:firstLine="810"/>
        <w:jc w:val="both"/>
        <w:rPr>
          <w:rFonts w:ascii="Times New Roman" w:hAnsi="Times New Roman" w:cs="Times New Roman"/>
          <w:sz w:val="24"/>
          <w:szCs w:val="24"/>
        </w:rPr>
      </w:pPr>
      <w:proofErr w:type="spellStart"/>
      <w:r>
        <w:rPr>
          <w:rFonts w:ascii="Times New Roman" w:hAnsi="Times New Roman" w:cs="Times New Roman"/>
          <w:sz w:val="24"/>
          <w:szCs w:val="24"/>
        </w:rPr>
        <w:t>Plosser</w:t>
      </w:r>
      <w:proofErr w:type="spellEnd"/>
      <w:r>
        <w:rPr>
          <w:rFonts w:ascii="Times New Roman" w:hAnsi="Times New Roman" w:cs="Times New Roman"/>
          <w:sz w:val="24"/>
          <w:szCs w:val="24"/>
        </w:rPr>
        <w:t xml:space="preserve">, C. L. 1982. </w:t>
      </w:r>
      <w:proofErr w:type="gramStart"/>
      <w:r>
        <w:rPr>
          <w:rFonts w:ascii="Times New Roman" w:hAnsi="Times New Roman" w:cs="Times New Roman"/>
          <w:sz w:val="24"/>
          <w:szCs w:val="24"/>
        </w:rPr>
        <w:t xml:space="preserve">“Government Financing Decisions and Asset Returns”, </w:t>
      </w:r>
      <w:r>
        <w:rPr>
          <w:rFonts w:ascii="Times New Roman" w:hAnsi="Times New Roman" w:cs="Times New Roman"/>
          <w:i/>
          <w:sz w:val="24"/>
          <w:szCs w:val="24"/>
        </w:rPr>
        <w:t xml:space="preserve">Journal of Monetary Economics, </w:t>
      </w:r>
      <w:r>
        <w:rPr>
          <w:rFonts w:ascii="Times New Roman" w:hAnsi="Times New Roman" w:cs="Times New Roman"/>
          <w:sz w:val="24"/>
          <w:szCs w:val="24"/>
        </w:rPr>
        <w:t>Vol. 9, pp. 325-352.</w:t>
      </w:r>
      <w:proofErr w:type="gramEnd"/>
      <w:r>
        <w:rPr>
          <w:rFonts w:ascii="Times New Roman" w:hAnsi="Times New Roman" w:cs="Times New Roman"/>
          <w:sz w:val="24"/>
          <w:szCs w:val="24"/>
        </w:rPr>
        <w:t xml:space="preserve"> </w:t>
      </w:r>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Pozzi</w:t>
      </w:r>
      <w:proofErr w:type="spellEnd"/>
      <w:r>
        <w:rPr>
          <w:rFonts w:ascii="Times New Roman" w:hAnsi="Times New Roman" w:cs="Times New Roman"/>
          <w:sz w:val="24"/>
          <w:szCs w:val="24"/>
        </w:rPr>
        <w:t xml:space="preserve">, L., </w:t>
      </w:r>
      <w:proofErr w:type="spellStart"/>
      <w:r>
        <w:rPr>
          <w:rFonts w:ascii="Times New Roman" w:hAnsi="Times New Roman" w:cs="Times New Roman"/>
          <w:sz w:val="24"/>
          <w:szCs w:val="24"/>
        </w:rPr>
        <w:t>Heylen</w:t>
      </w:r>
      <w:proofErr w:type="spellEnd"/>
      <w:r>
        <w:rPr>
          <w:rFonts w:ascii="Times New Roman" w:hAnsi="Times New Roman" w:cs="Times New Roman"/>
          <w:sz w:val="24"/>
          <w:szCs w:val="24"/>
        </w:rPr>
        <w:t xml:space="preserve">, F., and </w:t>
      </w:r>
      <w:proofErr w:type="spellStart"/>
      <w:r>
        <w:rPr>
          <w:rFonts w:ascii="Times New Roman" w:hAnsi="Times New Roman" w:cs="Times New Roman"/>
          <w:sz w:val="24"/>
          <w:szCs w:val="24"/>
        </w:rPr>
        <w:t>Dossche</w:t>
      </w:r>
      <w:proofErr w:type="spellEnd"/>
      <w:r>
        <w:rPr>
          <w:rFonts w:ascii="Times New Roman" w:hAnsi="Times New Roman" w:cs="Times New Roman"/>
          <w:sz w:val="24"/>
          <w:szCs w:val="24"/>
        </w:rPr>
        <w:t>, M. 2004.</w:t>
      </w:r>
      <w:proofErr w:type="gramEnd"/>
      <w:r>
        <w:rPr>
          <w:rFonts w:ascii="Times New Roman" w:hAnsi="Times New Roman" w:cs="Times New Roman"/>
          <w:sz w:val="24"/>
          <w:szCs w:val="24"/>
        </w:rPr>
        <w:t xml:space="preserve"> “Government Debt and Excess Sensitivity of private Consumption: Estimates from OECD Countries”, </w:t>
      </w:r>
      <w:r>
        <w:rPr>
          <w:rFonts w:ascii="Times New Roman" w:hAnsi="Times New Roman" w:cs="Times New Roman"/>
          <w:i/>
          <w:sz w:val="24"/>
          <w:szCs w:val="24"/>
        </w:rPr>
        <w:t xml:space="preserve">Economic Inquiry, </w:t>
      </w:r>
      <w:r>
        <w:rPr>
          <w:rFonts w:ascii="Times New Roman" w:hAnsi="Times New Roman" w:cs="Times New Roman"/>
          <w:sz w:val="24"/>
          <w:szCs w:val="24"/>
        </w:rPr>
        <w:t xml:space="preserve">Vol. 42, No. 4, (Oct., 2004), pp. 618-633. </w:t>
      </w:r>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Reitschuler</w:t>
      </w:r>
      <w:proofErr w:type="spellEnd"/>
      <w:r>
        <w:rPr>
          <w:rFonts w:ascii="Times New Roman" w:hAnsi="Times New Roman" w:cs="Times New Roman"/>
          <w:sz w:val="24"/>
          <w:szCs w:val="24"/>
        </w:rPr>
        <w:t xml:space="preserve">, G., and </w:t>
      </w:r>
      <w:proofErr w:type="spellStart"/>
      <w:r>
        <w:rPr>
          <w:rFonts w:ascii="Times New Roman" w:hAnsi="Times New Roman" w:cs="Times New Roman"/>
          <w:sz w:val="24"/>
          <w:szCs w:val="24"/>
        </w:rPr>
        <w:t>Cuaresma</w:t>
      </w:r>
      <w:proofErr w:type="spellEnd"/>
      <w:r>
        <w:rPr>
          <w:rFonts w:ascii="Times New Roman" w:hAnsi="Times New Roman" w:cs="Times New Roman"/>
          <w:sz w:val="24"/>
          <w:szCs w:val="24"/>
        </w:rPr>
        <w:t>, J. C. 2004.</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Revisited: Evidence from OECD countries”, </w:t>
      </w:r>
      <w:r>
        <w:rPr>
          <w:rFonts w:ascii="Times New Roman" w:hAnsi="Times New Roman" w:cs="Times New Roman"/>
          <w:i/>
          <w:sz w:val="24"/>
          <w:szCs w:val="24"/>
        </w:rPr>
        <w:t xml:space="preserve">Economics Bulletin, </w:t>
      </w:r>
      <w:r>
        <w:rPr>
          <w:rFonts w:ascii="Times New Roman" w:hAnsi="Times New Roman" w:cs="Times New Roman"/>
          <w:sz w:val="24"/>
          <w:szCs w:val="24"/>
        </w:rPr>
        <w:t>Vol. 5, No. 16, pp. 1-10.</w:t>
      </w:r>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Reitschuler</w:t>
      </w:r>
      <w:proofErr w:type="spellEnd"/>
      <w:r>
        <w:rPr>
          <w:rFonts w:ascii="Times New Roman" w:hAnsi="Times New Roman" w:cs="Times New Roman"/>
          <w:sz w:val="24"/>
          <w:szCs w:val="24"/>
        </w:rPr>
        <w:t xml:space="preserve">, G., and </w:t>
      </w:r>
      <w:proofErr w:type="spellStart"/>
      <w:r>
        <w:rPr>
          <w:rFonts w:ascii="Times New Roman" w:hAnsi="Times New Roman" w:cs="Times New Roman"/>
          <w:sz w:val="24"/>
          <w:szCs w:val="24"/>
        </w:rPr>
        <w:t>Cuaresma</w:t>
      </w:r>
      <w:proofErr w:type="spellEnd"/>
      <w:r>
        <w:rPr>
          <w:rFonts w:ascii="Times New Roman" w:hAnsi="Times New Roman" w:cs="Times New Roman"/>
          <w:sz w:val="24"/>
          <w:szCs w:val="24"/>
        </w:rPr>
        <w:t>, J. C. 2007.</w:t>
      </w:r>
      <w:proofErr w:type="gramEnd"/>
      <w:r>
        <w:rPr>
          <w:rFonts w:ascii="Times New Roman" w:hAnsi="Times New Roman" w:cs="Times New Roman"/>
          <w:sz w:val="24"/>
          <w:szCs w:val="24"/>
        </w:rPr>
        <w:t xml:space="preserve"> “Is the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Proposition an ‘Aerie Fairy’ Theory for Europe?</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spellStart"/>
      <w:r>
        <w:rPr>
          <w:rFonts w:ascii="Times New Roman" w:hAnsi="Times New Roman" w:cs="Times New Roman"/>
          <w:i/>
          <w:sz w:val="24"/>
          <w:szCs w:val="24"/>
        </w:rPr>
        <w:t>Economica</w:t>
      </w:r>
      <w:proofErr w:type="spellEnd"/>
      <w:r>
        <w:rPr>
          <w:rFonts w:ascii="Times New Roman" w:hAnsi="Times New Roman" w:cs="Times New Roman"/>
          <w:sz w:val="24"/>
          <w:szCs w:val="24"/>
        </w:rPr>
        <w:t xml:space="preserve">, </w:t>
      </w:r>
      <w:r>
        <w:rPr>
          <w:rFonts w:ascii="Times New Roman" w:hAnsi="Times New Roman" w:cs="Times New Roman"/>
          <w:i/>
          <w:sz w:val="24"/>
          <w:szCs w:val="24"/>
        </w:rPr>
        <w:t>New Series,</w:t>
      </w:r>
      <w:r>
        <w:rPr>
          <w:rFonts w:ascii="Times New Roman" w:hAnsi="Times New Roman" w:cs="Times New Roman"/>
          <w:sz w:val="24"/>
          <w:szCs w:val="24"/>
        </w:rPr>
        <w:t xml:space="preserve"> Vol. 74, No. 296 (Nov., 2007), pp. 682-694.</w:t>
      </w:r>
    </w:p>
    <w:p w:rsidR="00E62699" w:rsidRDefault="00E62699" w:rsidP="00E62699">
      <w:pPr>
        <w:ind w:firstLine="810"/>
        <w:jc w:val="both"/>
        <w:rPr>
          <w:rFonts w:ascii="Times New Roman" w:hAnsi="Times New Roman" w:cs="Times New Roman"/>
          <w:sz w:val="24"/>
          <w:szCs w:val="24"/>
        </w:rPr>
      </w:pPr>
      <w:r>
        <w:rPr>
          <w:rFonts w:ascii="Times New Roman" w:hAnsi="Times New Roman" w:cs="Times New Roman"/>
          <w:sz w:val="24"/>
          <w:szCs w:val="24"/>
        </w:rPr>
        <w:t xml:space="preserve">Ricardo, D. 2011. “Funding System An article in the supplement to the Fourth, </w:t>
      </w:r>
      <w:proofErr w:type="spellStart"/>
      <w:r>
        <w:rPr>
          <w:rFonts w:ascii="Times New Roman" w:hAnsi="Times New Roman" w:cs="Times New Roman"/>
          <w:sz w:val="24"/>
          <w:szCs w:val="24"/>
        </w:rPr>
        <w:t>Fifthand</w:t>
      </w:r>
      <w:proofErr w:type="spellEnd"/>
      <w:r>
        <w:rPr>
          <w:rFonts w:ascii="Times New Roman" w:hAnsi="Times New Roman" w:cs="Times New Roman"/>
          <w:sz w:val="24"/>
          <w:szCs w:val="24"/>
        </w:rPr>
        <w:t xml:space="preserve"> Sixth Editions of the Encyclopedia Britannica 1820”, </w:t>
      </w:r>
      <w:r>
        <w:rPr>
          <w:rFonts w:ascii="Times New Roman" w:hAnsi="Times New Roman" w:cs="Times New Roman"/>
          <w:i/>
          <w:sz w:val="24"/>
          <w:szCs w:val="24"/>
        </w:rPr>
        <w:t xml:space="preserve">On line Library of liberty: The Works and Correspondence of David Ricardo, </w:t>
      </w:r>
      <w:r>
        <w:rPr>
          <w:rFonts w:ascii="Times New Roman" w:hAnsi="Times New Roman" w:cs="Times New Roman"/>
          <w:sz w:val="24"/>
          <w:szCs w:val="24"/>
        </w:rPr>
        <w:t>Vol.4 Pamphlets and Papers 1815-1823 (Sept., 2011)</w:t>
      </w:r>
    </w:p>
    <w:p w:rsidR="00E62699" w:rsidRDefault="00E62699" w:rsidP="00E62699">
      <w:pPr>
        <w:ind w:firstLine="810"/>
        <w:jc w:val="both"/>
        <w:rPr>
          <w:rFonts w:ascii="Times New Roman" w:hAnsi="Times New Roman" w:cs="Times New Roman"/>
          <w:sz w:val="24"/>
          <w:szCs w:val="24"/>
        </w:rPr>
      </w:pPr>
      <w:proofErr w:type="spellStart"/>
      <w:r>
        <w:rPr>
          <w:rFonts w:ascii="Times New Roman" w:hAnsi="Times New Roman" w:cs="Times New Roman"/>
          <w:sz w:val="24"/>
          <w:szCs w:val="24"/>
        </w:rPr>
        <w:t>Rohn</w:t>
      </w:r>
      <w:proofErr w:type="spellEnd"/>
      <w:r>
        <w:rPr>
          <w:rFonts w:ascii="Times New Roman" w:hAnsi="Times New Roman" w:cs="Times New Roman"/>
          <w:sz w:val="24"/>
          <w:szCs w:val="24"/>
        </w:rPr>
        <w:t xml:space="preserve">, O., 2010. “New Evidence on the Private Saving Offset and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w:t>
      </w:r>
      <w:r>
        <w:rPr>
          <w:rFonts w:ascii="Times New Roman" w:hAnsi="Times New Roman" w:cs="Times New Roman"/>
          <w:i/>
          <w:sz w:val="24"/>
          <w:szCs w:val="24"/>
        </w:rPr>
        <w:t xml:space="preserve">OECD Economics Department Working Papers, </w:t>
      </w:r>
      <w:r>
        <w:rPr>
          <w:rFonts w:ascii="Times New Roman" w:hAnsi="Times New Roman" w:cs="Times New Roman"/>
          <w:sz w:val="24"/>
          <w:szCs w:val="24"/>
        </w:rPr>
        <w:t xml:space="preserve">No. 762, (May 2010). </w:t>
      </w:r>
    </w:p>
    <w:p w:rsidR="00E62699" w:rsidRDefault="00E62699" w:rsidP="00E62699">
      <w:pPr>
        <w:ind w:left="72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Romer</w:t>
      </w:r>
      <w:proofErr w:type="spellEnd"/>
      <w:r>
        <w:rPr>
          <w:rFonts w:ascii="Times New Roman" w:hAnsi="Times New Roman" w:cs="Times New Roman"/>
          <w:sz w:val="24"/>
          <w:szCs w:val="24"/>
        </w:rPr>
        <w:t>, D. 2012.</w:t>
      </w:r>
      <w:proofErr w:type="gramEnd"/>
      <w:r>
        <w:rPr>
          <w:rFonts w:ascii="Times New Roman" w:hAnsi="Times New Roman" w:cs="Times New Roman"/>
          <w:sz w:val="24"/>
          <w:szCs w:val="24"/>
        </w:rPr>
        <w:t xml:space="preserve"> </w:t>
      </w:r>
      <w:proofErr w:type="gramStart"/>
      <w:r>
        <w:rPr>
          <w:rFonts w:ascii="Times New Roman" w:hAnsi="Times New Roman" w:cs="Times New Roman"/>
          <w:i/>
          <w:sz w:val="24"/>
          <w:szCs w:val="24"/>
        </w:rPr>
        <w:t>Advanced Macroeconomics, fourth edition.</w:t>
      </w:r>
      <w:proofErr w:type="gramEnd"/>
      <w:r>
        <w:rPr>
          <w:rFonts w:ascii="Times New Roman" w:hAnsi="Times New Roman" w:cs="Times New Roman"/>
          <w:i/>
          <w:sz w:val="24"/>
          <w:szCs w:val="24"/>
        </w:rPr>
        <w:t xml:space="preserve"> </w:t>
      </w:r>
      <w:proofErr w:type="gramStart"/>
      <w:r>
        <w:rPr>
          <w:rFonts w:ascii="Times New Roman" w:hAnsi="Times New Roman" w:cs="Times New Roman"/>
          <w:sz w:val="24"/>
          <w:szCs w:val="24"/>
        </w:rPr>
        <w:t>McGraw – Hill Irwin.</w:t>
      </w:r>
      <w:proofErr w:type="gramEnd"/>
      <w:r>
        <w:rPr>
          <w:rFonts w:ascii="Times New Roman" w:hAnsi="Times New Roman" w:cs="Times New Roman"/>
          <w:sz w:val="24"/>
          <w:szCs w:val="24"/>
        </w:rPr>
        <w:t xml:space="preserve"> </w:t>
      </w:r>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Seater</w:t>
      </w:r>
      <w:proofErr w:type="spellEnd"/>
      <w:r>
        <w:rPr>
          <w:rFonts w:ascii="Times New Roman" w:hAnsi="Times New Roman" w:cs="Times New Roman"/>
          <w:sz w:val="24"/>
          <w:szCs w:val="24"/>
        </w:rPr>
        <w:t>, J. J. 1993.</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w:t>
      </w:r>
      <w:r>
        <w:rPr>
          <w:rFonts w:ascii="Times New Roman" w:hAnsi="Times New Roman" w:cs="Times New Roman"/>
          <w:i/>
          <w:sz w:val="24"/>
          <w:szCs w:val="24"/>
        </w:rPr>
        <w:t xml:space="preserve">Journal of Economic literature, </w:t>
      </w:r>
      <w:r>
        <w:rPr>
          <w:rFonts w:ascii="Times New Roman" w:hAnsi="Times New Roman" w:cs="Times New Roman"/>
          <w:sz w:val="24"/>
          <w:szCs w:val="24"/>
        </w:rPr>
        <w:t>Vol. 31, No. 1, (Mar., 1993), pp. 142-190.</w:t>
      </w:r>
      <w:proofErr w:type="gramEnd"/>
    </w:p>
    <w:p w:rsidR="00E62699" w:rsidRDefault="00E62699" w:rsidP="00E62699">
      <w:pPr>
        <w:ind w:firstLine="810"/>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Seater</w:t>
      </w:r>
      <w:proofErr w:type="spellEnd"/>
      <w:r>
        <w:rPr>
          <w:rFonts w:ascii="Times New Roman" w:hAnsi="Times New Roman" w:cs="Times New Roman"/>
          <w:sz w:val="24"/>
          <w:szCs w:val="24"/>
        </w:rPr>
        <w:t>, J. J., and Mariano, R. S. 1985.</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“New Tests of the Life Cycle and Tax Discounting Hypotheses”, </w:t>
      </w:r>
      <w:r>
        <w:rPr>
          <w:rFonts w:ascii="Times New Roman" w:hAnsi="Times New Roman" w:cs="Times New Roman"/>
          <w:i/>
          <w:sz w:val="24"/>
          <w:szCs w:val="24"/>
        </w:rPr>
        <w:t xml:space="preserve">Journal of Monetary Economics, </w:t>
      </w:r>
      <w:r>
        <w:rPr>
          <w:rFonts w:ascii="Times New Roman" w:hAnsi="Times New Roman" w:cs="Times New Roman"/>
          <w:sz w:val="24"/>
          <w:szCs w:val="24"/>
        </w:rPr>
        <w:t>Vol. 15, pp. 195-215.</w:t>
      </w:r>
      <w:proofErr w:type="gramEnd"/>
      <w:r>
        <w:rPr>
          <w:rFonts w:ascii="Times New Roman" w:hAnsi="Times New Roman" w:cs="Times New Roman"/>
          <w:sz w:val="24"/>
          <w:szCs w:val="24"/>
        </w:rPr>
        <w:t xml:space="preserve"> </w:t>
      </w:r>
    </w:p>
    <w:p w:rsidR="00E62699" w:rsidRDefault="00E62699" w:rsidP="00E62699">
      <w:pPr>
        <w:ind w:firstLine="810"/>
        <w:jc w:val="both"/>
        <w:rPr>
          <w:rFonts w:ascii="Times New Roman" w:hAnsi="Times New Roman" w:cs="Times New Roman"/>
          <w:sz w:val="24"/>
          <w:szCs w:val="24"/>
        </w:rPr>
      </w:pPr>
      <w:proofErr w:type="spellStart"/>
      <w:r>
        <w:rPr>
          <w:rFonts w:ascii="Times New Roman" w:hAnsi="Times New Roman" w:cs="Times New Roman"/>
          <w:sz w:val="24"/>
          <w:szCs w:val="24"/>
        </w:rPr>
        <w:t>Yotsuzuka</w:t>
      </w:r>
      <w:proofErr w:type="spellEnd"/>
      <w:r>
        <w:rPr>
          <w:rFonts w:ascii="Times New Roman" w:hAnsi="Times New Roman" w:cs="Times New Roman"/>
          <w:sz w:val="24"/>
          <w:szCs w:val="24"/>
        </w:rPr>
        <w:t>, T. 1987. “</w:t>
      </w:r>
      <w:proofErr w:type="spellStart"/>
      <w:r>
        <w:rPr>
          <w:rFonts w:ascii="Times New Roman" w:hAnsi="Times New Roman" w:cs="Times New Roman"/>
          <w:sz w:val="24"/>
          <w:szCs w:val="24"/>
        </w:rPr>
        <w:t>Ricardian</w:t>
      </w:r>
      <w:proofErr w:type="spellEnd"/>
      <w:r>
        <w:rPr>
          <w:rFonts w:ascii="Times New Roman" w:hAnsi="Times New Roman" w:cs="Times New Roman"/>
          <w:sz w:val="24"/>
          <w:szCs w:val="24"/>
        </w:rPr>
        <w:t xml:space="preserve"> Equivalence in the Presence of Capital Market Imperfections”, </w:t>
      </w:r>
      <w:r>
        <w:rPr>
          <w:rFonts w:ascii="Times New Roman" w:hAnsi="Times New Roman" w:cs="Times New Roman"/>
          <w:i/>
          <w:sz w:val="24"/>
          <w:szCs w:val="24"/>
        </w:rPr>
        <w:t>Journal of Monetary Economics</w:t>
      </w:r>
      <w:r>
        <w:rPr>
          <w:rFonts w:ascii="Times New Roman" w:hAnsi="Times New Roman" w:cs="Times New Roman"/>
          <w:sz w:val="24"/>
          <w:szCs w:val="24"/>
        </w:rPr>
        <w:t xml:space="preserve">, Vol. 20, No. 2, (Sept., 1987), pp. 411-436. </w:t>
      </w:r>
    </w:p>
    <w:p w:rsidR="004A1EFF" w:rsidRDefault="004A1EFF" w:rsidP="00E62699">
      <w:pPr>
        <w:jc w:val="both"/>
        <w:rPr>
          <w:sz w:val="18"/>
          <w:szCs w:val="18"/>
        </w:rPr>
      </w:pPr>
    </w:p>
    <w:p w:rsidR="004A1EFF" w:rsidRDefault="004A1EFF" w:rsidP="004A1EFF">
      <w:pPr>
        <w:jc w:val="center"/>
        <w:rPr>
          <w:sz w:val="18"/>
          <w:szCs w:val="18"/>
        </w:rPr>
      </w:pPr>
    </w:p>
    <w:p w:rsidR="004A1EFF" w:rsidRDefault="004A1EFF" w:rsidP="004A1EFF">
      <w:pPr>
        <w:jc w:val="both"/>
      </w:pPr>
    </w:p>
    <w:p w:rsidR="004A1EFF" w:rsidRDefault="004A1EFF" w:rsidP="00F2211A">
      <w:pPr>
        <w:rPr>
          <w:rFonts w:ascii="Times New Roman" w:hAnsi="Times New Roman" w:cs="Times New Roman"/>
          <w:sz w:val="24"/>
          <w:szCs w:val="24"/>
        </w:rPr>
      </w:pPr>
    </w:p>
    <w:p w:rsidR="00F2211A" w:rsidRDefault="00F2211A" w:rsidP="00F2211A">
      <w:pPr>
        <w:rPr>
          <w:rFonts w:ascii="Times New Roman" w:hAnsi="Times New Roman" w:cs="Times New Roman"/>
          <w:sz w:val="24"/>
          <w:szCs w:val="24"/>
        </w:rPr>
      </w:pPr>
    </w:p>
    <w:p w:rsidR="00037D78" w:rsidRDefault="00037D78" w:rsidP="004A1EFF">
      <w:pPr>
        <w:jc w:val="center"/>
        <w:rPr>
          <w:rFonts w:ascii="Times New Roman" w:hAnsi="Times New Roman" w:cs="Times New Roman"/>
          <w:sz w:val="24"/>
          <w:szCs w:val="24"/>
        </w:rPr>
      </w:pPr>
    </w:p>
    <w:p w:rsidR="004A1EFF" w:rsidRPr="00E62699" w:rsidRDefault="004A1EFF" w:rsidP="00E62699">
      <w:pPr>
        <w:pStyle w:val="a9"/>
        <w:numPr>
          <w:ilvl w:val="0"/>
          <w:numId w:val="2"/>
        </w:numPr>
        <w:jc w:val="center"/>
        <w:rPr>
          <w:rFonts w:ascii="Times New Roman" w:hAnsi="Times New Roman" w:cs="Times New Roman"/>
          <w:b/>
          <w:sz w:val="24"/>
          <w:szCs w:val="24"/>
        </w:rPr>
      </w:pPr>
      <w:r w:rsidRPr="00E62699">
        <w:rPr>
          <w:rFonts w:ascii="Times New Roman" w:hAnsi="Times New Roman" w:cs="Times New Roman"/>
          <w:b/>
          <w:sz w:val="24"/>
          <w:szCs w:val="24"/>
        </w:rPr>
        <w:t>Appendix</w:t>
      </w:r>
    </w:p>
    <w:p w:rsidR="004A1EFF" w:rsidRDefault="004A1EFF" w:rsidP="004A1EFF">
      <w:pPr>
        <w:jc w:val="center"/>
        <w:rPr>
          <w:rFonts w:ascii="Times New Roman" w:hAnsi="Times New Roman" w:cs="Times New Roman"/>
          <w:sz w:val="24"/>
          <w:szCs w:val="24"/>
        </w:rPr>
      </w:pPr>
      <w:r>
        <w:rPr>
          <w:rFonts w:ascii="Times New Roman" w:hAnsi="Times New Roman" w:cs="Times New Roman"/>
          <w:sz w:val="24"/>
          <w:szCs w:val="24"/>
        </w:rPr>
        <w:t>Tables 1-10 ADF tests</w:t>
      </w:r>
      <w:r w:rsidR="0040319D">
        <w:rPr>
          <w:rFonts w:ascii="Times New Roman" w:hAnsi="Times New Roman" w:cs="Times New Roman"/>
          <w:sz w:val="24"/>
          <w:szCs w:val="24"/>
        </w:rPr>
        <w:t xml:space="preserve"> for the National, Public and Private savings</w:t>
      </w:r>
    </w:p>
    <w:tbl>
      <w:tblPr>
        <w:tblStyle w:val="aa"/>
        <w:tblW w:w="0" w:type="auto"/>
        <w:tblLook w:val="04A0"/>
      </w:tblPr>
      <w:tblGrid>
        <w:gridCol w:w="1216"/>
        <w:gridCol w:w="1808"/>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1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Luxemburg</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-2,445049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-3,277364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-3,673616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-4,532598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0,3477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-3,721996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-3,286909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-3,690814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-4,571559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0,0473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Station.</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-2,394081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-3,277364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-3,673616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-4,532598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0,3703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bl>
    <w:p w:rsidR="004A1EFF" w:rsidRDefault="0040319D" w:rsidP="004A1EFF">
      <w:pPr>
        <w:jc w:val="center"/>
        <w:rPr>
          <w:sz w:val="18"/>
          <w:szCs w:val="18"/>
        </w:rPr>
      </w:pPr>
      <w:r>
        <w:rPr>
          <w:sz w:val="18"/>
          <w:szCs w:val="18"/>
        </w:rPr>
        <w:t>Notation ***</w:t>
      </w:r>
      <w:proofErr w:type="gramStart"/>
      <w:r>
        <w:rPr>
          <w:sz w:val="18"/>
          <w:szCs w:val="18"/>
        </w:rPr>
        <w:t>,*</w:t>
      </w:r>
      <w:proofErr w:type="gramEnd"/>
      <w:r>
        <w:rPr>
          <w:sz w:val="18"/>
          <w:szCs w:val="18"/>
        </w:rPr>
        <w:t>* and * depicts 1%, 5% and 10% level</w:t>
      </w:r>
      <w:r w:rsidR="004A1EFF">
        <w:rPr>
          <w:sz w:val="18"/>
          <w:szCs w:val="18"/>
        </w:rPr>
        <w:t xml:space="preserve"> of statistical significance respectively.</w:t>
      </w:r>
    </w:p>
    <w:tbl>
      <w:tblPr>
        <w:tblStyle w:val="aa"/>
        <w:tblW w:w="0" w:type="auto"/>
        <w:tblLook w:val="04A0"/>
      </w:tblPr>
      <w:tblGrid>
        <w:gridCol w:w="1182"/>
        <w:gridCol w:w="1813"/>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2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Finland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-2,122864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-6,655194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-3,029970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-3,831511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0,2385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-1,865441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-2,655194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-3,029970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-3,831511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0,3400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1,504573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-3,297799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-3,710482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-4,616209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0,999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bl>
    <w:p w:rsidR="004A1EFF" w:rsidRDefault="0040319D" w:rsidP="004A1EFF">
      <w:pPr>
        <w:jc w:val="center"/>
        <w:rPr>
          <w:sz w:val="18"/>
          <w:szCs w:val="18"/>
        </w:rPr>
      </w:pPr>
      <w:r>
        <w:rPr>
          <w:sz w:val="18"/>
          <w:szCs w:val="18"/>
        </w:rPr>
        <w:t xml:space="preserve">Notation </w:t>
      </w:r>
      <w:r w:rsidR="004A1EFF">
        <w:rPr>
          <w:sz w:val="18"/>
          <w:szCs w:val="18"/>
        </w:rPr>
        <w:t>***</w:t>
      </w:r>
      <w:proofErr w:type="gramStart"/>
      <w:r w:rsidR="004A1EFF">
        <w:rPr>
          <w:sz w:val="18"/>
          <w:szCs w:val="18"/>
        </w:rPr>
        <w:t>,*</w:t>
      </w:r>
      <w:proofErr w:type="gramEnd"/>
      <w:r>
        <w:rPr>
          <w:sz w:val="18"/>
          <w:szCs w:val="18"/>
        </w:rPr>
        <w:t>* and * depicts 1%, 5% and 10% level</w:t>
      </w:r>
      <w:r w:rsidR="004A1EFF">
        <w:rPr>
          <w:sz w:val="18"/>
          <w:szCs w:val="18"/>
        </w:rPr>
        <w:t xml:space="preserve"> of statistical significance respectively.</w:t>
      </w:r>
    </w:p>
    <w:tbl>
      <w:tblPr>
        <w:tblStyle w:val="aa"/>
        <w:tblW w:w="0" w:type="auto"/>
        <w:tblLook w:val="04A0"/>
      </w:tblPr>
      <w:tblGrid>
        <w:gridCol w:w="1316"/>
        <w:gridCol w:w="1813"/>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3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Netherlands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-2,321366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-3,277364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-3,673616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-4,532598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0,4040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-2,259446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-2,655194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-3,029970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-3,831511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0,1938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-2,204112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-3,310349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-3,733200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-4,667883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0,4560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bl>
    <w:p w:rsidR="004A1EFF" w:rsidRDefault="0040319D" w:rsidP="004A1EFF">
      <w:pPr>
        <w:jc w:val="center"/>
        <w:rPr>
          <w:sz w:val="18"/>
          <w:szCs w:val="18"/>
        </w:rPr>
      </w:pPr>
      <w:r>
        <w:rPr>
          <w:sz w:val="18"/>
          <w:szCs w:val="18"/>
        </w:rPr>
        <w:t>Notation ***</w:t>
      </w:r>
      <w:proofErr w:type="gramStart"/>
      <w:r>
        <w:rPr>
          <w:sz w:val="18"/>
          <w:szCs w:val="18"/>
        </w:rPr>
        <w:t>,*</w:t>
      </w:r>
      <w:proofErr w:type="gramEnd"/>
      <w:r>
        <w:rPr>
          <w:sz w:val="18"/>
          <w:szCs w:val="18"/>
        </w:rPr>
        <w:t>* and * depicts 1%, 5% and 10% level of statistical significance respectively.</w:t>
      </w:r>
    </w:p>
    <w:tbl>
      <w:tblPr>
        <w:tblStyle w:val="aa"/>
        <w:tblW w:w="0" w:type="auto"/>
        <w:tblLook w:val="04A0"/>
      </w:tblPr>
      <w:tblGrid>
        <w:gridCol w:w="1182"/>
        <w:gridCol w:w="1813"/>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4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Germany</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-3,218456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-3,286909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-3,690814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-4,571559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0,1120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-3,606076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-3,286909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-3,690814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-4,571559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0,0581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-2,841289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-3,277364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-3,673616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-4,532598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0,2010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bl>
    <w:p w:rsidR="004A1EFF" w:rsidRDefault="0040319D" w:rsidP="0040319D">
      <w:pPr>
        <w:jc w:val="center"/>
        <w:rPr>
          <w:sz w:val="18"/>
          <w:szCs w:val="18"/>
        </w:rPr>
      </w:pPr>
      <w:r>
        <w:rPr>
          <w:sz w:val="18"/>
          <w:szCs w:val="18"/>
        </w:rPr>
        <w:t>Notation ***</w:t>
      </w:r>
      <w:proofErr w:type="gramStart"/>
      <w:r>
        <w:rPr>
          <w:sz w:val="18"/>
          <w:szCs w:val="18"/>
        </w:rPr>
        <w:t>,*</w:t>
      </w:r>
      <w:proofErr w:type="gramEnd"/>
      <w:r>
        <w:rPr>
          <w:sz w:val="18"/>
          <w:szCs w:val="18"/>
        </w:rPr>
        <w:t>* and * depicts 1%, 5% and 10% level of statistical significance respectively.</w:t>
      </w:r>
    </w:p>
    <w:tbl>
      <w:tblPr>
        <w:tblStyle w:val="aa"/>
        <w:tblW w:w="0" w:type="auto"/>
        <w:tblLook w:val="04A0"/>
      </w:tblPr>
      <w:tblGrid>
        <w:gridCol w:w="1182"/>
        <w:gridCol w:w="1813"/>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5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Austria</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-2,616893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-3,277364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-3,673616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-4,532598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0,2773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-3,782547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-2,660551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-3,040391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-3,857386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0,0116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Station.</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-2,052067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-3,277364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-3,673616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-4,532598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0,5377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bl>
    <w:p w:rsidR="004A1EFF" w:rsidRDefault="0040319D" w:rsidP="0040319D">
      <w:pPr>
        <w:jc w:val="center"/>
        <w:rPr>
          <w:sz w:val="18"/>
          <w:szCs w:val="18"/>
        </w:rPr>
      </w:pPr>
      <w:r>
        <w:rPr>
          <w:sz w:val="18"/>
          <w:szCs w:val="18"/>
        </w:rPr>
        <w:t>Notation ***</w:t>
      </w:r>
      <w:proofErr w:type="gramStart"/>
      <w:r>
        <w:rPr>
          <w:sz w:val="18"/>
          <w:szCs w:val="18"/>
        </w:rPr>
        <w:t>,*</w:t>
      </w:r>
      <w:proofErr w:type="gramEnd"/>
      <w:r>
        <w:rPr>
          <w:sz w:val="18"/>
          <w:szCs w:val="18"/>
        </w:rPr>
        <w:t>* and * depicts 1%, 5% and 10% level of statistical significance respectively.</w:t>
      </w:r>
    </w:p>
    <w:tbl>
      <w:tblPr>
        <w:tblStyle w:val="aa"/>
        <w:tblW w:w="0" w:type="auto"/>
        <w:tblLook w:val="04A0"/>
      </w:tblPr>
      <w:tblGrid>
        <w:gridCol w:w="1182"/>
        <w:gridCol w:w="1813"/>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6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France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-1,976441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-3,277364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-3,673616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-4,532598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0,5764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-3,746562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-3,297799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-3,710482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-4,616209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0,0470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Station.</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-1,541203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-2,655194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-3,029970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-3,831511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0,4918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bl>
    <w:p w:rsidR="004A1EFF" w:rsidRDefault="0040319D" w:rsidP="004A1EFF">
      <w:pPr>
        <w:jc w:val="center"/>
        <w:rPr>
          <w:sz w:val="18"/>
          <w:szCs w:val="18"/>
        </w:rPr>
      </w:pPr>
      <w:r>
        <w:rPr>
          <w:sz w:val="18"/>
          <w:szCs w:val="18"/>
        </w:rPr>
        <w:lastRenderedPageBreak/>
        <w:t>Notation ***</w:t>
      </w:r>
      <w:proofErr w:type="gramStart"/>
      <w:r>
        <w:rPr>
          <w:sz w:val="18"/>
          <w:szCs w:val="18"/>
        </w:rPr>
        <w:t>,*</w:t>
      </w:r>
      <w:proofErr w:type="gramEnd"/>
      <w:r>
        <w:rPr>
          <w:sz w:val="18"/>
          <w:szCs w:val="18"/>
        </w:rPr>
        <w:t>* and * depicts 1%, 5% and 10% level of statistical significance respectively.</w:t>
      </w:r>
    </w:p>
    <w:p w:rsidR="0040319D" w:rsidRDefault="0040319D" w:rsidP="004A1EFF">
      <w:pPr>
        <w:jc w:val="center"/>
        <w:rPr>
          <w:sz w:val="18"/>
          <w:szCs w:val="18"/>
        </w:rPr>
      </w:pPr>
    </w:p>
    <w:p w:rsidR="004A1EFF" w:rsidRDefault="004A1EFF" w:rsidP="004A1EFF">
      <w:pPr>
        <w:jc w:val="center"/>
        <w:rPr>
          <w:sz w:val="18"/>
          <w:szCs w:val="18"/>
        </w:rPr>
      </w:pPr>
    </w:p>
    <w:tbl>
      <w:tblPr>
        <w:tblStyle w:val="aa"/>
        <w:tblW w:w="0" w:type="auto"/>
        <w:tblLook w:val="04A0"/>
      </w:tblPr>
      <w:tblGrid>
        <w:gridCol w:w="1182"/>
        <w:gridCol w:w="1813"/>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7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Belgium</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-2,255483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-3,277364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-3,673616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-4,532598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0,4356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-1,936298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-2,655194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-3,029970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-3,831511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0,3100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-3,293571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-2,681330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-3,081002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-3,959148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0,0341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Station.</w:t>
            </w:r>
          </w:p>
        </w:tc>
      </w:tr>
    </w:tbl>
    <w:p w:rsidR="004A1EFF" w:rsidRDefault="0040319D" w:rsidP="004A1EFF">
      <w:pPr>
        <w:jc w:val="center"/>
        <w:rPr>
          <w:sz w:val="18"/>
          <w:szCs w:val="18"/>
        </w:rPr>
      </w:pPr>
      <w:r>
        <w:rPr>
          <w:sz w:val="18"/>
          <w:szCs w:val="18"/>
        </w:rPr>
        <w:t>Notation ***</w:t>
      </w:r>
      <w:proofErr w:type="gramStart"/>
      <w:r>
        <w:rPr>
          <w:sz w:val="18"/>
          <w:szCs w:val="18"/>
        </w:rPr>
        <w:t>,*</w:t>
      </w:r>
      <w:proofErr w:type="gramEnd"/>
      <w:r>
        <w:rPr>
          <w:sz w:val="18"/>
          <w:szCs w:val="18"/>
        </w:rPr>
        <w:t>* and * depicts 1%, 5% and 10% level of statistical significance respectively.</w:t>
      </w:r>
    </w:p>
    <w:tbl>
      <w:tblPr>
        <w:tblStyle w:val="aa"/>
        <w:tblW w:w="0" w:type="auto"/>
        <w:tblLook w:val="04A0"/>
      </w:tblPr>
      <w:tblGrid>
        <w:gridCol w:w="1182"/>
        <w:gridCol w:w="1813"/>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8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Ireland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-1,982042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-2,660551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-3,040391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-3,857386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0,2912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-2,249116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-2,660551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-3,040391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-3,857386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0,1974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-4,012369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-3,324976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-3,759743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-4,728363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0,0330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Station.</w:t>
            </w:r>
          </w:p>
        </w:tc>
      </w:tr>
    </w:tbl>
    <w:p w:rsidR="004A1EFF" w:rsidRDefault="0040319D" w:rsidP="004A1EFF">
      <w:pPr>
        <w:jc w:val="center"/>
        <w:rPr>
          <w:sz w:val="18"/>
          <w:szCs w:val="18"/>
        </w:rPr>
      </w:pPr>
      <w:r>
        <w:rPr>
          <w:sz w:val="18"/>
          <w:szCs w:val="18"/>
        </w:rPr>
        <w:t>Notation ***</w:t>
      </w:r>
      <w:proofErr w:type="gramStart"/>
      <w:r>
        <w:rPr>
          <w:sz w:val="18"/>
          <w:szCs w:val="18"/>
        </w:rPr>
        <w:t>,*</w:t>
      </w:r>
      <w:proofErr w:type="gramEnd"/>
      <w:r>
        <w:rPr>
          <w:sz w:val="18"/>
          <w:szCs w:val="18"/>
        </w:rPr>
        <w:t>* and * depicts 1%, 5% and 10% level of statistical significance respectively.</w:t>
      </w:r>
    </w:p>
    <w:tbl>
      <w:tblPr>
        <w:tblStyle w:val="aa"/>
        <w:tblW w:w="0" w:type="auto"/>
        <w:tblLook w:val="04A0"/>
      </w:tblPr>
      <w:tblGrid>
        <w:gridCol w:w="1182"/>
        <w:gridCol w:w="1813"/>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9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Italy</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-1,710085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-2,660551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-3,040391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-3,857386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0,4097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-4,114349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-2,660551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-3,040391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-3,857386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0,0059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Station.</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-2,447838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-3,297799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-3,710482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-4,616209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0,3455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bl>
    <w:p w:rsidR="004A1EFF" w:rsidRDefault="0040319D" w:rsidP="004A1EFF">
      <w:pPr>
        <w:jc w:val="center"/>
        <w:rPr>
          <w:sz w:val="18"/>
          <w:szCs w:val="18"/>
        </w:rPr>
      </w:pPr>
      <w:r>
        <w:rPr>
          <w:sz w:val="18"/>
          <w:szCs w:val="18"/>
        </w:rPr>
        <w:t>Notation ***</w:t>
      </w:r>
      <w:proofErr w:type="gramStart"/>
      <w:r>
        <w:rPr>
          <w:sz w:val="18"/>
          <w:szCs w:val="18"/>
        </w:rPr>
        <w:t>,*</w:t>
      </w:r>
      <w:proofErr w:type="gramEnd"/>
      <w:r>
        <w:rPr>
          <w:sz w:val="18"/>
          <w:szCs w:val="18"/>
        </w:rPr>
        <w:t>* and * depicts 1%, 5% and 10% level of statistical significance respectively.</w:t>
      </w:r>
    </w:p>
    <w:tbl>
      <w:tblPr>
        <w:tblStyle w:val="aa"/>
        <w:tblW w:w="0" w:type="auto"/>
        <w:tblLook w:val="04A0"/>
      </w:tblPr>
      <w:tblGrid>
        <w:gridCol w:w="1182"/>
        <w:gridCol w:w="1813"/>
        <w:gridCol w:w="1119"/>
        <w:gridCol w:w="1119"/>
        <w:gridCol w:w="1119"/>
        <w:gridCol w:w="1119"/>
        <w:gridCol w:w="878"/>
        <w:gridCol w:w="1049"/>
      </w:tblGrid>
      <w:tr w:rsidR="004A1EFF" w:rsidTr="004A1EFF">
        <w:tc>
          <w:tcPr>
            <w:tcW w:w="0" w:type="auto"/>
            <w:gridSpan w:val="8"/>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10    I(1) </w:t>
            </w:r>
            <w:proofErr w:type="spellStart"/>
            <w:r>
              <w:t>vs</w:t>
            </w:r>
            <w:proofErr w:type="spellEnd"/>
            <w:r>
              <w:t xml:space="preserve"> I(0)</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Portugal</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ADF stat.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C16EA4">
            <m:oMathPara>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a</m:t>
                        </m:r>
                      </m:e>
                      <m:sup>
                        <m:r>
                          <w:rPr>
                            <w:rFonts w:ascii="Cambria Math" w:hAnsi="Cambria Math"/>
                          </w:rPr>
                          <m:t>***</m:t>
                        </m:r>
                      </m:sup>
                    </m:sSup>
                  </m:sub>
                </m:sSub>
              </m:oMath>
            </m:oMathPara>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National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-1,443123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-2,655194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-3,029970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-3,831511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0,5395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Public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-3,327566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-3,286909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-3,690814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-4,571559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0,0935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r w:rsidR="004A1EFF" w:rsidTr="004A1EFF">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Private S.</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Trend &amp; Intercept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-2,714825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-3,277364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-3,673616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-4,532598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0,2419</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Non Stat.</w:t>
            </w:r>
          </w:p>
        </w:tc>
      </w:tr>
    </w:tbl>
    <w:p w:rsidR="004A1EFF" w:rsidRDefault="0040319D" w:rsidP="004A1EFF">
      <w:pPr>
        <w:jc w:val="center"/>
        <w:rPr>
          <w:sz w:val="18"/>
          <w:szCs w:val="18"/>
        </w:rPr>
      </w:pPr>
      <w:r>
        <w:rPr>
          <w:sz w:val="18"/>
          <w:szCs w:val="18"/>
        </w:rPr>
        <w:t>Notation ***</w:t>
      </w:r>
      <w:proofErr w:type="gramStart"/>
      <w:r>
        <w:rPr>
          <w:sz w:val="18"/>
          <w:szCs w:val="18"/>
        </w:rPr>
        <w:t>,*</w:t>
      </w:r>
      <w:proofErr w:type="gramEnd"/>
      <w:r>
        <w:rPr>
          <w:sz w:val="18"/>
          <w:szCs w:val="18"/>
        </w:rPr>
        <w:t>* and * depicts 1%, 5% and 10% level of statistical significance respectively.</w:t>
      </w:r>
    </w:p>
    <w:p w:rsidR="004A1EFF" w:rsidRDefault="004A1EFF" w:rsidP="004A1EFF">
      <w:pPr>
        <w:jc w:val="center"/>
        <w:rPr>
          <w:sz w:val="18"/>
          <w:szCs w:val="18"/>
        </w:rPr>
      </w:pPr>
    </w:p>
    <w:p w:rsidR="004A1EFF" w:rsidRDefault="004A1EFF" w:rsidP="004A1EFF">
      <w:pPr>
        <w:jc w:val="center"/>
      </w:pPr>
      <w:r>
        <w:t xml:space="preserve">Tables 11-14 Johansen </w:t>
      </w:r>
      <w:proofErr w:type="spellStart"/>
      <w:r>
        <w:t>Cointegration</w:t>
      </w:r>
      <w:proofErr w:type="spellEnd"/>
      <w:r>
        <w:t xml:space="preserve"> Tests</w:t>
      </w:r>
      <w:r w:rsidR="008A26CC">
        <w:t xml:space="preserve"> for</w:t>
      </w:r>
      <w:r w:rsidR="0040319D">
        <w:t xml:space="preserve"> Public and Private </w:t>
      </w:r>
      <w:proofErr w:type="gramStart"/>
      <w:r w:rsidR="0040319D">
        <w:t>savings</w:t>
      </w:r>
      <w:proofErr w:type="gramEnd"/>
    </w:p>
    <w:tbl>
      <w:tblPr>
        <w:tblStyle w:val="aa"/>
        <w:tblW w:w="0" w:type="auto"/>
        <w:tblLook w:val="04A0"/>
      </w:tblPr>
      <w:tblGrid>
        <w:gridCol w:w="871"/>
        <w:gridCol w:w="604"/>
        <w:gridCol w:w="1105"/>
        <w:gridCol w:w="1179"/>
        <w:gridCol w:w="837"/>
        <w:gridCol w:w="1179"/>
        <w:gridCol w:w="1107"/>
        <w:gridCol w:w="841"/>
        <w:gridCol w:w="1853"/>
      </w:tblGrid>
      <w:tr w:rsidR="004A1EFF" w:rsidTr="004A1EFF">
        <w:tc>
          <w:tcPr>
            <w:tcW w:w="0" w:type="auto"/>
            <w:gridSpan w:val="9"/>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11    Johansen </w:t>
            </w:r>
            <w:proofErr w:type="spellStart"/>
            <w:r>
              <w:t>Cointegration</w:t>
            </w:r>
            <w:proofErr w:type="spellEnd"/>
            <w:r>
              <w:t xml:space="preserve"> Test</w:t>
            </w:r>
          </w:p>
        </w:tc>
      </w:tr>
      <w:tr w:rsidR="004A1EFF" w:rsidTr="004A1EFF">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Finland</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Lags</w:t>
            </w:r>
          </w:p>
        </w:tc>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Trace Test</w:t>
            </w:r>
          </w:p>
        </w:tc>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Max-</w:t>
            </w:r>
            <w:proofErr w:type="spellStart"/>
            <w:r>
              <w:t>Eigenvalue</w:t>
            </w:r>
            <w:proofErr w:type="spellEnd"/>
            <w:r>
              <w:t xml:space="preserve"> Test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11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Trace Statist.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0,05 Critical 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Max-Eigen Statist.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Critical 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vMerge w:val="restart"/>
            <w:tcBorders>
              <w:top w:val="single" w:sz="4" w:space="0" w:color="auto"/>
              <w:left w:val="single" w:sz="4" w:space="0" w:color="auto"/>
              <w:bottom w:val="single" w:sz="4" w:space="0" w:color="auto"/>
              <w:right w:val="single" w:sz="4" w:space="0" w:color="auto"/>
            </w:tcBorders>
            <w:hideMark/>
          </w:tcPr>
          <w:p w:rsidR="004A1EFF" w:rsidRDefault="004A1EFF">
            <w:r>
              <w:t xml:space="preserve">One </w:t>
            </w:r>
            <w:proofErr w:type="spellStart"/>
            <w:r>
              <w:t>cointegrating</w:t>
            </w:r>
            <w:proofErr w:type="spellEnd"/>
            <w:r>
              <w:t xml:space="preserve"> equation at the 0,05 level</w:t>
            </w:r>
          </w:p>
        </w:tc>
      </w:tr>
      <w:tr w:rsidR="004A1EFF" w:rsidTr="004A1EFF">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7,311207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3,841466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0,0068</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7,311207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3,841466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0,0068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r>
    </w:tbl>
    <w:p w:rsidR="004A1EFF" w:rsidRDefault="004A1EFF" w:rsidP="004A1EFF"/>
    <w:tbl>
      <w:tblPr>
        <w:tblStyle w:val="aa"/>
        <w:tblW w:w="0" w:type="auto"/>
        <w:tblLook w:val="04A0"/>
      </w:tblPr>
      <w:tblGrid>
        <w:gridCol w:w="900"/>
        <w:gridCol w:w="604"/>
        <w:gridCol w:w="1103"/>
        <w:gridCol w:w="1174"/>
        <w:gridCol w:w="837"/>
        <w:gridCol w:w="1174"/>
        <w:gridCol w:w="1105"/>
        <w:gridCol w:w="841"/>
        <w:gridCol w:w="1838"/>
      </w:tblGrid>
      <w:tr w:rsidR="004A1EFF" w:rsidTr="004A1EFF">
        <w:tc>
          <w:tcPr>
            <w:tcW w:w="0" w:type="auto"/>
            <w:gridSpan w:val="9"/>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12    Johansen </w:t>
            </w:r>
            <w:proofErr w:type="spellStart"/>
            <w:r>
              <w:t>Cointegration</w:t>
            </w:r>
            <w:proofErr w:type="spellEnd"/>
            <w:r>
              <w:t xml:space="preserve"> Test</w:t>
            </w:r>
          </w:p>
        </w:tc>
      </w:tr>
      <w:tr w:rsidR="004A1EFF" w:rsidTr="004A1EFF">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Nether.</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Lags</w:t>
            </w:r>
          </w:p>
        </w:tc>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Trace Test</w:t>
            </w:r>
          </w:p>
        </w:tc>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Max-</w:t>
            </w:r>
            <w:proofErr w:type="spellStart"/>
            <w:r>
              <w:t>Eigenvalue</w:t>
            </w:r>
            <w:proofErr w:type="spellEnd"/>
            <w:r>
              <w:t xml:space="preserve"> Test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12</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 xml:space="preserve">Trace </w:t>
            </w:r>
            <w:r>
              <w:lastRenderedPageBreak/>
              <w:t>Statist.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lastRenderedPageBreak/>
              <w:t xml:space="preserve">0,05 </w:t>
            </w:r>
            <w:r>
              <w:lastRenderedPageBreak/>
              <w:t>Critical 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lastRenderedPageBreak/>
              <w:t>P-</w:t>
            </w:r>
            <w:r>
              <w:lastRenderedPageBreak/>
              <w:t>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lastRenderedPageBreak/>
              <w:t xml:space="preserve">Max-Eigen </w:t>
            </w:r>
            <w:r>
              <w:lastRenderedPageBreak/>
              <w:t>Statist.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lastRenderedPageBreak/>
              <w:t xml:space="preserve">Critical </w:t>
            </w:r>
            <w:r>
              <w:lastRenderedPageBreak/>
              <w:t>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lastRenderedPageBreak/>
              <w:t>P-</w:t>
            </w:r>
            <w:r>
              <w:lastRenderedPageBreak/>
              <w:t>Value</w:t>
            </w:r>
          </w:p>
        </w:tc>
        <w:tc>
          <w:tcPr>
            <w:tcW w:w="0" w:type="auto"/>
            <w:vMerge w:val="restart"/>
            <w:tcBorders>
              <w:top w:val="single" w:sz="4" w:space="0" w:color="auto"/>
              <w:left w:val="single" w:sz="4" w:space="0" w:color="auto"/>
              <w:bottom w:val="single" w:sz="4" w:space="0" w:color="auto"/>
              <w:right w:val="single" w:sz="4" w:space="0" w:color="auto"/>
            </w:tcBorders>
            <w:hideMark/>
          </w:tcPr>
          <w:p w:rsidR="004A1EFF" w:rsidRDefault="004A1EFF">
            <w:r>
              <w:lastRenderedPageBreak/>
              <w:t xml:space="preserve">One </w:t>
            </w:r>
            <w:proofErr w:type="spellStart"/>
            <w:r>
              <w:t>cointegrating</w:t>
            </w:r>
            <w:proofErr w:type="spellEnd"/>
            <w:r>
              <w:t xml:space="preserve"> </w:t>
            </w:r>
            <w:r>
              <w:lastRenderedPageBreak/>
              <w:t>equation at the 0,05 level</w:t>
            </w:r>
          </w:p>
        </w:tc>
      </w:tr>
      <w:tr w:rsidR="004A1EFF" w:rsidTr="004A1EFF">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18,72890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15,49471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0,0157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17,64685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14,26460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0,0141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r>
    </w:tbl>
    <w:p w:rsidR="004A1EFF" w:rsidRDefault="004A1EFF" w:rsidP="004A1EFF"/>
    <w:tbl>
      <w:tblPr>
        <w:tblStyle w:val="aa"/>
        <w:tblW w:w="0" w:type="auto"/>
        <w:tblLook w:val="04A0"/>
      </w:tblPr>
      <w:tblGrid>
        <w:gridCol w:w="1039"/>
        <w:gridCol w:w="604"/>
        <w:gridCol w:w="1094"/>
        <w:gridCol w:w="1153"/>
        <w:gridCol w:w="835"/>
        <w:gridCol w:w="1153"/>
        <w:gridCol w:w="1096"/>
        <w:gridCol w:w="839"/>
        <w:gridCol w:w="1763"/>
      </w:tblGrid>
      <w:tr w:rsidR="004A1EFF" w:rsidTr="004A1EFF">
        <w:tc>
          <w:tcPr>
            <w:tcW w:w="0" w:type="auto"/>
            <w:gridSpan w:val="9"/>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13    Johansen </w:t>
            </w:r>
            <w:proofErr w:type="spellStart"/>
            <w:r>
              <w:t>Cointegration</w:t>
            </w:r>
            <w:proofErr w:type="spellEnd"/>
            <w:r>
              <w:t xml:space="preserve"> Test</w:t>
            </w:r>
          </w:p>
        </w:tc>
      </w:tr>
      <w:tr w:rsidR="004A1EFF" w:rsidTr="004A1EFF">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Germany</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Lags</w:t>
            </w:r>
          </w:p>
        </w:tc>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Trace Test</w:t>
            </w:r>
          </w:p>
        </w:tc>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Max-</w:t>
            </w:r>
            <w:proofErr w:type="spellStart"/>
            <w:r>
              <w:t>Eigenvalue</w:t>
            </w:r>
            <w:proofErr w:type="spellEnd"/>
            <w:r>
              <w:t xml:space="preserve"> Test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13</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Trace Statist.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0,05 Critical 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Max-Eigen Statist.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Critical 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vMerge w:val="restart"/>
            <w:tcBorders>
              <w:top w:val="single" w:sz="4" w:space="0" w:color="auto"/>
              <w:left w:val="single" w:sz="4" w:space="0" w:color="auto"/>
              <w:bottom w:val="single" w:sz="4" w:space="0" w:color="auto"/>
              <w:right w:val="single" w:sz="4" w:space="0" w:color="auto"/>
            </w:tcBorders>
            <w:hideMark/>
          </w:tcPr>
          <w:p w:rsidR="004A1EFF" w:rsidRDefault="004A1EFF">
            <w:r>
              <w:t xml:space="preserve">One </w:t>
            </w:r>
            <w:proofErr w:type="spellStart"/>
            <w:r>
              <w:t>cointegrating</w:t>
            </w:r>
            <w:proofErr w:type="spellEnd"/>
            <w:r>
              <w:t xml:space="preserve"> equation at the 0,05 level</w:t>
            </w:r>
          </w:p>
        </w:tc>
      </w:tr>
      <w:tr w:rsidR="004A1EFF" w:rsidTr="004A1EFF">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16,98267</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15,49471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0,0296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15,74495</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14,26460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0,0290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r>
    </w:tbl>
    <w:p w:rsidR="004A1EFF" w:rsidRDefault="004A1EFF" w:rsidP="004A1EFF"/>
    <w:tbl>
      <w:tblPr>
        <w:tblStyle w:val="aa"/>
        <w:tblW w:w="0" w:type="auto"/>
        <w:tblLook w:val="04A0"/>
      </w:tblPr>
      <w:tblGrid>
        <w:gridCol w:w="972"/>
        <w:gridCol w:w="604"/>
        <w:gridCol w:w="1108"/>
        <w:gridCol w:w="1187"/>
        <w:gridCol w:w="838"/>
        <w:gridCol w:w="1187"/>
        <w:gridCol w:w="1111"/>
        <w:gridCol w:w="842"/>
        <w:gridCol w:w="1727"/>
      </w:tblGrid>
      <w:tr w:rsidR="004A1EFF" w:rsidTr="004A1EFF">
        <w:tc>
          <w:tcPr>
            <w:tcW w:w="0" w:type="auto"/>
            <w:gridSpan w:val="9"/>
            <w:tcBorders>
              <w:top w:val="single" w:sz="4" w:space="0" w:color="auto"/>
              <w:left w:val="single" w:sz="4" w:space="0" w:color="auto"/>
              <w:bottom w:val="single" w:sz="4" w:space="0" w:color="auto"/>
              <w:right w:val="single" w:sz="4" w:space="0" w:color="auto"/>
            </w:tcBorders>
            <w:hideMark/>
          </w:tcPr>
          <w:p w:rsidR="004A1EFF" w:rsidRDefault="004A1EFF">
            <w:pPr>
              <w:jc w:val="center"/>
            </w:pPr>
            <w:r>
              <w:t xml:space="preserve">TABLE 14    Johansen </w:t>
            </w:r>
            <w:proofErr w:type="spellStart"/>
            <w:r>
              <w:t>Cointegration</w:t>
            </w:r>
            <w:proofErr w:type="spellEnd"/>
            <w:r>
              <w:t xml:space="preserve"> Test</w:t>
            </w:r>
          </w:p>
        </w:tc>
      </w:tr>
      <w:tr w:rsidR="004A1EFF" w:rsidTr="004A1EFF">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Portugal</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Lags</w:t>
            </w:r>
          </w:p>
        </w:tc>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Trace Test</w:t>
            </w:r>
          </w:p>
        </w:tc>
        <w:tc>
          <w:tcPr>
            <w:tcW w:w="0" w:type="auto"/>
            <w:gridSpan w:val="3"/>
            <w:tcBorders>
              <w:top w:val="single" w:sz="4" w:space="0" w:color="auto"/>
              <w:left w:val="single" w:sz="4" w:space="0" w:color="auto"/>
              <w:bottom w:val="single" w:sz="4" w:space="0" w:color="auto"/>
              <w:right w:val="single" w:sz="4" w:space="0" w:color="auto"/>
            </w:tcBorders>
            <w:hideMark/>
          </w:tcPr>
          <w:p w:rsidR="004A1EFF" w:rsidRDefault="004A1EFF">
            <w:pPr>
              <w:jc w:val="center"/>
            </w:pPr>
            <w:r>
              <w:t>Max-</w:t>
            </w:r>
            <w:proofErr w:type="spellStart"/>
            <w:r>
              <w:t>Eigenvalue</w:t>
            </w:r>
            <w:proofErr w:type="spellEnd"/>
            <w:r>
              <w:t xml:space="preserve"> Test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Outcome</w:t>
            </w:r>
          </w:p>
        </w:tc>
      </w:tr>
      <w:tr w:rsidR="004A1EFF" w:rsidTr="004A1EFF">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4A1EFF" w:rsidRDefault="004A1EFF">
            <w:pPr>
              <w:jc w:val="center"/>
            </w:pPr>
            <w:r>
              <w:t>11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Trace Statist.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0,05 Critical 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Max-Eigen Statist.</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Critical Value</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P-Value</w:t>
            </w:r>
          </w:p>
        </w:tc>
        <w:tc>
          <w:tcPr>
            <w:tcW w:w="0" w:type="auto"/>
            <w:vMerge w:val="restart"/>
            <w:tcBorders>
              <w:top w:val="single" w:sz="4" w:space="0" w:color="auto"/>
              <w:left w:val="single" w:sz="4" w:space="0" w:color="auto"/>
              <w:bottom w:val="single" w:sz="4" w:space="0" w:color="auto"/>
              <w:right w:val="single" w:sz="4" w:space="0" w:color="auto"/>
            </w:tcBorders>
            <w:hideMark/>
          </w:tcPr>
          <w:p w:rsidR="004A1EFF" w:rsidRDefault="004A1EFF">
            <w:r>
              <w:t xml:space="preserve">No </w:t>
            </w:r>
            <w:proofErr w:type="spellStart"/>
            <w:r>
              <w:t>cointegration</w:t>
            </w:r>
            <w:proofErr w:type="spellEnd"/>
            <w:r>
              <w:t xml:space="preserve"> at the 0,05 level</w:t>
            </w:r>
          </w:p>
        </w:tc>
      </w:tr>
      <w:tr w:rsidR="004A1EFF" w:rsidTr="004A1EFF">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12,53244</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15,49471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0,1331</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11,56256</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14,26460</w:t>
            </w:r>
          </w:p>
        </w:tc>
        <w:tc>
          <w:tcPr>
            <w:tcW w:w="0" w:type="auto"/>
            <w:tcBorders>
              <w:top w:val="single" w:sz="4" w:space="0" w:color="auto"/>
              <w:left w:val="single" w:sz="4" w:space="0" w:color="auto"/>
              <w:bottom w:val="single" w:sz="4" w:space="0" w:color="auto"/>
              <w:right w:val="single" w:sz="4" w:space="0" w:color="auto"/>
            </w:tcBorders>
            <w:hideMark/>
          </w:tcPr>
          <w:p w:rsidR="004A1EFF" w:rsidRDefault="004A1EFF">
            <w:r>
              <w:t>0,1282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A1EFF" w:rsidRDefault="004A1EFF"/>
        </w:tc>
      </w:tr>
    </w:tbl>
    <w:p w:rsidR="004A1EFF" w:rsidRDefault="004A1EFF" w:rsidP="004A1EFF"/>
    <w:p w:rsidR="00DB585B" w:rsidRDefault="00DB585B" w:rsidP="00DB585B">
      <w:pPr>
        <w:jc w:val="center"/>
      </w:pPr>
      <w:r>
        <w:t>Table 17 – Estimation of the Basic consumption function (16) in first difference</w:t>
      </w:r>
      <w:r w:rsidR="002149EC">
        <w:t>s</w:t>
      </w:r>
    </w:p>
    <w:tbl>
      <w:tblPr>
        <w:tblStyle w:val="aa"/>
        <w:tblW w:w="0" w:type="auto"/>
        <w:jc w:val="center"/>
        <w:tblLook w:val="04A0"/>
      </w:tblPr>
      <w:tblGrid>
        <w:gridCol w:w="1107"/>
        <w:gridCol w:w="1316"/>
        <w:gridCol w:w="1039"/>
        <w:gridCol w:w="1158"/>
        <w:gridCol w:w="1158"/>
        <w:gridCol w:w="1049"/>
      </w:tblGrid>
      <w:tr w:rsidR="00DB585B" w:rsidTr="00030D6E">
        <w:trPr>
          <w:jc w:val="center"/>
        </w:trPr>
        <w:tc>
          <w:tcPr>
            <w:tcW w:w="0" w:type="auto"/>
            <w:gridSpan w:val="6"/>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Individual Estimations – Basic Equation in First Differences</w:t>
            </w:r>
          </w:p>
        </w:tc>
      </w:tr>
      <w:tr w:rsidR="00DB585B" w:rsidTr="00030D6E">
        <w:trPr>
          <w:jc w:val="center"/>
        </w:trPr>
        <w:tc>
          <w:tcPr>
            <w:tcW w:w="0" w:type="auto"/>
            <w:gridSpan w:val="2"/>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Countries</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Y</w:t>
            </w:r>
            <w:r>
              <w:rPr>
                <w:vertAlign w:val="superscript"/>
              </w:rPr>
              <w:t>d</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w</w:t>
            </w:r>
            <w:r>
              <w:rPr>
                <w:vertAlign w:val="superscript"/>
              </w:rPr>
              <w:t>e</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proofErr w:type="spellStart"/>
            <w:r>
              <w:t>w</w:t>
            </w:r>
            <w:r>
              <w:rPr>
                <w:vertAlign w:val="superscript"/>
              </w:rPr>
              <w:t>h</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d</w:t>
            </w:r>
          </w:p>
        </w:tc>
      </w:tr>
      <w:tr w:rsidR="00DB585B" w:rsidTr="00030D6E">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jc w:val="center"/>
            </w:pPr>
            <w:r>
              <w:t>Low Debt</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Austria</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0.2283</w:t>
            </w:r>
            <w:r>
              <w:rPr>
                <w:vertAlign w:val="superscript"/>
              </w:rPr>
              <w:t>*</w:t>
            </w:r>
          </w:p>
          <w:p w:rsidR="00DB585B" w:rsidRDefault="00DB585B" w:rsidP="00030D6E">
            <w:pPr>
              <w:jc w:val="center"/>
            </w:pPr>
            <w:r>
              <w:t>(0.1111)</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0.0065</w:t>
            </w:r>
          </w:p>
          <w:p w:rsidR="00DB585B" w:rsidRDefault="00DB585B" w:rsidP="00030D6E">
            <w:pPr>
              <w:jc w:val="center"/>
            </w:pPr>
            <w:r>
              <w:t>(0.0082)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-0.1103**</w:t>
            </w:r>
          </w:p>
          <w:p w:rsidR="00DB585B" w:rsidRDefault="00DB585B" w:rsidP="00030D6E">
            <w:pPr>
              <w:jc w:val="center"/>
            </w:pPr>
            <w:r>
              <w:t>(0.0375)</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0.0426</w:t>
            </w:r>
          </w:p>
          <w:p w:rsidR="00DB585B" w:rsidRDefault="00DB585B" w:rsidP="00030D6E">
            <w:pPr>
              <w:jc w:val="center"/>
            </w:pPr>
            <w:r>
              <w:t>(0.0468)</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Finland</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0.3552</w:t>
            </w:r>
          </w:p>
          <w:p w:rsidR="00DB585B" w:rsidRDefault="00DB585B" w:rsidP="00030D6E">
            <w:pPr>
              <w:jc w:val="center"/>
            </w:pPr>
            <w:r>
              <w:t>(0.2607)</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0.0033</w:t>
            </w:r>
          </w:p>
          <w:p w:rsidR="00DB585B" w:rsidRDefault="00DB585B" w:rsidP="00030D6E">
            <w:pPr>
              <w:jc w:val="center"/>
            </w:pPr>
            <w:r>
              <w:t>(0.0161)</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0.0672</w:t>
            </w:r>
          </w:p>
          <w:p w:rsidR="00DB585B" w:rsidRDefault="00DB585B" w:rsidP="00030D6E">
            <w:pPr>
              <w:jc w:val="center"/>
            </w:pPr>
            <w:r>
              <w:t>(0.1239)</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-0.1025</w:t>
            </w:r>
          </w:p>
          <w:p w:rsidR="00DB585B" w:rsidRDefault="00DB585B" w:rsidP="00030D6E">
            <w:pPr>
              <w:jc w:val="center"/>
            </w:pPr>
            <w:r>
              <w:t>(0.0673)</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Netherlands</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0.2227</w:t>
            </w:r>
            <w:r>
              <w:rPr>
                <w:vertAlign w:val="superscript"/>
              </w:rPr>
              <w:t>*</w:t>
            </w:r>
          </w:p>
          <w:p w:rsidR="00DB585B" w:rsidRDefault="00DB585B" w:rsidP="00030D6E">
            <w:pPr>
              <w:jc w:val="center"/>
            </w:pPr>
            <w:r>
              <w:t>(0.1089)</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0.0332***</w:t>
            </w:r>
          </w:p>
          <w:p w:rsidR="00DB585B" w:rsidRDefault="00DB585B" w:rsidP="00030D6E">
            <w:pPr>
              <w:jc w:val="center"/>
            </w:pPr>
            <w:r>
              <w:t>(0.0100)</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0.2724***</w:t>
            </w:r>
          </w:p>
          <w:p w:rsidR="00DB585B" w:rsidRDefault="00DB585B" w:rsidP="00030D6E">
            <w:pPr>
              <w:jc w:val="center"/>
            </w:pPr>
            <w:r>
              <w:t>(0.0405)</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0.0947**</w:t>
            </w:r>
          </w:p>
          <w:p w:rsidR="00DB585B" w:rsidRDefault="00DB585B" w:rsidP="00030D6E">
            <w:pPr>
              <w:jc w:val="center"/>
            </w:pPr>
            <w:r>
              <w:t>(0.0322)</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Germany</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0.8649</w:t>
            </w:r>
            <w:r>
              <w:rPr>
                <w:vertAlign w:val="superscript"/>
              </w:rPr>
              <w:t>***</w:t>
            </w:r>
          </w:p>
          <w:p w:rsidR="00DB585B" w:rsidRDefault="00DB585B" w:rsidP="00030D6E">
            <w:pPr>
              <w:jc w:val="center"/>
            </w:pPr>
            <w:r>
              <w:t>(0.1325)</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0.0162***</w:t>
            </w:r>
          </w:p>
          <w:p w:rsidR="00DB585B" w:rsidRDefault="00DB585B" w:rsidP="00030D6E">
            <w:pPr>
              <w:jc w:val="center"/>
            </w:pPr>
            <w:r>
              <w:t>(0.0051)</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0.1830**</w:t>
            </w:r>
          </w:p>
          <w:p w:rsidR="00DB585B" w:rsidRDefault="00DB585B" w:rsidP="00030D6E">
            <w:pPr>
              <w:jc w:val="center"/>
            </w:pPr>
            <w:r>
              <w:t>(0.0772)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0.0471**</w:t>
            </w:r>
          </w:p>
          <w:p w:rsidR="00DB585B" w:rsidRDefault="00DB585B" w:rsidP="00030D6E">
            <w:pPr>
              <w:jc w:val="center"/>
            </w:pPr>
            <w:r>
              <w:t>(0.0227)</w:t>
            </w:r>
          </w:p>
        </w:tc>
      </w:tr>
      <w:tr w:rsidR="00DB585B" w:rsidTr="00030D6E">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jc w:val="center"/>
            </w:pPr>
            <w:r>
              <w:t>High Debt</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France</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0.5420</w:t>
            </w:r>
            <w:r>
              <w:rPr>
                <w:vertAlign w:val="superscript"/>
              </w:rPr>
              <w:t>***</w:t>
            </w:r>
          </w:p>
          <w:p w:rsidR="00DB585B" w:rsidRDefault="00DB585B" w:rsidP="00030D6E">
            <w:pPr>
              <w:jc w:val="center"/>
            </w:pPr>
            <w:r>
              <w:t>(0.1213)</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0.0181**</w:t>
            </w:r>
          </w:p>
          <w:p w:rsidR="00DB585B" w:rsidRDefault="00DB585B" w:rsidP="00030D6E">
            <w:pPr>
              <w:jc w:val="center"/>
            </w:pPr>
            <w:r>
              <w:t>(0.0084)</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0.0693*</w:t>
            </w:r>
          </w:p>
          <w:p w:rsidR="00DB585B" w:rsidRDefault="00DB585B" w:rsidP="00030D6E">
            <w:pPr>
              <w:jc w:val="center"/>
            </w:pPr>
            <w:r>
              <w:t>(0.0333)</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0.0065</w:t>
            </w:r>
          </w:p>
          <w:p w:rsidR="00DB585B" w:rsidRDefault="00DB585B" w:rsidP="00030D6E">
            <w:pPr>
              <w:jc w:val="center"/>
            </w:pPr>
            <w:r>
              <w:t>(0.0391)</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Belgium</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0.3579</w:t>
            </w:r>
            <w:r>
              <w:rPr>
                <w:vertAlign w:val="superscript"/>
              </w:rPr>
              <w:t>**</w:t>
            </w:r>
          </w:p>
          <w:p w:rsidR="00DB585B" w:rsidRDefault="00DB585B" w:rsidP="00030D6E">
            <w:pPr>
              <w:jc w:val="center"/>
            </w:pPr>
            <w:r>
              <w:t>(0.1671)</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0.0183</w:t>
            </w:r>
          </w:p>
          <w:p w:rsidR="00DB585B" w:rsidRDefault="00DB585B" w:rsidP="00030D6E">
            <w:pPr>
              <w:jc w:val="center"/>
            </w:pPr>
            <w:r>
              <w:t>(0.0118)</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-0.0566</w:t>
            </w:r>
          </w:p>
          <w:p w:rsidR="00DB585B" w:rsidRDefault="00DB585B" w:rsidP="00030D6E">
            <w:pPr>
              <w:jc w:val="center"/>
            </w:pPr>
            <w:r>
              <w:t>(0.0915)</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-0.0431</w:t>
            </w:r>
          </w:p>
          <w:p w:rsidR="00DB585B" w:rsidRDefault="00DB585B" w:rsidP="00030D6E">
            <w:pPr>
              <w:jc w:val="center"/>
            </w:pPr>
            <w:r>
              <w:t>(0.1077)</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Ireland</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0.2099</w:t>
            </w:r>
          </w:p>
          <w:p w:rsidR="00DB585B" w:rsidRDefault="00DB585B" w:rsidP="00030D6E">
            <w:pPr>
              <w:jc w:val="center"/>
            </w:pPr>
            <w:r>
              <w:t>(0.2345)</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0.0471</w:t>
            </w:r>
          </w:p>
          <w:p w:rsidR="00DB585B" w:rsidRDefault="00DB585B" w:rsidP="00030D6E">
            <w:pPr>
              <w:jc w:val="center"/>
            </w:pPr>
            <w:r>
              <w:t>(0.0227)</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0.2140</w:t>
            </w:r>
            <w:r>
              <w:rPr>
                <w:vertAlign w:val="superscript"/>
              </w:rPr>
              <w:t>**</w:t>
            </w:r>
          </w:p>
          <w:p w:rsidR="00DB585B" w:rsidRDefault="00DB585B" w:rsidP="00030D6E">
            <w:pPr>
              <w:jc w:val="center"/>
            </w:pPr>
            <w:r>
              <w:t>(0.0868)</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-0.0378</w:t>
            </w:r>
          </w:p>
          <w:p w:rsidR="00DB585B" w:rsidRDefault="00DB585B" w:rsidP="00030D6E">
            <w:pPr>
              <w:jc w:val="center"/>
            </w:pPr>
            <w:r>
              <w:t>(0.0564)</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Italy</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0.4355</w:t>
            </w:r>
            <w:r>
              <w:rPr>
                <w:vertAlign w:val="superscript"/>
              </w:rPr>
              <w:t>**</w:t>
            </w:r>
          </w:p>
          <w:p w:rsidR="00DB585B" w:rsidRDefault="00DB585B" w:rsidP="00030D6E">
            <w:pPr>
              <w:jc w:val="center"/>
            </w:pPr>
            <w:r>
              <w:t>(0.1854)</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0.0496***</w:t>
            </w:r>
          </w:p>
          <w:p w:rsidR="00DB585B" w:rsidRDefault="00DB585B" w:rsidP="00030D6E">
            <w:pPr>
              <w:jc w:val="center"/>
            </w:pPr>
            <w:r>
              <w:t>(0.0133)</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0.0954</w:t>
            </w:r>
          </w:p>
          <w:p w:rsidR="00DB585B" w:rsidRDefault="00DB585B" w:rsidP="00030D6E">
            <w:pPr>
              <w:jc w:val="center"/>
            </w:pPr>
            <w:r>
              <w:t>(0.0905)</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-0.1321</w:t>
            </w:r>
          </w:p>
          <w:p w:rsidR="00DB585B" w:rsidRDefault="00DB585B" w:rsidP="00030D6E">
            <w:pPr>
              <w:jc w:val="center"/>
            </w:pPr>
            <w:r>
              <w:t>(0.1467)</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Portugal</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0.6862</w:t>
            </w:r>
            <w:r>
              <w:rPr>
                <w:vertAlign w:val="superscript"/>
              </w:rPr>
              <w:t>***</w:t>
            </w:r>
          </w:p>
          <w:p w:rsidR="00DB585B" w:rsidRDefault="00DB585B" w:rsidP="00030D6E">
            <w:pPr>
              <w:jc w:val="center"/>
            </w:pPr>
            <w:r>
              <w:t>(0.1884)</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0.0023</w:t>
            </w:r>
          </w:p>
          <w:p w:rsidR="00DB585B" w:rsidRDefault="00DB585B" w:rsidP="00030D6E">
            <w:pPr>
              <w:jc w:val="center"/>
            </w:pPr>
            <w:r>
              <w:t>(0.0172)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0.0837</w:t>
            </w:r>
          </w:p>
          <w:p w:rsidR="00DB585B" w:rsidRDefault="00DB585B" w:rsidP="00030D6E">
            <w:pPr>
              <w:jc w:val="center"/>
            </w:pPr>
            <w:r>
              <w:t>(0.1232)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-0.1148</w:t>
            </w:r>
          </w:p>
          <w:p w:rsidR="00DB585B" w:rsidRDefault="00DB585B" w:rsidP="00030D6E">
            <w:pPr>
              <w:jc w:val="center"/>
            </w:pPr>
            <w:r>
              <w:t>(0.0800)</w:t>
            </w:r>
          </w:p>
        </w:tc>
      </w:tr>
    </w:tbl>
    <w:p w:rsidR="00DB585B" w:rsidRDefault="00DB585B" w:rsidP="00DB585B">
      <w:pPr>
        <w:jc w:val="center"/>
        <w:rPr>
          <w:sz w:val="18"/>
          <w:szCs w:val="18"/>
        </w:rPr>
      </w:pPr>
      <w:r>
        <w:rPr>
          <w:sz w:val="18"/>
          <w:szCs w:val="18"/>
        </w:rPr>
        <w:t>Notation: ***</w:t>
      </w:r>
      <w:proofErr w:type="gramStart"/>
      <w:r>
        <w:rPr>
          <w:sz w:val="18"/>
          <w:szCs w:val="18"/>
        </w:rPr>
        <w:t>,*</w:t>
      </w:r>
      <w:proofErr w:type="gramEnd"/>
      <w:r>
        <w:rPr>
          <w:sz w:val="18"/>
          <w:szCs w:val="18"/>
        </w:rPr>
        <w:t>* and * depict 1%, 5% and 10% level of statistical significance. Values in parentheses denote the Standard Errors.</w:t>
      </w:r>
    </w:p>
    <w:p w:rsidR="00DB585B" w:rsidRPr="00E6666B" w:rsidRDefault="00E6666B" w:rsidP="00E6666B">
      <w:pPr>
        <w:jc w:val="center"/>
      </w:pPr>
      <w:r>
        <w:t>Table 1</w:t>
      </w:r>
      <w:r w:rsidR="00573D1B">
        <w:t>8</w:t>
      </w:r>
      <w:r>
        <w:t xml:space="preserve"> – Estimation of the </w:t>
      </w:r>
      <w:proofErr w:type="gramStart"/>
      <w:r w:rsidR="00573D1B">
        <w:t>Extended</w:t>
      </w:r>
      <w:proofErr w:type="gramEnd"/>
      <w:r>
        <w:t xml:space="preserve"> consumption function (1</w:t>
      </w:r>
      <w:r w:rsidR="00573D1B">
        <w:t>7</w:t>
      </w:r>
      <w:r>
        <w:t>) in first difference</w:t>
      </w:r>
      <w:r w:rsidR="002149EC">
        <w:t>s</w:t>
      </w:r>
    </w:p>
    <w:tbl>
      <w:tblPr>
        <w:tblStyle w:val="aa"/>
        <w:tblW w:w="0" w:type="auto"/>
        <w:jc w:val="center"/>
        <w:tblLook w:val="04A0"/>
      </w:tblPr>
      <w:tblGrid>
        <w:gridCol w:w="1107"/>
        <w:gridCol w:w="1316"/>
        <w:gridCol w:w="1039"/>
        <w:gridCol w:w="1158"/>
        <w:gridCol w:w="1226"/>
        <w:gridCol w:w="1049"/>
        <w:gridCol w:w="963"/>
      </w:tblGrid>
      <w:tr w:rsidR="00DB585B" w:rsidTr="00030D6E">
        <w:trPr>
          <w:jc w:val="center"/>
        </w:trPr>
        <w:tc>
          <w:tcPr>
            <w:tcW w:w="0" w:type="auto"/>
            <w:gridSpan w:val="7"/>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lastRenderedPageBreak/>
              <w:t>Individual Estimations – Extended Equation (including g) in First Differences</w:t>
            </w:r>
          </w:p>
        </w:tc>
      </w:tr>
      <w:tr w:rsidR="00DB585B" w:rsidTr="00030D6E">
        <w:trPr>
          <w:jc w:val="center"/>
        </w:trPr>
        <w:tc>
          <w:tcPr>
            <w:tcW w:w="0" w:type="auto"/>
            <w:gridSpan w:val="2"/>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Countries</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Y</w:t>
            </w:r>
            <w:r>
              <w:rPr>
                <w:vertAlign w:val="superscript"/>
              </w:rPr>
              <w:t>d</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w</w:t>
            </w:r>
            <w:r>
              <w:rPr>
                <w:vertAlign w:val="superscript"/>
              </w:rPr>
              <w:t>e</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proofErr w:type="spellStart"/>
            <w:r>
              <w:t>w</w:t>
            </w:r>
            <w:r>
              <w:rPr>
                <w:vertAlign w:val="superscript"/>
              </w:rPr>
              <w:t>h</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d</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g</w:t>
            </w:r>
          </w:p>
        </w:tc>
      </w:tr>
      <w:tr w:rsidR="00DB585B" w:rsidTr="00030D6E">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jc w:val="center"/>
            </w:pPr>
            <w:r>
              <w:t>Low Debt</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Austria</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0.2895</w:t>
            </w:r>
            <w:r>
              <w:rPr>
                <w:vertAlign w:val="superscript"/>
              </w:rPr>
              <w:t>**</w:t>
            </w:r>
          </w:p>
          <w:p w:rsidR="00DB585B" w:rsidRDefault="00DB585B" w:rsidP="00030D6E">
            <w:pPr>
              <w:jc w:val="center"/>
            </w:pPr>
            <w:r>
              <w:t>(0.1250)</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0.0062</w:t>
            </w:r>
          </w:p>
          <w:p w:rsidR="00DB585B" w:rsidRDefault="00DB585B" w:rsidP="00030D6E">
            <w:pPr>
              <w:jc w:val="center"/>
            </w:pPr>
            <w:r>
              <w:t>(0.0082)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-0.1151***</w:t>
            </w:r>
          </w:p>
          <w:p w:rsidR="00DB585B" w:rsidRDefault="00DB585B" w:rsidP="00030D6E">
            <w:pPr>
              <w:jc w:val="center"/>
            </w:pPr>
            <w:r>
              <w:t>(0.0376)</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0.0738</w:t>
            </w:r>
          </w:p>
          <w:p w:rsidR="00DB585B" w:rsidRDefault="00DB585B" w:rsidP="00030D6E">
            <w:pPr>
              <w:jc w:val="center"/>
            </w:pPr>
            <w:r>
              <w:t>(0.0552)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-0.1361</w:t>
            </w:r>
          </w:p>
          <w:p w:rsidR="00DB585B" w:rsidRDefault="00DB585B" w:rsidP="00030D6E">
            <w:pPr>
              <w:jc w:val="center"/>
            </w:pPr>
            <w:r>
              <w:t>(0.1289)</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Finland</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0.1479</w:t>
            </w:r>
          </w:p>
          <w:p w:rsidR="00DB585B" w:rsidRDefault="00DB585B" w:rsidP="00030D6E">
            <w:pPr>
              <w:jc w:val="center"/>
            </w:pPr>
            <w:r>
              <w:t>(0.2867)</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0.0132</w:t>
            </w:r>
          </w:p>
          <w:p w:rsidR="00DB585B" w:rsidRDefault="00DB585B" w:rsidP="00030D6E">
            <w:pPr>
              <w:jc w:val="center"/>
            </w:pPr>
            <w:r>
              <w:t>(0.0168)</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0.0905</w:t>
            </w:r>
          </w:p>
          <w:p w:rsidR="00DB585B" w:rsidRDefault="00DB585B" w:rsidP="00030D6E">
            <w:pPr>
              <w:jc w:val="center"/>
            </w:pPr>
            <w:r>
              <w:t>(0.1202)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-0.0581</w:t>
            </w:r>
          </w:p>
          <w:p w:rsidR="00DB585B" w:rsidRDefault="00DB585B" w:rsidP="00030D6E">
            <w:pPr>
              <w:jc w:val="center"/>
            </w:pPr>
            <w:r>
              <w:t>(0.0712)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0.4917</w:t>
            </w:r>
          </w:p>
          <w:p w:rsidR="00DB585B" w:rsidRDefault="00DB585B" w:rsidP="00030D6E">
            <w:pPr>
              <w:jc w:val="center"/>
            </w:pPr>
            <w:r>
              <w:t>(0.3298)</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Netherlands</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0.2223</w:t>
            </w:r>
            <w:r>
              <w:rPr>
                <w:vertAlign w:val="superscript"/>
              </w:rPr>
              <w:t>*</w:t>
            </w:r>
          </w:p>
          <w:p w:rsidR="00DB585B" w:rsidRDefault="00DB585B" w:rsidP="00030D6E">
            <w:pPr>
              <w:jc w:val="center"/>
            </w:pPr>
            <w:r>
              <w:t>(0.1069)</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0.0250*</w:t>
            </w:r>
          </w:p>
          <w:p w:rsidR="00DB585B" w:rsidRDefault="00DB585B" w:rsidP="00030D6E">
            <w:pPr>
              <w:jc w:val="center"/>
            </w:pPr>
            <w:r>
              <w:t>(0.0118)</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0.2858***</w:t>
            </w:r>
          </w:p>
          <w:p w:rsidR="00DB585B" w:rsidRDefault="00DB585B" w:rsidP="00030D6E">
            <w:pPr>
              <w:jc w:val="center"/>
            </w:pPr>
            <w:r>
              <w:t>(0.0412)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0.0833**</w:t>
            </w:r>
          </w:p>
          <w:p w:rsidR="00DB585B" w:rsidRDefault="00DB585B" w:rsidP="00030D6E">
            <w:pPr>
              <w:jc w:val="center"/>
            </w:pPr>
            <w:r>
              <w:t>(0.0329)</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-0.0964</w:t>
            </w:r>
          </w:p>
          <w:p w:rsidR="00DB585B" w:rsidRDefault="00DB585B" w:rsidP="00030D6E">
            <w:pPr>
              <w:jc w:val="center"/>
            </w:pPr>
            <w:r>
              <w:t>(0.0771)</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Germany</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0.8945</w:t>
            </w:r>
            <w:r>
              <w:rPr>
                <w:vertAlign w:val="superscript"/>
              </w:rPr>
              <w:t>***</w:t>
            </w:r>
          </w:p>
          <w:p w:rsidR="00DB585B" w:rsidRDefault="00DB585B" w:rsidP="00030D6E">
            <w:pPr>
              <w:jc w:val="center"/>
            </w:pPr>
            <w:r>
              <w:t>(0.1277)</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0.0188***</w:t>
            </w:r>
          </w:p>
          <w:p w:rsidR="00DB585B" w:rsidRDefault="00DB585B" w:rsidP="00030D6E">
            <w:pPr>
              <w:jc w:val="center"/>
            </w:pPr>
            <w:r>
              <w:t>(0.0051)</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0.1440*</w:t>
            </w:r>
          </w:p>
          <w:p w:rsidR="00DB585B" w:rsidRDefault="00DB585B" w:rsidP="00030D6E">
            <w:pPr>
              <w:jc w:val="center"/>
            </w:pPr>
            <w:r>
              <w:t>(0.0777)</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0.0352</w:t>
            </w:r>
          </w:p>
          <w:p w:rsidR="00DB585B" w:rsidRDefault="00DB585B" w:rsidP="00030D6E">
            <w:pPr>
              <w:jc w:val="center"/>
            </w:pPr>
            <w:r>
              <w:t>(0.0229)</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0.1143</w:t>
            </w:r>
          </w:p>
          <w:p w:rsidR="00DB585B" w:rsidRDefault="00DB585B" w:rsidP="00030D6E">
            <w:pPr>
              <w:jc w:val="center"/>
            </w:pPr>
            <w:r>
              <w:t>(0.0723)</w:t>
            </w:r>
          </w:p>
        </w:tc>
      </w:tr>
      <w:tr w:rsidR="00DB585B" w:rsidTr="00030D6E">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jc w:val="center"/>
            </w:pPr>
            <w:r>
              <w:t>High Debt</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France</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0.5903</w:t>
            </w:r>
            <w:r>
              <w:rPr>
                <w:vertAlign w:val="superscript"/>
              </w:rPr>
              <w:t>***</w:t>
            </w:r>
          </w:p>
          <w:p w:rsidR="00DB585B" w:rsidRDefault="00DB585B" w:rsidP="00030D6E">
            <w:pPr>
              <w:jc w:val="center"/>
            </w:pPr>
            <w:r>
              <w:t>(0.1326)</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0.0166*</w:t>
            </w:r>
          </w:p>
          <w:p w:rsidR="00DB585B" w:rsidRDefault="00DB585B" w:rsidP="00030D6E">
            <w:pPr>
              <w:jc w:val="center"/>
            </w:pPr>
            <w:r>
              <w:t>(0.0086)</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0.0734**</w:t>
            </w:r>
          </w:p>
          <w:p w:rsidR="00DB585B" w:rsidRDefault="00DB585B" w:rsidP="00030D6E">
            <w:pPr>
              <w:jc w:val="center"/>
            </w:pPr>
            <w:r>
              <w:t>(0.0337)</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0.0199</w:t>
            </w:r>
          </w:p>
          <w:p w:rsidR="00DB585B" w:rsidRDefault="00DB585B" w:rsidP="00030D6E">
            <w:pPr>
              <w:jc w:val="center"/>
            </w:pPr>
            <w:r>
              <w:t>(0.0419)</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-0.1204</w:t>
            </w:r>
          </w:p>
          <w:p w:rsidR="00DB585B" w:rsidRDefault="00DB585B" w:rsidP="00030D6E">
            <w:pPr>
              <w:jc w:val="center"/>
            </w:pPr>
            <w:r>
              <w:t>(0.1302)</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Belgium</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0.3569</w:t>
            </w:r>
            <w:r>
              <w:rPr>
                <w:vertAlign w:val="superscript"/>
              </w:rPr>
              <w:t>*</w:t>
            </w:r>
          </w:p>
          <w:p w:rsidR="00DB585B" w:rsidRDefault="00DB585B" w:rsidP="00030D6E">
            <w:pPr>
              <w:jc w:val="center"/>
            </w:pPr>
            <w:r>
              <w:t>(0.1738)</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0.0188</w:t>
            </w:r>
          </w:p>
          <w:p w:rsidR="00DB585B" w:rsidRDefault="00DB585B" w:rsidP="00030D6E">
            <w:pPr>
              <w:jc w:val="center"/>
            </w:pPr>
            <w:r>
              <w:t>(0.0144)</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-0.0590</w:t>
            </w:r>
          </w:p>
          <w:p w:rsidR="00DB585B" w:rsidRDefault="00DB585B" w:rsidP="00030D6E">
            <w:pPr>
              <w:jc w:val="center"/>
            </w:pPr>
            <w:r>
              <w:t>(0.1016)</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-0.0446</w:t>
            </w:r>
          </w:p>
          <w:p w:rsidR="00DB585B" w:rsidRDefault="00DB585B" w:rsidP="00030D6E">
            <w:pPr>
              <w:jc w:val="center"/>
            </w:pPr>
            <w:r>
              <w:t>(0.1140)</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0.0114</w:t>
            </w:r>
          </w:p>
          <w:p w:rsidR="00DB585B" w:rsidRDefault="00DB585B" w:rsidP="00030D6E">
            <w:pPr>
              <w:jc w:val="center"/>
            </w:pPr>
            <w:r>
              <w:t>(0.1796)</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Ireland</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0.0584</w:t>
            </w:r>
          </w:p>
          <w:p w:rsidR="00DB585B" w:rsidRDefault="00DB585B" w:rsidP="00030D6E">
            <w:pPr>
              <w:jc w:val="center"/>
            </w:pPr>
            <w:r>
              <w:t>(0.2411)</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0.0507</w:t>
            </w:r>
          </w:p>
          <w:p w:rsidR="00DB585B" w:rsidRDefault="00DB585B" w:rsidP="00030D6E">
            <w:pPr>
              <w:jc w:val="center"/>
            </w:pPr>
            <w:r>
              <w:t>(0.0299)</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0.1542</w:t>
            </w:r>
            <w:r>
              <w:rPr>
                <w:vertAlign w:val="superscript"/>
              </w:rPr>
              <w:t>*</w:t>
            </w:r>
          </w:p>
          <w:p w:rsidR="00DB585B" w:rsidRDefault="00DB585B" w:rsidP="00030D6E">
            <w:pPr>
              <w:jc w:val="center"/>
            </w:pPr>
            <w:r>
              <w:t>(0.0872)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-0.0070</w:t>
            </w:r>
          </w:p>
          <w:p w:rsidR="00DB585B" w:rsidRDefault="00DB585B" w:rsidP="00030D6E">
            <w:pPr>
              <w:jc w:val="center"/>
            </w:pPr>
            <w:r>
              <w:t>(0.0526)</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0.2227</w:t>
            </w:r>
          </w:p>
          <w:p w:rsidR="00DB585B" w:rsidRDefault="00DB585B" w:rsidP="00030D6E">
            <w:pPr>
              <w:jc w:val="center"/>
            </w:pPr>
            <w:r>
              <w:t>(0.1421)</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Italy</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0.3125</w:t>
            </w:r>
          </w:p>
          <w:p w:rsidR="00DB585B" w:rsidRDefault="00DB585B" w:rsidP="00030D6E">
            <w:pPr>
              <w:jc w:val="center"/>
            </w:pPr>
            <w:r>
              <w:t>(0.1410)</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0.0464</w:t>
            </w:r>
            <w:r>
              <w:rPr>
                <w:vertAlign w:val="superscript"/>
              </w:rPr>
              <w:t>***</w:t>
            </w:r>
          </w:p>
          <w:p w:rsidR="00DB585B" w:rsidRDefault="00DB585B" w:rsidP="00030D6E">
            <w:pPr>
              <w:jc w:val="center"/>
            </w:pPr>
            <w:r>
              <w:t>(0.0033)</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0.0304</w:t>
            </w:r>
          </w:p>
          <w:p w:rsidR="00DB585B" w:rsidRDefault="00DB585B" w:rsidP="00030D6E">
            <w:pPr>
              <w:jc w:val="center"/>
            </w:pPr>
            <w:r>
              <w:t>(0.7642)</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-0.2161</w:t>
            </w:r>
          </w:p>
          <w:p w:rsidR="00DB585B" w:rsidRDefault="00DB585B" w:rsidP="00030D6E">
            <w:pPr>
              <w:jc w:val="center"/>
            </w:pPr>
            <w:r>
              <w:t>(0.1836)</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0.2099</w:t>
            </w:r>
          </w:p>
          <w:p w:rsidR="00DB585B" w:rsidRDefault="00DB585B" w:rsidP="00030D6E">
            <w:pPr>
              <w:jc w:val="center"/>
            </w:pPr>
            <w:r>
              <w:t>(0.1848)</w:t>
            </w:r>
          </w:p>
        </w:tc>
      </w:tr>
      <w:tr w:rsidR="00DB585B" w:rsidTr="00030D6E">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B585B" w:rsidRDefault="00DB585B" w:rsidP="00030D6E">
            <w:pPr>
              <w:rPr>
                <w:lang w:val="nl-NL"/>
              </w:rPr>
            </w:pP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Portugal</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rPr>
                <w:vertAlign w:val="superscript"/>
              </w:rPr>
            </w:pPr>
            <w:r>
              <w:t>0.8247</w:t>
            </w:r>
            <w:r>
              <w:rPr>
                <w:vertAlign w:val="superscript"/>
              </w:rPr>
              <w:t>***</w:t>
            </w:r>
          </w:p>
          <w:p w:rsidR="00DB585B" w:rsidRDefault="00DB585B" w:rsidP="00030D6E">
            <w:pPr>
              <w:jc w:val="center"/>
            </w:pPr>
            <w:r>
              <w:t>(0.2398)</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0.0006</w:t>
            </w:r>
          </w:p>
          <w:p w:rsidR="00DB585B" w:rsidRDefault="00DB585B" w:rsidP="00030D6E">
            <w:pPr>
              <w:jc w:val="center"/>
            </w:pPr>
            <w:r>
              <w:t>(0.0174)</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0.1358</w:t>
            </w:r>
          </w:p>
          <w:p w:rsidR="00DB585B" w:rsidRDefault="00DB585B" w:rsidP="00030D6E">
            <w:pPr>
              <w:jc w:val="center"/>
            </w:pPr>
            <w:r>
              <w:t>(0.1356)</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-0.1153</w:t>
            </w:r>
          </w:p>
          <w:p w:rsidR="00DB585B" w:rsidRDefault="00DB585B" w:rsidP="00030D6E">
            <w:pPr>
              <w:jc w:val="center"/>
            </w:pPr>
            <w:r>
              <w:t>(0.0803)</w:t>
            </w:r>
          </w:p>
        </w:tc>
        <w:tc>
          <w:tcPr>
            <w:tcW w:w="0" w:type="auto"/>
            <w:tcBorders>
              <w:top w:val="single" w:sz="4" w:space="0" w:color="auto"/>
              <w:left w:val="single" w:sz="4" w:space="0" w:color="auto"/>
              <w:bottom w:val="single" w:sz="4" w:space="0" w:color="auto"/>
              <w:right w:val="single" w:sz="4" w:space="0" w:color="auto"/>
            </w:tcBorders>
            <w:hideMark/>
          </w:tcPr>
          <w:p w:rsidR="00DB585B" w:rsidRDefault="00DB585B" w:rsidP="00030D6E">
            <w:pPr>
              <w:jc w:val="center"/>
            </w:pPr>
            <w:r>
              <w:t>-0.1168</w:t>
            </w:r>
          </w:p>
          <w:p w:rsidR="00DB585B" w:rsidRDefault="00DB585B" w:rsidP="00030D6E">
            <w:pPr>
              <w:jc w:val="center"/>
            </w:pPr>
            <w:r>
              <w:t>(0.1244)</w:t>
            </w:r>
          </w:p>
        </w:tc>
      </w:tr>
    </w:tbl>
    <w:p w:rsidR="00DB585B" w:rsidRPr="00DB585B" w:rsidRDefault="00DB585B" w:rsidP="00DB585B">
      <w:pPr>
        <w:jc w:val="center"/>
        <w:rPr>
          <w:sz w:val="18"/>
          <w:szCs w:val="18"/>
        </w:rPr>
      </w:pPr>
      <w:r>
        <w:rPr>
          <w:sz w:val="18"/>
          <w:szCs w:val="18"/>
        </w:rPr>
        <w:t>Notation: ***</w:t>
      </w:r>
      <w:proofErr w:type="gramStart"/>
      <w:r>
        <w:rPr>
          <w:sz w:val="18"/>
          <w:szCs w:val="18"/>
        </w:rPr>
        <w:t>,*</w:t>
      </w:r>
      <w:proofErr w:type="gramEnd"/>
      <w:r>
        <w:rPr>
          <w:sz w:val="18"/>
          <w:szCs w:val="18"/>
        </w:rPr>
        <w:t>* and * depict 1%, 5% and 10% level of statistical significance. Values in parentheses denote the Standard Errors.</w:t>
      </w:r>
    </w:p>
    <w:p w:rsidR="004A1EFF" w:rsidRDefault="004A1EFF" w:rsidP="004A1EFF">
      <w:pPr>
        <w:jc w:val="both"/>
        <w:rPr>
          <w:rFonts w:ascii="Times New Roman" w:eastAsiaTheme="minorEastAsia" w:hAnsi="Times New Roman" w:cs="Times New Roman"/>
          <w:sz w:val="24"/>
          <w:szCs w:val="24"/>
        </w:rPr>
      </w:pPr>
    </w:p>
    <w:p w:rsidR="004A1EFF" w:rsidRDefault="004A1EFF" w:rsidP="004A1EFF">
      <w:pPr>
        <w:jc w:val="both"/>
        <w:rPr>
          <w:rFonts w:ascii="Times New Roman" w:eastAsiaTheme="minorEastAsia" w:hAnsi="Times New Roman" w:cs="Times New Roman"/>
          <w:sz w:val="24"/>
          <w:szCs w:val="24"/>
        </w:rPr>
      </w:pPr>
    </w:p>
    <w:p w:rsidR="004A1EFF" w:rsidRDefault="004A1EFF" w:rsidP="004A1EFF">
      <w:pPr>
        <w:jc w:val="center"/>
        <w:rPr>
          <w:rFonts w:ascii="Times New Roman" w:eastAsiaTheme="minorEastAsia" w:hAnsi="Times New Roman" w:cs="Times New Roman"/>
          <w:sz w:val="24"/>
          <w:szCs w:val="24"/>
        </w:rPr>
      </w:pPr>
    </w:p>
    <w:p w:rsidR="004A1EFF" w:rsidRPr="003F690D" w:rsidRDefault="004A1EFF" w:rsidP="004A1EFF">
      <w:pPr>
        <w:jc w:val="both"/>
        <w:rPr>
          <w:rFonts w:ascii="Times New Roman" w:eastAsiaTheme="minorEastAsia" w:hAnsi="Times New Roman" w:cs="Times New Roman"/>
          <w:sz w:val="24"/>
          <w:szCs w:val="24"/>
        </w:rPr>
      </w:pPr>
    </w:p>
    <w:p w:rsidR="004A1EFF" w:rsidRPr="007F0FC6" w:rsidRDefault="004A1EFF" w:rsidP="004A1EFF">
      <w:pPr>
        <w:jc w:val="both"/>
        <w:rPr>
          <w:rFonts w:ascii="Times New Roman" w:eastAsiaTheme="minorEastAsia" w:hAnsi="Times New Roman" w:cs="Times New Roman"/>
          <w:sz w:val="24"/>
          <w:szCs w:val="24"/>
        </w:rPr>
      </w:pPr>
    </w:p>
    <w:p w:rsidR="004A1EFF" w:rsidRPr="00D449FA" w:rsidRDefault="004A1EFF" w:rsidP="004A1EFF">
      <w:pPr>
        <w:jc w:val="both"/>
        <w:rPr>
          <w:rFonts w:ascii="Times New Roman" w:eastAsiaTheme="minorEastAsia" w:hAnsi="Times New Roman" w:cs="Times New Roman"/>
          <w:sz w:val="24"/>
          <w:szCs w:val="24"/>
        </w:rPr>
      </w:pPr>
    </w:p>
    <w:p w:rsidR="004A1EFF" w:rsidRDefault="004A1EFF" w:rsidP="004A1EFF">
      <w:pPr>
        <w:jc w:val="both"/>
        <w:rPr>
          <w:rFonts w:ascii="Times New Roman" w:hAnsi="Times New Roman" w:cs="Times New Roman"/>
          <w:sz w:val="24"/>
          <w:szCs w:val="24"/>
        </w:rPr>
      </w:pPr>
    </w:p>
    <w:p w:rsidR="004A1EFF" w:rsidRPr="009D2A9D" w:rsidRDefault="004A1EFF" w:rsidP="004A1EFF">
      <w:pPr>
        <w:jc w:val="both"/>
        <w:rPr>
          <w:rFonts w:ascii="Times New Roman" w:hAnsi="Times New Roman" w:cs="Times New Roman"/>
          <w:sz w:val="24"/>
          <w:szCs w:val="24"/>
        </w:rPr>
      </w:pPr>
    </w:p>
    <w:p w:rsidR="004A1EFF" w:rsidRPr="00CC3437" w:rsidRDefault="004A1EFF" w:rsidP="004A1EFF">
      <w:pPr>
        <w:jc w:val="both"/>
        <w:rPr>
          <w:rFonts w:ascii="Times New Roman" w:hAnsi="Times New Roman" w:cs="Times New Roman"/>
          <w:sz w:val="24"/>
          <w:szCs w:val="24"/>
        </w:rPr>
      </w:pPr>
    </w:p>
    <w:p w:rsidR="004A1EFF" w:rsidRDefault="004A1EFF" w:rsidP="004A1EFF">
      <w:pPr>
        <w:pStyle w:val="a9"/>
        <w:tabs>
          <w:tab w:val="left" w:pos="7313"/>
        </w:tabs>
        <w:spacing w:line="240" w:lineRule="auto"/>
        <w:ind w:left="0"/>
        <w:jc w:val="both"/>
        <w:rPr>
          <w:rFonts w:ascii="Times New Roman" w:eastAsiaTheme="minorEastAsia" w:hAnsi="Times New Roman" w:cs="Times New Roman"/>
          <w:sz w:val="24"/>
          <w:szCs w:val="24"/>
        </w:rPr>
      </w:pPr>
    </w:p>
    <w:sectPr w:rsidR="004A1EFF" w:rsidSect="001B287C">
      <w:footerReference w:type="default" r:id="rId4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255E" w:rsidRDefault="0042255E" w:rsidP="00C751EB">
      <w:pPr>
        <w:spacing w:after="0" w:line="240" w:lineRule="auto"/>
      </w:pPr>
      <w:r>
        <w:separator/>
      </w:r>
    </w:p>
  </w:endnote>
  <w:endnote w:type="continuationSeparator" w:id="0">
    <w:p w:rsidR="0042255E" w:rsidRDefault="0042255E" w:rsidP="00C751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Cambria Math">
    <w:panose1 w:val="02040503050406030204"/>
    <w:charset w:val="A1"/>
    <w:family w:val="roman"/>
    <w:pitch w:val="variable"/>
    <w:sig w:usb0="E00002FF" w:usb1="420024FF" w:usb2="00000000" w:usb3="00000000" w:csb0="000001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4655"/>
      <w:docPartObj>
        <w:docPartGallery w:val="Page Numbers (Bottom of Page)"/>
        <w:docPartUnique/>
      </w:docPartObj>
    </w:sdtPr>
    <w:sdtContent>
      <w:p w:rsidR="00593379" w:rsidRDefault="00C16EA4">
        <w:pPr>
          <w:pStyle w:val="a6"/>
          <w:jc w:val="right"/>
        </w:pPr>
        <w:fldSimple w:instr=" PAGE   \* MERGEFORMAT ">
          <w:r w:rsidR="00983523">
            <w:rPr>
              <w:noProof/>
            </w:rPr>
            <w:t>44</w:t>
          </w:r>
        </w:fldSimple>
      </w:p>
    </w:sdtContent>
  </w:sdt>
  <w:p w:rsidR="00593379" w:rsidRDefault="0059337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255E" w:rsidRDefault="0042255E" w:rsidP="00C751EB">
      <w:pPr>
        <w:spacing w:after="0" w:line="240" w:lineRule="auto"/>
      </w:pPr>
      <w:r>
        <w:separator/>
      </w:r>
    </w:p>
  </w:footnote>
  <w:footnote w:type="continuationSeparator" w:id="0">
    <w:p w:rsidR="0042255E" w:rsidRDefault="0042255E" w:rsidP="00C751EB">
      <w:pPr>
        <w:spacing w:after="0" w:line="240" w:lineRule="auto"/>
      </w:pPr>
      <w:r>
        <w:continuationSeparator/>
      </w:r>
    </w:p>
  </w:footnote>
  <w:footnote w:id="1">
    <w:p w:rsidR="00593379" w:rsidRDefault="00593379">
      <w:pPr>
        <w:pStyle w:val="a7"/>
      </w:pPr>
      <w:r>
        <w:rPr>
          <w:rStyle w:val="a8"/>
        </w:rPr>
        <w:footnoteRef/>
      </w:r>
      <w:r>
        <w:t xml:space="preserve"> </w:t>
      </w:r>
      <w:proofErr w:type="gramStart"/>
      <w:r>
        <w:t>Taking into consideration the Dept to GDP ratio.</w:t>
      </w:r>
      <w:proofErr w:type="gramEnd"/>
    </w:p>
  </w:footnote>
  <w:footnote w:id="2">
    <w:p w:rsidR="00593379" w:rsidRDefault="00593379" w:rsidP="004A1EFF">
      <w:pPr>
        <w:pStyle w:val="a7"/>
        <w:jc w:val="both"/>
      </w:pPr>
      <w:r>
        <w:rPr>
          <w:rStyle w:val="a8"/>
        </w:rPr>
        <w:footnoteRef/>
      </w:r>
      <w:r>
        <w:t xml:space="preserve"> “Are government Bonds Net Wealth”.</w:t>
      </w:r>
    </w:p>
  </w:footnote>
  <w:footnote w:id="3">
    <w:p w:rsidR="00593379" w:rsidRDefault="00593379" w:rsidP="004A1EFF">
      <w:pPr>
        <w:pStyle w:val="a7"/>
        <w:jc w:val="both"/>
      </w:pPr>
      <w:r>
        <w:rPr>
          <w:rStyle w:val="a8"/>
        </w:rPr>
        <w:footnoteRef/>
      </w:r>
      <w:r>
        <w:t xml:space="preserve"> </w:t>
      </w:r>
      <w:proofErr w:type="gramStart"/>
      <w:r>
        <w:t>E.g. for Educational purposes.</w:t>
      </w:r>
      <w:proofErr w:type="gramEnd"/>
    </w:p>
  </w:footnote>
  <w:footnote w:id="4">
    <w:p w:rsidR="00593379" w:rsidRDefault="00593379" w:rsidP="004A1EFF">
      <w:pPr>
        <w:pStyle w:val="a7"/>
        <w:jc w:val="both"/>
      </w:pPr>
      <w:r>
        <w:rPr>
          <w:rStyle w:val="a8"/>
        </w:rPr>
        <w:footnoteRef/>
      </w:r>
      <w:r>
        <w:t xml:space="preserve"> Which reflect the cost of government </w:t>
      </w:r>
      <w:proofErr w:type="gramStart"/>
      <w:r>
        <w:t>debt.</w:t>
      </w:r>
      <w:proofErr w:type="gramEnd"/>
    </w:p>
  </w:footnote>
  <w:footnote w:id="5">
    <w:p w:rsidR="00593379" w:rsidRDefault="00593379" w:rsidP="004A1EFF">
      <w:pPr>
        <w:pStyle w:val="a7"/>
        <w:jc w:val="both"/>
      </w:pPr>
      <w:r>
        <w:rPr>
          <w:rStyle w:val="a8"/>
        </w:rPr>
        <w:footnoteRef/>
      </w:r>
      <w:r>
        <w:t xml:space="preserve"> This case is described by the rolling over the debt term. Feldstein in his analysis did </w:t>
      </w:r>
      <w:proofErr w:type="gramStart"/>
      <w:r>
        <w:t>not  use</w:t>
      </w:r>
      <w:proofErr w:type="gramEnd"/>
      <w:r>
        <w:t xml:space="preserve"> the assumption that the debt has to be paid back.</w:t>
      </w:r>
    </w:p>
  </w:footnote>
  <w:footnote w:id="6">
    <w:p w:rsidR="00593379" w:rsidRDefault="00593379" w:rsidP="004A1EFF">
      <w:pPr>
        <w:pStyle w:val="a7"/>
        <w:jc w:val="both"/>
      </w:pPr>
      <w:r>
        <w:rPr>
          <w:rStyle w:val="a8"/>
        </w:rPr>
        <w:footnoteRef/>
      </w:r>
      <w:r>
        <w:t xml:space="preserve"> Introduced by:</w:t>
      </w:r>
      <w:r w:rsidRPr="000641B0">
        <w:t xml:space="preserve"> </w:t>
      </w:r>
      <w:proofErr w:type="spellStart"/>
      <w:r w:rsidRPr="000641B0">
        <w:t>Kotlikoff</w:t>
      </w:r>
      <w:proofErr w:type="spellEnd"/>
      <w:r w:rsidRPr="000641B0">
        <w:t xml:space="preserve"> and </w:t>
      </w:r>
      <w:proofErr w:type="spellStart"/>
      <w:r w:rsidRPr="000641B0">
        <w:t>Spivak</w:t>
      </w:r>
      <w:proofErr w:type="spellEnd"/>
      <w:r w:rsidRPr="000641B0">
        <w:t xml:space="preserve"> (1981)</w:t>
      </w:r>
      <w:r>
        <w:t xml:space="preserve"> and </w:t>
      </w:r>
      <w:proofErr w:type="spellStart"/>
      <w:r w:rsidRPr="000641B0">
        <w:t>Bernheim</w:t>
      </w:r>
      <w:proofErr w:type="spellEnd"/>
      <w:r w:rsidRPr="000641B0">
        <w:t xml:space="preserve">, </w:t>
      </w:r>
      <w:proofErr w:type="spellStart"/>
      <w:r w:rsidRPr="000641B0">
        <w:t>Schlaefer</w:t>
      </w:r>
      <w:proofErr w:type="spellEnd"/>
      <w:r w:rsidRPr="000641B0">
        <w:t xml:space="preserve"> and </w:t>
      </w:r>
      <w:proofErr w:type="gramStart"/>
      <w:r w:rsidRPr="000641B0">
        <w:t>Summers</w:t>
      </w:r>
      <w:proofErr w:type="gramEnd"/>
      <w:r w:rsidRPr="000641B0">
        <w:t xml:space="preserve"> (1984)</w:t>
      </w:r>
      <w:r>
        <w:t>.</w:t>
      </w:r>
    </w:p>
  </w:footnote>
  <w:footnote w:id="7">
    <w:p w:rsidR="00593379" w:rsidRDefault="00593379" w:rsidP="004A1EFF">
      <w:pPr>
        <w:pStyle w:val="a7"/>
        <w:jc w:val="both"/>
      </w:pPr>
      <w:r>
        <w:rPr>
          <w:rStyle w:val="a8"/>
        </w:rPr>
        <w:footnoteRef/>
      </w:r>
      <w:r>
        <w:t xml:space="preserve"> This regime includes altruistic bequests from parents to their descendants and altruistic gifts from children to their parents.</w:t>
      </w:r>
    </w:p>
  </w:footnote>
  <w:footnote w:id="8">
    <w:p w:rsidR="00593379" w:rsidRDefault="00593379" w:rsidP="004A1EFF">
      <w:pPr>
        <w:pStyle w:val="a7"/>
        <w:jc w:val="both"/>
      </w:pPr>
      <w:r>
        <w:rPr>
          <w:rStyle w:val="a8"/>
        </w:rPr>
        <w:footnoteRef/>
      </w:r>
      <w:r>
        <w:t xml:space="preserve"> One fifth of the overall families were childless. </w:t>
      </w:r>
    </w:p>
  </w:footnote>
  <w:footnote w:id="9">
    <w:p w:rsidR="00593379" w:rsidRDefault="00593379" w:rsidP="004A1EFF">
      <w:pPr>
        <w:pStyle w:val="a7"/>
      </w:pPr>
      <w:r>
        <w:rPr>
          <w:rStyle w:val="a8"/>
        </w:rPr>
        <w:footnoteRef/>
      </w:r>
      <w:r>
        <w:t xml:space="preserve"> The efficiency term refers to the tradeoff between the economies of scale and informational advantage benefits and the control costs.  </w:t>
      </w:r>
    </w:p>
  </w:footnote>
  <w:footnote w:id="10">
    <w:p w:rsidR="00593379" w:rsidRDefault="00593379" w:rsidP="004A1EFF">
      <w:pPr>
        <w:pStyle w:val="a7"/>
        <w:jc w:val="both"/>
      </w:pPr>
      <w:r>
        <w:rPr>
          <w:rStyle w:val="a8"/>
        </w:rPr>
        <w:footnoteRef/>
      </w:r>
      <w:r>
        <w:t xml:space="preserve"> </w:t>
      </w:r>
      <w:proofErr w:type="gramStart"/>
      <w:r>
        <w:t>David Ricardo’s notes on the Funding System.</w:t>
      </w:r>
      <w:proofErr w:type="gramEnd"/>
      <w:r>
        <w:t xml:space="preserve"> The Funding System was an article in the supplement to the Fourth, Fifth and Sixth Editions of the Encyclopedia Britannica 1820 were the author introduced the proposition of </w:t>
      </w:r>
      <w:proofErr w:type="spellStart"/>
      <w:r>
        <w:t>Ricardian</w:t>
      </w:r>
      <w:proofErr w:type="spellEnd"/>
      <w:r>
        <w:t xml:space="preserve"> Equivalence. </w:t>
      </w:r>
    </w:p>
  </w:footnote>
  <w:footnote w:id="11">
    <w:p w:rsidR="00593379" w:rsidRDefault="00593379" w:rsidP="004A1EFF">
      <w:pPr>
        <w:pStyle w:val="a7"/>
        <w:jc w:val="both"/>
      </w:pPr>
      <w:r>
        <w:rPr>
          <w:rStyle w:val="a8"/>
        </w:rPr>
        <w:footnoteRef/>
      </w:r>
      <w:r>
        <w:t xml:space="preserve"> EU-15: Austria, Belgium, Denmark, Finland, France, Germany, Greece, Ireland, Italy, Netherlands, Portugal, Spain, Sweden, United Kingdom. Luxemburg was excluded due to data availability problems. </w:t>
      </w:r>
    </w:p>
  </w:footnote>
  <w:footnote w:id="12">
    <w:p w:rsidR="00593379" w:rsidRDefault="00593379" w:rsidP="004A1EFF">
      <w:pPr>
        <w:pStyle w:val="a7"/>
        <w:jc w:val="both"/>
      </w:pPr>
      <w:r>
        <w:rPr>
          <w:rStyle w:val="a8"/>
        </w:rPr>
        <w:footnoteRef/>
      </w:r>
      <w:r>
        <w:t xml:space="preserve"> If they experienced a Debt to GDP ratio below 60%</w:t>
      </w:r>
    </w:p>
  </w:footnote>
  <w:footnote w:id="13">
    <w:p w:rsidR="00593379" w:rsidRDefault="00593379" w:rsidP="004A1EFF">
      <w:pPr>
        <w:pStyle w:val="a7"/>
        <w:jc w:val="both"/>
      </w:pPr>
      <w:r>
        <w:rPr>
          <w:rStyle w:val="a8"/>
        </w:rPr>
        <w:footnoteRef/>
      </w:r>
      <w:r>
        <w:t xml:space="preserve"> If the Debt to GDP ratio exceeds the 60%</w:t>
      </w:r>
    </w:p>
  </w:footnote>
  <w:footnote w:id="14">
    <w:p w:rsidR="00593379" w:rsidRDefault="00593379" w:rsidP="004A1EFF">
      <w:pPr>
        <w:pStyle w:val="a7"/>
        <w:jc w:val="both"/>
      </w:pPr>
      <w:r>
        <w:rPr>
          <w:rStyle w:val="a8"/>
        </w:rPr>
        <w:footnoteRef/>
      </w:r>
      <w:r>
        <w:t xml:space="preserve"> Using the 50% and 70% debt to GDP ratio</w:t>
      </w:r>
    </w:p>
  </w:footnote>
  <w:footnote w:id="15">
    <w:p w:rsidR="00593379" w:rsidRDefault="00593379" w:rsidP="004A1EFF">
      <w:pPr>
        <w:pStyle w:val="a7"/>
        <w:jc w:val="both"/>
      </w:pPr>
      <w:r>
        <w:rPr>
          <w:rStyle w:val="a8"/>
        </w:rPr>
        <w:footnoteRef/>
      </w:r>
      <w:r>
        <w:t xml:space="preserve"> The sample included countries: Australia, Austria, Belgium, Canada, Denmark, Finland, France, Germany, Greece, Iceland, Ireland, Italy, Japan, Korea, Luxembourg, Mexico, Netherlands, New Zealand, Norway, Portugal, Spain, Sweden, Switzerland, Turkey, United Kingdom and United States.    </w:t>
      </w:r>
    </w:p>
  </w:footnote>
  <w:footnote w:id="16">
    <w:p w:rsidR="00593379" w:rsidRDefault="00593379" w:rsidP="004A1EFF">
      <w:pPr>
        <w:pStyle w:val="a7"/>
        <w:jc w:val="both"/>
      </w:pPr>
      <w:r>
        <w:rPr>
          <w:rStyle w:val="a8"/>
        </w:rPr>
        <w:footnoteRef/>
      </w:r>
      <w:r>
        <w:t xml:space="preserve"> Liquidity constrained and liquidity unconstrained consumers.</w:t>
      </w:r>
    </w:p>
  </w:footnote>
  <w:footnote w:id="17">
    <w:p w:rsidR="00593379" w:rsidRDefault="00593379" w:rsidP="004A1EFF">
      <w:pPr>
        <w:pStyle w:val="a7"/>
        <w:jc w:val="both"/>
      </w:pPr>
      <w:r>
        <w:rPr>
          <w:rStyle w:val="a8"/>
        </w:rPr>
        <w:footnoteRef/>
      </w:r>
      <w:r>
        <w:t xml:space="preserve"> </w:t>
      </w:r>
      <w:proofErr w:type="gramStart"/>
      <w:r>
        <w:t>Denmark, Germany, Greece, Ireland, Luxemburg, Spain, Switzerland, Norway and Korea.</w:t>
      </w:r>
      <w:proofErr w:type="gramEnd"/>
      <w:r>
        <w:t xml:space="preserve">  </w:t>
      </w:r>
    </w:p>
  </w:footnote>
  <w:footnote w:id="18">
    <w:p w:rsidR="00593379" w:rsidRDefault="00593379" w:rsidP="004A1EFF">
      <w:pPr>
        <w:pStyle w:val="a7"/>
        <w:jc w:val="both"/>
      </w:pPr>
      <w:r>
        <w:rPr>
          <w:rStyle w:val="a8"/>
        </w:rPr>
        <w:footnoteRef/>
      </w:r>
      <w:r>
        <w:t xml:space="preserve"> </w:t>
      </w:r>
      <w:proofErr w:type="gramStart"/>
      <w:r>
        <w:t>EU-15.</w:t>
      </w:r>
      <w:proofErr w:type="gramEnd"/>
    </w:p>
  </w:footnote>
  <w:footnote w:id="19">
    <w:p w:rsidR="00593379" w:rsidRDefault="00593379" w:rsidP="004A1EFF">
      <w:pPr>
        <w:pStyle w:val="a7"/>
        <w:jc w:val="both"/>
      </w:pPr>
      <w:r>
        <w:rPr>
          <w:rStyle w:val="a8"/>
        </w:rPr>
        <w:footnoteRef/>
      </w:r>
      <w:r>
        <w:t xml:space="preserve"> </w:t>
      </w:r>
      <w:proofErr w:type="gramStart"/>
      <w:r>
        <w:t>Austria, Belgium, Denmark, Spain, Germany, Greece, and Italy.</w:t>
      </w:r>
      <w:proofErr w:type="gramEnd"/>
    </w:p>
  </w:footnote>
  <w:footnote w:id="20">
    <w:p w:rsidR="00593379" w:rsidRDefault="00593379" w:rsidP="004A1EFF">
      <w:pPr>
        <w:pStyle w:val="a7"/>
        <w:jc w:val="both"/>
      </w:pPr>
      <w:r>
        <w:rPr>
          <w:rStyle w:val="a8"/>
        </w:rPr>
        <w:footnoteRef/>
      </w:r>
      <w:r>
        <w:t xml:space="preserve"> Fiscal multipliers become higher.</w:t>
      </w:r>
    </w:p>
  </w:footnote>
  <w:footnote w:id="21">
    <w:p w:rsidR="00593379" w:rsidRDefault="00593379" w:rsidP="004A1EFF">
      <w:pPr>
        <w:pStyle w:val="a7"/>
        <w:jc w:val="both"/>
      </w:pPr>
      <w:r>
        <w:rPr>
          <w:rStyle w:val="a8"/>
        </w:rPr>
        <w:footnoteRef/>
      </w:r>
      <w:r>
        <w:t xml:space="preserve"> This means that private consumption is mainly affected by disposable income.</w:t>
      </w:r>
    </w:p>
  </w:footnote>
  <w:footnote w:id="22">
    <w:p w:rsidR="00593379" w:rsidRDefault="00593379" w:rsidP="004A1EFF">
      <w:pPr>
        <w:pStyle w:val="a7"/>
        <w:jc w:val="both"/>
      </w:pPr>
      <w:r>
        <w:rPr>
          <w:rStyle w:val="a8"/>
        </w:rPr>
        <w:footnoteRef/>
      </w:r>
      <w:r>
        <w:t xml:space="preserve"> The EFC Hypothesis describes a situation when the current decrease in government spending leads to an increase in private consumption since the forward looking individuals anticipate decrease in future taxes - </w:t>
      </w:r>
      <w:proofErr w:type="spellStart"/>
      <w:r>
        <w:t>Giavazzi</w:t>
      </w:r>
      <w:proofErr w:type="spellEnd"/>
      <w:r>
        <w:t xml:space="preserve"> and </w:t>
      </w:r>
      <w:proofErr w:type="spellStart"/>
      <w:r>
        <w:t>Pagano</w:t>
      </w:r>
      <w:proofErr w:type="spellEnd"/>
      <w:r>
        <w:t xml:space="preserve"> (1990). Similarly, increased taxes today to stabilize the current debt and the hence the avoidance of future taxes can lead to an expansionary outcome raising the private consumption – Blanchard (1990), </w:t>
      </w:r>
      <w:proofErr w:type="spellStart"/>
      <w:r>
        <w:t>Bertola</w:t>
      </w:r>
      <w:proofErr w:type="spellEnd"/>
      <w:r>
        <w:t xml:space="preserve"> and </w:t>
      </w:r>
      <w:proofErr w:type="spellStart"/>
      <w:r>
        <w:t>Drazen</w:t>
      </w:r>
      <w:proofErr w:type="spellEnd"/>
      <w:r>
        <w:t xml:space="preserve"> (1993).</w:t>
      </w:r>
    </w:p>
  </w:footnote>
  <w:footnote w:id="23">
    <w:p w:rsidR="00593379" w:rsidRDefault="00593379" w:rsidP="004A1EFF">
      <w:pPr>
        <w:pStyle w:val="a7"/>
      </w:pPr>
      <w:r>
        <w:rPr>
          <w:rStyle w:val="a8"/>
        </w:rPr>
        <w:footnoteRef/>
      </w:r>
      <w:r>
        <w:t xml:space="preserve"> </w:t>
      </w:r>
      <w:proofErr w:type="gramStart"/>
      <w:r>
        <w:t>The low debt case when debt was 25% of GDP and the case of high debt when debt was 85% of GDP.</w:t>
      </w:r>
      <w:proofErr w:type="gramEnd"/>
    </w:p>
  </w:footnote>
  <w:footnote w:id="24">
    <w:p w:rsidR="00593379" w:rsidRDefault="00593379" w:rsidP="004A1EFF">
      <w:pPr>
        <w:pStyle w:val="a7"/>
        <w:jc w:val="both"/>
      </w:pPr>
      <w:r>
        <w:rPr>
          <w:rStyle w:val="a8"/>
        </w:rPr>
        <w:footnoteRef/>
      </w:r>
      <w:r>
        <w:t xml:space="preserve"> This study will be the base for developing the second-empirical part of this master thesis.</w:t>
      </w:r>
    </w:p>
  </w:footnote>
  <w:footnote w:id="25">
    <w:p w:rsidR="00593379" w:rsidRDefault="00593379" w:rsidP="004A1EFF">
      <w:pPr>
        <w:pStyle w:val="a7"/>
        <w:jc w:val="both"/>
      </w:pPr>
      <w:r>
        <w:rPr>
          <w:rStyle w:val="a8"/>
        </w:rPr>
        <w:footnoteRef/>
      </w:r>
      <w:r>
        <w:t xml:space="preserve"> For an average debt to GDP ratio below 55% countries were considered low-debt countries</w:t>
      </w:r>
      <w:proofErr w:type="gramStart"/>
      <w:r>
        <w:t>,  for</w:t>
      </w:r>
      <w:proofErr w:type="gramEnd"/>
      <w:r>
        <w:t xml:space="preserve"> a ratio above 75% the countries were characterized as high-debt countries, and the remaining countries were considered middle debt countries. </w:t>
      </w:r>
    </w:p>
  </w:footnote>
  <w:footnote w:id="26">
    <w:p w:rsidR="00593379" w:rsidRDefault="00593379" w:rsidP="004A1EFF">
      <w:pPr>
        <w:pStyle w:val="a7"/>
      </w:pPr>
      <w:r>
        <w:rPr>
          <w:rStyle w:val="a8"/>
        </w:rPr>
        <w:footnoteRef/>
      </w:r>
      <w:r>
        <w:t xml:space="preserve"> And so they become more forward looking.</w:t>
      </w:r>
    </w:p>
  </w:footnote>
  <w:footnote w:id="27">
    <w:p w:rsidR="00593379" w:rsidRDefault="00593379" w:rsidP="004A1EFF">
      <w:pPr>
        <w:pStyle w:val="a7"/>
      </w:pPr>
      <w:r>
        <w:rPr>
          <w:rStyle w:val="a8"/>
        </w:rPr>
        <w:footnoteRef/>
      </w:r>
      <w:r>
        <w:t xml:space="preserve"> As defined by the various debt to GDP ratio levels.</w:t>
      </w:r>
    </w:p>
  </w:footnote>
  <w:footnote w:id="28">
    <w:p w:rsidR="00593379" w:rsidRDefault="00593379" w:rsidP="004A1EFF">
      <w:pPr>
        <w:pStyle w:val="a7"/>
      </w:pPr>
      <w:r>
        <w:rPr>
          <w:rStyle w:val="a8"/>
        </w:rPr>
        <w:footnoteRef/>
      </w:r>
      <w:r>
        <w:t xml:space="preserve"> The specification of the fixed effects threshold model was allowing the relationship between the fiscal balance and the current account to change for different government debt levels.</w:t>
      </w:r>
    </w:p>
  </w:footnote>
  <w:footnote w:id="29">
    <w:p w:rsidR="00593379" w:rsidRDefault="00593379" w:rsidP="004A1EFF">
      <w:pPr>
        <w:pStyle w:val="a7"/>
      </w:pPr>
      <w:r>
        <w:rPr>
          <w:rStyle w:val="a8"/>
        </w:rPr>
        <w:footnoteRef/>
      </w:r>
      <w:r>
        <w:t xml:space="preserve"> Australia, Austria, Belgium, Germany, Canada, Denmark, Spain, Finland, France, UK, Greece, Ireland, Italy, Iceland, Japan, Netherlands, Norway, New Zeeland, Portugal, Sweden, US and Taiwan. </w:t>
      </w:r>
    </w:p>
  </w:footnote>
  <w:footnote w:id="30">
    <w:p w:rsidR="00593379" w:rsidRDefault="00593379" w:rsidP="004A1EFF">
      <w:pPr>
        <w:pStyle w:val="a7"/>
      </w:pPr>
      <w:r>
        <w:rPr>
          <w:rStyle w:val="a8"/>
        </w:rPr>
        <w:footnoteRef/>
      </w:r>
      <w:r>
        <w:t xml:space="preserve"> The government debt thresholds were: 36%, 44% and 90%. </w:t>
      </w:r>
    </w:p>
  </w:footnote>
  <w:footnote w:id="31">
    <w:p w:rsidR="00593379" w:rsidRDefault="00593379" w:rsidP="004A1EFF">
      <w:pPr>
        <w:pStyle w:val="a7"/>
      </w:pPr>
      <w:r>
        <w:rPr>
          <w:rStyle w:val="a8"/>
        </w:rPr>
        <w:footnoteRef/>
      </w:r>
      <w:r>
        <w:t xml:space="preserve"> </w:t>
      </w:r>
      <w:proofErr w:type="gramStart"/>
      <w:r>
        <w:t>With debt to GDP ratio below 44%.</w:t>
      </w:r>
      <w:proofErr w:type="gramEnd"/>
    </w:p>
  </w:footnote>
  <w:footnote w:id="32">
    <w:p w:rsidR="00593379" w:rsidRDefault="00593379" w:rsidP="004A1EFF">
      <w:pPr>
        <w:pStyle w:val="a7"/>
      </w:pPr>
      <w:r>
        <w:rPr>
          <w:rStyle w:val="a8"/>
        </w:rPr>
        <w:footnoteRef/>
      </w:r>
      <w:r>
        <w:t xml:space="preserve"> </w:t>
      </w:r>
      <w:proofErr w:type="gramStart"/>
      <w:r>
        <w:t>With debt to GDP ratio between 44% and 90%.</w:t>
      </w:r>
      <w:proofErr w:type="gramEnd"/>
    </w:p>
  </w:footnote>
  <w:footnote w:id="33">
    <w:p w:rsidR="00593379" w:rsidRDefault="00593379" w:rsidP="004A1EFF">
      <w:pPr>
        <w:pStyle w:val="a7"/>
      </w:pPr>
      <w:r>
        <w:rPr>
          <w:rStyle w:val="a8"/>
        </w:rPr>
        <w:footnoteRef/>
      </w:r>
      <w:r>
        <w:t xml:space="preserve"> With debt to GDP ratio that exceeds the 90%.</w:t>
      </w:r>
    </w:p>
  </w:footnote>
  <w:footnote w:id="34">
    <w:p w:rsidR="00593379" w:rsidRDefault="00593379" w:rsidP="004A1EFF">
      <w:pPr>
        <w:pStyle w:val="a7"/>
      </w:pPr>
      <w:r>
        <w:rPr>
          <w:rStyle w:val="a8"/>
        </w:rPr>
        <w:footnoteRef/>
      </w:r>
      <w:r>
        <w:t xml:space="preserve"> </w:t>
      </w:r>
      <w:proofErr w:type="gramStart"/>
      <w:r>
        <w:t>56% and 80%.</w:t>
      </w:r>
      <w:proofErr w:type="gramEnd"/>
    </w:p>
  </w:footnote>
  <w:footnote w:id="35">
    <w:p w:rsidR="00593379" w:rsidRDefault="00593379" w:rsidP="004A1EFF">
      <w:pPr>
        <w:pStyle w:val="a7"/>
      </w:pPr>
      <w:r>
        <w:rPr>
          <w:rStyle w:val="a8"/>
        </w:rPr>
        <w:footnoteRef/>
      </w:r>
      <w:r>
        <w:t xml:space="preserve"> For the liquidity constraints the private credit to debt ratio was used , while for the </w:t>
      </w:r>
      <w:proofErr w:type="spellStart"/>
      <w:r>
        <w:t>distortionary</w:t>
      </w:r>
      <w:proofErr w:type="spellEnd"/>
      <w:r>
        <w:t xml:space="preserve"> taxation the ratio direct to indirect taxes </w:t>
      </w:r>
    </w:p>
  </w:footnote>
  <w:footnote w:id="36">
    <w:p w:rsidR="00593379" w:rsidRDefault="00593379" w:rsidP="004A1EFF">
      <w:pPr>
        <w:pStyle w:val="a7"/>
      </w:pPr>
      <w:r>
        <w:rPr>
          <w:rStyle w:val="a8"/>
        </w:rPr>
        <w:footnoteRef/>
      </w:r>
      <w:r>
        <w:t xml:space="preserve"> In order for the strict version of the </w:t>
      </w:r>
      <w:proofErr w:type="spellStart"/>
      <w:r>
        <w:t>Ricardian</w:t>
      </w:r>
      <w:proofErr w:type="spellEnd"/>
      <w:r>
        <w:t xml:space="preserve"> equivalence proposition to be accepted we should have found “full offset” which means 100% savings offset.</w:t>
      </w:r>
    </w:p>
  </w:footnote>
  <w:footnote w:id="37">
    <w:p w:rsidR="00593379" w:rsidRDefault="00593379" w:rsidP="004A1EFF">
      <w:pPr>
        <w:pStyle w:val="a7"/>
      </w:pPr>
      <w:r>
        <w:rPr>
          <w:rStyle w:val="a8"/>
        </w:rPr>
        <w:footnoteRef/>
      </w:r>
      <w:r>
        <w:t xml:space="preserve"> The existence of one casual relationship was necessary but not a sufficient condition for the validity of REP. </w:t>
      </w:r>
    </w:p>
  </w:footnote>
  <w:footnote w:id="38">
    <w:p w:rsidR="00593379" w:rsidRDefault="00593379" w:rsidP="004A1EFF">
      <w:pPr>
        <w:pStyle w:val="a7"/>
      </w:pPr>
      <w:r>
        <w:rPr>
          <w:rStyle w:val="a8"/>
        </w:rPr>
        <w:footnoteRef/>
      </w:r>
      <w:r>
        <w:t xml:space="preserve"> </w:t>
      </w:r>
      <w:proofErr w:type="gramStart"/>
      <w:r>
        <w:t>The United States and Mexico.</w:t>
      </w:r>
      <w:proofErr w:type="gramEnd"/>
    </w:p>
  </w:footnote>
  <w:footnote w:id="39">
    <w:p w:rsidR="00593379" w:rsidRDefault="00593379" w:rsidP="004A1EFF">
      <w:pPr>
        <w:pStyle w:val="a7"/>
      </w:pPr>
      <w:r>
        <w:rPr>
          <w:rStyle w:val="a8"/>
        </w:rPr>
        <w:footnoteRef/>
      </w:r>
      <w:r>
        <w:t xml:space="preserve"> </w:t>
      </w:r>
      <w:proofErr w:type="gramStart"/>
      <w:r>
        <w:t>The United States.</w:t>
      </w:r>
      <w:proofErr w:type="gramEnd"/>
    </w:p>
  </w:footnote>
  <w:footnote w:id="40">
    <w:p w:rsidR="00593379" w:rsidRDefault="00593379" w:rsidP="004A1EFF">
      <w:pPr>
        <w:pStyle w:val="a7"/>
      </w:pPr>
      <w:r>
        <w:rPr>
          <w:rStyle w:val="a8"/>
        </w:rPr>
        <w:footnoteRef/>
      </w:r>
      <w:r>
        <w:t xml:space="preserve"> U.S. Government </w:t>
      </w:r>
      <w:proofErr w:type="spellStart"/>
      <w:r>
        <w:t>securites</w:t>
      </w:r>
      <w:proofErr w:type="spellEnd"/>
    </w:p>
  </w:footnote>
  <w:footnote w:id="41">
    <w:p w:rsidR="00593379" w:rsidRPr="004F550D" w:rsidRDefault="00593379" w:rsidP="004A1EFF">
      <w:pPr>
        <w:jc w:val="both"/>
        <w:rPr>
          <w:sz w:val="20"/>
          <w:szCs w:val="20"/>
        </w:rPr>
      </w:pPr>
      <w:r>
        <w:rPr>
          <w:rStyle w:val="a8"/>
        </w:rPr>
        <w:footnoteRef/>
      </w:r>
      <w:r>
        <w:t xml:space="preserve"> </w:t>
      </w:r>
      <w:r>
        <w:rPr>
          <w:sz w:val="20"/>
          <w:szCs w:val="20"/>
        </w:rPr>
        <w:t xml:space="preserve">Price of currency </w:t>
      </w:r>
      <w:proofErr w:type="spellStart"/>
      <w:r>
        <w:rPr>
          <w:sz w:val="20"/>
          <w:szCs w:val="20"/>
        </w:rPr>
        <w:t>i</w:t>
      </w:r>
      <w:proofErr w:type="spellEnd"/>
      <w:r w:rsidRPr="004F550D">
        <w:rPr>
          <w:sz w:val="20"/>
          <w:szCs w:val="20"/>
        </w:rPr>
        <w:t xml:space="preserve"> in terms of the domestic currency</w:t>
      </w:r>
      <w:r>
        <w:rPr>
          <w:sz w:val="20"/>
          <w:szCs w:val="20"/>
        </w:rPr>
        <w:t>.</w:t>
      </w:r>
    </w:p>
    <w:p w:rsidR="00593379" w:rsidRDefault="00593379" w:rsidP="004A1EFF">
      <w:pPr>
        <w:pStyle w:val="a7"/>
      </w:pPr>
    </w:p>
  </w:footnote>
  <w:footnote w:id="42">
    <w:p w:rsidR="00593379" w:rsidRDefault="00593379" w:rsidP="004A1EFF">
      <w:pPr>
        <w:pStyle w:val="a7"/>
      </w:pPr>
      <w:r>
        <w:rPr>
          <w:rStyle w:val="a8"/>
        </w:rPr>
        <w:footnoteRef/>
      </w:r>
      <w:r>
        <w:t xml:space="preserve"> That could take the form of deficit financed tax cuts or increases in government expenditures.</w:t>
      </w:r>
    </w:p>
  </w:footnote>
  <w:footnote w:id="43">
    <w:p w:rsidR="00593379" w:rsidRDefault="00593379" w:rsidP="004A1EFF">
      <w:pPr>
        <w:pStyle w:val="a7"/>
      </w:pPr>
      <w:r>
        <w:rPr>
          <w:rStyle w:val="a8"/>
        </w:rPr>
        <w:footnoteRef/>
      </w:r>
      <w:r>
        <w:t xml:space="preserve"> Fiscal consolidation programs are implemented by the governments with the objective to restrict the Fiscal deficit.</w:t>
      </w:r>
    </w:p>
  </w:footnote>
  <w:footnote w:id="44">
    <w:p w:rsidR="00593379" w:rsidRDefault="00593379" w:rsidP="004A1EFF">
      <w:pPr>
        <w:pStyle w:val="a7"/>
      </w:pPr>
      <w:r>
        <w:rPr>
          <w:rStyle w:val="a8"/>
        </w:rPr>
        <w:footnoteRef/>
      </w:r>
      <w:r>
        <w:t xml:space="preserve"> </w:t>
      </w:r>
      <w:proofErr w:type="gramStart"/>
      <w:r>
        <w:t>Expressed by the ratio government debt to GDP.</w:t>
      </w:r>
      <w:proofErr w:type="gramEnd"/>
    </w:p>
  </w:footnote>
  <w:footnote w:id="45">
    <w:p w:rsidR="00593379" w:rsidRDefault="00593379">
      <w:pPr>
        <w:pStyle w:val="a7"/>
      </w:pPr>
      <w:r>
        <w:rPr>
          <w:rStyle w:val="a8"/>
        </w:rPr>
        <w:footnoteRef/>
      </w:r>
      <w:r>
        <w:t xml:space="preserve"> </w:t>
      </w:r>
      <w:proofErr w:type="gramStart"/>
      <w:r>
        <w:t>Data taken from the IMF Database.</w:t>
      </w:r>
      <w:proofErr w:type="gramEnd"/>
      <w:r>
        <w:t xml:space="preserve"> </w:t>
      </w:r>
    </w:p>
  </w:footnote>
  <w:footnote w:id="46">
    <w:p w:rsidR="00593379" w:rsidRDefault="00593379" w:rsidP="004A1EFF">
      <w:pPr>
        <w:pStyle w:val="a7"/>
      </w:pPr>
      <w:r>
        <w:rPr>
          <w:rStyle w:val="a8"/>
        </w:rPr>
        <w:footnoteRef/>
      </w:r>
      <w:r>
        <w:t xml:space="preserve"> “The relationship between public and private savings in Spain: Does </w:t>
      </w:r>
      <w:proofErr w:type="spellStart"/>
      <w:r>
        <w:t>Ricardian</w:t>
      </w:r>
      <w:proofErr w:type="spellEnd"/>
      <w:r>
        <w:t xml:space="preserve"> Equivalence </w:t>
      </w:r>
      <w:proofErr w:type="gramStart"/>
      <w:r>
        <w:t>hold</w:t>
      </w:r>
      <w:proofErr w:type="gramEnd"/>
      <w:r>
        <w:t>?”</w:t>
      </w:r>
    </w:p>
  </w:footnote>
  <w:footnote w:id="47">
    <w:p w:rsidR="00593379" w:rsidRDefault="00593379" w:rsidP="005D3E82">
      <w:pPr>
        <w:pStyle w:val="a7"/>
      </w:pPr>
      <w:r>
        <w:rPr>
          <w:rStyle w:val="a8"/>
        </w:rPr>
        <w:footnoteRef/>
      </w:r>
      <w:r>
        <w:t xml:space="preserve"> </w:t>
      </w:r>
      <w:proofErr w:type="gramStart"/>
      <w:r>
        <w:t>All the countries in the sample, the high debt and the low debt countries.</w:t>
      </w:r>
      <w:proofErr w:type="gramEnd"/>
    </w:p>
  </w:footnote>
  <w:footnote w:id="48">
    <w:p w:rsidR="00593379" w:rsidRDefault="00593379" w:rsidP="004A1EFF">
      <w:pPr>
        <w:pStyle w:val="a7"/>
      </w:pPr>
      <w:r>
        <w:rPr>
          <w:rStyle w:val="a8"/>
        </w:rPr>
        <w:footnoteRef/>
      </w:r>
      <w:r>
        <w:t xml:space="preserve"> We excluded the country of Luxemburg due to data availability problems.  </w:t>
      </w:r>
    </w:p>
  </w:footnote>
  <w:footnote w:id="49">
    <w:p w:rsidR="00593379" w:rsidRDefault="00593379" w:rsidP="004A1EFF">
      <w:pPr>
        <w:pStyle w:val="a7"/>
      </w:pPr>
      <w:r>
        <w:rPr>
          <w:rStyle w:val="a8"/>
        </w:rPr>
        <w:footnoteRef/>
      </w:r>
      <w:r>
        <w:t xml:space="preserve"> We will incorporate later in our analysis the Government expenditures parameter. </w:t>
      </w:r>
    </w:p>
  </w:footnote>
  <w:footnote w:id="50">
    <w:p w:rsidR="00593379" w:rsidRDefault="00593379" w:rsidP="004A1EFF">
      <w:pPr>
        <w:pStyle w:val="a7"/>
      </w:pPr>
      <w:r>
        <w:rPr>
          <w:rStyle w:val="a8"/>
        </w:rPr>
        <w:footnoteRef/>
      </w:r>
      <w:r>
        <w:t xml:space="preserve"> </w:t>
      </w:r>
      <w:proofErr w:type="gramStart"/>
      <w:r>
        <w:t>In order to convert our variables in real terms and per capita.</w:t>
      </w:r>
      <w:proofErr w:type="gramEnd"/>
      <w:r>
        <w:t xml:space="preserve"> </w:t>
      </w:r>
    </w:p>
  </w:footnote>
  <w:footnote w:id="51">
    <w:p w:rsidR="00593379" w:rsidRDefault="00593379">
      <w:pPr>
        <w:pStyle w:val="a7"/>
      </w:pPr>
      <w:r>
        <w:rPr>
          <w:rStyle w:val="a8"/>
        </w:rPr>
        <w:footnoteRef/>
      </w:r>
      <w:r>
        <w:t xml:space="preserve"> </w:t>
      </w:r>
      <w:proofErr w:type="gramStart"/>
      <w:r>
        <w:t>In case of Finland and Italy.</w:t>
      </w:r>
      <w:proofErr w:type="gramEnd"/>
    </w:p>
  </w:footnote>
  <w:footnote w:id="52">
    <w:p w:rsidR="00593379" w:rsidRDefault="00593379">
      <w:pPr>
        <w:pStyle w:val="a7"/>
      </w:pPr>
      <w:r>
        <w:rPr>
          <w:rStyle w:val="a8"/>
        </w:rPr>
        <w:footnoteRef/>
      </w:r>
      <w:r>
        <w:t xml:space="preserve"> </w:t>
      </w:r>
      <w:proofErr w:type="gramStart"/>
      <w:r>
        <w:t>All the countries, the Low debt and the High debt countries groups.</w:t>
      </w:r>
      <w:proofErr w:type="gramEnd"/>
      <w:r>
        <w:t xml:space="preserve"> </w:t>
      </w:r>
    </w:p>
  </w:footnote>
  <w:footnote w:id="53">
    <w:p w:rsidR="00593379" w:rsidRDefault="00593379">
      <w:pPr>
        <w:pStyle w:val="a7"/>
      </w:pPr>
      <w:r>
        <w:rPr>
          <w:rStyle w:val="a8"/>
        </w:rPr>
        <w:footnoteRef/>
      </w:r>
      <w:r>
        <w:t xml:space="preserve"> The classification was based on the debt level of each country as determined by the debt to GDP ratio.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17C45"/>
    <w:multiLevelType w:val="hybridMultilevel"/>
    <w:tmpl w:val="D5C43C9E"/>
    <w:lvl w:ilvl="0" w:tplc="D0F618A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583F70"/>
    <w:multiLevelType w:val="hybridMultilevel"/>
    <w:tmpl w:val="CFE2B7C8"/>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5254F4"/>
    <w:rsid w:val="000015B7"/>
    <w:rsid w:val="00002FDC"/>
    <w:rsid w:val="00004DB0"/>
    <w:rsid w:val="000125D0"/>
    <w:rsid w:val="0001351D"/>
    <w:rsid w:val="000152FF"/>
    <w:rsid w:val="00016AE8"/>
    <w:rsid w:val="00017027"/>
    <w:rsid w:val="000205E8"/>
    <w:rsid w:val="000207FA"/>
    <w:rsid w:val="00021FF1"/>
    <w:rsid w:val="0002310D"/>
    <w:rsid w:val="0002338F"/>
    <w:rsid w:val="00023B1E"/>
    <w:rsid w:val="000246E3"/>
    <w:rsid w:val="0002558B"/>
    <w:rsid w:val="00026401"/>
    <w:rsid w:val="00027BF0"/>
    <w:rsid w:val="00027FBB"/>
    <w:rsid w:val="0003005C"/>
    <w:rsid w:val="0003058E"/>
    <w:rsid w:val="00030D6E"/>
    <w:rsid w:val="00030FC9"/>
    <w:rsid w:val="00031F9F"/>
    <w:rsid w:val="000328F7"/>
    <w:rsid w:val="000335A6"/>
    <w:rsid w:val="0003543A"/>
    <w:rsid w:val="00037D78"/>
    <w:rsid w:val="00037F21"/>
    <w:rsid w:val="0004011B"/>
    <w:rsid w:val="000406EB"/>
    <w:rsid w:val="00040E72"/>
    <w:rsid w:val="00040F88"/>
    <w:rsid w:val="00050534"/>
    <w:rsid w:val="00050737"/>
    <w:rsid w:val="0005302A"/>
    <w:rsid w:val="000567D0"/>
    <w:rsid w:val="00057050"/>
    <w:rsid w:val="0006016A"/>
    <w:rsid w:val="00063A73"/>
    <w:rsid w:val="000651F4"/>
    <w:rsid w:val="000660ED"/>
    <w:rsid w:val="000672BC"/>
    <w:rsid w:val="00067FE6"/>
    <w:rsid w:val="00070342"/>
    <w:rsid w:val="000703F7"/>
    <w:rsid w:val="00071C4F"/>
    <w:rsid w:val="00072248"/>
    <w:rsid w:val="000750B9"/>
    <w:rsid w:val="00076E2C"/>
    <w:rsid w:val="00077FEC"/>
    <w:rsid w:val="00080337"/>
    <w:rsid w:val="00080742"/>
    <w:rsid w:val="00081BD0"/>
    <w:rsid w:val="00084104"/>
    <w:rsid w:val="000846F4"/>
    <w:rsid w:val="000867DE"/>
    <w:rsid w:val="00092145"/>
    <w:rsid w:val="00092A0F"/>
    <w:rsid w:val="000949D3"/>
    <w:rsid w:val="00096EC9"/>
    <w:rsid w:val="00097289"/>
    <w:rsid w:val="000A0FE3"/>
    <w:rsid w:val="000A1AD4"/>
    <w:rsid w:val="000A21EC"/>
    <w:rsid w:val="000A3546"/>
    <w:rsid w:val="000A3968"/>
    <w:rsid w:val="000A3BC7"/>
    <w:rsid w:val="000A41D0"/>
    <w:rsid w:val="000A4976"/>
    <w:rsid w:val="000A7DAB"/>
    <w:rsid w:val="000B0E36"/>
    <w:rsid w:val="000B1C7C"/>
    <w:rsid w:val="000B3953"/>
    <w:rsid w:val="000B48AB"/>
    <w:rsid w:val="000C1856"/>
    <w:rsid w:val="000C197B"/>
    <w:rsid w:val="000C214C"/>
    <w:rsid w:val="000C3587"/>
    <w:rsid w:val="000C5357"/>
    <w:rsid w:val="000C73C5"/>
    <w:rsid w:val="000D06E5"/>
    <w:rsid w:val="000D1890"/>
    <w:rsid w:val="000D1B09"/>
    <w:rsid w:val="000D3925"/>
    <w:rsid w:val="000D3B43"/>
    <w:rsid w:val="000D43D0"/>
    <w:rsid w:val="000D448A"/>
    <w:rsid w:val="000D5D27"/>
    <w:rsid w:val="000D7D91"/>
    <w:rsid w:val="000E09AD"/>
    <w:rsid w:val="000E41EB"/>
    <w:rsid w:val="000E5842"/>
    <w:rsid w:val="000E6237"/>
    <w:rsid w:val="000F093B"/>
    <w:rsid w:val="000F12F1"/>
    <w:rsid w:val="000F2CA7"/>
    <w:rsid w:val="000F6009"/>
    <w:rsid w:val="000F73BD"/>
    <w:rsid w:val="0010022F"/>
    <w:rsid w:val="00101648"/>
    <w:rsid w:val="00103438"/>
    <w:rsid w:val="00103817"/>
    <w:rsid w:val="00105065"/>
    <w:rsid w:val="00105523"/>
    <w:rsid w:val="00106930"/>
    <w:rsid w:val="00107B43"/>
    <w:rsid w:val="00112041"/>
    <w:rsid w:val="001136EA"/>
    <w:rsid w:val="00114606"/>
    <w:rsid w:val="001165B6"/>
    <w:rsid w:val="00117A6A"/>
    <w:rsid w:val="00117C38"/>
    <w:rsid w:val="00117FEF"/>
    <w:rsid w:val="00120E72"/>
    <w:rsid w:val="001212DB"/>
    <w:rsid w:val="001228F5"/>
    <w:rsid w:val="0012630D"/>
    <w:rsid w:val="00132A3B"/>
    <w:rsid w:val="001338AF"/>
    <w:rsid w:val="00133F34"/>
    <w:rsid w:val="001347C8"/>
    <w:rsid w:val="00135EB7"/>
    <w:rsid w:val="00136442"/>
    <w:rsid w:val="00140C5D"/>
    <w:rsid w:val="00141562"/>
    <w:rsid w:val="00141973"/>
    <w:rsid w:val="00142E8D"/>
    <w:rsid w:val="00144393"/>
    <w:rsid w:val="0014667C"/>
    <w:rsid w:val="00146971"/>
    <w:rsid w:val="00146B0F"/>
    <w:rsid w:val="00151934"/>
    <w:rsid w:val="00152525"/>
    <w:rsid w:val="00152B98"/>
    <w:rsid w:val="00153774"/>
    <w:rsid w:val="00154608"/>
    <w:rsid w:val="00154BD4"/>
    <w:rsid w:val="001560F2"/>
    <w:rsid w:val="00156AF4"/>
    <w:rsid w:val="00161CD8"/>
    <w:rsid w:val="00162A00"/>
    <w:rsid w:val="00164340"/>
    <w:rsid w:val="001647C4"/>
    <w:rsid w:val="00164E36"/>
    <w:rsid w:val="00164FFE"/>
    <w:rsid w:val="00165077"/>
    <w:rsid w:val="00166C59"/>
    <w:rsid w:val="00167E1E"/>
    <w:rsid w:val="00167F71"/>
    <w:rsid w:val="00170BD7"/>
    <w:rsid w:val="00172B12"/>
    <w:rsid w:val="00173147"/>
    <w:rsid w:val="0017523F"/>
    <w:rsid w:val="00175442"/>
    <w:rsid w:val="0017716C"/>
    <w:rsid w:val="00177704"/>
    <w:rsid w:val="00177A2A"/>
    <w:rsid w:val="001854A8"/>
    <w:rsid w:val="001858BE"/>
    <w:rsid w:val="001858D0"/>
    <w:rsid w:val="001866C9"/>
    <w:rsid w:val="001873AC"/>
    <w:rsid w:val="00190916"/>
    <w:rsid w:val="00193153"/>
    <w:rsid w:val="00194113"/>
    <w:rsid w:val="001946FB"/>
    <w:rsid w:val="001966C5"/>
    <w:rsid w:val="001A060A"/>
    <w:rsid w:val="001A15D9"/>
    <w:rsid w:val="001A2709"/>
    <w:rsid w:val="001A2D79"/>
    <w:rsid w:val="001A3AAB"/>
    <w:rsid w:val="001A3F4F"/>
    <w:rsid w:val="001A50E8"/>
    <w:rsid w:val="001A5358"/>
    <w:rsid w:val="001A5ADD"/>
    <w:rsid w:val="001A7ED1"/>
    <w:rsid w:val="001B10CA"/>
    <w:rsid w:val="001B18D5"/>
    <w:rsid w:val="001B1919"/>
    <w:rsid w:val="001B19A0"/>
    <w:rsid w:val="001B287C"/>
    <w:rsid w:val="001B2D06"/>
    <w:rsid w:val="001B4DBD"/>
    <w:rsid w:val="001B5A5F"/>
    <w:rsid w:val="001B6AE3"/>
    <w:rsid w:val="001B7A82"/>
    <w:rsid w:val="001C1A9A"/>
    <w:rsid w:val="001C36B9"/>
    <w:rsid w:val="001C5BF1"/>
    <w:rsid w:val="001C6C45"/>
    <w:rsid w:val="001C79DA"/>
    <w:rsid w:val="001C7E72"/>
    <w:rsid w:val="001D046F"/>
    <w:rsid w:val="001D31A6"/>
    <w:rsid w:val="001E04E6"/>
    <w:rsid w:val="001E05C5"/>
    <w:rsid w:val="001E1689"/>
    <w:rsid w:val="001E29EF"/>
    <w:rsid w:val="001E30AA"/>
    <w:rsid w:val="001E479B"/>
    <w:rsid w:val="001E5804"/>
    <w:rsid w:val="001E6916"/>
    <w:rsid w:val="001E7CB4"/>
    <w:rsid w:val="001F0FF4"/>
    <w:rsid w:val="001F12B5"/>
    <w:rsid w:val="001F1A53"/>
    <w:rsid w:val="001F298A"/>
    <w:rsid w:val="001F3EB3"/>
    <w:rsid w:val="001F4B87"/>
    <w:rsid w:val="00200315"/>
    <w:rsid w:val="002016EB"/>
    <w:rsid w:val="00202474"/>
    <w:rsid w:val="00203732"/>
    <w:rsid w:val="00206238"/>
    <w:rsid w:val="00206E8B"/>
    <w:rsid w:val="00207987"/>
    <w:rsid w:val="002115A7"/>
    <w:rsid w:val="0021253C"/>
    <w:rsid w:val="002149EC"/>
    <w:rsid w:val="0021591D"/>
    <w:rsid w:val="002161AA"/>
    <w:rsid w:val="00217B88"/>
    <w:rsid w:val="00222586"/>
    <w:rsid w:val="00222CE6"/>
    <w:rsid w:val="00223C2E"/>
    <w:rsid w:val="0022434A"/>
    <w:rsid w:val="00224971"/>
    <w:rsid w:val="00226289"/>
    <w:rsid w:val="00227A8C"/>
    <w:rsid w:val="00230BE5"/>
    <w:rsid w:val="00231EB0"/>
    <w:rsid w:val="00232C0E"/>
    <w:rsid w:val="002339DC"/>
    <w:rsid w:val="00233DB1"/>
    <w:rsid w:val="002347E0"/>
    <w:rsid w:val="0023565E"/>
    <w:rsid w:val="00235F3D"/>
    <w:rsid w:val="00236444"/>
    <w:rsid w:val="00236DA9"/>
    <w:rsid w:val="00237375"/>
    <w:rsid w:val="0024198D"/>
    <w:rsid w:val="00242D3E"/>
    <w:rsid w:val="00243599"/>
    <w:rsid w:val="0024472A"/>
    <w:rsid w:val="0024518C"/>
    <w:rsid w:val="00245612"/>
    <w:rsid w:val="00247399"/>
    <w:rsid w:val="002529E6"/>
    <w:rsid w:val="00254D81"/>
    <w:rsid w:val="00255BEB"/>
    <w:rsid w:val="00260BA3"/>
    <w:rsid w:val="002631D6"/>
    <w:rsid w:val="002637DC"/>
    <w:rsid w:val="00266625"/>
    <w:rsid w:val="00267EF5"/>
    <w:rsid w:val="00271329"/>
    <w:rsid w:val="002713C2"/>
    <w:rsid w:val="002713FC"/>
    <w:rsid w:val="002714E3"/>
    <w:rsid w:val="002743F3"/>
    <w:rsid w:val="00275720"/>
    <w:rsid w:val="00280D03"/>
    <w:rsid w:val="002819D4"/>
    <w:rsid w:val="00283689"/>
    <w:rsid w:val="00283BC5"/>
    <w:rsid w:val="00283E94"/>
    <w:rsid w:val="00284E57"/>
    <w:rsid w:val="002858E6"/>
    <w:rsid w:val="002865DB"/>
    <w:rsid w:val="002872F6"/>
    <w:rsid w:val="00290718"/>
    <w:rsid w:val="00290D63"/>
    <w:rsid w:val="002923C7"/>
    <w:rsid w:val="0029371E"/>
    <w:rsid w:val="00293745"/>
    <w:rsid w:val="002968AF"/>
    <w:rsid w:val="00296C73"/>
    <w:rsid w:val="002977B4"/>
    <w:rsid w:val="002A1755"/>
    <w:rsid w:val="002A5C69"/>
    <w:rsid w:val="002A6ED5"/>
    <w:rsid w:val="002A7B1B"/>
    <w:rsid w:val="002B28F4"/>
    <w:rsid w:val="002B44E8"/>
    <w:rsid w:val="002B57B5"/>
    <w:rsid w:val="002B7EB2"/>
    <w:rsid w:val="002C17C8"/>
    <w:rsid w:val="002C3518"/>
    <w:rsid w:val="002C7DCC"/>
    <w:rsid w:val="002D25D7"/>
    <w:rsid w:val="002D2F3B"/>
    <w:rsid w:val="002D3580"/>
    <w:rsid w:val="002D35BB"/>
    <w:rsid w:val="002D3CB9"/>
    <w:rsid w:val="002D53AF"/>
    <w:rsid w:val="002D57D3"/>
    <w:rsid w:val="002E15BB"/>
    <w:rsid w:val="002E2720"/>
    <w:rsid w:val="002E46FA"/>
    <w:rsid w:val="002E4D94"/>
    <w:rsid w:val="002E4F94"/>
    <w:rsid w:val="002E63F6"/>
    <w:rsid w:val="002E65AE"/>
    <w:rsid w:val="002E67A2"/>
    <w:rsid w:val="002E6A05"/>
    <w:rsid w:val="002E7747"/>
    <w:rsid w:val="002E79D3"/>
    <w:rsid w:val="002F06F1"/>
    <w:rsid w:val="002F0717"/>
    <w:rsid w:val="002F1418"/>
    <w:rsid w:val="002F35FD"/>
    <w:rsid w:val="002F4521"/>
    <w:rsid w:val="002F58A8"/>
    <w:rsid w:val="002F5B56"/>
    <w:rsid w:val="002F68C5"/>
    <w:rsid w:val="00300E9A"/>
    <w:rsid w:val="00302458"/>
    <w:rsid w:val="003024F0"/>
    <w:rsid w:val="0030383B"/>
    <w:rsid w:val="00305879"/>
    <w:rsid w:val="00310016"/>
    <w:rsid w:val="00310460"/>
    <w:rsid w:val="0031202E"/>
    <w:rsid w:val="003148CA"/>
    <w:rsid w:val="00315AD0"/>
    <w:rsid w:val="00317859"/>
    <w:rsid w:val="00317F9C"/>
    <w:rsid w:val="0032060D"/>
    <w:rsid w:val="0032107D"/>
    <w:rsid w:val="00321F36"/>
    <w:rsid w:val="00322BEC"/>
    <w:rsid w:val="00323451"/>
    <w:rsid w:val="003234C7"/>
    <w:rsid w:val="00325022"/>
    <w:rsid w:val="0032583D"/>
    <w:rsid w:val="00331079"/>
    <w:rsid w:val="00332949"/>
    <w:rsid w:val="00333894"/>
    <w:rsid w:val="003342E9"/>
    <w:rsid w:val="00334AEE"/>
    <w:rsid w:val="00335519"/>
    <w:rsid w:val="003419E3"/>
    <w:rsid w:val="00342A88"/>
    <w:rsid w:val="00342F8E"/>
    <w:rsid w:val="003435A6"/>
    <w:rsid w:val="00345370"/>
    <w:rsid w:val="003459ED"/>
    <w:rsid w:val="0034676C"/>
    <w:rsid w:val="003473CA"/>
    <w:rsid w:val="00352D8F"/>
    <w:rsid w:val="003554C3"/>
    <w:rsid w:val="003557CC"/>
    <w:rsid w:val="0035664E"/>
    <w:rsid w:val="003615B5"/>
    <w:rsid w:val="00361615"/>
    <w:rsid w:val="0036432D"/>
    <w:rsid w:val="00365BBA"/>
    <w:rsid w:val="00366EB3"/>
    <w:rsid w:val="0036718F"/>
    <w:rsid w:val="00370F98"/>
    <w:rsid w:val="003727FB"/>
    <w:rsid w:val="00376CB9"/>
    <w:rsid w:val="0038061C"/>
    <w:rsid w:val="00380FC3"/>
    <w:rsid w:val="003813E6"/>
    <w:rsid w:val="00381862"/>
    <w:rsid w:val="00381ECF"/>
    <w:rsid w:val="00382E62"/>
    <w:rsid w:val="0039142D"/>
    <w:rsid w:val="003935F7"/>
    <w:rsid w:val="00393C37"/>
    <w:rsid w:val="00394FEB"/>
    <w:rsid w:val="003955DC"/>
    <w:rsid w:val="003955DE"/>
    <w:rsid w:val="00395E2C"/>
    <w:rsid w:val="00395E56"/>
    <w:rsid w:val="00396F64"/>
    <w:rsid w:val="003A44FE"/>
    <w:rsid w:val="003A4FEA"/>
    <w:rsid w:val="003A6436"/>
    <w:rsid w:val="003B027C"/>
    <w:rsid w:val="003B0995"/>
    <w:rsid w:val="003B48AD"/>
    <w:rsid w:val="003C00BF"/>
    <w:rsid w:val="003C0ED6"/>
    <w:rsid w:val="003C2118"/>
    <w:rsid w:val="003C348C"/>
    <w:rsid w:val="003C3B04"/>
    <w:rsid w:val="003C483E"/>
    <w:rsid w:val="003C4B74"/>
    <w:rsid w:val="003C7A7B"/>
    <w:rsid w:val="003D2E21"/>
    <w:rsid w:val="003D34CA"/>
    <w:rsid w:val="003D5303"/>
    <w:rsid w:val="003D65C1"/>
    <w:rsid w:val="003E0117"/>
    <w:rsid w:val="003E3753"/>
    <w:rsid w:val="003E3E29"/>
    <w:rsid w:val="003E56E4"/>
    <w:rsid w:val="003E6E95"/>
    <w:rsid w:val="003E773F"/>
    <w:rsid w:val="003E7A6E"/>
    <w:rsid w:val="003F021D"/>
    <w:rsid w:val="003F0BD4"/>
    <w:rsid w:val="003F0C18"/>
    <w:rsid w:val="003F157D"/>
    <w:rsid w:val="003F291F"/>
    <w:rsid w:val="003F3AEE"/>
    <w:rsid w:val="003F44EC"/>
    <w:rsid w:val="003F467E"/>
    <w:rsid w:val="003F4B10"/>
    <w:rsid w:val="003F5934"/>
    <w:rsid w:val="003F6CE3"/>
    <w:rsid w:val="003F6E21"/>
    <w:rsid w:val="003F6FFA"/>
    <w:rsid w:val="003F7E82"/>
    <w:rsid w:val="00400D16"/>
    <w:rsid w:val="00401997"/>
    <w:rsid w:val="00401AA6"/>
    <w:rsid w:val="00401EF7"/>
    <w:rsid w:val="00402710"/>
    <w:rsid w:val="00403128"/>
    <w:rsid w:val="0040319D"/>
    <w:rsid w:val="00404560"/>
    <w:rsid w:val="00404E68"/>
    <w:rsid w:val="004068EB"/>
    <w:rsid w:val="00407802"/>
    <w:rsid w:val="0041007A"/>
    <w:rsid w:val="00410798"/>
    <w:rsid w:val="004141B5"/>
    <w:rsid w:val="00414E19"/>
    <w:rsid w:val="0041580F"/>
    <w:rsid w:val="0041649D"/>
    <w:rsid w:val="00416AB2"/>
    <w:rsid w:val="00416AE3"/>
    <w:rsid w:val="0041747B"/>
    <w:rsid w:val="004206B2"/>
    <w:rsid w:val="00421304"/>
    <w:rsid w:val="0042255E"/>
    <w:rsid w:val="00423E61"/>
    <w:rsid w:val="00425653"/>
    <w:rsid w:val="004269A8"/>
    <w:rsid w:val="00426C14"/>
    <w:rsid w:val="004277D1"/>
    <w:rsid w:val="0043187A"/>
    <w:rsid w:val="00432DF0"/>
    <w:rsid w:val="00433623"/>
    <w:rsid w:val="004344BE"/>
    <w:rsid w:val="00437616"/>
    <w:rsid w:val="00437AF8"/>
    <w:rsid w:val="00437DDD"/>
    <w:rsid w:val="00443354"/>
    <w:rsid w:val="00443F2E"/>
    <w:rsid w:val="00445720"/>
    <w:rsid w:val="00445795"/>
    <w:rsid w:val="00447E44"/>
    <w:rsid w:val="00450F41"/>
    <w:rsid w:val="00452AEE"/>
    <w:rsid w:val="00453232"/>
    <w:rsid w:val="00453758"/>
    <w:rsid w:val="00453772"/>
    <w:rsid w:val="00453863"/>
    <w:rsid w:val="00454154"/>
    <w:rsid w:val="00454D3E"/>
    <w:rsid w:val="00454DDA"/>
    <w:rsid w:val="00462CC1"/>
    <w:rsid w:val="004640D0"/>
    <w:rsid w:val="00464DD6"/>
    <w:rsid w:val="004669AB"/>
    <w:rsid w:val="00466A78"/>
    <w:rsid w:val="00466BCD"/>
    <w:rsid w:val="00466E50"/>
    <w:rsid w:val="0046792E"/>
    <w:rsid w:val="00467F30"/>
    <w:rsid w:val="00470443"/>
    <w:rsid w:val="00470D15"/>
    <w:rsid w:val="00471117"/>
    <w:rsid w:val="00471663"/>
    <w:rsid w:val="00473034"/>
    <w:rsid w:val="00473A2A"/>
    <w:rsid w:val="00475853"/>
    <w:rsid w:val="00476750"/>
    <w:rsid w:val="0047695E"/>
    <w:rsid w:val="00477306"/>
    <w:rsid w:val="004825DB"/>
    <w:rsid w:val="00482E6D"/>
    <w:rsid w:val="00482FDC"/>
    <w:rsid w:val="00484490"/>
    <w:rsid w:val="0048520E"/>
    <w:rsid w:val="00486340"/>
    <w:rsid w:val="00490734"/>
    <w:rsid w:val="004929E6"/>
    <w:rsid w:val="00495A6C"/>
    <w:rsid w:val="00495E4C"/>
    <w:rsid w:val="004A18A6"/>
    <w:rsid w:val="004A1EFF"/>
    <w:rsid w:val="004A24BF"/>
    <w:rsid w:val="004A76B1"/>
    <w:rsid w:val="004B1611"/>
    <w:rsid w:val="004B344F"/>
    <w:rsid w:val="004B47ED"/>
    <w:rsid w:val="004C07C0"/>
    <w:rsid w:val="004C07F0"/>
    <w:rsid w:val="004C369D"/>
    <w:rsid w:val="004C435F"/>
    <w:rsid w:val="004C4FD7"/>
    <w:rsid w:val="004C5689"/>
    <w:rsid w:val="004C578A"/>
    <w:rsid w:val="004C6D5F"/>
    <w:rsid w:val="004C6F69"/>
    <w:rsid w:val="004C7557"/>
    <w:rsid w:val="004D02B3"/>
    <w:rsid w:val="004D124E"/>
    <w:rsid w:val="004D3369"/>
    <w:rsid w:val="004D4641"/>
    <w:rsid w:val="004D6ED8"/>
    <w:rsid w:val="004E1E05"/>
    <w:rsid w:val="004E3311"/>
    <w:rsid w:val="004E571D"/>
    <w:rsid w:val="004E5ACA"/>
    <w:rsid w:val="004E754B"/>
    <w:rsid w:val="004E7BB5"/>
    <w:rsid w:val="004F0B42"/>
    <w:rsid w:val="004F24C5"/>
    <w:rsid w:val="004F4825"/>
    <w:rsid w:val="004F73A0"/>
    <w:rsid w:val="004F79F9"/>
    <w:rsid w:val="005017D8"/>
    <w:rsid w:val="00501DBE"/>
    <w:rsid w:val="00502D84"/>
    <w:rsid w:val="0050411D"/>
    <w:rsid w:val="00504F2B"/>
    <w:rsid w:val="005071DE"/>
    <w:rsid w:val="005104A1"/>
    <w:rsid w:val="005105CC"/>
    <w:rsid w:val="00511BEE"/>
    <w:rsid w:val="00511E8F"/>
    <w:rsid w:val="00513E08"/>
    <w:rsid w:val="00517370"/>
    <w:rsid w:val="005202F2"/>
    <w:rsid w:val="00521545"/>
    <w:rsid w:val="0052301B"/>
    <w:rsid w:val="00524961"/>
    <w:rsid w:val="00524BA1"/>
    <w:rsid w:val="00524CEF"/>
    <w:rsid w:val="005254F4"/>
    <w:rsid w:val="00525E24"/>
    <w:rsid w:val="00526FEE"/>
    <w:rsid w:val="005312FC"/>
    <w:rsid w:val="0053159C"/>
    <w:rsid w:val="00535A96"/>
    <w:rsid w:val="00536223"/>
    <w:rsid w:val="00540088"/>
    <w:rsid w:val="00540245"/>
    <w:rsid w:val="005409C8"/>
    <w:rsid w:val="00541538"/>
    <w:rsid w:val="005425B0"/>
    <w:rsid w:val="00542AE6"/>
    <w:rsid w:val="0054576B"/>
    <w:rsid w:val="00545E13"/>
    <w:rsid w:val="00547584"/>
    <w:rsid w:val="00547F7B"/>
    <w:rsid w:val="00553D39"/>
    <w:rsid w:val="0055540B"/>
    <w:rsid w:val="00556901"/>
    <w:rsid w:val="005625AE"/>
    <w:rsid w:val="0056305A"/>
    <w:rsid w:val="00563401"/>
    <w:rsid w:val="00566410"/>
    <w:rsid w:val="00566AC7"/>
    <w:rsid w:val="00567286"/>
    <w:rsid w:val="0056728A"/>
    <w:rsid w:val="00567D90"/>
    <w:rsid w:val="00570F8C"/>
    <w:rsid w:val="00571F49"/>
    <w:rsid w:val="00572D8B"/>
    <w:rsid w:val="00573D1B"/>
    <w:rsid w:val="00575B2C"/>
    <w:rsid w:val="00580828"/>
    <w:rsid w:val="005812EB"/>
    <w:rsid w:val="00581CAA"/>
    <w:rsid w:val="005823BB"/>
    <w:rsid w:val="00583E2A"/>
    <w:rsid w:val="00584645"/>
    <w:rsid w:val="0058596A"/>
    <w:rsid w:val="00590CD2"/>
    <w:rsid w:val="00592804"/>
    <w:rsid w:val="00593379"/>
    <w:rsid w:val="00596327"/>
    <w:rsid w:val="00596704"/>
    <w:rsid w:val="00596D71"/>
    <w:rsid w:val="005A0D1F"/>
    <w:rsid w:val="005A3336"/>
    <w:rsid w:val="005A6D92"/>
    <w:rsid w:val="005A72AE"/>
    <w:rsid w:val="005B210B"/>
    <w:rsid w:val="005B3370"/>
    <w:rsid w:val="005B48E7"/>
    <w:rsid w:val="005B5508"/>
    <w:rsid w:val="005B55D0"/>
    <w:rsid w:val="005B6668"/>
    <w:rsid w:val="005B73C1"/>
    <w:rsid w:val="005B74B0"/>
    <w:rsid w:val="005C0D38"/>
    <w:rsid w:val="005C3027"/>
    <w:rsid w:val="005C3BC9"/>
    <w:rsid w:val="005D1117"/>
    <w:rsid w:val="005D125C"/>
    <w:rsid w:val="005D139B"/>
    <w:rsid w:val="005D2D4F"/>
    <w:rsid w:val="005D3BC4"/>
    <w:rsid w:val="005D3E82"/>
    <w:rsid w:val="005D61D5"/>
    <w:rsid w:val="005D6A54"/>
    <w:rsid w:val="005E0365"/>
    <w:rsid w:val="005E0BB3"/>
    <w:rsid w:val="005E0FDD"/>
    <w:rsid w:val="005E1DBE"/>
    <w:rsid w:val="005E2E5A"/>
    <w:rsid w:val="005E3108"/>
    <w:rsid w:val="005E442B"/>
    <w:rsid w:val="005E644B"/>
    <w:rsid w:val="005E77D9"/>
    <w:rsid w:val="005F2E7F"/>
    <w:rsid w:val="005F36BA"/>
    <w:rsid w:val="005F3AB1"/>
    <w:rsid w:val="005F40E1"/>
    <w:rsid w:val="005F5A0C"/>
    <w:rsid w:val="005F5CEA"/>
    <w:rsid w:val="006008C9"/>
    <w:rsid w:val="00600BC4"/>
    <w:rsid w:val="00601955"/>
    <w:rsid w:val="006044AA"/>
    <w:rsid w:val="006045D1"/>
    <w:rsid w:val="00605823"/>
    <w:rsid w:val="00606808"/>
    <w:rsid w:val="0060746E"/>
    <w:rsid w:val="00607E2C"/>
    <w:rsid w:val="006100AB"/>
    <w:rsid w:val="0061043A"/>
    <w:rsid w:val="006128F2"/>
    <w:rsid w:val="00613760"/>
    <w:rsid w:val="006137EC"/>
    <w:rsid w:val="0061456A"/>
    <w:rsid w:val="00614EE2"/>
    <w:rsid w:val="006150E5"/>
    <w:rsid w:val="00615CBB"/>
    <w:rsid w:val="006178E6"/>
    <w:rsid w:val="00621DEA"/>
    <w:rsid w:val="006225BC"/>
    <w:rsid w:val="0062788F"/>
    <w:rsid w:val="00631DF8"/>
    <w:rsid w:val="00633606"/>
    <w:rsid w:val="00635517"/>
    <w:rsid w:val="0064023B"/>
    <w:rsid w:val="006407F2"/>
    <w:rsid w:val="00641BE3"/>
    <w:rsid w:val="0064391B"/>
    <w:rsid w:val="00643DC2"/>
    <w:rsid w:val="0064444C"/>
    <w:rsid w:val="00644591"/>
    <w:rsid w:val="0065083F"/>
    <w:rsid w:val="00650DEA"/>
    <w:rsid w:val="006533D8"/>
    <w:rsid w:val="006543B5"/>
    <w:rsid w:val="006545B1"/>
    <w:rsid w:val="00655EFE"/>
    <w:rsid w:val="00657049"/>
    <w:rsid w:val="00657EC4"/>
    <w:rsid w:val="006615AE"/>
    <w:rsid w:val="006618B9"/>
    <w:rsid w:val="00664FD9"/>
    <w:rsid w:val="00665172"/>
    <w:rsid w:val="00665244"/>
    <w:rsid w:val="00665CA8"/>
    <w:rsid w:val="00666202"/>
    <w:rsid w:val="00667089"/>
    <w:rsid w:val="00667431"/>
    <w:rsid w:val="0066755C"/>
    <w:rsid w:val="00667ED5"/>
    <w:rsid w:val="0067028F"/>
    <w:rsid w:val="0067078C"/>
    <w:rsid w:val="00670FEE"/>
    <w:rsid w:val="0067168B"/>
    <w:rsid w:val="00672933"/>
    <w:rsid w:val="00673F8D"/>
    <w:rsid w:val="006766E3"/>
    <w:rsid w:val="00676D10"/>
    <w:rsid w:val="00677C5C"/>
    <w:rsid w:val="00680301"/>
    <w:rsid w:val="00680328"/>
    <w:rsid w:val="006816B4"/>
    <w:rsid w:val="00681D51"/>
    <w:rsid w:val="00682651"/>
    <w:rsid w:val="00684B8A"/>
    <w:rsid w:val="00691E84"/>
    <w:rsid w:val="00691F37"/>
    <w:rsid w:val="00692D7F"/>
    <w:rsid w:val="00694658"/>
    <w:rsid w:val="00697298"/>
    <w:rsid w:val="006A05F8"/>
    <w:rsid w:val="006A0904"/>
    <w:rsid w:val="006A350F"/>
    <w:rsid w:val="006A4010"/>
    <w:rsid w:val="006A4071"/>
    <w:rsid w:val="006A4D3C"/>
    <w:rsid w:val="006B0198"/>
    <w:rsid w:val="006B1D17"/>
    <w:rsid w:val="006B1E65"/>
    <w:rsid w:val="006B3C1C"/>
    <w:rsid w:val="006B598D"/>
    <w:rsid w:val="006B7B79"/>
    <w:rsid w:val="006C08AC"/>
    <w:rsid w:val="006C2AAB"/>
    <w:rsid w:val="006C2C64"/>
    <w:rsid w:val="006C3E6A"/>
    <w:rsid w:val="006C4120"/>
    <w:rsid w:val="006C4B70"/>
    <w:rsid w:val="006C5D58"/>
    <w:rsid w:val="006C6CA4"/>
    <w:rsid w:val="006C6D8D"/>
    <w:rsid w:val="006D3351"/>
    <w:rsid w:val="006D58E6"/>
    <w:rsid w:val="006D6659"/>
    <w:rsid w:val="006D6D0F"/>
    <w:rsid w:val="006E0394"/>
    <w:rsid w:val="006E0B69"/>
    <w:rsid w:val="006E0B96"/>
    <w:rsid w:val="006E0D66"/>
    <w:rsid w:val="006E0FA7"/>
    <w:rsid w:val="006E10BB"/>
    <w:rsid w:val="006E16D9"/>
    <w:rsid w:val="006E1923"/>
    <w:rsid w:val="006E36D3"/>
    <w:rsid w:val="006E38C5"/>
    <w:rsid w:val="006E5EF4"/>
    <w:rsid w:val="006E6B6C"/>
    <w:rsid w:val="006E7D7C"/>
    <w:rsid w:val="006F195C"/>
    <w:rsid w:val="006F2323"/>
    <w:rsid w:val="006F2942"/>
    <w:rsid w:val="006F3E67"/>
    <w:rsid w:val="006F5426"/>
    <w:rsid w:val="006F5CDF"/>
    <w:rsid w:val="006F5D4C"/>
    <w:rsid w:val="006F76F6"/>
    <w:rsid w:val="007013F0"/>
    <w:rsid w:val="00703580"/>
    <w:rsid w:val="00704FC1"/>
    <w:rsid w:val="00713FF2"/>
    <w:rsid w:val="00720058"/>
    <w:rsid w:val="00720082"/>
    <w:rsid w:val="00721C85"/>
    <w:rsid w:val="007224F8"/>
    <w:rsid w:val="00722F8E"/>
    <w:rsid w:val="0072343A"/>
    <w:rsid w:val="00724B48"/>
    <w:rsid w:val="007266A2"/>
    <w:rsid w:val="007266FA"/>
    <w:rsid w:val="00726BC7"/>
    <w:rsid w:val="0072749D"/>
    <w:rsid w:val="00727680"/>
    <w:rsid w:val="00730520"/>
    <w:rsid w:val="007307A3"/>
    <w:rsid w:val="007308DF"/>
    <w:rsid w:val="00732E18"/>
    <w:rsid w:val="00733CEF"/>
    <w:rsid w:val="00736DF2"/>
    <w:rsid w:val="00737486"/>
    <w:rsid w:val="00737721"/>
    <w:rsid w:val="007401DD"/>
    <w:rsid w:val="00740A67"/>
    <w:rsid w:val="00742273"/>
    <w:rsid w:val="007429D4"/>
    <w:rsid w:val="007457E2"/>
    <w:rsid w:val="0074712E"/>
    <w:rsid w:val="00747404"/>
    <w:rsid w:val="007500AC"/>
    <w:rsid w:val="0075050E"/>
    <w:rsid w:val="00751C18"/>
    <w:rsid w:val="00752435"/>
    <w:rsid w:val="00752904"/>
    <w:rsid w:val="00752F0E"/>
    <w:rsid w:val="0075761C"/>
    <w:rsid w:val="00761294"/>
    <w:rsid w:val="00762C3F"/>
    <w:rsid w:val="00762FD4"/>
    <w:rsid w:val="00766261"/>
    <w:rsid w:val="00771434"/>
    <w:rsid w:val="00772E5D"/>
    <w:rsid w:val="00774138"/>
    <w:rsid w:val="00775215"/>
    <w:rsid w:val="00775933"/>
    <w:rsid w:val="007768DA"/>
    <w:rsid w:val="0078164F"/>
    <w:rsid w:val="00781699"/>
    <w:rsid w:val="007830C2"/>
    <w:rsid w:val="007835FC"/>
    <w:rsid w:val="007852D7"/>
    <w:rsid w:val="007921BC"/>
    <w:rsid w:val="007924B9"/>
    <w:rsid w:val="00792867"/>
    <w:rsid w:val="00795BA3"/>
    <w:rsid w:val="00797952"/>
    <w:rsid w:val="007A1482"/>
    <w:rsid w:val="007A1C1E"/>
    <w:rsid w:val="007A3ED8"/>
    <w:rsid w:val="007A3F66"/>
    <w:rsid w:val="007A4297"/>
    <w:rsid w:val="007A4EA6"/>
    <w:rsid w:val="007A57C1"/>
    <w:rsid w:val="007A6156"/>
    <w:rsid w:val="007A6806"/>
    <w:rsid w:val="007B00FB"/>
    <w:rsid w:val="007B3132"/>
    <w:rsid w:val="007B4010"/>
    <w:rsid w:val="007B40B6"/>
    <w:rsid w:val="007C0496"/>
    <w:rsid w:val="007C504D"/>
    <w:rsid w:val="007D050C"/>
    <w:rsid w:val="007D5CF9"/>
    <w:rsid w:val="007D6C3A"/>
    <w:rsid w:val="007D77D1"/>
    <w:rsid w:val="007D7877"/>
    <w:rsid w:val="007D7A64"/>
    <w:rsid w:val="007D7B23"/>
    <w:rsid w:val="007E0BE0"/>
    <w:rsid w:val="007E20F3"/>
    <w:rsid w:val="007E2A3D"/>
    <w:rsid w:val="007E2BF7"/>
    <w:rsid w:val="007E6C2D"/>
    <w:rsid w:val="007E7CBB"/>
    <w:rsid w:val="007E7F49"/>
    <w:rsid w:val="007F0017"/>
    <w:rsid w:val="007F0363"/>
    <w:rsid w:val="007F06CB"/>
    <w:rsid w:val="007F0A83"/>
    <w:rsid w:val="007F2979"/>
    <w:rsid w:val="007F3269"/>
    <w:rsid w:val="007F453F"/>
    <w:rsid w:val="007F4DA3"/>
    <w:rsid w:val="007F5926"/>
    <w:rsid w:val="00801610"/>
    <w:rsid w:val="00801D06"/>
    <w:rsid w:val="008021F3"/>
    <w:rsid w:val="0080555C"/>
    <w:rsid w:val="00806831"/>
    <w:rsid w:val="008076B3"/>
    <w:rsid w:val="00810DAB"/>
    <w:rsid w:val="00811070"/>
    <w:rsid w:val="00811DDF"/>
    <w:rsid w:val="00812C9B"/>
    <w:rsid w:val="0082091C"/>
    <w:rsid w:val="00820D34"/>
    <w:rsid w:val="00821276"/>
    <w:rsid w:val="00821E99"/>
    <w:rsid w:val="0082248B"/>
    <w:rsid w:val="00822D2D"/>
    <w:rsid w:val="00825663"/>
    <w:rsid w:val="008257FF"/>
    <w:rsid w:val="00826565"/>
    <w:rsid w:val="00830346"/>
    <w:rsid w:val="00830FE2"/>
    <w:rsid w:val="008310FD"/>
    <w:rsid w:val="00841FB8"/>
    <w:rsid w:val="00842E62"/>
    <w:rsid w:val="00843410"/>
    <w:rsid w:val="00843B43"/>
    <w:rsid w:val="00845029"/>
    <w:rsid w:val="00850428"/>
    <w:rsid w:val="008504FC"/>
    <w:rsid w:val="00853F86"/>
    <w:rsid w:val="008567F3"/>
    <w:rsid w:val="00856A2B"/>
    <w:rsid w:val="008612FC"/>
    <w:rsid w:val="008648E1"/>
    <w:rsid w:val="008705BB"/>
    <w:rsid w:val="0087232C"/>
    <w:rsid w:val="0087238D"/>
    <w:rsid w:val="00872C67"/>
    <w:rsid w:val="00872E29"/>
    <w:rsid w:val="0087332F"/>
    <w:rsid w:val="00875735"/>
    <w:rsid w:val="00875961"/>
    <w:rsid w:val="00875FFB"/>
    <w:rsid w:val="00876208"/>
    <w:rsid w:val="00876B2F"/>
    <w:rsid w:val="00876D22"/>
    <w:rsid w:val="0088044D"/>
    <w:rsid w:val="00880B1D"/>
    <w:rsid w:val="008840C6"/>
    <w:rsid w:val="00885D1A"/>
    <w:rsid w:val="00885EBE"/>
    <w:rsid w:val="008871A1"/>
    <w:rsid w:val="00887EF5"/>
    <w:rsid w:val="00890F4B"/>
    <w:rsid w:val="0089111A"/>
    <w:rsid w:val="008912BD"/>
    <w:rsid w:val="00891670"/>
    <w:rsid w:val="00891723"/>
    <w:rsid w:val="00891AA3"/>
    <w:rsid w:val="00891DC7"/>
    <w:rsid w:val="00892969"/>
    <w:rsid w:val="008937E0"/>
    <w:rsid w:val="00893FDF"/>
    <w:rsid w:val="00894B14"/>
    <w:rsid w:val="008952AC"/>
    <w:rsid w:val="0089652D"/>
    <w:rsid w:val="0089777E"/>
    <w:rsid w:val="008A109B"/>
    <w:rsid w:val="008A1290"/>
    <w:rsid w:val="008A26CC"/>
    <w:rsid w:val="008A616B"/>
    <w:rsid w:val="008A73F2"/>
    <w:rsid w:val="008A7C5D"/>
    <w:rsid w:val="008B02F8"/>
    <w:rsid w:val="008B4F34"/>
    <w:rsid w:val="008B588D"/>
    <w:rsid w:val="008B5AF2"/>
    <w:rsid w:val="008B60A7"/>
    <w:rsid w:val="008B6FB1"/>
    <w:rsid w:val="008B7053"/>
    <w:rsid w:val="008B7AA2"/>
    <w:rsid w:val="008B7D99"/>
    <w:rsid w:val="008C3E7B"/>
    <w:rsid w:val="008C44D5"/>
    <w:rsid w:val="008C78E3"/>
    <w:rsid w:val="008D1D95"/>
    <w:rsid w:val="008D2894"/>
    <w:rsid w:val="008D2975"/>
    <w:rsid w:val="008D34A9"/>
    <w:rsid w:val="008D35F7"/>
    <w:rsid w:val="008D3B1C"/>
    <w:rsid w:val="008D6C0E"/>
    <w:rsid w:val="008E11C0"/>
    <w:rsid w:val="008E12A9"/>
    <w:rsid w:val="008E1541"/>
    <w:rsid w:val="008E337C"/>
    <w:rsid w:val="008E505D"/>
    <w:rsid w:val="008E7E50"/>
    <w:rsid w:val="008F26C9"/>
    <w:rsid w:val="008F37E7"/>
    <w:rsid w:val="008F42CA"/>
    <w:rsid w:val="008F576C"/>
    <w:rsid w:val="008F658E"/>
    <w:rsid w:val="008F668C"/>
    <w:rsid w:val="008F6DF7"/>
    <w:rsid w:val="008F715E"/>
    <w:rsid w:val="008F7A14"/>
    <w:rsid w:val="008F7CD8"/>
    <w:rsid w:val="0090020C"/>
    <w:rsid w:val="009003F2"/>
    <w:rsid w:val="00900825"/>
    <w:rsid w:val="00901D1D"/>
    <w:rsid w:val="0090225E"/>
    <w:rsid w:val="00902279"/>
    <w:rsid w:val="0090275B"/>
    <w:rsid w:val="00904BE1"/>
    <w:rsid w:val="00904D64"/>
    <w:rsid w:val="00905F12"/>
    <w:rsid w:val="00907230"/>
    <w:rsid w:val="00911DB4"/>
    <w:rsid w:val="009145C1"/>
    <w:rsid w:val="00915A8C"/>
    <w:rsid w:val="00916114"/>
    <w:rsid w:val="009162F4"/>
    <w:rsid w:val="00917422"/>
    <w:rsid w:val="009203C7"/>
    <w:rsid w:val="009213B5"/>
    <w:rsid w:val="00921E79"/>
    <w:rsid w:val="00921FD5"/>
    <w:rsid w:val="00922DDA"/>
    <w:rsid w:val="0092403F"/>
    <w:rsid w:val="00924FA0"/>
    <w:rsid w:val="00925197"/>
    <w:rsid w:val="00926313"/>
    <w:rsid w:val="00926A6E"/>
    <w:rsid w:val="00933CF9"/>
    <w:rsid w:val="00934A0F"/>
    <w:rsid w:val="00935B16"/>
    <w:rsid w:val="00935D1E"/>
    <w:rsid w:val="00941719"/>
    <w:rsid w:val="00941F59"/>
    <w:rsid w:val="009422D4"/>
    <w:rsid w:val="00942778"/>
    <w:rsid w:val="0094368F"/>
    <w:rsid w:val="009438D5"/>
    <w:rsid w:val="009461D2"/>
    <w:rsid w:val="009508F5"/>
    <w:rsid w:val="00951A15"/>
    <w:rsid w:val="0095411F"/>
    <w:rsid w:val="009556ED"/>
    <w:rsid w:val="00955E40"/>
    <w:rsid w:val="00957263"/>
    <w:rsid w:val="00957625"/>
    <w:rsid w:val="0096060E"/>
    <w:rsid w:val="00961138"/>
    <w:rsid w:val="00962EDC"/>
    <w:rsid w:val="0096440A"/>
    <w:rsid w:val="009710D2"/>
    <w:rsid w:val="009718B1"/>
    <w:rsid w:val="00971C3F"/>
    <w:rsid w:val="00974AF4"/>
    <w:rsid w:val="00974CB7"/>
    <w:rsid w:val="00975BE2"/>
    <w:rsid w:val="00975F36"/>
    <w:rsid w:val="00980857"/>
    <w:rsid w:val="00983523"/>
    <w:rsid w:val="00984489"/>
    <w:rsid w:val="009850FF"/>
    <w:rsid w:val="00985F3E"/>
    <w:rsid w:val="00985F7C"/>
    <w:rsid w:val="00986772"/>
    <w:rsid w:val="00986C37"/>
    <w:rsid w:val="009918DD"/>
    <w:rsid w:val="009944B9"/>
    <w:rsid w:val="00994BB2"/>
    <w:rsid w:val="00995118"/>
    <w:rsid w:val="0099516E"/>
    <w:rsid w:val="00995AA4"/>
    <w:rsid w:val="009963FB"/>
    <w:rsid w:val="00996427"/>
    <w:rsid w:val="009A142F"/>
    <w:rsid w:val="009A15E8"/>
    <w:rsid w:val="009A21E9"/>
    <w:rsid w:val="009A3697"/>
    <w:rsid w:val="009A459B"/>
    <w:rsid w:val="009A7836"/>
    <w:rsid w:val="009B1AEA"/>
    <w:rsid w:val="009B498C"/>
    <w:rsid w:val="009B7FCD"/>
    <w:rsid w:val="009C6E3A"/>
    <w:rsid w:val="009C70E0"/>
    <w:rsid w:val="009D1F0F"/>
    <w:rsid w:val="009D2931"/>
    <w:rsid w:val="009D4689"/>
    <w:rsid w:val="009D47F1"/>
    <w:rsid w:val="009E06B2"/>
    <w:rsid w:val="009E1F2E"/>
    <w:rsid w:val="009E295A"/>
    <w:rsid w:val="009E31B1"/>
    <w:rsid w:val="009E421A"/>
    <w:rsid w:val="009E7A89"/>
    <w:rsid w:val="009F1A98"/>
    <w:rsid w:val="009F23EC"/>
    <w:rsid w:val="009F65BF"/>
    <w:rsid w:val="009F76D6"/>
    <w:rsid w:val="009F7703"/>
    <w:rsid w:val="009F7BC3"/>
    <w:rsid w:val="00A01EC9"/>
    <w:rsid w:val="00A02128"/>
    <w:rsid w:val="00A02334"/>
    <w:rsid w:val="00A02D57"/>
    <w:rsid w:val="00A02EA7"/>
    <w:rsid w:val="00A03440"/>
    <w:rsid w:val="00A04476"/>
    <w:rsid w:val="00A06150"/>
    <w:rsid w:val="00A06C05"/>
    <w:rsid w:val="00A06CA6"/>
    <w:rsid w:val="00A1263D"/>
    <w:rsid w:val="00A2031C"/>
    <w:rsid w:val="00A21E20"/>
    <w:rsid w:val="00A2624C"/>
    <w:rsid w:val="00A27608"/>
    <w:rsid w:val="00A32FCC"/>
    <w:rsid w:val="00A33C9B"/>
    <w:rsid w:val="00A34139"/>
    <w:rsid w:val="00A341C8"/>
    <w:rsid w:val="00A356EC"/>
    <w:rsid w:val="00A36E3B"/>
    <w:rsid w:val="00A37ECA"/>
    <w:rsid w:val="00A4053B"/>
    <w:rsid w:val="00A43B80"/>
    <w:rsid w:val="00A43CA1"/>
    <w:rsid w:val="00A45DC8"/>
    <w:rsid w:val="00A46606"/>
    <w:rsid w:val="00A46B62"/>
    <w:rsid w:val="00A51136"/>
    <w:rsid w:val="00A51F53"/>
    <w:rsid w:val="00A552B7"/>
    <w:rsid w:val="00A55D68"/>
    <w:rsid w:val="00A63A85"/>
    <w:rsid w:val="00A63BAE"/>
    <w:rsid w:val="00A65068"/>
    <w:rsid w:val="00A66825"/>
    <w:rsid w:val="00A71306"/>
    <w:rsid w:val="00A71A9E"/>
    <w:rsid w:val="00A71F1E"/>
    <w:rsid w:val="00A73C86"/>
    <w:rsid w:val="00A74A7C"/>
    <w:rsid w:val="00A76ACC"/>
    <w:rsid w:val="00A76D26"/>
    <w:rsid w:val="00A8137A"/>
    <w:rsid w:val="00A81755"/>
    <w:rsid w:val="00A81BE7"/>
    <w:rsid w:val="00A830D4"/>
    <w:rsid w:val="00A83665"/>
    <w:rsid w:val="00A8446C"/>
    <w:rsid w:val="00A85744"/>
    <w:rsid w:val="00A90828"/>
    <w:rsid w:val="00A9307C"/>
    <w:rsid w:val="00A93214"/>
    <w:rsid w:val="00A93E0A"/>
    <w:rsid w:val="00A956FA"/>
    <w:rsid w:val="00A9589A"/>
    <w:rsid w:val="00A966BD"/>
    <w:rsid w:val="00AA020E"/>
    <w:rsid w:val="00AA0A69"/>
    <w:rsid w:val="00AA1FCD"/>
    <w:rsid w:val="00AA2128"/>
    <w:rsid w:val="00AA2428"/>
    <w:rsid w:val="00AA4214"/>
    <w:rsid w:val="00AA56CC"/>
    <w:rsid w:val="00AA5ABF"/>
    <w:rsid w:val="00AA6E1D"/>
    <w:rsid w:val="00AB0679"/>
    <w:rsid w:val="00AB495D"/>
    <w:rsid w:val="00AB5572"/>
    <w:rsid w:val="00AB76C0"/>
    <w:rsid w:val="00AC0576"/>
    <w:rsid w:val="00AC163B"/>
    <w:rsid w:val="00AC19D3"/>
    <w:rsid w:val="00AC5690"/>
    <w:rsid w:val="00AC69F9"/>
    <w:rsid w:val="00AC7847"/>
    <w:rsid w:val="00AC7C47"/>
    <w:rsid w:val="00AD0ACD"/>
    <w:rsid w:val="00AD1CBE"/>
    <w:rsid w:val="00AD22DF"/>
    <w:rsid w:val="00AD462D"/>
    <w:rsid w:val="00AD4FB3"/>
    <w:rsid w:val="00AD4FC2"/>
    <w:rsid w:val="00AD5F7E"/>
    <w:rsid w:val="00AD6D69"/>
    <w:rsid w:val="00AD6EAA"/>
    <w:rsid w:val="00AD7C78"/>
    <w:rsid w:val="00AE2018"/>
    <w:rsid w:val="00AE2AB8"/>
    <w:rsid w:val="00AE2C30"/>
    <w:rsid w:val="00AE2CF8"/>
    <w:rsid w:val="00AE2DB7"/>
    <w:rsid w:val="00AE4D84"/>
    <w:rsid w:val="00AE54BE"/>
    <w:rsid w:val="00AE730D"/>
    <w:rsid w:val="00AE7D43"/>
    <w:rsid w:val="00AF1014"/>
    <w:rsid w:val="00AF18C9"/>
    <w:rsid w:val="00AF3BAA"/>
    <w:rsid w:val="00AF54AA"/>
    <w:rsid w:val="00AF5D41"/>
    <w:rsid w:val="00AF5EE0"/>
    <w:rsid w:val="00AF70E1"/>
    <w:rsid w:val="00B00912"/>
    <w:rsid w:val="00B012CF"/>
    <w:rsid w:val="00B02ADB"/>
    <w:rsid w:val="00B0318D"/>
    <w:rsid w:val="00B03845"/>
    <w:rsid w:val="00B0397A"/>
    <w:rsid w:val="00B05FD9"/>
    <w:rsid w:val="00B06E76"/>
    <w:rsid w:val="00B07747"/>
    <w:rsid w:val="00B12C1A"/>
    <w:rsid w:val="00B13960"/>
    <w:rsid w:val="00B13F1D"/>
    <w:rsid w:val="00B14785"/>
    <w:rsid w:val="00B148D2"/>
    <w:rsid w:val="00B14F93"/>
    <w:rsid w:val="00B15974"/>
    <w:rsid w:val="00B15F26"/>
    <w:rsid w:val="00B16D37"/>
    <w:rsid w:val="00B2318C"/>
    <w:rsid w:val="00B23453"/>
    <w:rsid w:val="00B23914"/>
    <w:rsid w:val="00B23C89"/>
    <w:rsid w:val="00B256A6"/>
    <w:rsid w:val="00B26BFE"/>
    <w:rsid w:val="00B32C5F"/>
    <w:rsid w:val="00B336A5"/>
    <w:rsid w:val="00B36E6E"/>
    <w:rsid w:val="00B370EF"/>
    <w:rsid w:val="00B414DD"/>
    <w:rsid w:val="00B43D5C"/>
    <w:rsid w:val="00B44823"/>
    <w:rsid w:val="00B45EC0"/>
    <w:rsid w:val="00B467BE"/>
    <w:rsid w:val="00B46D56"/>
    <w:rsid w:val="00B50F33"/>
    <w:rsid w:val="00B5106C"/>
    <w:rsid w:val="00B51229"/>
    <w:rsid w:val="00B534CA"/>
    <w:rsid w:val="00B602B3"/>
    <w:rsid w:val="00B6045F"/>
    <w:rsid w:val="00B63344"/>
    <w:rsid w:val="00B63FE5"/>
    <w:rsid w:val="00B64E52"/>
    <w:rsid w:val="00B67A0E"/>
    <w:rsid w:val="00B71ADE"/>
    <w:rsid w:val="00B734B9"/>
    <w:rsid w:val="00B74DF9"/>
    <w:rsid w:val="00B7507A"/>
    <w:rsid w:val="00B753F0"/>
    <w:rsid w:val="00B76C88"/>
    <w:rsid w:val="00B81463"/>
    <w:rsid w:val="00B81D25"/>
    <w:rsid w:val="00B82743"/>
    <w:rsid w:val="00B855F8"/>
    <w:rsid w:val="00B85860"/>
    <w:rsid w:val="00B860D9"/>
    <w:rsid w:val="00B86AEF"/>
    <w:rsid w:val="00B87459"/>
    <w:rsid w:val="00B9043C"/>
    <w:rsid w:val="00B90C2B"/>
    <w:rsid w:val="00B92DC2"/>
    <w:rsid w:val="00B93788"/>
    <w:rsid w:val="00BA0BC2"/>
    <w:rsid w:val="00BA10A7"/>
    <w:rsid w:val="00BA2374"/>
    <w:rsid w:val="00BA2A77"/>
    <w:rsid w:val="00BA2C57"/>
    <w:rsid w:val="00BA4443"/>
    <w:rsid w:val="00BA4467"/>
    <w:rsid w:val="00BA46BB"/>
    <w:rsid w:val="00BA48DD"/>
    <w:rsid w:val="00BA53C9"/>
    <w:rsid w:val="00BA548D"/>
    <w:rsid w:val="00BA5638"/>
    <w:rsid w:val="00BB35A7"/>
    <w:rsid w:val="00BB37F2"/>
    <w:rsid w:val="00BB5220"/>
    <w:rsid w:val="00BB5AD5"/>
    <w:rsid w:val="00BB5C9C"/>
    <w:rsid w:val="00BB726D"/>
    <w:rsid w:val="00BC0999"/>
    <w:rsid w:val="00BC212E"/>
    <w:rsid w:val="00BC2E5B"/>
    <w:rsid w:val="00BC4664"/>
    <w:rsid w:val="00BC5272"/>
    <w:rsid w:val="00BC5370"/>
    <w:rsid w:val="00BC63A5"/>
    <w:rsid w:val="00BD0778"/>
    <w:rsid w:val="00BD0BF5"/>
    <w:rsid w:val="00BD0E73"/>
    <w:rsid w:val="00BD1A76"/>
    <w:rsid w:val="00BD1C69"/>
    <w:rsid w:val="00BD2F3B"/>
    <w:rsid w:val="00BD3A9C"/>
    <w:rsid w:val="00BD72EE"/>
    <w:rsid w:val="00BD747F"/>
    <w:rsid w:val="00BD7B49"/>
    <w:rsid w:val="00BE0B1F"/>
    <w:rsid w:val="00BE2277"/>
    <w:rsid w:val="00BE4095"/>
    <w:rsid w:val="00BE437C"/>
    <w:rsid w:val="00BE4B94"/>
    <w:rsid w:val="00BE5378"/>
    <w:rsid w:val="00BE5479"/>
    <w:rsid w:val="00BE61E6"/>
    <w:rsid w:val="00BE6B28"/>
    <w:rsid w:val="00BE780F"/>
    <w:rsid w:val="00BF70AC"/>
    <w:rsid w:val="00C03B69"/>
    <w:rsid w:val="00C05A14"/>
    <w:rsid w:val="00C05EF1"/>
    <w:rsid w:val="00C05F36"/>
    <w:rsid w:val="00C06A91"/>
    <w:rsid w:val="00C1053A"/>
    <w:rsid w:val="00C116DC"/>
    <w:rsid w:val="00C119EC"/>
    <w:rsid w:val="00C13079"/>
    <w:rsid w:val="00C13260"/>
    <w:rsid w:val="00C13DCD"/>
    <w:rsid w:val="00C13E7E"/>
    <w:rsid w:val="00C16589"/>
    <w:rsid w:val="00C16EA4"/>
    <w:rsid w:val="00C17EE0"/>
    <w:rsid w:val="00C200ED"/>
    <w:rsid w:val="00C210B0"/>
    <w:rsid w:val="00C23089"/>
    <w:rsid w:val="00C23545"/>
    <w:rsid w:val="00C24046"/>
    <w:rsid w:val="00C265B9"/>
    <w:rsid w:val="00C267C0"/>
    <w:rsid w:val="00C317EF"/>
    <w:rsid w:val="00C31EDD"/>
    <w:rsid w:val="00C33715"/>
    <w:rsid w:val="00C371DB"/>
    <w:rsid w:val="00C37BFF"/>
    <w:rsid w:val="00C37E8F"/>
    <w:rsid w:val="00C40F31"/>
    <w:rsid w:val="00C419AD"/>
    <w:rsid w:val="00C41C37"/>
    <w:rsid w:val="00C41E2C"/>
    <w:rsid w:val="00C4615B"/>
    <w:rsid w:val="00C46186"/>
    <w:rsid w:val="00C50CF3"/>
    <w:rsid w:val="00C5257C"/>
    <w:rsid w:val="00C52C29"/>
    <w:rsid w:val="00C53186"/>
    <w:rsid w:val="00C531F7"/>
    <w:rsid w:val="00C64406"/>
    <w:rsid w:val="00C679FB"/>
    <w:rsid w:val="00C67DE6"/>
    <w:rsid w:val="00C70A2B"/>
    <w:rsid w:val="00C70C17"/>
    <w:rsid w:val="00C751EB"/>
    <w:rsid w:val="00C76129"/>
    <w:rsid w:val="00C76140"/>
    <w:rsid w:val="00C7615B"/>
    <w:rsid w:val="00C76804"/>
    <w:rsid w:val="00C76BFE"/>
    <w:rsid w:val="00C77B67"/>
    <w:rsid w:val="00C810C5"/>
    <w:rsid w:val="00C81533"/>
    <w:rsid w:val="00C819AC"/>
    <w:rsid w:val="00C81CDE"/>
    <w:rsid w:val="00C833DE"/>
    <w:rsid w:val="00C8650F"/>
    <w:rsid w:val="00C87E61"/>
    <w:rsid w:val="00C9051A"/>
    <w:rsid w:val="00C93063"/>
    <w:rsid w:val="00C932E8"/>
    <w:rsid w:val="00C94830"/>
    <w:rsid w:val="00C94C4C"/>
    <w:rsid w:val="00C9505A"/>
    <w:rsid w:val="00C961EC"/>
    <w:rsid w:val="00C96DAC"/>
    <w:rsid w:val="00C97708"/>
    <w:rsid w:val="00C97986"/>
    <w:rsid w:val="00CA1155"/>
    <w:rsid w:val="00CA11AB"/>
    <w:rsid w:val="00CA2630"/>
    <w:rsid w:val="00CA2634"/>
    <w:rsid w:val="00CA55BD"/>
    <w:rsid w:val="00CB02EE"/>
    <w:rsid w:val="00CB21CF"/>
    <w:rsid w:val="00CB2C26"/>
    <w:rsid w:val="00CB66E8"/>
    <w:rsid w:val="00CC0428"/>
    <w:rsid w:val="00CC0B3D"/>
    <w:rsid w:val="00CC0FF1"/>
    <w:rsid w:val="00CC2D6F"/>
    <w:rsid w:val="00CC3517"/>
    <w:rsid w:val="00CC50A7"/>
    <w:rsid w:val="00CC6949"/>
    <w:rsid w:val="00CD0202"/>
    <w:rsid w:val="00CD0F55"/>
    <w:rsid w:val="00CD1507"/>
    <w:rsid w:val="00CD15FC"/>
    <w:rsid w:val="00CD2E7F"/>
    <w:rsid w:val="00CD2FF0"/>
    <w:rsid w:val="00CD403D"/>
    <w:rsid w:val="00CD5B87"/>
    <w:rsid w:val="00CD5C00"/>
    <w:rsid w:val="00CD5FAE"/>
    <w:rsid w:val="00CD64BB"/>
    <w:rsid w:val="00CD6E76"/>
    <w:rsid w:val="00CE07E4"/>
    <w:rsid w:val="00CE1C02"/>
    <w:rsid w:val="00CE41F4"/>
    <w:rsid w:val="00CE4A9F"/>
    <w:rsid w:val="00CE4B31"/>
    <w:rsid w:val="00CE4E36"/>
    <w:rsid w:val="00CE5367"/>
    <w:rsid w:val="00CE554A"/>
    <w:rsid w:val="00CE5DAC"/>
    <w:rsid w:val="00CE6439"/>
    <w:rsid w:val="00CE77AF"/>
    <w:rsid w:val="00CE7FD9"/>
    <w:rsid w:val="00CF334F"/>
    <w:rsid w:val="00CF3A50"/>
    <w:rsid w:val="00CF3AF6"/>
    <w:rsid w:val="00CF4449"/>
    <w:rsid w:val="00CF4861"/>
    <w:rsid w:val="00D00DE2"/>
    <w:rsid w:val="00D0111D"/>
    <w:rsid w:val="00D039E0"/>
    <w:rsid w:val="00D07B16"/>
    <w:rsid w:val="00D10496"/>
    <w:rsid w:val="00D10F13"/>
    <w:rsid w:val="00D12F78"/>
    <w:rsid w:val="00D1499D"/>
    <w:rsid w:val="00D15376"/>
    <w:rsid w:val="00D15C1D"/>
    <w:rsid w:val="00D15D6E"/>
    <w:rsid w:val="00D16489"/>
    <w:rsid w:val="00D1782C"/>
    <w:rsid w:val="00D20B46"/>
    <w:rsid w:val="00D21363"/>
    <w:rsid w:val="00D22FE2"/>
    <w:rsid w:val="00D24662"/>
    <w:rsid w:val="00D25ED2"/>
    <w:rsid w:val="00D264F2"/>
    <w:rsid w:val="00D26C10"/>
    <w:rsid w:val="00D3186A"/>
    <w:rsid w:val="00D31C24"/>
    <w:rsid w:val="00D31C5F"/>
    <w:rsid w:val="00D33BBB"/>
    <w:rsid w:val="00D33CD1"/>
    <w:rsid w:val="00D34489"/>
    <w:rsid w:val="00D35AA1"/>
    <w:rsid w:val="00D37C3D"/>
    <w:rsid w:val="00D42AFE"/>
    <w:rsid w:val="00D445FF"/>
    <w:rsid w:val="00D44CAB"/>
    <w:rsid w:val="00D456CF"/>
    <w:rsid w:val="00D465AE"/>
    <w:rsid w:val="00D50018"/>
    <w:rsid w:val="00D510B5"/>
    <w:rsid w:val="00D510FE"/>
    <w:rsid w:val="00D523A1"/>
    <w:rsid w:val="00D52688"/>
    <w:rsid w:val="00D52BFE"/>
    <w:rsid w:val="00D54755"/>
    <w:rsid w:val="00D5558A"/>
    <w:rsid w:val="00D55924"/>
    <w:rsid w:val="00D573D1"/>
    <w:rsid w:val="00D576A6"/>
    <w:rsid w:val="00D61EB5"/>
    <w:rsid w:val="00D62086"/>
    <w:rsid w:val="00D62F1F"/>
    <w:rsid w:val="00D630FC"/>
    <w:rsid w:val="00D64332"/>
    <w:rsid w:val="00D64C26"/>
    <w:rsid w:val="00D65A97"/>
    <w:rsid w:val="00D65F5A"/>
    <w:rsid w:val="00D70030"/>
    <w:rsid w:val="00D70251"/>
    <w:rsid w:val="00D70919"/>
    <w:rsid w:val="00D7204F"/>
    <w:rsid w:val="00D73838"/>
    <w:rsid w:val="00D739E3"/>
    <w:rsid w:val="00D74D9C"/>
    <w:rsid w:val="00D75203"/>
    <w:rsid w:val="00D7561C"/>
    <w:rsid w:val="00D7570F"/>
    <w:rsid w:val="00D76224"/>
    <w:rsid w:val="00D77574"/>
    <w:rsid w:val="00D80249"/>
    <w:rsid w:val="00D806D5"/>
    <w:rsid w:val="00D8189F"/>
    <w:rsid w:val="00D83A35"/>
    <w:rsid w:val="00D8420D"/>
    <w:rsid w:val="00D84C49"/>
    <w:rsid w:val="00D85922"/>
    <w:rsid w:val="00D85B29"/>
    <w:rsid w:val="00D85DFF"/>
    <w:rsid w:val="00D86FED"/>
    <w:rsid w:val="00D87CB8"/>
    <w:rsid w:val="00D9056D"/>
    <w:rsid w:val="00D90FC4"/>
    <w:rsid w:val="00D923B6"/>
    <w:rsid w:val="00D92773"/>
    <w:rsid w:val="00D92934"/>
    <w:rsid w:val="00D92956"/>
    <w:rsid w:val="00D97859"/>
    <w:rsid w:val="00DA3D33"/>
    <w:rsid w:val="00DA4352"/>
    <w:rsid w:val="00DA48D6"/>
    <w:rsid w:val="00DA53C6"/>
    <w:rsid w:val="00DA5437"/>
    <w:rsid w:val="00DA654C"/>
    <w:rsid w:val="00DA7297"/>
    <w:rsid w:val="00DB0174"/>
    <w:rsid w:val="00DB0BE5"/>
    <w:rsid w:val="00DB1DFE"/>
    <w:rsid w:val="00DB3188"/>
    <w:rsid w:val="00DB34B6"/>
    <w:rsid w:val="00DB41C9"/>
    <w:rsid w:val="00DB487A"/>
    <w:rsid w:val="00DB48FF"/>
    <w:rsid w:val="00DB585B"/>
    <w:rsid w:val="00DC391B"/>
    <w:rsid w:val="00DC705E"/>
    <w:rsid w:val="00DC74AE"/>
    <w:rsid w:val="00DD35CB"/>
    <w:rsid w:val="00DD414B"/>
    <w:rsid w:val="00DD45C8"/>
    <w:rsid w:val="00DD6956"/>
    <w:rsid w:val="00DE0751"/>
    <w:rsid w:val="00DE0E79"/>
    <w:rsid w:val="00DE295D"/>
    <w:rsid w:val="00DE44F6"/>
    <w:rsid w:val="00DE7F38"/>
    <w:rsid w:val="00DF0A54"/>
    <w:rsid w:val="00DF0D67"/>
    <w:rsid w:val="00DF1DFA"/>
    <w:rsid w:val="00DF45DD"/>
    <w:rsid w:val="00DF5B5E"/>
    <w:rsid w:val="00DF62B7"/>
    <w:rsid w:val="00DF69A6"/>
    <w:rsid w:val="00E0174C"/>
    <w:rsid w:val="00E01FE8"/>
    <w:rsid w:val="00E05039"/>
    <w:rsid w:val="00E063DB"/>
    <w:rsid w:val="00E06648"/>
    <w:rsid w:val="00E069E4"/>
    <w:rsid w:val="00E06EEB"/>
    <w:rsid w:val="00E06FFA"/>
    <w:rsid w:val="00E110CC"/>
    <w:rsid w:val="00E11907"/>
    <w:rsid w:val="00E12849"/>
    <w:rsid w:val="00E12B37"/>
    <w:rsid w:val="00E14361"/>
    <w:rsid w:val="00E14670"/>
    <w:rsid w:val="00E14C71"/>
    <w:rsid w:val="00E14E3A"/>
    <w:rsid w:val="00E15115"/>
    <w:rsid w:val="00E151E6"/>
    <w:rsid w:val="00E17C0D"/>
    <w:rsid w:val="00E20437"/>
    <w:rsid w:val="00E2291A"/>
    <w:rsid w:val="00E23645"/>
    <w:rsid w:val="00E2390A"/>
    <w:rsid w:val="00E24066"/>
    <w:rsid w:val="00E24F5A"/>
    <w:rsid w:val="00E2592C"/>
    <w:rsid w:val="00E26563"/>
    <w:rsid w:val="00E31AC1"/>
    <w:rsid w:val="00E32D70"/>
    <w:rsid w:val="00E40B39"/>
    <w:rsid w:val="00E41088"/>
    <w:rsid w:val="00E43728"/>
    <w:rsid w:val="00E45B8B"/>
    <w:rsid w:val="00E46031"/>
    <w:rsid w:val="00E47E6E"/>
    <w:rsid w:val="00E504C9"/>
    <w:rsid w:val="00E512C3"/>
    <w:rsid w:val="00E51480"/>
    <w:rsid w:val="00E51737"/>
    <w:rsid w:val="00E53A91"/>
    <w:rsid w:val="00E545BD"/>
    <w:rsid w:val="00E61771"/>
    <w:rsid w:val="00E617D3"/>
    <w:rsid w:val="00E62699"/>
    <w:rsid w:val="00E626A4"/>
    <w:rsid w:val="00E6383F"/>
    <w:rsid w:val="00E658E6"/>
    <w:rsid w:val="00E66489"/>
    <w:rsid w:val="00E6666B"/>
    <w:rsid w:val="00E66717"/>
    <w:rsid w:val="00E677C1"/>
    <w:rsid w:val="00E71EF3"/>
    <w:rsid w:val="00E72E61"/>
    <w:rsid w:val="00E73804"/>
    <w:rsid w:val="00E73E91"/>
    <w:rsid w:val="00E759CD"/>
    <w:rsid w:val="00E75A85"/>
    <w:rsid w:val="00E80343"/>
    <w:rsid w:val="00E81FF6"/>
    <w:rsid w:val="00E8467F"/>
    <w:rsid w:val="00E846CC"/>
    <w:rsid w:val="00E855DE"/>
    <w:rsid w:val="00E85857"/>
    <w:rsid w:val="00E8623D"/>
    <w:rsid w:val="00E8667C"/>
    <w:rsid w:val="00E9368E"/>
    <w:rsid w:val="00E96A79"/>
    <w:rsid w:val="00E96ADD"/>
    <w:rsid w:val="00EA03E6"/>
    <w:rsid w:val="00EA13A7"/>
    <w:rsid w:val="00EA299D"/>
    <w:rsid w:val="00EA3D43"/>
    <w:rsid w:val="00EA4D3A"/>
    <w:rsid w:val="00EA5FA0"/>
    <w:rsid w:val="00EA6E3F"/>
    <w:rsid w:val="00EA711F"/>
    <w:rsid w:val="00EA7901"/>
    <w:rsid w:val="00EA7D17"/>
    <w:rsid w:val="00EB0A6E"/>
    <w:rsid w:val="00EB0F75"/>
    <w:rsid w:val="00EB27BA"/>
    <w:rsid w:val="00EB3140"/>
    <w:rsid w:val="00EB4034"/>
    <w:rsid w:val="00EB4E66"/>
    <w:rsid w:val="00EB539A"/>
    <w:rsid w:val="00EB572B"/>
    <w:rsid w:val="00EB7F45"/>
    <w:rsid w:val="00EC141F"/>
    <w:rsid w:val="00EC2628"/>
    <w:rsid w:val="00EC2D4E"/>
    <w:rsid w:val="00EC4C7E"/>
    <w:rsid w:val="00EC5ABC"/>
    <w:rsid w:val="00EC5BE4"/>
    <w:rsid w:val="00EC6021"/>
    <w:rsid w:val="00EC6367"/>
    <w:rsid w:val="00ED17DC"/>
    <w:rsid w:val="00ED1F4A"/>
    <w:rsid w:val="00ED2119"/>
    <w:rsid w:val="00ED3BD6"/>
    <w:rsid w:val="00ED3C28"/>
    <w:rsid w:val="00ED55F0"/>
    <w:rsid w:val="00ED5F7F"/>
    <w:rsid w:val="00ED6873"/>
    <w:rsid w:val="00ED6EDB"/>
    <w:rsid w:val="00EE077C"/>
    <w:rsid w:val="00EE1442"/>
    <w:rsid w:val="00EE2491"/>
    <w:rsid w:val="00EE3D0A"/>
    <w:rsid w:val="00EE4A6F"/>
    <w:rsid w:val="00EE6F52"/>
    <w:rsid w:val="00EF0DCB"/>
    <w:rsid w:val="00EF2EB5"/>
    <w:rsid w:val="00EF4912"/>
    <w:rsid w:val="00EF5BF8"/>
    <w:rsid w:val="00EF6F26"/>
    <w:rsid w:val="00F01266"/>
    <w:rsid w:val="00F017FE"/>
    <w:rsid w:val="00F0269A"/>
    <w:rsid w:val="00F04090"/>
    <w:rsid w:val="00F04D50"/>
    <w:rsid w:val="00F052B2"/>
    <w:rsid w:val="00F05418"/>
    <w:rsid w:val="00F059BA"/>
    <w:rsid w:val="00F06310"/>
    <w:rsid w:val="00F065E2"/>
    <w:rsid w:val="00F10487"/>
    <w:rsid w:val="00F11105"/>
    <w:rsid w:val="00F12186"/>
    <w:rsid w:val="00F12934"/>
    <w:rsid w:val="00F15BA4"/>
    <w:rsid w:val="00F16A6C"/>
    <w:rsid w:val="00F17DB1"/>
    <w:rsid w:val="00F20079"/>
    <w:rsid w:val="00F20107"/>
    <w:rsid w:val="00F20B68"/>
    <w:rsid w:val="00F21B25"/>
    <w:rsid w:val="00F2211A"/>
    <w:rsid w:val="00F236D8"/>
    <w:rsid w:val="00F2383F"/>
    <w:rsid w:val="00F23BE6"/>
    <w:rsid w:val="00F24762"/>
    <w:rsid w:val="00F24A54"/>
    <w:rsid w:val="00F2601B"/>
    <w:rsid w:val="00F3584D"/>
    <w:rsid w:val="00F3613D"/>
    <w:rsid w:val="00F36193"/>
    <w:rsid w:val="00F3728B"/>
    <w:rsid w:val="00F37EFC"/>
    <w:rsid w:val="00F40007"/>
    <w:rsid w:val="00F4099C"/>
    <w:rsid w:val="00F458E4"/>
    <w:rsid w:val="00F47F9D"/>
    <w:rsid w:val="00F50520"/>
    <w:rsid w:val="00F51C42"/>
    <w:rsid w:val="00F54609"/>
    <w:rsid w:val="00F546BC"/>
    <w:rsid w:val="00F558D6"/>
    <w:rsid w:val="00F55E99"/>
    <w:rsid w:val="00F567EC"/>
    <w:rsid w:val="00F571A7"/>
    <w:rsid w:val="00F610FC"/>
    <w:rsid w:val="00F62933"/>
    <w:rsid w:val="00F65816"/>
    <w:rsid w:val="00F66236"/>
    <w:rsid w:val="00F67BCE"/>
    <w:rsid w:val="00F7081C"/>
    <w:rsid w:val="00F74710"/>
    <w:rsid w:val="00F751FB"/>
    <w:rsid w:val="00F75BAC"/>
    <w:rsid w:val="00F761E7"/>
    <w:rsid w:val="00F76A51"/>
    <w:rsid w:val="00F7736C"/>
    <w:rsid w:val="00F80457"/>
    <w:rsid w:val="00F820D3"/>
    <w:rsid w:val="00F82E08"/>
    <w:rsid w:val="00F83D85"/>
    <w:rsid w:val="00F84E3C"/>
    <w:rsid w:val="00F85A7E"/>
    <w:rsid w:val="00F871EE"/>
    <w:rsid w:val="00F87FB3"/>
    <w:rsid w:val="00F91102"/>
    <w:rsid w:val="00F9252F"/>
    <w:rsid w:val="00F944AD"/>
    <w:rsid w:val="00F94E05"/>
    <w:rsid w:val="00F95143"/>
    <w:rsid w:val="00F95B00"/>
    <w:rsid w:val="00F95C22"/>
    <w:rsid w:val="00F96330"/>
    <w:rsid w:val="00F96D2F"/>
    <w:rsid w:val="00F97EDD"/>
    <w:rsid w:val="00FA40FC"/>
    <w:rsid w:val="00FA4289"/>
    <w:rsid w:val="00FA6B12"/>
    <w:rsid w:val="00FA7CC6"/>
    <w:rsid w:val="00FB0A42"/>
    <w:rsid w:val="00FB1E49"/>
    <w:rsid w:val="00FB603D"/>
    <w:rsid w:val="00FB69EA"/>
    <w:rsid w:val="00FB69F5"/>
    <w:rsid w:val="00FB7E49"/>
    <w:rsid w:val="00FC0830"/>
    <w:rsid w:val="00FC2F65"/>
    <w:rsid w:val="00FC3707"/>
    <w:rsid w:val="00FC431B"/>
    <w:rsid w:val="00FC5C97"/>
    <w:rsid w:val="00FC65B6"/>
    <w:rsid w:val="00FC70E3"/>
    <w:rsid w:val="00FC74F2"/>
    <w:rsid w:val="00FD2C0F"/>
    <w:rsid w:val="00FD7005"/>
    <w:rsid w:val="00FE1CC5"/>
    <w:rsid w:val="00FE3B4B"/>
    <w:rsid w:val="00FE3D41"/>
    <w:rsid w:val="00FE4ED9"/>
    <w:rsid w:val="00FE6425"/>
    <w:rsid w:val="00FF0943"/>
    <w:rsid w:val="00FF2062"/>
    <w:rsid w:val="00FF6B76"/>
    <w:rsid w:val="00FF74A5"/>
    <w:rsid w:val="00FF7C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287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47E6E"/>
    <w:rPr>
      <w:color w:val="808080"/>
    </w:rPr>
  </w:style>
  <w:style w:type="paragraph" w:styleId="a4">
    <w:name w:val="Balloon Text"/>
    <w:basedOn w:val="a"/>
    <w:link w:val="Char"/>
    <w:uiPriority w:val="99"/>
    <w:semiHidden/>
    <w:unhideWhenUsed/>
    <w:rsid w:val="00E47E6E"/>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E47E6E"/>
    <w:rPr>
      <w:rFonts w:ascii="Tahoma" w:hAnsi="Tahoma" w:cs="Tahoma"/>
      <w:sz w:val="16"/>
      <w:szCs w:val="16"/>
    </w:rPr>
  </w:style>
  <w:style w:type="paragraph" w:styleId="a5">
    <w:name w:val="header"/>
    <w:basedOn w:val="a"/>
    <w:link w:val="Char0"/>
    <w:uiPriority w:val="99"/>
    <w:semiHidden/>
    <w:unhideWhenUsed/>
    <w:rsid w:val="00C751EB"/>
    <w:pPr>
      <w:tabs>
        <w:tab w:val="center" w:pos="4320"/>
        <w:tab w:val="right" w:pos="8640"/>
      </w:tabs>
      <w:spacing w:after="0" w:line="240" w:lineRule="auto"/>
    </w:pPr>
  </w:style>
  <w:style w:type="character" w:customStyle="1" w:styleId="Char0">
    <w:name w:val="Κεφαλίδα Char"/>
    <w:basedOn w:val="a0"/>
    <w:link w:val="a5"/>
    <w:uiPriority w:val="99"/>
    <w:semiHidden/>
    <w:rsid w:val="00C751EB"/>
  </w:style>
  <w:style w:type="paragraph" w:styleId="a6">
    <w:name w:val="footer"/>
    <w:basedOn w:val="a"/>
    <w:link w:val="Char1"/>
    <w:uiPriority w:val="99"/>
    <w:unhideWhenUsed/>
    <w:rsid w:val="00C751EB"/>
    <w:pPr>
      <w:tabs>
        <w:tab w:val="center" w:pos="4320"/>
        <w:tab w:val="right" w:pos="8640"/>
      </w:tabs>
      <w:spacing w:after="0" w:line="240" w:lineRule="auto"/>
    </w:pPr>
  </w:style>
  <w:style w:type="character" w:customStyle="1" w:styleId="Char1">
    <w:name w:val="Υποσέλιδο Char"/>
    <w:basedOn w:val="a0"/>
    <w:link w:val="a6"/>
    <w:uiPriority w:val="99"/>
    <w:rsid w:val="00C751EB"/>
  </w:style>
  <w:style w:type="paragraph" w:styleId="a7">
    <w:name w:val="footnote text"/>
    <w:basedOn w:val="a"/>
    <w:link w:val="Char2"/>
    <w:uiPriority w:val="99"/>
    <w:semiHidden/>
    <w:unhideWhenUsed/>
    <w:rsid w:val="00C1053A"/>
    <w:pPr>
      <w:spacing w:after="0" w:line="240" w:lineRule="auto"/>
    </w:pPr>
    <w:rPr>
      <w:sz w:val="20"/>
      <w:szCs w:val="20"/>
    </w:rPr>
  </w:style>
  <w:style w:type="character" w:customStyle="1" w:styleId="Char2">
    <w:name w:val="Κείμενο υποσημείωσης Char"/>
    <w:basedOn w:val="a0"/>
    <w:link w:val="a7"/>
    <w:uiPriority w:val="99"/>
    <w:semiHidden/>
    <w:rsid w:val="00C1053A"/>
    <w:rPr>
      <w:sz w:val="20"/>
      <w:szCs w:val="20"/>
    </w:rPr>
  </w:style>
  <w:style w:type="character" w:styleId="a8">
    <w:name w:val="footnote reference"/>
    <w:basedOn w:val="a0"/>
    <w:uiPriority w:val="99"/>
    <w:semiHidden/>
    <w:unhideWhenUsed/>
    <w:rsid w:val="00C1053A"/>
    <w:rPr>
      <w:vertAlign w:val="superscript"/>
    </w:rPr>
  </w:style>
  <w:style w:type="paragraph" w:styleId="a9">
    <w:name w:val="List Paragraph"/>
    <w:basedOn w:val="a"/>
    <w:uiPriority w:val="34"/>
    <w:qFormat/>
    <w:rsid w:val="00590CD2"/>
    <w:pPr>
      <w:ind w:left="720"/>
      <w:contextualSpacing/>
    </w:pPr>
  </w:style>
  <w:style w:type="table" w:styleId="aa">
    <w:name w:val="Table Grid"/>
    <w:basedOn w:val="a1"/>
    <w:uiPriority w:val="59"/>
    <w:rsid w:val="004A1E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
    <w:name w:val="Hyperlink"/>
    <w:basedOn w:val="a0"/>
    <w:uiPriority w:val="99"/>
    <w:unhideWhenUsed/>
    <w:rsid w:val="003554C3"/>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59067110">
      <w:bodyDiv w:val="1"/>
      <w:marLeft w:val="0"/>
      <w:marRight w:val="0"/>
      <w:marTop w:val="0"/>
      <w:marBottom w:val="0"/>
      <w:divBdr>
        <w:top w:val="none" w:sz="0" w:space="0" w:color="auto"/>
        <w:left w:val="none" w:sz="0" w:space="0" w:color="auto"/>
        <w:bottom w:val="none" w:sz="0" w:space="0" w:color="auto"/>
        <w:right w:val="none" w:sz="0" w:space="0" w:color="auto"/>
      </w:divBdr>
    </w:div>
    <w:div w:id="1246649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73218pr@student.eur.nl" TargetMode="External"/><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chart" Target="charts/chart18.xml"/><Relationship Id="rId39" Type="http://schemas.openxmlformats.org/officeDocument/2006/relationships/chart" Target="charts/chart31.xml"/><Relationship Id="rId3" Type="http://schemas.openxmlformats.org/officeDocument/2006/relationships/styles" Target="styles.xml"/><Relationship Id="rId21" Type="http://schemas.openxmlformats.org/officeDocument/2006/relationships/chart" Target="charts/chart13.xml"/><Relationship Id="rId34" Type="http://schemas.openxmlformats.org/officeDocument/2006/relationships/chart" Target="charts/chart26.xm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chart" Target="charts/chart25.xml"/><Relationship Id="rId38" Type="http://schemas.openxmlformats.org/officeDocument/2006/relationships/chart" Target="charts/chart30.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29" Type="http://schemas.openxmlformats.org/officeDocument/2006/relationships/chart" Target="charts/chart2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chart" Target="charts/chart24.xml"/><Relationship Id="rId37" Type="http://schemas.openxmlformats.org/officeDocument/2006/relationships/chart" Target="charts/chart29.xm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36" Type="http://schemas.openxmlformats.org/officeDocument/2006/relationships/chart" Target="charts/chart28.xml"/><Relationship Id="rId10" Type="http://schemas.openxmlformats.org/officeDocument/2006/relationships/chart" Target="charts/chart2.xml"/><Relationship Id="rId19" Type="http://schemas.openxmlformats.org/officeDocument/2006/relationships/chart" Target="charts/chart11.xml"/><Relationship Id="rId31" Type="http://schemas.openxmlformats.org/officeDocument/2006/relationships/chart" Target="charts/chart23.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chart" Target="charts/chart22.xml"/><Relationship Id="rId35" Type="http://schemas.openxmlformats.org/officeDocument/2006/relationships/chart" Target="charts/chart27.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User\Desktop\DATA%20ANALYSIS\Debt%20data%20FULL.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C:\Users\User\Desktop\DATA%20ANALYSIS\Savings%20Data%20new.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_rels/chart30.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_rels/chart31.xml.rels><?xml version="1.0" encoding="UTF-8" standalone="yes"?>
<Relationships xmlns="http://schemas.openxmlformats.org/package/2006/relationships"><Relationship Id="rId1" Type="http://schemas.openxmlformats.org/officeDocument/2006/relationships/oleObject" Target="file:///C:\Users\User\Desktop\EXCEL%20FIRST%20DIFFERENCE%20SAVING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 1 - Debt to GDP ratio / 2013</a:t>
            </a:r>
          </a:p>
        </c:rich>
      </c:tx>
    </c:title>
    <c:plotArea>
      <c:layout/>
      <c:barChart>
        <c:barDir val="bar"/>
        <c:grouping val="clustered"/>
        <c:ser>
          <c:idx val="0"/>
          <c:order val="0"/>
          <c:tx>
            <c:strRef>
              <c:f>Φύλλο1!$B$18</c:f>
              <c:strCache>
                <c:ptCount val="1"/>
                <c:pt idx="0">
                  <c:v>Debt to GDP ratio</c:v>
                </c:pt>
              </c:strCache>
            </c:strRef>
          </c:tx>
          <c:cat>
            <c:strRef>
              <c:f>Φύλλο1!$A$19:$A$28</c:f>
              <c:strCache>
                <c:ptCount val="10"/>
                <c:pt idx="0">
                  <c:v>Portugal </c:v>
                </c:pt>
                <c:pt idx="1">
                  <c:v>Italy</c:v>
                </c:pt>
                <c:pt idx="2">
                  <c:v>Ireland</c:v>
                </c:pt>
                <c:pt idx="3">
                  <c:v>Belgium</c:v>
                </c:pt>
                <c:pt idx="4">
                  <c:v>France</c:v>
                </c:pt>
                <c:pt idx="5">
                  <c:v>Austria</c:v>
                </c:pt>
                <c:pt idx="6">
                  <c:v>Germany </c:v>
                </c:pt>
                <c:pt idx="7">
                  <c:v>Netherlands</c:v>
                </c:pt>
                <c:pt idx="8">
                  <c:v>Finland</c:v>
                </c:pt>
                <c:pt idx="9">
                  <c:v>Luxemburg</c:v>
                </c:pt>
              </c:strCache>
            </c:strRef>
          </c:cat>
          <c:val>
            <c:numRef>
              <c:f>Φύλλο1!$B$19:$B$28</c:f>
              <c:numCache>
                <c:formatCode>General</c:formatCode>
                <c:ptCount val="10"/>
                <c:pt idx="0">
                  <c:v>129.66399999999999</c:v>
                </c:pt>
                <c:pt idx="1">
                  <c:v>128.60499999999999</c:v>
                </c:pt>
                <c:pt idx="2">
                  <c:v>123.318</c:v>
                </c:pt>
                <c:pt idx="3">
                  <c:v>104.55</c:v>
                </c:pt>
                <c:pt idx="4">
                  <c:v>92.417000000000527</c:v>
                </c:pt>
                <c:pt idx="5">
                  <c:v>81.209999999999994</c:v>
                </c:pt>
                <c:pt idx="6">
                  <c:v>76.864000000000004</c:v>
                </c:pt>
                <c:pt idx="7">
                  <c:v>68.606999999999999</c:v>
                </c:pt>
                <c:pt idx="8">
                  <c:v>55.734000000000002</c:v>
                </c:pt>
                <c:pt idx="9">
                  <c:v>23.558</c:v>
                </c:pt>
              </c:numCache>
            </c:numRef>
          </c:val>
        </c:ser>
        <c:axId val="108289024"/>
        <c:axId val="108475520"/>
      </c:barChart>
      <c:catAx>
        <c:axId val="108289024"/>
        <c:scaling>
          <c:orientation val="minMax"/>
        </c:scaling>
        <c:axPos val="l"/>
        <c:title>
          <c:tx>
            <c:rich>
              <a:bodyPr rot="-5400000" vert="horz"/>
              <a:lstStyle/>
              <a:p>
                <a:pPr>
                  <a:defRPr/>
                </a:pPr>
                <a:r>
                  <a:rPr lang="en-US"/>
                  <a:t>Countries</a:t>
                </a:r>
              </a:p>
            </c:rich>
          </c:tx>
        </c:title>
        <c:tickLblPos val="nextTo"/>
        <c:crossAx val="108475520"/>
        <c:crosses val="autoZero"/>
        <c:auto val="1"/>
        <c:lblAlgn val="ctr"/>
        <c:lblOffset val="100"/>
      </c:catAx>
      <c:valAx>
        <c:axId val="108475520"/>
        <c:scaling>
          <c:orientation val="minMax"/>
        </c:scaling>
        <c:axPos val="b"/>
        <c:majorGridlines/>
        <c:title>
          <c:tx>
            <c:rich>
              <a:bodyPr/>
              <a:lstStyle/>
              <a:p>
                <a:pPr>
                  <a:defRPr/>
                </a:pPr>
                <a:r>
                  <a:rPr lang="en-US"/>
                  <a:t>Debt to GDP ratio</a:t>
                </a:r>
              </a:p>
            </c:rich>
          </c:tx>
        </c:title>
        <c:numFmt formatCode="General" sourceLinked="1"/>
        <c:tickLblPos val="nextTo"/>
        <c:crossAx val="108289024"/>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 2 - Debt to GDP ratio / Luxemburg</a:t>
            </a:r>
          </a:p>
        </c:rich>
      </c:tx>
    </c:title>
    <c:plotArea>
      <c:layout/>
      <c:lineChart>
        <c:grouping val="standard"/>
        <c:ser>
          <c:idx val="0"/>
          <c:order val="0"/>
          <c:tx>
            <c:v>Debt to GDP ratio for Luxemburg</c:v>
          </c:tx>
          <c:marker>
            <c:symbol val="none"/>
          </c:marker>
          <c:cat>
            <c:numRef>
              <c:f>Φύλλο1!$A$2:$A$15</c:f>
              <c:numCache>
                <c:formatCode>General</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Φύλλο1!$B$2:$B$15</c:f>
              <c:numCache>
                <c:formatCode>General</c:formatCode>
                <c:ptCount val="14"/>
                <c:pt idx="0">
                  <c:v>6.0990000000000002</c:v>
                </c:pt>
                <c:pt idx="1">
                  <c:v>6.5969999999999995</c:v>
                </c:pt>
                <c:pt idx="2">
                  <c:v>6.532</c:v>
                </c:pt>
                <c:pt idx="3">
                  <c:v>6.4089999999999998</c:v>
                </c:pt>
                <c:pt idx="4">
                  <c:v>6.4980000000000002</c:v>
                </c:pt>
                <c:pt idx="5">
                  <c:v>6.33</c:v>
                </c:pt>
                <c:pt idx="6">
                  <c:v>7.02</c:v>
                </c:pt>
                <c:pt idx="7">
                  <c:v>7.1589999999999945</c:v>
                </c:pt>
                <c:pt idx="8">
                  <c:v>14.444000000000001</c:v>
                </c:pt>
                <c:pt idx="9">
                  <c:v>15.477</c:v>
                </c:pt>
                <c:pt idx="10">
                  <c:v>19.638000000000005</c:v>
                </c:pt>
                <c:pt idx="11">
                  <c:v>18.542000000000002</c:v>
                </c:pt>
                <c:pt idx="12">
                  <c:v>21.41</c:v>
                </c:pt>
                <c:pt idx="13">
                  <c:v>23.558</c:v>
                </c:pt>
              </c:numCache>
            </c:numRef>
          </c:val>
        </c:ser>
        <c:marker val="1"/>
        <c:axId val="108834816"/>
        <c:axId val="108840448"/>
      </c:lineChart>
      <c:catAx>
        <c:axId val="108834816"/>
        <c:scaling>
          <c:orientation val="minMax"/>
        </c:scaling>
        <c:axPos val="b"/>
        <c:title>
          <c:tx>
            <c:rich>
              <a:bodyPr/>
              <a:lstStyle/>
              <a:p>
                <a:pPr>
                  <a:defRPr/>
                </a:pPr>
                <a:r>
                  <a:rPr lang="en-US"/>
                  <a:t>Years</a:t>
                </a:r>
              </a:p>
            </c:rich>
          </c:tx>
        </c:title>
        <c:numFmt formatCode="General" sourceLinked="1"/>
        <c:tickLblPos val="nextTo"/>
        <c:crossAx val="108840448"/>
        <c:crosses val="autoZero"/>
        <c:auto val="1"/>
        <c:lblAlgn val="ctr"/>
        <c:lblOffset val="100"/>
      </c:catAx>
      <c:valAx>
        <c:axId val="108840448"/>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08834816"/>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 3 - Debt to GDP ratio / Finland</a:t>
            </a:r>
          </a:p>
        </c:rich>
      </c:tx>
    </c:title>
    <c:plotArea>
      <c:layout/>
      <c:lineChart>
        <c:grouping val="standard"/>
        <c:ser>
          <c:idx val="0"/>
          <c:order val="0"/>
          <c:tx>
            <c:v>Debt to GDP ratio for Finland</c:v>
          </c:tx>
          <c:marker>
            <c:symbol val="none"/>
          </c:marker>
          <c:cat>
            <c:numRef>
              <c:f>Φύλλο1!$C$2:$C$15</c:f>
              <c:numCache>
                <c:formatCode>General</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Φύλλο1!$D$2:$D$15</c:f>
              <c:numCache>
                <c:formatCode>General</c:formatCode>
                <c:ptCount val="14"/>
                <c:pt idx="0">
                  <c:v>42.486000000000004</c:v>
                </c:pt>
                <c:pt idx="1">
                  <c:v>40.947000000000003</c:v>
                </c:pt>
                <c:pt idx="2">
                  <c:v>40.17</c:v>
                </c:pt>
                <c:pt idx="3">
                  <c:v>42.738000000000063</c:v>
                </c:pt>
                <c:pt idx="4">
                  <c:v>42.648000000000003</c:v>
                </c:pt>
                <c:pt idx="5">
                  <c:v>39.937000000000005</c:v>
                </c:pt>
                <c:pt idx="6">
                  <c:v>38.059000000000005</c:v>
                </c:pt>
                <c:pt idx="7">
                  <c:v>33.886000000000003</c:v>
                </c:pt>
                <c:pt idx="8">
                  <c:v>32.53</c:v>
                </c:pt>
                <c:pt idx="9">
                  <c:v>41.548000000000002</c:v>
                </c:pt>
                <c:pt idx="10">
                  <c:v>46.575000000000003</c:v>
                </c:pt>
                <c:pt idx="11">
                  <c:v>48.527000000000001</c:v>
                </c:pt>
                <c:pt idx="12">
                  <c:v>52.85</c:v>
                </c:pt>
                <c:pt idx="13">
                  <c:v>55.734000000000002</c:v>
                </c:pt>
              </c:numCache>
            </c:numRef>
          </c:val>
        </c:ser>
        <c:marker val="1"/>
        <c:axId val="109858816"/>
        <c:axId val="110178304"/>
      </c:lineChart>
      <c:catAx>
        <c:axId val="109858816"/>
        <c:scaling>
          <c:orientation val="minMax"/>
        </c:scaling>
        <c:axPos val="b"/>
        <c:title>
          <c:tx>
            <c:rich>
              <a:bodyPr/>
              <a:lstStyle/>
              <a:p>
                <a:pPr>
                  <a:defRPr/>
                </a:pPr>
                <a:r>
                  <a:rPr lang="en-US"/>
                  <a:t>Years</a:t>
                </a:r>
              </a:p>
            </c:rich>
          </c:tx>
        </c:title>
        <c:numFmt formatCode="General" sourceLinked="1"/>
        <c:tickLblPos val="nextTo"/>
        <c:crossAx val="110178304"/>
        <c:crosses val="autoZero"/>
        <c:auto val="1"/>
        <c:lblAlgn val="ctr"/>
        <c:lblOffset val="100"/>
      </c:catAx>
      <c:valAx>
        <c:axId val="110178304"/>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09858816"/>
        <c:crosses val="autoZero"/>
        <c:crossBetween val="between"/>
      </c:valAx>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 4 - Debt to GDP ratio / Netherlands</a:t>
            </a:r>
          </a:p>
        </c:rich>
      </c:tx>
      <c:layout>
        <c:manualLayout>
          <c:xMode val="edge"/>
          <c:yMode val="edge"/>
          <c:x val="0.13439588801399824"/>
          <c:y val="3.2407407407407912E-2"/>
        </c:manualLayout>
      </c:layout>
    </c:title>
    <c:plotArea>
      <c:layout/>
      <c:lineChart>
        <c:grouping val="standard"/>
        <c:ser>
          <c:idx val="0"/>
          <c:order val="0"/>
          <c:tx>
            <c:v>Debt to GDP ratio for Netherlands</c:v>
          </c:tx>
          <c:marker>
            <c:symbol val="none"/>
          </c:marker>
          <c:cat>
            <c:numRef>
              <c:f>Φύλλο1!$E$2:$E$16</c:f>
              <c:numCache>
                <c:formatCode>General</c:formatCode>
                <c:ptCount val="15"/>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numCache>
            </c:numRef>
          </c:cat>
          <c:val>
            <c:numRef>
              <c:f>Φύλλο1!$F$2:$F$16</c:f>
              <c:numCache>
                <c:formatCode>General</c:formatCode>
                <c:ptCount val="15"/>
                <c:pt idx="0">
                  <c:v>50.114000000000004</c:v>
                </c:pt>
                <c:pt idx="1">
                  <c:v>47.673000000000002</c:v>
                </c:pt>
                <c:pt idx="2">
                  <c:v>47.6</c:v>
                </c:pt>
                <c:pt idx="3">
                  <c:v>49.03</c:v>
                </c:pt>
                <c:pt idx="4">
                  <c:v>49.466000000000001</c:v>
                </c:pt>
                <c:pt idx="5">
                  <c:v>49.211000000000006</c:v>
                </c:pt>
                <c:pt idx="6">
                  <c:v>44.628000000000213</c:v>
                </c:pt>
                <c:pt idx="7">
                  <c:v>42.545000000000002</c:v>
                </c:pt>
                <c:pt idx="8">
                  <c:v>54.660000000000011</c:v>
                </c:pt>
                <c:pt idx="9">
                  <c:v>56.389000000000003</c:v>
                </c:pt>
                <c:pt idx="10">
                  <c:v>59.006</c:v>
                </c:pt>
                <c:pt idx="11">
                  <c:v>61.262000000000263</c:v>
                </c:pt>
                <c:pt idx="12">
                  <c:v>66.518000000000001</c:v>
                </c:pt>
                <c:pt idx="13">
                  <c:v>68.606999999999999</c:v>
                </c:pt>
                <c:pt idx="14">
                  <c:v>68.304999999999993</c:v>
                </c:pt>
              </c:numCache>
            </c:numRef>
          </c:val>
        </c:ser>
        <c:marker val="1"/>
        <c:axId val="110741376"/>
        <c:axId val="110774912"/>
      </c:lineChart>
      <c:catAx>
        <c:axId val="110741376"/>
        <c:scaling>
          <c:orientation val="minMax"/>
        </c:scaling>
        <c:axPos val="b"/>
        <c:title>
          <c:tx>
            <c:rich>
              <a:bodyPr/>
              <a:lstStyle/>
              <a:p>
                <a:pPr>
                  <a:defRPr/>
                </a:pPr>
                <a:r>
                  <a:rPr lang="en-US"/>
                  <a:t>Years</a:t>
                </a:r>
              </a:p>
            </c:rich>
          </c:tx>
        </c:title>
        <c:numFmt formatCode="General" sourceLinked="1"/>
        <c:tickLblPos val="nextTo"/>
        <c:crossAx val="110774912"/>
        <c:crosses val="autoZero"/>
        <c:auto val="1"/>
        <c:lblAlgn val="ctr"/>
        <c:lblOffset val="100"/>
      </c:catAx>
      <c:valAx>
        <c:axId val="110774912"/>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10741376"/>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 5 - Debt to GDP ratio / Germany</a:t>
            </a:r>
          </a:p>
        </c:rich>
      </c:tx>
    </c:title>
    <c:plotArea>
      <c:layout/>
      <c:lineChart>
        <c:grouping val="standard"/>
        <c:ser>
          <c:idx val="0"/>
          <c:order val="0"/>
          <c:tx>
            <c:v>Debt to GDP ratio for Germany</c:v>
          </c:tx>
          <c:marker>
            <c:symbol val="none"/>
          </c:marker>
          <c:cat>
            <c:numRef>
              <c:f>Φύλλο1!$G$2:$G$16</c:f>
              <c:numCache>
                <c:formatCode>General</c:formatCode>
                <c:ptCount val="15"/>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numCache>
            </c:numRef>
          </c:cat>
          <c:val>
            <c:numRef>
              <c:f>Φύλλο1!$H$2:$H$16</c:f>
              <c:numCache>
                <c:formatCode>General</c:formatCode>
                <c:ptCount val="15"/>
                <c:pt idx="0">
                  <c:v>58.737000000000002</c:v>
                </c:pt>
                <c:pt idx="1">
                  <c:v>57.529000000000003</c:v>
                </c:pt>
                <c:pt idx="2">
                  <c:v>59.169000000000011</c:v>
                </c:pt>
                <c:pt idx="3">
                  <c:v>62.92</c:v>
                </c:pt>
                <c:pt idx="4">
                  <c:v>64.599000000000004</c:v>
                </c:pt>
                <c:pt idx="5">
                  <c:v>66.801000000000002</c:v>
                </c:pt>
                <c:pt idx="6">
                  <c:v>66.260000000000005</c:v>
                </c:pt>
                <c:pt idx="7">
                  <c:v>63.459000000000003</c:v>
                </c:pt>
                <c:pt idx="8">
                  <c:v>64.903000000000006</c:v>
                </c:pt>
                <c:pt idx="9">
                  <c:v>72.393000000000001</c:v>
                </c:pt>
                <c:pt idx="10">
                  <c:v>80.251000000000005</c:v>
                </c:pt>
                <c:pt idx="11">
                  <c:v>77.641999999999996</c:v>
                </c:pt>
                <c:pt idx="12">
                  <c:v>79.043999999999997</c:v>
                </c:pt>
                <c:pt idx="13">
                  <c:v>76.864000000000004</c:v>
                </c:pt>
                <c:pt idx="14">
                  <c:v>73.111999999999995</c:v>
                </c:pt>
              </c:numCache>
            </c:numRef>
          </c:val>
        </c:ser>
        <c:marker val="1"/>
        <c:axId val="112045056"/>
        <c:axId val="112104576"/>
      </c:lineChart>
      <c:catAx>
        <c:axId val="112045056"/>
        <c:scaling>
          <c:orientation val="minMax"/>
        </c:scaling>
        <c:axPos val="b"/>
        <c:title>
          <c:tx>
            <c:rich>
              <a:bodyPr/>
              <a:lstStyle/>
              <a:p>
                <a:pPr>
                  <a:defRPr/>
                </a:pPr>
                <a:r>
                  <a:rPr lang="en-US"/>
                  <a:t>Years</a:t>
                </a:r>
              </a:p>
            </c:rich>
          </c:tx>
        </c:title>
        <c:numFmt formatCode="General" sourceLinked="1"/>
        <c:tickLblPos val="nextTo"/>
        <c:crossAx val="112104576"/>
        <c:crosses val="autoZero"/>
        <c:auto val="1"/>
        <c:lblAlgn val="ctr"/>
        <c:lblOffset val="100"/>
      </c:catAx>
      <c:valAx>
        <c:axId val="112104576"/>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12045056"/>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sz="1400"/>
            </a:pPr>
            <a:r>
              <a:rPr lang="en-US" sz="1400"/>
              <a:t>Graph 6 - Debt to GDP ratio / Austria</a:t>
            </a:r>
          </a:p>
        </c:rich>
      </c:tx>
    </c:title>
    <c:plotArea>
      <c:layout/>
      <c:lineChart>
        <c:grouping val="standard"/>
        <c:ser>
          <c:idx val="0"/>
          <c:order val="0"/>
          <c:tx>
            <c:v>Debt to GDP ratio for Austria</c:v>
          </c:tx>
          <c:marker>
            <c:symbol val="none"/>
          </c:marker>
          <c:cat>
            <c:numRef>
              <c:f>Φύλλο1!$I$2:$I$15</c:f>
              <c:numCache>
                <c:formatCode>General</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Φύλλο1!$J$2:$J$15</c:f>
              <c:numCache>
                <c:formatCode>General</c:formatCode>
                <c:ptCount val="14"/>
                <c:pt idx="0">
                  <c:v>65.864000000000004</c:v>
                </c:pt>
                <c:pt idx="1">
                  <c:v>66.483999999999995</c:v>
                </c:pt>
                <c:pt idx="2">
                  <c:v>66.290999999999997</c:v>
                </c:pt>
                <c:pt idx="3">
                  <c:v>65.492000000000004</c:v>
                </c:pt>
                <c:pt idx="4">
                  <c:v>64.801999999999992</c:v>
                </c:pt>
                <c:pt idx="5">
                  <c:v>68.315000000000012</c:v>
                </c:pt>
                <c:pt idx="6">
                  <c:v>67.043999999999997</c:v>
                </c:pt>
                <c:pt idx="7">
                  <c:v>64.807999999999993</c:v>
                </c:pt>
                <c:pt idx="8">
                  <c:v>68.518000000000001</c:v>
                </c:pt>
                <c:pt idx="9">
                  <c:v>79.725999999999999</c:v>
                </c:pt>
                <c:pt idx="10">
                  <c:v>82.405000000000001</c:v>
                </c:pt>
                <c:pt idx="11">
                  <c:v>82.057999999999993</c:v>
                </c:pt>
                <c:pt idx="12">
                  <c:v>81.730999999999995</c:v>
                </c:pt>
                <c:pt idx="13">
                  <c:v>81.209999999999994</c:v>
                </c:pt>
              </c:numCache>
            </c:numRef>
          </c:val>
        </c:ser>
        <c:marker val="1"/>
        <c:axId val="112489216"/>
        <c:axId val="112491136"/>
      </c:lineChart>
      <c:catAx>
        <c:axId val="112489216"/>
        <c:scaling>
          <c:orientation val="minMax"/>
        </c:scaling>
        <c:axPos val="b"/>
        <c:title>
          <c:tx>
            <c:rich>
              <a:bodyPr/>
              <a:lstStyle/>
              <a:p>
                <a:pPr>
                  <a:defRPr/>
                </a:pPr>
                <a:r>
                  <a:rPr lang="en-US"/>
                  <a:t>Years</a:t>
                </a:r>
              </a:p>
            </c:rich>
          </c:tx>
        </c:title>
        <c:numFmt formatCode="General" sourceLinked="1"/>
        <c:tickLblPos val="nextTo"/>
        <c:crossAx val="112491136"/>
        <c:crosses val="autoZero"/>
        <c:auto val="1"/>
        <c:lblAlgn val="ctr"/>
        <c:lblOffset val="100"/>
      </c:catAx>
      <c:valAx>
        <c:axId val="112491136"/>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12489216"/>
        <c:crosses val="autoZero"/>
        <c:crossBetween val="between"/>
      </c:valAx>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 7 - Debt to GDP ratio / France</a:t>
            </a:r>
          </a:p>
        </c:rich>
      </c:tx>
    </c:title>
    <c:plotArea>
      <c:layout/>
      <c:lineChart>
        <c:grouping val="standard"/>
        <c:ser>
          <c:idx val="0"/>
          <c:order val="0"/>
          <c:tx>
            <c:v>Debt to GDP ratio for France</c:v>
          </c:tx>
          <c:marker>
            <c:symbol val="none"/>
          </c:marker>
          <c:cat>
            <c:numRef>
              <c:f>Φύλλο1!$K$2:$K$15</c:f>
              <c:numCache>
                <c:formatCode>General</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Φύλλο1!$L$2:$L$15</c:f>
              <c:numCache>
                <c:formatCode>General</c:formatCode>
                <c:ptCount val="14"/>
                <c:pt idx="0">
                  <c:v>58.433</c:v>
                </c:pt>
                <c:pt idx="1">
                  <c:v>57.943000000000005</c:v>
                </c:pt>
                <c:pt idx="2">
                  <c:v>59.84</c:v>
                </c:pt>
                <c:pt idx="3">
                  <c:v>63.947000000000003</c:v>
                </c:pt>
                <c:pt idx="4">
                  <c:v>65.515000000000001</c:v>
                </c:pt>
                <c:pt idx="5">
                  <c:v>67.004000000000005</c:v>
                </c:pt>
                <c:pt idx="6">
                  <c:v>64.242999999999995</c:v>
                </c:pt>
                <c:pt idx="7">
                  <c:v>64.188999999999979</c:v>
                </c:pt>
                <c:pt idx="8">
                  <c:v>67.850999999999999</c:v>
                </c:pt>
                <c:pt idx="9">
                  <c:v>78.762</c:v>
                </c:pt>
                <c:pt idx="10">
                  <c:v>81.456999999999994</c:v>
                </c:pt>
                <c:pt idx="11">
                  <c:v>84.952000000000012</c:v>
                </c:pt>
                <c:pt idx="12">
                  <c:v>89.227999999999994</c:v>
                </c:pt>
                <c:pt idx="13">
                  <c:v>92.417000000000527</c:v>
                </c:pt>
              </c:numCache>
            </c:numRef>
          </c:val>
        </c:ser>
        <c:marker val="1"/>
        <c:axId val="117288320"/>
        <c:axId val="117470720"/>
      </c:lineChart>
      <c:catAx>
        <c:axId val="117288320"/>
        <c:scaling>
          <c:orientation val="minMax"/>
        </c:scaling>
        <c:axPos val="b"/>
        <c:title>
          <c:tx>
            <c:rich>
              <a:bodyPr/>
              <a:lstStyle/>
              <a:p>
                <a:pPr>
                  <a:defRPr/>
                </a:pPr>
                <a:r>
                  <a:rPr lang="en-US"/>
                  <a:t>Years</a:t>
                </a:r>
              </a:p>
            </c:rich>
          </c:tx>
        </c:title>
        <c:numFmt formatCode="General" sourceLinked="1"/>
        <c:tickLblPos val="nextTo"/>
        <c:crossAx val="117470720"/>
        <c:crosses val="autoZero"/>
        <c:auto val="1"/>
        <c:lblAlgn val="ctr"/>
        <c:lblOffset val="100"/>
      </c:catAx>
      <c:valAx>
        <c:axId val="117470720"/>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17288320"/>
        <c:crosses val="autoZero"/>
        <c:crossBetween val="between"/>
      </c:valAx>
    </c:plotArea>
    <c:legend>
      <c:legendPos val="r"/>
    </c:legend>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 8 - Debt to GDP ratio / Belgium</a:t>
            </a:r>
          </a:p>
        </c:rich>
      </c:tx>
    </c:title>
    <c:plotArea>
      <c:layout/>
      <c:lineChart>
        <c:grouping val="standard"/>
        <c:ser>
          <c:idx val="0"/>
          <c:order val="0"/>
          <c:tx>
            <c:v>Debt to GDP ratio for Belgium</c:v>
          </c:tx>
          <c:marker>
            <c:symbol val="none"/>
          </c:marker>
          <c:cat>
            <c:numRef>
              <c:f>Φύλλο1!$M$2:$M$15</c:f>
              <c:numCache>
                <c:formatCode>General</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Φύλλο1!$N$2:$N$15</c:f>
              <c:numCache>
                <c:formatCode>General</c:formatCode>
                <c:ptCount val="14"/>
                <c:pt idx="0">
                  <c:v>109.069</c:v>
                </c:pt>
                <c:pt idx="1">
                  <c:v>107.795</c:v>
                </c:pt>
                <c:pt idx="2">
                  <c:v>104.905</c:v>
                </c:pt>
                <c:pt idx="3">
                  <c:v>101.254</c:v>
                </c:pt>
                <c:pt idx="4">
                  <c:v>96.641999999999996</c:v>
                </c:pt>
                <c:pt idx="5">
                  <c:v>94.754000000000005</c:v>
                </c:pt>
                <c:pt idx="6">
                  <c:v>90.774000000000001</c:v>
                </c:pt>
                <c:pt idx="7">
                  <c:v>86.903000000000006</c:v>
                </c:pt>
                <c:pt idx="8">
                  <c:v>92.248000000000005</c:v>
                </c:pt>
                <c:pt idx="9">
                  <c:v>99.274999999999991</c:v>
                </c:pt>
                <c:pt idx="10">
                  <c:v>99.563000000000002</c:v>
                </c:pt>
                <c:pt idx="11">
                  <c:v>102.142</c:v>
                </c:pt>
                <c:pt idx="12">
                  <c:v>103.985</c:v>
                </c:pt>
                <c:pt idx="13">
                  <c:v>104.55</c:v>
                </c:pt>
              </c:numCache>
            </c:numRef>
          </c:val>
        </c:ser>
        <c:marker val="1"/>
        <c:axId val="122223616"/>
        <c:axId val="123312384"/>
      </c:lineChart>
      <c:catAx>
        <c:axId val="122223616"/>
        <c:scaling>
          <c:orientation val="minMax"/>
        </c:scaling>
        <c:axPos val="b"/>
        <c:title>
          <c:tx>
            <c:rich>
              <a:bodyPr/>
              <a:lstStyle/>
              <a:p>
                <a:pPr>
                  <a:defRPr/>
                </a:pPr>
                <a:r>
                  <a:rPr lang="en-US"/>
                  <a:t>Years</a:t>
                </a:r>
              </a:p>
            </c:rich>
          </c:tx>
        </c:title>
        <c:numFmt formatCode="General" sourceLinked="1"/>
        <c:tickLblPos val="nextTo"/>
        <c:crossAx val="123312384"/>
        <c:crosses val="autoZero"/>
        <c:auto val="1"/>
        <c:lblAlgn val="ctr"/>
        <c:lblOffset val="100"/>
      </c:catAx>
      <c:valAx>
        <c:axId val="123312384"/>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22223616"/>
        <c:crosses val="autoZero"/>
        <c:crossBetween val="between"/>
      </c:valAx>
    </c:plotArea>
    <c:legend>
      <c:legendPos val="r"/>
    </c:legend>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 9 - Debt to GDP ratio / Ireland</a:t>
            </a:r>
          </a:p>
        </c:rich>
      </c:tx>
    </c:title>
    <c:plotArea>
      <c:layout/>
      <c:lineChart>
        <c:grouping val="standard"/>
        <c:ser>
          <c:idx val="0"/>
          <c:order val="0"/>
          <c:tx>
            <c:v>Debt to GDP ratio for Ireland</c:v>
          </c:tx>
          <c:marker>
            <c:symbol val="none"/>
          </c:marker>
          <c:cat>
            <c:numRef>
              <c:f>Φύλλο1!$O$2:$O$16</c:f>
              <c:numCache>
                <c:formatCode>General</c:formatCode>
                <c:ptCount val="15"/>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numCache>
            </c:numRef>
          </c:cat>
          <c:val>
            <c:numRef>
              <c:f>Φύλλο1!$P$2:$P$16</c:f>
              <c:numCache>
                <c:formatCode>General</c:formatCode>
                <c:ptCount val="15"/>
                <c:pt idx="0">
                  <c:v>36.266000000000012</c:v>
                </c:pt>
                <c:pt idx="1">
                  <c:v>33.437000000000005</c:v>
                </c:pt>
                <c:pt idx="2">
                  <c:v>30.73</c:v>
                </c:pt>
                <c:pt idx="3">
                  <c:v>30.071999999999999</c:v>
                </c:pt>
                <c:pt idx="4">
                  <c:v>28.337000000000035</c:v>
                </c:pt>
                <c:pt idx="5">
                  <c:v>26.206</c:v>
                </c:pt>
                <c:pt idx="6">
                  <c:v>23.776</c:v>
                </c:pt>
                <c:pt idx="7">
                  <c:v>23.964999999999989</c:v>
                </c:pt>
                <c:pt idx="8">
                  <c:v>42.598000000000013</c:v>
                </c:pt>
                <c:pt idx="9">
                  <c:v>62.186</c:v>
                </c:pt>
                <c:pt idx="10">
                  <c:v>87.409000000000006</c:v>
                </c:pt>
                <c:pt idx="11">
                  <c:v>111.149</c:v>
                </c:pt>
                <c:pt idx="12">
                  <c:v>121.69</c:v>
                </c:pt>
                <c:pt idx="13">
                  <c:v>123.318</c:v>
                </c:pt>
                <c:pt idx="14">
                  <c:v>109.46400000000042</c:v>
                </c:pt>
              </c:numCache>
            </c:numRef>
          </c:val>
        </c:ser>
        <c:marker val="1"/>
        <c:axId val="130068864"/>
        <c:axId val="130070784"/>
      </c:lineChart>
      <c:catAx>
        <c:axId val="130068864"/>
        <c:scaling>
          <c:orientation val="minMax"/>
        </c:scaling>
        <c:axPos val="b"/>
        <c:title>
          <c:tx>
            <c:rich>
              <a:bodyPr/>
              <a:lstStyle/>
              <a:p>
                <a:pPr>
                  <a:defRPr/>
                </a:pPr>
                <a:r>
                  <a:rPr lang="en-US"/>
                  <a:t>Years</a:t>
                </a:r>
              </a:p>
            </c:rich>
          </c:tx>
        </c:title>
        <c:numFmt formatCode="General" sourceLinked="1"/>
        <c:tickLblPos val="nextTo"/>
        <c:crossAx val="130070784"/>
        <c:crosses val="autoZero"/>
        <c:auto val="1"/>
        <c:lblAlgn val="ctr"/>
        <c:lblOffset val="100"/>
      </c:catAx>
      <c:valAx>
        <c:axId val="130070784"/>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30068864"/>
        <c:crosses val="autoZero"/>
        <c:crossBetween val="between"/>
      </c:valAx>
    </c:plotArea>
    <c:legend>
      <c:legendPos val="r"/>
    </c:legend>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a:t>
            </a:r>
            <a:r>
              <a:rPr lang="en-US" sz="1400" baseline="0"/>
              <a:t> 10 - </a:t>
            </a:r>
            <a:r>
              <a:rPr lang="en-US" sz="1400"/>
              <a:t>Debt to GDP ratio / Italy</a:t>
            </a:r>
          </a:p>
        </c:rich>
      </c:tx>
    </c:title>
    <c:plotArea>
      <c:layout/>
      <c:lineChart>
        <c:grouping val="standard"/>
        <c:ser>
          <c:idx val="0"/>
          <c:order val="0"/>
          <c:tx>
            <c:v>Debt to GDP ratio for Italy</c:v>
          </c:tx>
          <c:marker>
            <c:symbol val="none"/>
          </c:marker>
          <c:cat>
            <c:numRef>
              <c:f>Φύλλο1!$S$2:$S$15</c:f>
              <c:numCache>
                <c:formatCode>General</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Φύλλο1!$T$2:$T$15</c:f>
              <c:numCache>
                <c:formatCode>General</c:formatCode>
                <c:ptCount val="14"/>
                <c:pt idx="0">
                  <c:v>105.068</c:v>
                </c:pt>
                <c:pt idx="1">
                  <c:v>104.68799999999999</c:v>
                </c:pt>
                <c:pt idx="2">
                  <c:v>101.88</c:v>
                </c:pt>
                <c:pt idx="3">
                  <c:v>100.44100000000067</c:v>
                </c:pt>
                <c:pt idx="4">
                  <c:v>100.04400000000012</c:v>
                </c:pt>
                <c:pt idx="5">
                  <c:v>101.89400000000002</c:v>
                </c:pt>
                <c:pt idx="6">
                  <c:v>102.51</c:v>
                </c:pt>
                <c:pt idx="7">
                  <c:v>99.728999999999999</c:v>
                </c:pt>
                <c:pt idx="8">
                  <c:v>102.34099999999999</c:v>
                </c:pt>
                <c:pt idx="9">
                  <c:v>112.46400000000042</c:v>
                </c:pt>
                <c:pt idx="10">
                  <c:v>115.29300000000002</c:v>
                </c:pt>
                <c:pt idx="11">
                  <c:v>116.4</c:v>
                </c:pt>
                <c:pt idx="12">
                  <c:v>123.206</c:v>
                </c:pt>
                <c:pt idx="13">
                  <c:v>128.60499999999999</c:v>
                </c:pt>
              </c:numCache>
            </c:numRef>
          </c:val>
        </c:ser>
        <c:marker val="1"/>
        <c:axId val="119635968"/>
        <c:axId val="119637888"/>
      </c:lineChart>
      <c:catAx>
        <c:axId val="119635968"/>
        <c:scaling>
          <c:orientation val="minMax"/>
        </c:scaling>
        <c:axPos val="b"/>
        <c:title>
          <c:tx>
            <c:rich>
              <a:bodyPr/>
              <a:lstStyle/>
              <a:p>
                <a:pPr>
                  <a:defRPr/>
                </a:pPr>
                <a:r>
                  <a:rPr lang="en-US"/>
                  <a:t>Years</a:t>
                </a:r>
              </a:p>
            </c:rich>
          </c:tx>
        </c:title>
        <c:numFmt formatCode="General" sourceLinked="1"/>
        <c:tickLblPos val="nextTo"/>
        <c:crossAx val="119637888"/>
        <c:crosses val="autoZero"/>
        <c:auto val="1"/>
        <c:lblAlgn val="ctr"/>
        <c:lblOffset val="100"/>
      </c:catAx>
      <c:valAx>
        <c:axId val="119637888"/>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19635968"/>
        <c:crosses val="autoZero"/>
        <c:crossBetween val="between"/>
      </c:valAx>
    </c:plotArea>
    <c:legend>
      <c:legendPos val="r"/>
    </c:legend>
    <c:plotVisOnly val="1"/>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style val="4"/>
  <c:chart>
    <c:title>
      <c:tx>
        <c:rich>
          <a:bodyPr/>
          <a:lstStyle/>
          <a:p>
            <a:pPr>
              <a:defRPr/>
            </a:pPr>
            <a:r>
              <a:rPr lang="en-US" sz="1400"/>
              <a:t>Graph 11 - Debt to GDP ratio / Portugal</a:t>
            </a:r>
          </a:p>
        </c:rich>
      </c:tx>
    </c:title>
    <c:plotArea>
      <c:layout/>
      <c:lineChart>
        <c:grouping val="standard"/>
        <c:ser>
          <c:idx val="0"/>
          <c:order val="0"/>
          <c:tx>
            <c:v>Debt to GDP ratio for Portugal</c:v>
          </c:tx>
          <c:marker>
            <c:symbol val="none"/>
          </c:marker>
          <c:cat>
            <c:numRef>
              <c:f>Φύλλο1!$Q$2:$Q$15</c:f>
              <c:numCache>
                <c:formatCode>General</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Φύλλο1!$R$2:$R$15</c:f>
              <c:numCache>
                <c:formatCode>#,##0</c:formatCode>
                <c:ptCount val="14"/>
                <c:pt idx="0" formatCode="General">
                  <c:v>47.926000000000002</c:v>
                </c:pt>
                <c:pt idx="1">
                  <c:v>50.558</c:v>
                </c:pt>
                <c:pt idx="2" formatCode="General">
                  <c:v>52.903000000000006</c:v>
                </c:pt>
                <c:pt idx="3" formatCode="General">
                  <c:v>54.676000000000002</c:v>
                </c:pt>
                <c:pt idx="4" formatCode="General">
                  <c:v>56.306000000000004</c:v>
                </c:pt>
                <c:pt idx="5" formatCode="General">
                  <c:v>60.805</c:v>
                </c:pt>
                <c:pt idx="6" formatCode="General">
                  <c:v>61.619</c:v>
                </c:pt>
                <c:pt idx="7" formatCode="General">
                  <c:v>68.438999999999993</c:v>
                </c:pt>
                <c:pt idx="8" formatCode="General">
                  <c:v>71.665999999999983</c:v>
                </c:pt>
                <c:pt idx="9" formatCode="General">
                  <c:v>83.60899999999998</c:v>
                </c:pt>
                <c:pt idx="10" formatCode="General">
                  <c:v>96.182999999999979</c:v>
                </c:pt>
                <c:pt idx="11" formatCode="General">
                  <c:v>111.08199999999999</c:v>
                </c:pt>
                <c:pt idx="12" formatCode="General">
                  <c:v>125.76400000000002</c:v>
                </c:pt>
                <c:pt idx="13" formatCode="General">
                  <c:v>129.66399999999999</c:v>
                </c:pt>
              </c:numCache>
            </c:numRef>
          </c:val>
        </c:ser>
        <c:marker val="1"/>
        <c:axId val="119695232"/>
        <c:axId val="119705600"/>
      </c:lineChart>
      <c:catAx>
        <c:axId val="119695232"/>
        <c:scaling>
          <c:orientation val="minMax"/>
        </c:scaling>
        <c:axPos val="b"/>
        <c:title>
          <c:tx>
            <c:rich>
              <a:bodyPr/>
              <a:lstStyle/>
              <a:p>
                <a:pPr>
                  <a:defRPr/>
                </a:pPr>
                <a:r>
                  <a:rPr lang="en-US"/>
                  <a:t>Years</a:t>
                </a:r>
              </a:p>
            </c:rich>
          </c:tx>
        </c:title>
        <c:numFmt formatCode="General" sourceLinked="1"/>
        <c:tickLblPos val="nextTo"/>
        <c:crossAx val="119705600"/>
        <c:crosses val="autoZero"/>
        <c:auto val="1"/>
        <c:lblAlgn val="ctr"/>
        <c:lblOffset val="100"/>
      </c:catAx>
      <c:valAx>
        <c:axId val="119705600"/>
        <c:scaling>
          <c:orientation val="minMax"/>
        </c:scaling>
        <c:axPos val="l"/>
        <c:majorGridlines/>
        <c:title>
          <c:tx>
            <c:rich>
              <a:bodyPr rot="-5400000" vert="horz"/>
              <a:lstStyle/>
              <a:p>
                <a:pPr>
                  <a:defRPr/>
                </a:pPr>
                <a:r>
                  <a:rPr lang="en-US"/>
                  <a:t>Debt to GDP ratio</a:t>
                </a:r>
              </a:p>
            </c:rich>
          </c:tx>
        </c:title>
        <c:numFmt formatCode="General" sourceLinked="1"/>
        <c:tickLblPos val="nextTo"/>
        <c:crossAx val="119695232"/>
        <c:crosses val="autoZero"/>
        <c:crossBetween val="between"/>
      </c:valAx>
    </c:plotArea>
    <c:legend>
      <c:legendPos val="r"/>
    </c:legend>
    <c:plotVisOnly val="1"/>
  </c:chart>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400"/>
              <a:t>Graph 12 Gross</a:t>
            </a:r>
            <a:r>
              <a:rPr lang="en-US" sz="1400" baseline="0"/>
              <a:t> Public &amp; Private Savings / Luxemburg</a:t>
            </a:r>
            <a:endParaRPr lang="el-GR" sz="1400"/>
          </a:p>
        </c:rich>
      </c:tx>
    </c:title>
    <c:plotArea>
      <c:layout/>
      <c:lineChart>
        <c:grouping val="standard"/>
        <c:ser>
          <c:idx val="0"/>
          <c:order val="0"/>
          <c:tx>
            <c:v>Gross Public Savings</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Φύλλο1!$B$2:$B$21</c:f>
              <c:numCache>
                <c:formatCode>General</c:formatCode>
                <c:ptCount val="20"/>
                <c:pt idx="0">
                  <c:v>1.187211</c:v>
                </c:pt>
                <c:pt idx="1">
                  <c:v>1.1724030000000001</c:v>
                </c:pt>
                <c:pt idx="2">
                  <c:v>1.2749609999999998</c:v>
                </c:pt>
                <c:pt idx="3">
                  <c:v>1.5319359999999898</c:v>
                </c:pt>
                <c:pt idx="4">
                  <c:v>1.7318899999999897</c:v>
                </c:pt>
                <c:pt idx="5">
                  <c:v>2.3569799999999725</c:v>
                </c:pt>
                <c:pt idx="6">
                  <c:v>2.2046600000000001</c:v>
                </c:pt>
                <c:pt idx="7">
                  <c:v>1.9800900000000001</c:v>
                </c:pt>
                <c:pt idx="8">
                  <c:v>1.6237599999999999</c:v>
                </c:pt>
                <c:pt idx="9">
                  <c:v>1.30498</c:v>
                </c:pt>
                <c:pt idx="10">
                  <c:v>1.8261099999999999</c:v>
                </c:pt>
                <c:pt idx="11">
                  <c:v>2.27475</c:v>
                </c:pt>
                <c:pt idx="12">
                  <c:v>3.2350699999999977</c:v>
                </c:pt>
                <c:pt idx="13">
                  <c:v>2.9695800000000001</c:v>
                </c:pt>
                <c:pt idx="14">
                  <c:v>1.8194299999999886</c:v>
                </c:pt>
                <c:pt idx="15">
                  <c:v>2.0807199999999999</c:v>
                </c:pt>
                <c:pt idx="16">
                  <c:v>2.36408</c:v>
                </c:pt>
                <c:pt idx="17">
                  <c:v>2.2303199999999999</c:v>
                </c:pt>
                <c:pt idx="18">
                  <c:v>2.4476399999999998</c:v>
                </c:pt>
                <c:pt idx="19">
                  <c:v>2.4220999999999977</c:v>
                </c:pt>
              </c:numCache>
            </c:numRef>
          </c:val>
        </c:ser>
        <c:ser>
          <c:idx val="1"/>
          <c:order val="1"/>
          <c:tx>
            <c:v>Gross Private Savings</c:v>
          </c:tx>
          <c:spPr>
            <a:ln>
              <a:solidFill>
                <a:schemeClr val="tx2">
                  <a:lumMod val="60000"/>
                  <a:lumOff val="40000"/>
                </a:schemeClr>
              </a:solidFill>
              <a:prstDash val="solid"/>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Φύλλο1!$C$2:$C$21</c:f>
              <c:numCache>
                <c:formatCode>General</c:formatCode>
                <c:ptCount val="20"/>
                <c:pt idx="0">
                  <c:v>3.8279239999999999</c:v>
                </c:pt>
                <c:pt idx="1">
                  <c:v>3.9160999999999753</c:v>
                </c:pt>
                <c:pt idx="2">
                  <c:v>4.0538099999999995</c:v>
                </c:pt>
                <c:pt idx="3">
                  <c:v>4.0862690000000654</c:v>
                </c:pt>
                <c:pt idx="4">
                  <c:v>4.6872249999999855</c:v>
                </c:pt>
                <c:pt idx="5">
                  <c:v>5.5275949999999385</c:v>
                </c:pt>
                <c:pt idx="6">
                  <c:v>4.8646779999999845</c:v>
                </c:pt>
                <c:pt idx="7">
                  <c:v>5.1297999999999995</c:v>
                </c:pt>
                <c:pt idx="8">
                  <c:v>5.4098350000000002</c:v>
                </c:pt>
                <c:pt idx="9">
                  <c:v>7.7700870000000002</c:v>
                </c:pt>
                <c:pt idx="10">
                  <c:v>7.5739580000000002</c:v>
                </c:pt>
                <c:pt idx="11">
                  <c:v>7.1738569999999955</c:v>
                </c:pt>
                <c:pt idx="12">
                  <c:v>7.2520680000000004</c:v>
                </c:pt>
                <c:pt idx="13">
                  <c:v>7.0617630000000124</c:v>
                </c:pt>
                <c:pt idx="14">
                  <c:v>6.4844290000000004</c:v>
                </c:pt>
                <c:pt idx="15">
                  <c:v>7.4021569999999945</c:v>
                </c:pt>
                <c:pt idx="16">
                  <c:v>8.1837490000000006</c:v>
                </c:pt>
                <c:pt idx="17">
                  <c:v>8.0453539999999997</c:v>
                </c:pt>
                <c:pt idx="18">
                  <c:v>7.2020839999999975</c:v>
                </c:pt>
                <c:pt idx="19">
                  <c:v>7.8382700000000014</c:v>
                </c:pt>
              </c:numCache>
            </c:numRef>
          </c:val>
        </c:ser>
        <c:marker val="1"/>
        <c:axId val="119755520"/>
        <c:axId val="119757440"/>
      </c:lineChart>
      <c:catAx>
        <c:axId val="119755520"/>
        <c:scaling>
          <c:orientation val="minMax"/>
        </c:scaling>
        <c:axPos val="b"/>
        <c:title>
          <c:tx>
            <c:rich>
              <a:bodyPr/>
              <a:lstStyle/>
              <a:p>
                <a:pPr>
                  <a:defRPr/>
                </a:pPr>
                <a:r>
                  <a:rPr lang="en-US"/>
                  <a:t>Years</a:t>
                </a:r>
              </a:p>
            </c:rich>
          </c:tx>
        </c:title>
        <c:numFmt formatCode="General" sourceLinked="1"/>
        <c:tickLblPos val="nextTo"/>
        <c:crossAx val="119757440"/>
        <c:crosses val="autoZero"/>
        <c:auto val="1"/>
        <c:lblAlgn val="ctr"/>
        <c:lblOffset val="100"/>
      </c:catAx>
      <c:valAx>
        <c:axId val="119757440"/>
        <c:scaling>
          <c:orientation val="minMax"/>
        </c:scaling>
        <c:axPos val="l"/>
        <c:majorGridlines/>
        <c:title>
          <c:tx>
            <c:rich>
              <a:bodyPr rot="-5400000" vert="horz"/>
              <a:lstStyle/>
              <a:p>
                <a:pPr>
                  <a:defRPr/>
                </a:pPr>
                <a:r>
                  <a:rPr lang="en-US"/>
                  <a:t>Savings in Billions</a:t>
                </a:r>
              </a:p>
            </c:rich>
          </c:tx>
        </c:title>
        <c:numFmt formatCode="General" sourceLinked="1"/>
        <c:tickLblPos val="nextTo"/>
        <c:crossAx val="119755520"/>
        <c:crosses val="autoZero"/>
        <c:crossBetween val="between"/>
      </c:valAx>
    </c:plotArea>
    <c:legend>
      <c:legendPos val="r"/>
    </c:legend>
    <c:plotVisOnly val="1"/>
  </c:chart>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400"/>
              <a:t>Graph 13 - Gross Public &amp; Private Savings / Finland</a:t>
            </a:r>
          </a:p>
        </c:rich>
      </c:tx>
    </c:title>
    <c:plotArea>
      <c:layout/>
      <c:lineChart>
        <c:grouping val="standard"/>
        <c:ser>
          <c:idx val="0"/>
          <c:order val="0"/>
          <c:tx>
            <c:v>Gross Public Savings</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Φύλλο1!$E$2:$E$21</c:f>
              <c:numCache>
                <c:formatCode>General</c:formatCode>
                <c:ptCount val="20"/>
                <c:pt idx="0">
                  <c:v>0.48744000000000032</c:v>
                </c:pt>
                <c:pt idx="1">
                  <c:v>2.1107300000000002</c:v>
                </c:pt>
                <c:pt idx="2">
                  <c:v>3.5407600000000001</c:v>
                </c:pt>
                <c:pt idx="3">
                  <c:v>6.9062800000000024</c:v>
                </c:pt>
                <c:pt idx="4">
                  <c:v>7.6079999999999846</c:v>
                </c:pt>
                <c:pt idx="5">
                  <c:v>14.143000000000001</c:v>
                </c:pt>
                <c:pt idx="6">
                  <c:v>12.223000000000001</c:v>
                </c:pt>
                <c:pt idx="7">
                  <c:v>11.475000000000026</c:v>
                </c:pt>
                <c:pt idx="8">
                  <c:v>9.2580000000000009</c:v>
                </c:pt>
                <c:pt idx="9">
                  <c:v>9.4690000000000047</c:v>
                </c:pt>
                <c:pt idx="10">
                  <c:v>10.138999999999999</c:v>
                </c:pt>
                <c:pt idx="11">
                  <c:v>12.279</c:v>
                </c:pt>
                <c:pt idx="12">
                  <c:v>15.860000000000024</c:v>
                </c:pt>
                <c:pt idx="13">
                  <c:v>14.759</c:v>
                </c:pt>
                <c:pt idx="14">
                  <c:v>2.7450000000000001</c:v>
                </c:pt>
                <c:pt idx="15">
                  <c:v>1.9370000000000001</c:v>
                </c:pt>
                <c:pt idx="16">
                  <c:v>5.5</c:v>
                </c:pt>
                <c:pt idx="17">
                  <c:v>3.6319999999999997</c:v>
                </c:pt>
                <c:pt idx="18">
                  <c:v>2.9239999999999999</c:v>
                </c:pt>
                <c:pt idx="19">
                  <c:v>2.004</c:v>
                </c:pt>
              </c:numCache>
            </c:numRef>
          </c:val>
        </c:ser>
        <c:ser>
          <c:idx val="1"/>
          <c:order val="1"/>
          <c:tx>
            <c:v>Gross Private Savings</c:v>
          </c:tx>
          <c:spPr>
            <a:ln>
              <a:solidFill>
                <a:schemeClr val="tx2">
                  <a:lumMod val="60000"/>
                  <a:lumOff val="40000"/>
                </a:schemeClr>
              </a:solidFill>
              <a:prstDash val="solid"/>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Φύλλο1!$F$2:$F$21</c:f>
              <c:numCache>
                <c:formatCode>General</c:formatCode>
                <c:ptCount val="20"/>
                <c:pt idx="0">
                  <c:v>23.645230000000002</c:v>
                </c:pt>
                <c:pt idx="1">
                  <c:v>21.740860000000001</c:v>
                </c:pt>
                <c:pt idx="2">
                  <c:v>25.56183</c:v>
                </c:pt>
                <c:pt idx="3">
                  <c:v>25.679150000000035</c:v>
                </c:pt>
                <c:pt idx="4">
                  <c:v>28.818999999999999</c:v>
                </c:pt>
                <c:pt idx="5">
                  <c:v>27.652000000000001</c:v>
                </c:pt>
                <c:pt idx="6">
                  <c:v>32.97</c:v>
                </c:pt>
                <c:pt idx="7">
                  <c:v>33.296000000000063</c:v>
                </c:pt>
                <c:pt idx="8">
                  <c:v>32.088000000000001</c:v>
                </c:pt>
                <c:pt idx="9">
                  <c:v>36.246000000000002</c:v>
                </c:pt>
                <c:pt idx="10">
                  <c:v>35.850999999999999</c:v>
                </c:pt>
                <c:pt idx="11">
                  <c:v>36.747</c:v>
                </c:pt>
                <c:pt idx="12">
                  <c:v>39.4</c:v>
                </c:pt>
                <c:pt idx="13">
                  <c:v>39.093000000000011</c:v>
                </c:pt>
                <c:pt idx="14">
                  <c:v>39.28</c:v>
                </c:pt>
                <c:pt idx="15">
                  <c:v>41.233000000000011</c:v>
                </c:pt>
                <c:pt idx="16">
                  <c:v>37.9</c:v>
                </c:pt>
                <c:pt idx="17">
                  <c:v>37.487000000000002</c:v>
                </c:pt>
                <c:pt idx="18">
                  <c:v>35.695000000000213</c:v>
                </c:pt>
                <c:pt idx="19">
                  <c:v>35.550000000000004</c:v>
                </c:pt>
              </c:numCache>
            </c:numRef>
          </c:val>
        </c:ser>
        <c:marker val="1"/>
        <c:axId val="119778688"/>
        <c:axId val="119850496"/>
      </c:lineChart>
      <c:catAx>
        <c:axId val="119778688"/>
        <c:scaling>
          <c:orientation val="minMax"/>
        </c:scaling>
        <c:axPos val="b"/>
        <c:title>
          <c:tx>
            <c:rich>
              <a:bodyPr/>
              <a:lstStyle/>
              <a:p>
                <a:pPr>
                  <a:defRPr/>
                </a:pPr>
                <a:r>
                  <a:rPr lang="en-US"/>
                  <a:t>Years</a:t>
                </a:r>
              </a:p>
            </c:rich>
          </c:tx>
        </c:title>
        <c:numFmt formatCode="General" sourceLinked="1"/>
        <c:tickLblPos val="nextTo"/>
        <c:crossAx val="119850496"/>
        <c:crosses val="autoZero"/>
        <c:auto val="1"/>
        <c:lblAlgn val="ctr"/>
        <c:lblOffset val="100"/>
      </c:catAx>
      <c:valAx>
        <c:axId val="119850496"/>
        <c:scaling>
          <c:orientation val="minMax"/>
        </c:scaling>
        <c:axPos val="l"/>
        <c:majorGridlines/>
        <c:title>
          <c:tx>
            <c:rich>
              <a:bodyPr rot="-5400000" vert="horz"/>
              <a:lstStyle/>
              <a:p>
                <a:pPr>
                  <a:defRPr/>
                </a:pPr>
                <a:r>
                  <a:rPr lang="en-US"/>
                  <a:t>Savings in Billions</a:t>
                </a:r>
              </a:p>
            </c:rich>
          </c:tx>
        </c:title>
        <c:numFmt formatCode="General" sourceLinked="1"/>
        <c:tickLblPos val="nextTo"/>
        <c:crossAx val="119778688"/>
        <c:crosses val="autoZero"/>
        <c:crossBetween val="between"/>
      </c:valAx>
    </c:plotArea>
    <c:legend>
      <c:legendPos val="r"/>
    </c:legend>
    <c:plotVisOnly val="1"/>
  </c:chart>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400"/>
              <a:t>Graph 14 - Gross Public &amp; Private Savings / Netherlands</a:t>
            </a:r>
          </a:p>
        </c:rich>
      </c:tx>
    </c:title>
    <c:plotArea>
      <c:layout/>
      <c:lineChart>
        <c:grouping val="standard"/>
        <c:ser>
          <c:idx val="0"/>
          <c:order val="0"/>
          <c:tx>
            <c:v>Gross Public Savings</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Φύλλο1!$H$2:$H$21</c:f>
              <c:numCache>
                <c:formatCode>General</c:formatCode>
                <c:ptCount val="20"/>
                <c:pt idx="0">
                  <c:v>-0.23623000000000041</c:v>
                </c:pt>
                <c:pt idx="1">
                  <c:v>5.3235599999999845</c:v>
                </c:pt>
                <c:pt idx="2">
                  <c:v>8.0670100000000016</c:v>
                </c:pt>
                <c:pt idx="3">
                  <c:v>9.5151300000000028</c:v>
                </c:pt>
                <c:pt idx="4">
                  <c:v>16.501999999999999</c:v>
                </c:pt>
                <c:pt idx="5">
                  <c:v>22.364999999999988</c:v>
                </c:pt>
                <c:pt idx="6">
                  <c:v>18.631000000000135</c:v>
                </c:pt>
                <c:pt idx="7">
                  <c:v>10.786</c:v>
                </c:pt>
                <c:pt idx="8">
                  <c:v>6.6</c:v>
                </c:pt>
                <c:pt idx="9">
                  <c:v>10.18</c:v>
                </c:pt>
                <c:pt idx="10">
                  <c:v>16.64</c:v>
                </c:pt>
                <c:pt idx="11">
                  <c:v>20.464999999999989</c:v>
                </c:pt>
                <c:pt idx="12">
                  <c:v>22.913</c:v>
                </c:pt>
                <c:pt idx="13">
                  <c:v>25.911000000000001</c:v>
                </c:pt>
                <c:pt idx="14">
                  <c:v>-2.8339999999999987</c:v>
                </c:pt>
                <c:pt idx="15">
                  <c:v>-2.0149999999999997</c:v>
                </c:pt>
                <c:pt idx="16">
                  <c:v>-1.3720000000000001</c:v>
                </c:pt>
                <c:pt idx="17">
                  <c:v>0.19700000000000001</c:v>
                </c:pt>
                <c:pt idx="18">
                  <c:v>7.2069999999999999</c:v>
                </c:pt>
                <c:pt idx="19">
                  <c:v>8.5620000000000047</c:v>
                </c:pt>
              </c:numCache>
            </c:numRef>
          </c:val>
        </c:ser>
        <c:ser>
          <c:idx val="1"/>
          <c:order val="1"/>
          <c:tx>
            <c:v>Gross Private Savings</c:v>
          </c:tx>
          <c:spPr>
            <a:ln>
              <a:solidFill>
                <a:schemeClr val="tx2">
                  <a:lumMod val="60000"/>
                  <a:lumOff val="40000"/>
                </a:schemeClr>
              </a:solidFill>
              <a:prstDash val="solid"/>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Φύλλο1!$I$2:$I$21</c:f>
              <c:numCache>
                <c:formatCode>General</c:formatCode>
                <c:ptCount val="20"/>
                <c:pt idx="0">
                  <c:v>97.4</c:v>
                </c:pt>
                <c:pt idx="1">
                  <c:v>92.970200000000006</c:v>
                </c:pt>
                <c:pt idx="2">
                  <c:v>97.697199999999995</c:v>
                </c:pt>
                <c:pt idx="3">
                  <c:v>94.580399999999983</c:v>
                </c:pt>
                <c:pt idx="4">
                  <c:v>102.288</c:v>
                </c:pt>
                <c:pt idx="5">
                  <c:v>109.49100000000062</c:v>
                </c:pt>
                <c:pt idx="6">
                  <c:v>109.54</c:v>
                </c:pt>
                <c:pt idx="7">
                  <c:v>117.54300000000002</c:v>
                </c:pt>
                <c:pt idx="8">
                  <c:v>129.47999999999999</c:v>
                </c:pt>
                <c:pt idx="9">
                  <c:v>137.35000000000107</c:v>
                </c:pt>
                <c:pt idx="10">
                  <c:v>130.11599999999999</c:v>
                </c:pt>
                <c:pt idx="11">
                  <c:v>146.994</c:v>
                </c:pt>
                <c:pt idx="12">
                  <c:v>156.13499999999999</c:v>
                </c:pt>
                <c:pt idx="13">
                  <c:v>144.9280000000013</c:v>
                </c:pt>
                <c:pt idx="14">
                  <c:v>165.65700000000001</c:v>
                </c:pt>
                <c:pt idx="15">
                  <c:v>178.47499999999999</c:v>
                </c:pt>
                <c:pt idx="16">
                  <c:v>179.02</c:v>
                </c:pt>
                <c:pt idx="17">
                  <c:v>180.47900000000001</c:v>
                </c:pt>
                <c:pt idx="18">
                  <c:v>165.11699999999999</c:v>
                </c:pt>
                <c:pt idx="19">
                  <c:v>176.78399999999999</c:v>
                </c:pt>
              </c:numCache>
            </c:numRef>
          </c:val>
        </c:ser>
        <c:marker val="1"/>
        <c:axId val="119884032"/>
        <c:axId val="119886208"/>
      </c:lineChart>
      <c:catAx>
        <c:axId val="119884032"/>
        <c:scaling>
          <c:orientation val="minMax"/>
        </c:scaling>
        <c:axPos val="b"/>
        <c:title>
          <c:tx>
            <c:rich>
              <a:bodyPr/>
              <a:lstStyle/>
              <a:p>
                <a:pPr>
                  <a:defRPr/>
                </a:pPr>
                <a:r>
                  <a:rPr lang="en-US"/>
                  <a:t>Years</a:t>
                </a:r>
              </a:p>
            </c:rich>
          </c:tx>
        </c:title>
        <c:numFmt formatCode="General" sourceLinked="1"/>
        <c:tickLblPos val="nextTo"/>
        <c:crossAx val="119886208"/>
        <c:crosses val="autoZero"/>
        <c:auto val="1"/>
        <c:lblAlgn val="ctr"/>
        <c:lblOffset val="100"/>
      </c:catAx>
      <c:valAx>
        <c:axId val="119886208"/>
        <c:scaling>
          <c:orientation val="minMax"/>
        </c:scaling>
        <c:axPos val="l"/>
        <c:majorGridlines/>
        <c:title>
          <c:tx>
            <c:rich>
              <a:bodyPr rot="-5400000" vert="horz"/>
              <a:lstStyle/>
              <a:p>
                <a:pPr>
                  <a:defRPr/>
                </a:pPr>
                <a:r>
                  <a:rPr lang="en-US"/>
                  <a:t>Savings in Billions </a:t>
                </a:r>
              </a:p>
            </c:rich>
          </c:tx>
        </c:title>
        <c:numFmt formatCode="General" sourceLinked="1"/>
        <c:tickLblPos val="nextTo"/>
        <c:crossAx val="119884032"/>
        <c:crosses val="autoZero"/>
        <c:crossBetween val="between"/>
      </c:valAx>
    </c:plotArea>
    <c:legend>
      <c:legendPos val="r"/>
    </c:legend>
    <c:plotVisOnly val="1"/>
  </c:chart>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400"/>
              <a:t>Graph</a:t>
            </a:r>
            <a:r>
              <a:rPr lang="en-US" sz="1400" baseline="0"/>
              <a:t> 15 - </a:t>
            </a:r>
            <a:r>
              <a:rPr lang="en-US" sz="1400"/>
              <a:t>Gross Public &amp; Private Savings / Germany</a:t>
            </a:r>
          </a:p>
        </c:rich>
      </c:tx>
    </c:title>
    <c:plotArea>
      <c:layout/>
      <c:lineChart>
        <c:grouping val="standard"/>
        <c:ser>
          <c:idx val="0"/>
          <c:order val="0"/>
          <c:tx>
            <c:v>Gross Public Savings</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Φύλλο1!$K$2:$K$21</c:f>
              <c:numCache>
                <c:formatCode>General</c:formatCode>
                <c:ptCount val="20"/>
                <c:pt idx="0">
                  <c:v>9.7689699999999995</c:v>
                </c:pt>
                <c:pt idx="1">
                  <c:v>-1.9081600000000001</c:v>
                </c:pt>
                <c:pt idx="2">
                  <c:v>4.3917999999999999</c:v>
                </c:pt>
                <c:pt idx="3">
                  <c:v>15.843260000000001</c:v>
                </c:pt>
                <c:pt idx="4">
                  <c:v>33.205000000000013</c:v>
                </c:pt>
                <c:pt idx="5">
                  <c:v>40.181000000000004</c:v>
                </c:pt>
                <c:pt idx="6">
                  <c:v>9.4760000000000026</c:v>
                </c:pt>
                <c:pt idx="7">
                  <c:v>-10.914</c:v>
                </c:pt>
                <c:pt idx="8">
                  <c:v>-16.782999999999795</c:v>
                </c:pt>
                <c:pt idx="9">
                  <c:v>-15.209</c:v>
                </c:pt>
                <c:pt idx="10">
                  <c:v>-7.8619999999999965</c:v>
                </c:pt>
                <c:pt idx="11">
                  <c:v>29.564</c:v>
                </c:pt>
                <c:pt idx="12">
                  <c:v>73.958000000000013</c:v>
                </c:pt>
                <c:pt idx="13">
                  <c:v>77.772999999999982</c:v>
                </c:pt>
                <c:pt idx="14">
                  <c:v>3.8239999999999998</c:v>
                </c:pt>
                <c:pt idx="15">
                  <c:v>0.40100000000000002</c:v>
                </c:pt>
                <c:pt idx="16">
                  <c:v>56.77</c:v>
                </c:pt>
                <c:pt idx="17">
                  <c:v>80.040999999999997</c:v>
                </c:pt>
                <c:pt idx="18">
                  <c:v>79.995999999999995</c:v>
                </c:pt>
                <c:pt idx="19">
                  <c:v>92.95</c:v>
                </c:pt>
              </c:numCache>
            </c:numRef>
          </c:val>
        </c:ser>
        <c:ser>
          <c:idx val="1"/>
          <c:order val="1"/>
          <c:tx>
            <c:v>Gross Private Savings</c:v>
          </c:tx>
          <c:spPr>
            <a:ln>
              <a:solidFill>
                <a:schemeClr val="tx2">
                  <a:lumMod val="60000"/>
                  <a:lumOff val="40000"/>
                </a:schemeClr>
              </a:solidFill>
              <a:prstDash val="solid"/>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Φύλλο1!$L$2:$L$21</c:f>
              <c:numCache>
                <c:formatCode>General</c:formatCode>
                <c:ptCount val="20"/>
                <c:pt idx="0">
                  <c:v>437.31470000000002</c:v>
                </c:pt>
                <c:pt idx="1">
                  <c:v>436.02159999999657</c:v>
                </c:pt>
                <c:pt idx="2">
                  <c:v>429.61689999999999</c:v>
                </c:pt>
                <c:pt idx="3">
                  <c:v>435.29589999999899</c:v>
                </c:pt>
                <c:pt idx="4">
                  <c:v>420.31400000000002</c:v>
                </c:pt>
                <c:pt idx="5">
                  <c:v>427.45400000000001</c:v>
                </c:pt>
                <c:pt idx="6">
                  <c:v>468.12700000000001</c:v>
                </c:pt>
                <c:pt idx="7">
                  <c:v>492.42200000000003</c:v>
                </c:pt>
                <c:pt idx="8">
                  <c:v>485.90099999999899</c:v>
                </c:pt>
                <c:pt idx="9">
                  <c:v>550.76900000000001</c:v>
                </c:pt>
                <c:pt idx="10">
                  <c:v>547.87400000000002</c:v>
                </c:pt>
                <c:pt idx="11">
                  <c:v>582.67700000000002</c:v>
                </c:pt>
                <c:pt idx="12">
                  <c:v>621.88699999999949</c:v>
                </c:pt>
                <c:pt idx="13">
                  <c:v>604.62300000000005</c:v>
                </c:pt>
                <c:pt idx="14">
                  <c:v>589.94999999999948</c:v>
                </c:pt>
                <c:pt idx="15">
                  <c:v>653.86399999999946</c:v>
                </c:pt>
                <c:pt idx="16">
                  <c:v>666.05099999999948</c:v>
                </c:pt>
                <c:pt idx="17">
                  <c:v>645.83399999999949</c:v>
                </c:pt>
                <c:pt idx="18">
                  <c:v>647.58900000000051</c:v>
                </c:pt>
                <c:pt idx="19">
                  <c:v>674.86300000000006</c:v>
                </c:pt>
              </c:numCache>
            </c:numRef>
          </c:val>
        </c:ser>
        <c:marker val="1"/>
        <c:axId val="119895168"/>
        <c:axId val="119897088"/>
      </c:lineChart>
      <c:catAx>
        <c:axId val="119895168"/>
        <c:scaling>
          <c:orientation val="minMax"/>
        </c:scaling>
        <c:axPos val="b"/>
        <c:title>
          <c:tx>
            <c:rich>
              <a:bodyPr/>
              <a:lstStyle/>
              <a:p>
                <a:pPr>
                  <a:defRPr/>
                </a:pPr>
                <a:r>
                  <a:rPr lang="en-US"/>
                  <a:t>Years</a:t>
                </a:r>
              </a:p>
            </c:rich>
          </c:tx>
        </c:title>
        <c:numFmt formatCode="General" sourceLinked="1"/>
        <c:tickLblPos val="nextTo"/>
        <c:crossAx val="119897088"/>
        <c:crosses val="autoZero"/>
        <c:auto val="1"/>
        <c:lblAlgn val="ctr"/>
        <c:lblOffset val="100"/>
      </c:catAx>
      <c:valAx>
        <c:axId val="119897088"/>
        <c:scaling>
          <c:orientation val="minMax"/>
        </c:scaling>
        <c:axPos val="l"/>
        <c:majorGridlines/>
        <c:title>
          <c:tx>
            <c:rich>
              <a:bodyPr rot="-5400000" vert="horz"/>
              <a:lstStyle/>
              <a:p>
                <a:pPr>
                  <a:defRPr/>
                </a:pPr>
                <a:r>
                  <a:rPr lang="en-US"/>
                  <a:t>Savings in Billions </a:t>
                </a:r>
              </a:p>
            </c:rich>
          </c:tx>
        </c:title>
        <c:numFmt formatCode="General" sourceLinked="1"/>
        <c:tickLblPos val="nextTo"/>
        <c:crossAx val="119895168"/>
        <c:crosses val="autoZero"/>
        <c:crossBetween val="between"/>
      </c:valAx>
    </c:plotArea>
    <c:legend>
      <c:legendPos val="r"/>
    </c:legend>
    <c:plotVisOnly val="1"/>
  </c:chart>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400"/>
              <a:t>Graph 16 - Gross Public and Private Savings / Austria</a:t>
            </a:r>
          </a:p>
        </c:rich>
      </c:tx>
    </c:title>
    <c:plotArea>
      <c:layout/>
      <c:lineChart>
        <c:grouping val="standard"/>
        <c:ser>
          <c:idx val="0"/>
          <c:order val="0"/>
          <c:tx>
            <c:v>Gross Public Savings </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Φύλλο1!$N$2:$N$21</c:f>
              <c:numCache>
                <c:formatCode>General</c:formatCode>
                <c:ptCount val="20"/>
                <c:pt idx="0">
                  <c:v>-1.2432539999999999</c:v>
                </c:pt>
                <c:pt idx="1">
                  <c:v>2.0125919999999997</c:v>
                </c:pt>
                <c:pt idx="2">
                  <c:v>3.8328269999999702</c:v>
                </c:pt>
                <c:pt idx="3">
                  <c:v>3.743652</c:v>
                </c:pt>
                <c:pt idx="4">
                  <c:v>3.2226699999999977</c:v>
                </c:pt>
                <c:pt idx="5">
                  <c:v>3.4032399999999998</c:v>
                </c:pt>
                <c:pt idx="6">
                  <c:v>7.3834999999999997</c:v>
                </c:pt>
                <c:pt idx="7">
                  <c:v>5.5769700000000002</c:v>
                </c:pt>
                <c:pt idx="8">
                  <c:v>4.1363099999999999</c:v>
                </c:pt>
                <c:pt idx="9">
                  <c:v>5.6561599999999945</c:v>
                </c:pt>
                <c:pt idx="10">
                  <c:v>3.6354499999999725</c:v>
                </c:pt>
                <c:pt idx="11">
                  <c:v>3.7933300000000258</c:v>
                </c:pt>
                <c:pt idx="12">
                  <c:v>7.6748099999999955</c:v>
                </c:pt>
                <c:pt idx="13">
                  <c:v>7.9878499999999999</c:v>
                </c:pt>
                <c:pt idx="14">
                  <c:v>-0.93974000000000579</c:v>
                </c:pt>
                <c:pt idx="15">
                  <c:v>-0.58915999999999957</c:v>
                </c:pt>
                <c:pt idx="16">
                  <c:v>4.0242699999999996</c:v>
                </c:pt>
                <c:pt idx="17">
                  <c:v>5.2625699999999975</c:v>
                </c:pt>
                <c:pt idx="18">
                  <c:v>6.1075799999999845</c:v>
                </c:pt>
                <c:pt idx="19">
                  <c:v>7.2110599999999998</c:v>
                </c:pt>
              </c:numCache>
            </c:numRef>
          </c:val>
        </c:ser>
        <c:ser>
          <c:idx val="1"/>
          <c:order val="1"/>
          <c:tx>
            <c:v>Gross Private Savings</c:v>
          </c:tx>
          <c:spPr>
            <a:ln>
              <a:solidFill>
                <a:schemeClr val="tx2">
                  <a:lumMod val="60000"/>
                  <a:lumOff val="40000"/>
                </a:schemeClr>
              </a:solidFill>
              <a:prstDash val="solid"/>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Φύλλο1!$O$2:$O$21</c:f>
              <c:numCache>
                <c:formatCode>General</c:formatCode>
                <c:ptCount val="20"/>
                <c:pt idx="0">
                  <c:v>45.470469999999999</c:v>
                </c:pt>
                <c:pt idx="1">
                  <c:v>42.44753</c:v>
                </c:pt>
                <c:pt idx="2">
                  <c:v>41.304049999999997</c:v>
                </c:pt>
                <c:pt idx="3">
                  <c:v>43.774250000000002</c:v>
                </c:pt>
                <c:pt idx="4">
                  <c:v>46.514420000000001</c:v>
                </c:pt>
                <c:pt idx="5">
                  <c:v>49.471380000000003</c:v>
                </c:pt>
                <c:pt idx="6">
                  <c:v>46.414149999999999</c:v>
                </c:pt>
                <c:pt idx="7">
                  <c:v>53.515600000000006</c:v>
                </c:pt>
                <c:pt idx="8">
                  <c:v>55.11242</c:v>
                </c:pt>
                <c:pt idx="9">
                  <c:v>57.238870000000013</c:v>
                </c:pt>
                <c:pt idx="10">
                  <c:v>60.614989999999999</c:v>
                </c:pt>
                <c:pt idx="11">
                  <c:v>67.328449999999989</c:v>
                </c:pt>
                <c:pt idx="12">
                  <c:v>71.658759999999958</c:v>
                </c:pt>
                <c:pt idx="13">
                  <c:v>75.502449999999982</c:v>
                </c:pt>
                <c:pt idx="14">
                  <c:v>71.71378</c:v>
                </c:pt>
                <c:pt idx="15">
                  <c:v>75.709509999999995</c:v>
                </c:pt>
                <c:pt idx="16">
                  <c:v>76.988749999999982</c:v>
                </c:pt>
                <c:pt idx="17">
                  <c:v>78.963939999999994</c:v>
                </c:pt>
                <c:pt idx="18">
                  <c:v>74.603329999999985</c:v>
                </c:pt>
                <c:pt idx="19">
                  <c:v>75.33193</c:v>
                </c:pt>
              </c:numCache>
            </c:numRef>
          </c:val>
        </c:ser>
        <c:marker val="1"/>
        <c:axId val="121020416"/>
        <c:axId val="121022336"/>
      </c:lineChart>
      <c:catAx>
        <c:axId val="121020416"/>
        <c:scaling>
          <c:orientation val="minMax"/>
        </c:scaling>
        <c:axPos val="b"/>
        <c:title>
          <c:tx>
            <c:rich>
              <a:bodyPr/>
              <a:lstStyle/>
              <a:p>
                <a:pPr>
                  <a:defRPr/>
                </a:pPr>
                <a:r>
                  <a:rPr lang="en-US"/>
                  <a:t>Years</a:t>
                </a:r>
              </a:p>
            </c:rich>
          </c:tx>
        </c:title>
        <c:numFmt formatCode="General" sourceLinked="1"/>
        <c:tickLblPos val="nextTo"/>
        <c:crossAx val="121022336"/>
        <c:crosses val="autoZero"/>
        <c:auto val="1"/>
        <c:lblAlgn val="ctr"/>
        <c:lblOffset val="100"/>
      </c:catAx>
      <c:valAx>
        <c:axId val="121022336"/>
        <c:scaling>
          <c:orientation val="minMax"/>
        </c:scaling>
        <c:axPos val="l"/>
        <c:majorGridlines/>
        <c:title>
          <c:tx>
            <c:rich>
              <a:bodyPr rot="-5400000" vert="horz"/>
              <a:lstStyle/>
              <a:p>
                <a:pPr>
                  <a:defRPr/>
                </a:pPr>
                <a:r>
                  <a:rPr lang="en-US"/>
                  <a:t>Savings in Billions</a:t>
                </a:r>
              </a:p>
            </c:rich>
          </c:tx>
        </c:title>
        <c:numFmt formatCode="General" sourceLinked="1"/>
        <c:tickLblPos val="nextTo"/>
        <c:crossAx val="121020416"/>
        <c:crosses val="autoZero"/>
        <c:crossBetween val="between"/>
      </c:valAx>
    </c:plotArea>
    <c:legend>
      <c:legendPos val="r"/>
    </c:legend>
    <c:plotVisOnly val="1"/>
  </c:chart>
  <c:externalData r:id="rId1"/>
</c:chartSpace>
</file>

<file path=word/charts/chart17.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a:pPr>
            <a:r>
              <a:rPr lang="en-US" sz="1400"/>
              <a:t>Graph 17</a:t>
            </a:r>
            <a:r>
              <a:rPr lang="en-US" sz="1400" baseline="0"/>
              <a:t> - </a:t>
            </a:r>
            <a:r>
              <a:rPr lang="en-US" sz="1400"/>
              <a:t>Gross Public &amp; Private Savings / France</a:t>
            </a:r>
          </a:p>
        </c:rich>
      </c:tx>
    </c:title>
    <c:plotArea>
      <c:layout/>
      <c:lineChart>
        <c:grouping val="standard"/>
        <c:ser>
          <c:idx val="0"/>
          <c:order val="0"/>
          <c:tx>
            <c:v>Gross Public Savings</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Φύλλο1!$Q$2:$Q$21</c:f>
              <c:numCache>
                <c:formatCode>General</c:formatCode>
                <c:ptCount val="20"/>
                <c:pt idx="0">
                  <c:v>5.3630099999999965</c:v>
                </c:pt>
                <c:pt idx="1">
                  <c:v>12.56845</c:v>
                </c:pt>
                <c:pt idx="2">
                  <c:v>13.776620000000001</c:v>
                </c:pt>
                <c:pt idx="3">
                  <c:v>28.64827</c:v>
                </c:pt>
                <c:pt idx="4">
                  <c:v>43.288500000000013</c:v>
                </c:pt>
                <c:pt idx="5">
                  <c:v>46.207600000000006</c:v>
                </c:pt>
                <c:pt idx="6">
                  <c:v>47.490400000000001</c:v>
                </c:pt>
                <c:pt idx="7">
                  <c:v>20.1325</c:v>
                </c:pt>
                <c:pt idx="8">
                  <c:v>6.2603999999999997</c:v>
                </c:pt>
                <c:pt idx="9">
                  <c:v>14.7348</c:v>
                </c:pt>
                <c:pt idx="10">
                  <c:v>22.533200000000001</c:v>
                </c:pt>
                <c:pt idx="11">
                  <c:v>41.727800000000002</c:v>
                </c:pt>
                <c:pt idx="12">
                  <c:v>41.317799999999998</c:v>
                </c:pt>
                <c:pt idx="13">
                  <c:v>35.1875</c:v>
                </c:pt>
                <c:pt idx="14">
                  <c:v>-35.097000000000001</c:v>
                </c:pt>
                <c:pt idx="15">
                  <c:v>-33.763000000000012</c:v>
                </c:pt>
                <c:pt idx="16">
                  <c:v>-5.4459999999999997</c:v>
                </c:pt>
                <c:pt idx="17">
                  <c:v>3.0579999999999998</c:v>
                </c:pt>
                <c:pt idx="18">
                  <c:v>17.710999999999999</c:v>
                </c:pt>
                <c:pt idx="19">
                  <c:v>12.947000000000001</c:v>
                </c:pt>
              </c:numCache>
            </c:numRef>
          </c:val>
        </c:ser>
        <c:ser>
          <c:idx val="1"/>
          <c:order val="1"/>
          <c:tx>
            <c:v>Gross Private Savings</c:v>
          </c:tx>
          <c:spPr>
            <a:ln>
              <a:solidFill>
                <a:schemeClr val="tx2">
                  <a:lumMod val="60000"/>
                  <a:lumOff val="40000"/>
                </a:schemeClr>
              </a:solidFill>
              <a:prstDash val="solid"/>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Φύλλο1!$R$2:$R$21</c:f>
              <c:numCache>
                <c:formatCode>General</c:formatCode>
                <c:ptCount val="20"/>
                <c:pt idx="0">
                  <c:v>254.6985</c:v>
                </c:pt>
                <c:pt idx="1">
                  <c:v>252.44730000000001</c:v>
                </c:pt>
                <c:pt idx="2">
                  <c:v>271.44119999999663</c:v>
                </c:pt>
                <c:pt idx="3">
                  <c:v>283.96449999999999</c:v>
                </c:pt>
                <c:pt idx="4">
                  <c:v>294.57279999999969</c:v>
                </c:pt>
                <c:pt idx="5">
                  <c:v>306.78649999999863</c:v>
                </c:pt>
                <c:pt idx="6">
                  <c:v>316.35160000000002</c:v>
                </c:pt>
                <c:pt idx="7">
                  <c:v>336.93909999999869</c:v>
                </c:pt>
                <c:pt idx="8">
                  <c:v>352.32229999999993</c:v>
                </c:pt>
                <c:pt idx="9">
                  <c:v>367.02569999999969</c:v>
                </c:pt>
                <c:pt idx="10">
                  <c:v>367.53329999999869</c:v>
                </c:pt>
                <c:pt idx="11">
                  <c:v>376.41389999999899</c:v>
                </c:pt>
                <c:pt idx="12">
                  <c:v>407.11360000000002</c:v>
                </c:pt>
                <c:pt idx="13">
                  <c:v>418.00149999999923</c:v>
                </c:pt>
                <c:pt idx="14">
                  <c:v>417.04489999999998</c:v>
                </c:pt>
                <c:pt idx="15">
                  <c:v>436.72299999999899</c:v>
                </c:pt>
                <c:pt idx="16">
                  <c:v>437.44</c:v>
                </c:pt>
                <c:pt idx="17">
                  <c:v>419.27299999999963</c:v>
                </c:pt>
                <c:pt idx="18">
                  <c:v>405.64900000000301</c:v>
                </c:pt>
                <c:pt idx="19">
                  <c:v>419.41529999999869</c:v>
                </c:pt>
              </c:numCache>
            </c:numRef>
          </c:val>
        </c:ser>
        <c:marker val="1"/>
        <c:axId val="122165888"/>
        <c:axId val="122172160"/>
      </c:lineChart>
      <c:catAx>
        <c:axId val="122165888"/>
        <c:scaling>
          <c:orientation val="minMax"/>
        </c:scaling>
        <c:axPos val="b"/>
        <c:title>
          <c:tx>
            <c:rich>
              <a:bodyPr/>
              <a:lstStyle/>
              <a:p>
                <a:pPr>
                  <a:defRPr/>
                </a:pPr>
                <a:r>
                  <a:rPr lang="en-US"/>
                  <a:t>Years</a:t>
                </a:r>
              </a:p>
            </c:rich>
          </c:tx>
        </c:title>
        <c:numFmt formatCode="General" sourceLinked="1"/>
        <c:tickLblPos val="nextTo"/>
        <c:crossAx val="122172160"/>
        <c:crosses val="autoZero"/>
        <c:auto val="1"/>
        <c:lblAlgn val="ctr"/>
        <c:lblOffset val="100"/>
      </c:catAx>
      <c:valAx>
        <c:axId val="122172160"/>
        <c:scaling>
          <c:orientation val="minMax"/>
        </c:scaling>
        <c:axPos val="l"/>
        <c:majorGridlines/>
        <c:title>
          <c:tx>
            <c:rich>
              <a:bodyPr rot="-5400000" vert="horz"/>
              <a:lstStyle/>
              <a:p>
                <a:pPr>
                  <a:defRPr/>
                </a:pPr>
                <a:r>
                  <a:rPr lang="en-US"/>
                  <a:t>Savings in Billions</a:t>
                </a:r>
              </a:p>
            </c:rich>
          </c:tx>
        </c:title>
        <c:numFmt formatCode="General" sourceLinked="1"/>
        <c:tickLblPos val="nextTo"/>
        <c:crossAx val="122165888"/>
        <c:crosses val="autoZero"/>
        <c:crossBetween val="between"/>
      </c:valAx>
    </c:plotArea>
    <c:legend>
      <c:legendPos val="r"/>
    </c:legend>
    <c:plotVisOnly val="1"/>
  </c:chart>
  <c:externalData r:id="rId1"/>
</c:chartSpace>
</file>

<file path=word/charts/chart18.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400"/>
              <a:t>Graph 18 - Gross Public &amp; Private Savings / Belgium</a:t>
            </a:r>
          </a:p>
        </c:rich>
      </c:tx>
    </c:title>
    <c:plotArea>
      <c:layout/>
      <c:lineChart>
        <c:grouping val="standard"/>
        <c:ser>
          <c:idx val="0"/>
          <c:order val="0"/>
          <c:tx>
            <c:v>Gross Public Savings</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Φύλλο1!$T$2:$T$21</c:f>
              <c:numCache>
                <c:formatCode>General</c:formatCode>
                <c:ptCount val="20"/>
                <c:pt idx="0">
                  <c:v>-3.4313910000000001</c:v>
                </c:pt>
                <c:pt idx="1">
                  <c:v>-2.5325739999999977</c:v>
                </c:pt>
                <c:pt idx="2">
                  <c:v>1.8357039999999998</c:v>
                </c:pt>
                <c:pt idx="3">
                  <c:v>4.6642329999999745</c:v>
                </c:pt>
                <c:pt idx="4">
                  <c:v>5.9653999999999998</c:v>
                </c:pt>
                <c:pt idx="5">
                  <c:v>7.7144999999999975</c:v>
                </c:pt>
                <c:pt idx="6">
                  <c:v>7.2164000000000001</c:v>
                </c:pt>
                <c:pt idx="7">
                  <c:v>6.5244999999999855</c:v>
                </c:pt>
                <c:pt idx="8">
                  <c:v>3.1976</c:v>
                </c:pt>
                <c:pt idx="9">
                  <c:v>5.6419999999999995</c:v>
                </c:pt>
                <c:pt idx="10">
                  <c:v>6.2637999999999998</c:v>
                </c:pt>
                <c:pt idx="11">
                  <c:v>7.7264999999999997</c:v>
                </c:pt>
                <c:pt idx="12">
                  <c:v>8.7209000000000003</c:v>
                </c:pt>
                <c:pt idx="13">
                  <c:v>5.2550999999999997</c:v>
                </c:pt>
                <c:pt idx="14">
                  <c:v>-8.1917000000000009</c:v>
                </c:pt>
                <c:pt idx="15">
                  <c:v>-4.2246999999999995</c:v>
                </c:pt>
                <c:pt idx="16">
                  <c:v>-2.1105</c:v>
                </c:pt>
                <c:pt idx="17">
                  <c:v>-1.2403999999999897</c:v>
                </c:pt>
                <c:pt idx="18">
                  <c:v>0.21600000000000041</c:v>
                </c:pt>
                <c:pt idx="19">
                  <c:v>-1.1113999999999897</c:v>
                </c:pt>
              </c:numCache>
            </c:numRef>
          </c:val>
        </c:ser>
        <c:ser>
          <c:idx val="1"/>
          <c:order val="1"/>
          <c:tx>
            <c:v>Gross Private Savings</c:v>
          </c:tx>
          <c:spPr>
            <a:ln>
              <a:solidFill>
                <a:schemeClr val="tx2">
                  <a:lumMod val="60000"/>
                  <a:lumOff val="40000"/>
                </a:schemeClr>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Φύλλο1!$U$2:$U$21</c:f>
              <c:numCache>
                <c:formatCode>General</c:formatCode>
                <c:ptCount val="20"/>
                <c:pt idx="0">
                  <c:v>61.479600000000005</c:v>
                </c:pt>
                <c:pt idx="1">
                  <c:v>58.675600000000003</c:v>
                </c:pt>
                <c:pt idx="2">
                  <c:v>58.335600000000007</c:v>
                </c:pt>
                <c:pt idx="3">
                  <c:v>57.587699999999998</c:v>
                </c:pt>
                <c:pt idx="4">
                  <c:v>60.945700000000002</c:v>
                </c:pt>
                <c:pt idx="5">
                  <c:v>63.833300000000001</c:v>
                </c:pt>
                <c:pt idx="6">
                  <c:v>63.416400000000003</c:v>
                </c:pt>
                <c:pt idx="7">
                  <c:v>66.584900000000005</c:v>
                </c:pt>
                <c:pt idx="8">
                  <c:v>71.491500000000627</c:v>
                </c:pt>
                <c:pt idx="9">
                  <c:v>75.180699999999987</c:v>
                </c:pt>
                <c:pt idx="10">
                  <c:v>77.324799999999982</c:v>
                </c:pt>
                <c:pt idx="11">
                  <c:v>82.400300000000001</c:v>
                </c:pt>
                <c:pt idx="12">
                  <c:v>89.798300000000012</c:v>
                </c:pt>
                <c:pt idx="13">
                  <c:v>90.351699999999994</c:v>
                </c:pt>
                <c:pt idx="14">
                  <c:v>86.61</c:v>
                </c:pt>
                <c:pt idx="15">
                  <c:v>97.657600000000002</c:v>
                </c:pt>
                <c:pt idx="16">
                  <c:v>95.376699999999985</c:v>
                </c:pt>
                <c:pt idx="17">
                  <c:v>94.950199999999995</c:v>
                </c:pt>
                <c:pt idx="18">
                  <c:v>83.462300000000013</c:v>
                </c:pt>
                <c:pt idx="19">
                  <c:v>90.818899999999999</c:v>
                </c:pt>
              </c:numCache>
            </c:numRef>
          </c:val>
        </c:ser>
        <c:marker val="1"/>
        <c:axId val="122193408"/>
        <c:axId val="122195328"/>
      </c:lineChart>
      <c:catAx>
        <c:axId val="122193408"/>
        <c:scaling>
          <c:orientation val="minMax"/>
        </c:scaling>
        <c:axPos val="b"/>
        <c:title>
          <c:tx>
            <c:rich>
              <a:bodyPr/>
              <a:lstStyle/>
              <a:p>
                <a:pPr>
                  <a:defRPr/>
                </a:pPr>
                <a:r>
                  <a:rPr lang="en-US"/>
                  <a:t>Years</a:t>
                </a:r>
              </a:p>
            </c:rich>
          </c:tx>
        </c:title>
        <c:numFmt formatCode="General" sourceLinked="1"/>
        <c:tickLblPos val="nextTo"/>
        <c:crossAx val="122195328"/>
        <c:crosses val="autoZero"/>
        <c:auto val="1"/>
        <c:lblAlgn val="ctr"/>
        <c:lblOffset val="100"/>
      </c:catAx>
      <c:valAx>
        <c:axId val="122195328"/>
        <c:scaling>
          <c:orientation val="minMax"/>
        </c:scaling>
        <c:axPos val="l"/>
        <c:majorGridlines/>
        <c:title>
          <c:tx>
            <c:rich>
              <a:bodyPr rot="-5400000" vert="horz"/>
              <a:lstStyle/>
              <a:p>
                <a:pPr>
                  <a:defRPr/>
                </a:pPr>
                <a:r>
                  <a:rPr lang="en-US"/>
                  <a:t>Savings in Billions</a:t>
                </a:r>
              </a:p>
            </c:rich>
          </c:tx>
        </c:title>
        <c:numFmt formatCode="General" sourceLinked="1"/>
        <c:tickLblPos val="nextTo"/>
        <c:crossAx val="122193408"/>
        <c:crosses val="autoZero"/>
        <c:crossBetween val="between"/>
      </c:valAx>
    </c:plotArea>
    <c:legend>
      <c:legendPos val="r"/>
    </c:legend>
    <c:plotVisOnly val="1"/>
  </c:chart>
  <c:externalData r:id="rId1"/>
</c:chartSpace>
</file>

<file path=word/charts/chart19.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400"/>
              <a:t>Graph 19 - Gross Public &amp; Private Savings / Ireland</a:t>
            </a:r>
          </a:p>
        </c:rich>
      </c:tx>
    </c:title>
    <c:plotArea>
      <c:layout/>
      <c:lineChart>
        <c:grouping val="standard"/>
        <c:ser>
          <c:idx val="0"/>
          <c:order val="0"/>
          <c:tx>
            <c:v>Gross Public Savings</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Φύλλο1!$W$2:$W$21</c:f>
              <c:numCache>
                <c:formatCode>General</c:formatCode>
                <c:ptCount val="20"/>
                <c:pt idx="0">
                  <c:v>-4.8250000000000001E-2</c:v>
                </c:pt>
                <c:pt idx="1">
                  <c:v>1.04091</c:v>
                </c:pt>
                <c:pt idx="2">
                  <c:v>2.3083300000000002</c:v>
                </c:pt>
                <c:pt idx="3">
                  <c:v>3.32023</c:v>
                </c:pt>
                <c:pt idx="4">
                  <c:v>6.0282499999999999</c:v>
                </c:pt>
                <c:pt idx="5">
                  <c:v>8.6413699999999949</c:v>
                </c:pt>
                <c:pt idx="6">
                  <c:v>6.1220299999999845</c:v>
                </c:pt>
                <c:pt idx="7">
                  <c:v>4.6226699999999985</c:v>
                </c:pt>
                <c:pt idx="8">
                  <c:v>5.7948399999999856</c:v>
                </c:pt>
                <c:pt idx="9">
                  <c:v>7.2231799999999975</c:v>
                </c:pt>
                <c:pt idx="10">
                  <c:v>7.6076499999999996</c:v>
                </c:pt>
                <c:pt idx="11">
                  <c:v>10.96894</c:v>
                </c:pt>
                <c:pt idx="12">
                  <c:v>8.5792300000000008</c:v>
                </c:pt>
                <c:pt idx="13">
                  <c:v>-2.2735900000000253</c:v>
                </c:pt>
                <c:pt idx="14">
                  <c:v>-12.121</c:v>
                </c:pt>
                <c:pt idx="15">
                  <c:v>-11.62969</c:v>
                </c:pt>
                <c:pt idx="16">
                  <c:v>-10.24701</c:v>
                </c:pt>
                <c:pt idx="17">
                  <c:v>-9.5111000000000008</c:v>
                </c:pt>
                <c:pt idx="18">
                  <c:v>-7.2526000000000002</c:v>
                </c:pt>
                <c:pt idx="19">
                  <c:v>-3.4872000000000001</c:v>
                </c:pt>
              </c:numCache>
            </c:numRef>
          </c:val>
        </c:ser>
        <c:ser>
          <c:idx val="1"/>
          <c:order val="1"/>
          <c:tx>
            <c:v>Gross Private Savings</c:v>
          </c:tx>
          <c:spPr>
            <a:ln>
              <a:solidFill>
                <a:schemeClr val="tx2">
                  <a:lumMod val="60000"/>
                  <a:lumOff val="40000"/>
                </a:schemeClr>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Φύλλο1!$X$2:$X$21</c:f>
              <c:numCache>
                <c:formatCode>General</c:formatCode>
                <c:ptCount val="20"/>
                <c:pt idx="0">
                  <c:v>11.46692</c:v>
                </c:pt>
                <c:pt idx="1">
                  <c:v>12.158390000000001</c:v>
                </c:pt>
                <c:pt idx="2">
                  <c:v>15.27352</c:v>
                </c:pt>
                <c:pt idx="3">
                  <c:v>17.09104</c:v>
                </c:pt>
                <c:pt idx="4">
                  <c:v>16.491599999999803</c:v>
                </c:pt>
                <c:pt idx="5">
                  <c:v>17.789739999999668</c:v>
                </c:pt>
                <c:pt idx="6">
                  <c:v>21.95992</c:v>
                </c:pt>
                <c:pt idx="7">
                  <c:v>25.5534</c:v>
                </c:pt>
                <c:pt idx="8">
                  <c:v>29.712019999999889</c:v>
                </c:pt>
                <c:pt idx="9">
                  <c:v>32.245170000000357</c:v>
                </c:pt>
                <c:pt idx="10">
                  <c:v>35.980560000000004</c:v>
                </c:pt>
                <c:pt idx="11">
                  <c:v>37.661450000000002</c:v>
                </c:pt>
                <c:pt idx="12">
                  <c:v>37.502660000000006</c:v>
                </c:pt>
                <c:pt idx="13">
                  <c:v>36.666430000000013</c:v>
                </c:pt>
                <c:pt idx="14">
                  <c:v>37.079920000000001</c:v>
                </c:pt>
                <c:pt idx="15">
                  <c:v>39.834049999999998</c:v>
                </c:pt>
                <c:pt idx="16">
                  <c:v>38.898950000000013</c:v>
                </c:pt>
                <c:pt idx="17">
                  <c:v>41.149110000000213</c:v>
                </c:pt>
                <c:pt idx="18">
                  <c:v>44.028680000000001</c:v>
                </c:pt>
                <c:pt idx="19">
                  <c:v>49.383089999999996</c:v>
                </c:pt>
              </c:numCache>
            </c:numRef>
          </c:val>
        </c:ser>
        <c:marker val="1"/>
        <c:axId val="123896192"/>
        <c:axId val="123898112"/>
      </c:lineChart>
      <c:catAx>
        <c:axId val="123896192"/>
        <c:scaling>
          <c:orientation val="minMax"/>
        </c:scaling>
        <c:axPos val="b"/>
        <c:title>
          <c:tx>
            <c:rich>
              <a:bodyPr/>
              <a:lstStyle/>
              <a:p>
                <a:pPr>
                  <a:defRPr/>
                </a:pPr>
                <a:r>
                  <a:rPr lang="en-US"/>
                  <a:t>Years</a:t>
                </a:r>
              </a:p>
            </c:rich>
          </c:tx>
        </c:title>
        <c:numFmt formatCode="General" sourceLinked="1"/>
        <c:tickLblPos val="nextTo"/>
        <c:crossAx val="123898112"/>
        <c:crosses val="autoZero"/>
        <c:auto val="1"/>
        <c:lblAlgn val="ctr"/>
        <c:lblOffset val="100"/>
      </c:catAx>
      <c:valAx>
        <c:axId val="123898112"/>
        <c:scaling>
          <c:orientation val="minMax"/>
        </c:scaling>
        <c:axPos val="l"/>
        <c:majorGridlines/>
        <c:title>
          <c:tx>
            <c:rich>
              <a:bodyPr rot="-5400000" vert="horz"/>
              <a:lstStyle/>
              <a:p>
                <a:pPr>
                  <a:defRPr/>
                </a:pPr>
                <a:r>
                  <a:rPr lang="en-US"/>
                  <a:t>Savings in Billions</a:t>
                </a:r>
              </a:p>
            </c:rich>
          </c:tx>
        </c:title>
        <c:numFmt formatCode="General" sourceLinked="1"/>
        <c:tickLblPos val="nextTo"/>
        <c:crossAx val="123896192"/>
        <c:crosses val="autoZero"/>
        <c:crossBetween val="between"/>
      </c:valAx>
    </c:plotArea>
    <c:legend>
      <c:legendPos val="r"/>
    </c:legend>
    <c:plotVisOnly val="1"/>
  </c:chart>
  <c:externalData r:id="rId1"/>
</c:chartSpace>
</file>

<file path=word/charts/chart20.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400"/>
              <a:t>Graph 20 - Gross Public and Private Savings / Portugal</a:t>
            </a:r>
          </a:p>
        </c:rich>
      </c:tx>
    </c:title>
    <c:plotArea>
      <c:layout/>
      <c:lineChart>
        <c:grouping val="standard"/>
        <c:ser>
          <c:idx val="0"/>
          <c:order val="0"/>
          <c:tx>
            <c:v>Gross Public Savings</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Φύλλο1!$AC$2:$AC$21</c:f>
              <c:numCache>
                <c:formatCode>General</c:formatCode>
                <c:ptCount val="20"/>
                <c:pt idx="0">
                  <c:v>-1.12304</c:v>
                </c:pt>
                <c:pt idx="1">
                  <c:v>-0.3309400000000029</c:v>
                </c:pt>
                <c:pt idx="2">
                  <c:v>0.95645999999999998</c:v>
                </c:pt>
                <c:pt idx="3">
                  <c:v>0.98556999999999328</c:v>
                </c:pt>
                <c:pt idx="4">
                  <c:v>2.1412599999999977</c:v>
                </c:pt>
                <c:pt idx="5">
                  <c:v>1.19286</c:v>
                </c:pt>
                <c:pt idx="6">
                  <c:v>-0.27774000000000004</c:v>
                </c:pt>
                <c:pt idx="7">
                  <c:v>2.1149999999999999E-2</c:v>
                </c:pt>
                <c:pt idx="8">
                  <c:v>-1.38398</c:v>
                </c:pt>
                <c:pt idx="9">
                  <c:v>-2.9013499999999977</c:v>
                </c:pt>
                <c:pt idx="10">
                  <c:v>-4.0390899999999998</c:v>
                </c:pt>
                <c:pt idx="11">
                  <c:v>-1.9818899999999999</c:v>
                </c:pt>
                <c:pt idx="12">
                  <c:v>-0.27350000000000002</c:v>
                </c:pt>
                <c:pt idx="13">
                  <c:v>-1.28209</c:v>
                </c:pt>
                <c:pt idx="14">
                  <c:v>-10.064910000000001</c:v>
                </c:pt>
                <c:pt idx="15">
                  <c:v>-9.4316400000000016</c:v>
                </c:pt>
                <c:pt idx="16">
                  <c:v>-7.2543099999999985</c:v>
                </c:pt>
                <c:pt idx="17">
                  <c:v>-7.0132399999999997</c:v>
                </c:pt>
                <c:pt idx="18">
                  <c:v>-4.5712300000000123</c:v>
                </c:pt>
                <c:pt idx="19">
                  <c:v>-3.4112499999999595</c:v>
                </c:pt>
              </c:numCache>
            </c:numRef>
          </c:val>
        </c:ser>
        <c:ser>
          <c:idx val="1"/>
          <c:order val="1"/>
          <c:tx>
            <c:v>Gross Private Savings</c:v>
          </c:tx>
          <c:spPr>
            <a:ln>
              <a:solidFill>
                <a:schemeClr val="tx2">
                  <a:lumMod val="60000"/>
                  <a:lumOff val="40000"/>
                </a:schemeClr>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Φύλλο1!$AD$2:$AD$21</c:f>
              <c:numCache>
                <c:formatCode>General</c:formatCode>
                <c:ptCount val="20"/>
                <c:pt idx="0">
                  <c:v>20.104089999999999</c:v>
                </c:pt>
                <c:pt idx="1">
                  <c:v>19.418949999999889</c:v>
                </c:pt>
                <c:pt idx="2">
                  <c:v>19.92183</c:v>
                </c:pt>
                <c:pt idx="3">
                  <c:v>21.77703</c:v>
                </c:pt>
                <c:pt idx="4">
                  <c:v>21.992389999999759</c:v>
                </c:pt>
                <c:pt idx="5">
                  <c:v>21.688890000000001</c:v>
                </c:pt>
                <c:pt idx="6">
                  <c:v>24.582749999999635</c:v>
                </c:pt>
                <c:pt idx="7">
                  <c:v>24.570250000000001</c:v>
                </c:pt>
                <c:pt idx="8">
                  <c:v>25.098189999999889</c:v>
                </c:pt>
                <c:pt idx="9">
                  <c:v>26.330050000000035</c:v>
                </c:pt>
                <c:pt idx="10">
                  <c:v>25.364540000000002</c:v>
                </c:pt>
                <c:pt idx="11">
                  <c:v>22.837180000000131</c:v>
                </c:pt>
                <c:pt idx="12">
                  <c:v>23.166</c:v>
                </c:pt>
                <c:pt idx="13">
                  <c:v>20.908729999999668</c:v>
                </c:pt>
                <c:pt idx="14">
                  <c:v>28.88620999999981</c:v>
                </c:pt>
                <c:pt idx="15">
                  <c:v>28.630610000000001</c:v>
                </c:pt>
                <c:pt idx="16">
                  <c:v>30.154070000000196</c:v>
                </c:pt>
                <c:pt idx="17">
                  <c:v>30.077670000000001</c:v>
                </c:pt>
                <c:pt idx="18">
                  <c:v>30.59741</c:v>
                </c:pt>
                <c:pt idx="19">
                  <c:v>30.09911</c:v>
                </c:pt>
              </c:numCache>
            </c:numRef>
          </c:val>
        </c:ser>
        <c:marker val="1"/>
        <c:axId val="123939840"/>
        <c:axId val="123950208"/>
      </c:lineChart>
      <c:catAx>
        <c:axId val="123939840"/>
        <c:scaling>
          <c:orientation val="minMax"/>
        </c:scaling>
        <c:axPos val="b"/>
        <c:title>
          <c:tx>
            <c:rich>
              <a:bodyPr/>
              <a:lstStyle/>
              <a:p>
                <a:pPr>
                  <a:defRPr/>
                </a:pPr>
                <a:r>
                  <a:rPr lang="en-US"/>
                  <a:t>Years</a:t>
                </a:r>
              </a:p>
            </c:rich>
          </c:tx>
        </c:title>
        <c:numFmt formatCode="General" sourceLinked="1"/>
        <c:tickLblPos val="nextTo"/>
        <c:crossAx val="123950208"/>
        <c:crosses val="autoZero"/>
        <c:auto val="1"/>
        <c:lblAlgn val="ctr"/>
        <c:lblOffset val="100"/>
      </c:catAx>
      <c:valAx>
        <c:axId val="123950208"/>
        <c:scaling>
          <c:orientation val="minMax"/>
        </c:scaling>
        <c:axPos val="l"/>
        <c:majorGridlines/>
        <c:title>
          <c:tx>
            <c:rich>
              <a:bodyPr rot="-5400000" vert="horz"/>
              <a:lstStyle/>
              <a:p>
                <a:pPr>
                  <a:defRPr/>
                </a:pPr>
                <a:r>
                  <a:rPr lang="en-US"/>
                  <a:t>Savings in Billions</a:t>
                </a:r>
              </a:p>
            </c:rich>
          </c:tx>
        </c:title>
        <c:numFmt formatCode="General" sourceLinked="1"/>
        <c:tickLblPos val="nextTo"/>
        <c:crossAx val="123939840"/>
        <c:crosses val="autoZero"/>
        <c:crossBetween val="between"/>
      </c:valAx>
    </c:plotArea>
    <c:legend>
      <c:legendPos val="r"/>
    </c:legend>
    <c:plotVisOnly val="1"/>
  </c:chart>
  <c:externalData r:id="rId1"/>
</c:chartSpace>
</file>

<file path=word/charts/chart2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400"/>
              <a:t>Graph 21 - Gross Public &amp; Private Savings / Italy</a:t>
            </a:r>
          </a:p>
        </c:rich>
      </c:tx>
    </c:title>
    <c:plotArea>
      <c:layout/>
      <c:lineChart>
        <c:grouping val="standard"/>
        <c:ser>
          <c:idx val="0"/>
          <c:order val="0"/>
          <c:tx>
            <c:v>Gross Public Savings</c:v>
          </c:tx>
          <c:spPr>
            <a:ln>
              <a:solidFill>
                <a:srgbClr val="C00000"/>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Φύλλο1!$Z$2:$Z$21</c:f>
              <c:numCache>
                <c:formatCode>General</c:formatCode>
                <c:ptCount val="20"/>
                <c:pt idx="0">
                  <c:v>-27.888139999999737</c:v>
                </c:pt>
                <c:pt idx="1">
                  <c:v>-29.871359999999999</c:v>
                </c:pt>
                <c:pt idx="2">
                  <c:v>-0.64192000000000671</c:v>
                </c:pt>
                <c:pt idx="3">
                  <c:v>5.5727000000000002</c:v>
                </c:pt>
                <c:pt idx="4">
                  <c:v>24.630000000000031</c:v>
                </c:pt>
                <c:pt idx="5">
                  <c:v>17.231999999999999</c:v>
                </c:pt>
                <c:pt idx="6">
                  <c:v>12.522</c:v>
                </c:pt>
                <c:pt idx="7">
                  <c:v>9.1880000000000006</c:v>
                </c:pt>
                <c:pt idx="8">
                  <c:v>-3.746</c:v>
                </c:pt>
                <c:pt idx="9">
                  <c:v>1.5640000000000001</c:v>
                </c:pt>
                <c:pt idx="10">
                  <c:v>0.5</c:v>
                </c:pt>
                <c:pt idx="11">
                  <c:v>24.794</c:v>
                </c:pt>
                <c:pt idx="12">
                  <c:v>43.847000000000001</c:v>
                </c:pt>
                <c:pt idx="13">
                  <c:v>23.297999999999988</c:v>
                </c:pt>
                <c:pt idx="14">
                  <c:v>-16.626999999999999</c:v>
                </c:pt>
                <c:pt idx="15">
                  <c:v>-7.6139999999999946</c:v>
                </c:pt>
                <c:pt idx="16">
                  <c:v>-5.7489999999999997</c:v>
                </c:pt>
                <c:pt idx="17">
                  <c:v>10.2745</c:v>
                </c:pt>
                <c:pt idx="18">
                  <c:v>1.203699999999982</c:v>
                </c:pt>
                <c:pt idx="19">
                  <c:v>2.3700999999999977</c:v>
                </c:pt>
              </c:numCache>
            </c:numRef>
          </c:val>
        </c:ser>
        <c:ser>
          <c:idx val="1"/>
          <c:order val="1"/>
          <c:tx>
            <c:v>Gross Private Savings</c:v>
          </c:tx>
          <c:spPr>
            <a:ln>
              <a:solidFill>
                <a:schemeClr val="tx2">
                  <a:lumMod val="60000"/>
                  <a:lumOff val="40000"/>
                </a:schemeClr>
              </a:solidFill>
            </a:ln>
          </c:spPr>
          <c:marker>
            <c:symbol val="none"/>
          </c:marker>
          <c:cat>
            <c:numRef>
              <c:f>Φύλλο1!$A$2:$A$21</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Φύλλο1!$AA$2:$AA$21</c:f>
              <c:numCache>
                <c:formatCode>General</c:formatCode>
                <c:ptCount val="20"/>
                <c:pt idx="0">
                  <c:v>222.6069</c:v>
                </c:pt>
                <c:pt idx="1">
                  <c:v>256.23409999999899</c:v>
                </c:pt>
                <c:pt idx="2">
                  <c:v>239.93600000000001</c:v>
                </c:pt>
                <c:pt idx="3">
                  <c:v>233.57339999999999</c:v>
                </c:pt>
                <c:pt idx="4">
                  <c:v>219.10750000000002</c:v>
                </c:pt>
                <c:pt idx="5">
                  <c:v>235.83410000000001</c:v>
                </c:pt>
                <c:pt idx="6">
                  <c:v>257.56119999999686</c:v>
                </c:pt>
                <c:pt idx="7">
                  <c:v>271.92739999999657</c:v>
                </c:pt>
                <c:pt idx="8">
                  <c:v>285.31</c:v>
                </c:pt>
                <c:pt idx="9">
                  <c:v>297.51049999999969</c:v>
                </c:pt>
                <c:pt idx="10">
                  <c:v>299.8836</c:v>
                </c:pt>
                <c:pt idx="11">
                  <c:v>290.3254</c:v>
                </c:pt>
                <c:pt idx="12">
                  <c:v>290.40309999999869</c:v>
                </c:pt>
                <c:pt idx="13">
                  <c:v>285.93969999999899</c:v>
                </c:pt>
                <c:pt idx="14">
                  <c:v>291.26849999999899</c:v>
                </c:pt>
                <c:pt idx="15">
                  <c:v>281.43159999999523</c:v>
                </c:pt>
                <c:pt idx="16">
                  <c:v>290.41389999999899</c:v>
                </c:pt>
                <c:pt idx="17">
                  <c:v>271.0292</c:v>
                </c:pt>
                <c:pt idx="18">
                  <c:v>292.38509999999923</c:v>
                </c:pt>
                <c:pt idx="19">
                  <c:v>297.17720000000008</c:v>
                </c:pt>
              </c:numCache>
            </c:numRef>
          </c:val>
        </c:ser>
        <c:marker val="1"/>
        <c:axId val="124090240"/>
        <c:axId val="124129280"/>
      </c:lineChart>
      <c:catAx>
        <c:axId val="124090240"/>
        <c:scaling>
          <c:orientation val="minMax"/>
        </c:scaling>
        <c:axPos val="b"/>
        <c:title>
          <c:tx>
            <c:rich>
              <a:bodyPr/>
              <a:lstStyle/>
              <a:p>
                <a:pPr>
                  <a:defRPr/>
                </a:pPr>
                <a:r>
                  <a:rPr lang="en-US"/>
                  <a:t>Years</a:t>
                </a:r>
              </a:p>
            </c:rich>
          </c:tx>
        </c:title>
        <c:numFmt formatCode="General" sourceLinked="1"/>
        <c:tickLblPos val="nextTo"/>
        <c:crossAx val="124129280"/>
        <c:crosses val="autoZero"/>
        <c:auto val="1"/>
        <c:lblAlgn val="ctr"/>
        <c:lblOffset val="100"/>
      </c:catAx>
      <c:valAx>
        <c:axId val="124129280"/>
        <c:scaling>
          <c:orientation val="minMax"/>
        </c:scaling>
        <c:axPos val="l"/>
        <c:majorGridlines/>
        <c:title>
          <c:tx>
            <c:rich>
              <a:bodyPr rot="-5400000" vert="horz"/>
              <a:lstStyle/>
              <a:p>
                <a:pPr>
                  <a:defRPr/>
                </a:pPr>
                <a:r>
                  <a:rPr lang="en-US"/>
                  <a:t>Savings in Billions</a:t>
                </a:r>
              </a:p>
            </c:rich>
          </c:tx>
        </c:title>
        <c:numFmt formatCode="General" sourceLinked="1"/>
        <c:tickLblPos val="nextTo"/>
        <c:crossAx val="124090240"/>
        <c:crosses val="autoZero"/>
        <c:crossBetween val="between"/>
      </c:valAx>
    </c:plotArea>
    <c:legend>
      <c:legendPos val="r"/>
    </c:legend>
    <c:plotVisOnly val="1"/>
  </c:chart>
  <c:externalData r:id="rId1"/>
</c:chartSpace>
</file>

<file path=word/charts/chart2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400"/>
            </a:pPr>
            <a:r>
              <a:rPr lang="en-US" sz="1400"/>
              <a:t>Graph 22 - Gross Public &amp; Private Savings in differences / Luxemburg</a:t>
            </a:r>
          </a:p>
        </c:rich>
      </c:tx>
    </c:title>
    <c:plotArea>
      <c:layout/>
      <c:lineChart>
        <c:grouping val="standard"/>
        <c:ser>
          <c:idx val="0"/>
          <c:order val="0"/>
          <c:tx>
            <c:v>Δ Gross Private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Φύλλο1!$E$3:$E$21</c:f>
              <c:numCache>
                <c:formatCode>General</c:formatCode>
                <c:ptCount val="19"/>
                <c:pt idx="0">
                  <c:v>8.8176000000000268E-2</c:v>
                </c:pt>
                <c:pt idx="1">
                  <c:v>0.13771000000000044</c:v>
                </c:pt>
                <c:pt idx="2">
                  <c:v>3.2458999999999356E-2</c:v>
                </c:pt>
                <c:pt idx="3">
                  <c:v>0.60095600000000005</c:v>
                </c:pt>
                <c:pt idx="4">
                  <c:v>0.84037000000000062</c:v>
                </c:pt>
                <c:pt idx="5">
                  <c:v>-0.66291700000000064</c:v>
                </c:pt>
                <c:pt idx="6">
                  <c:v>0.2651220000000008</c:v>
                </c:pt>
                <c:pt idx="7">
                  <c:v>0.28003500000000003</c:v>
                </c:pt>
                <c:pt idx="8">
                  <c:v>2.3602519999999987</c:v>
                </c:pt>
                <c:pt idx="9">
                  <c:v>-0.196129</c:v>
                </c:pt>
                <c:pt idx="10">
                  <c:v>-0.40010100000000026</c:v>
                </c:pt>
                <c:pt idx="11">
                  <c:v>7.8211000000000488E-2</c:v>
                </c:pt>
                <c:pt idx="12">
                  <c:v>-0.19030500000000039</c:v>
                </c:pt>
                <c:pt idx="13">
                  <c:v>-0.57733399999999957</c:v>
                </c:pt>
                <c:pt idx="14">
                  <c:v>0.91772799999999943</c:v>
                </c:pt>
                <c:pt idx="15">
                  <c:v>0.78159200000000051</c:v>
                </c:pt>
                <c:pt idx="16">
                  <c:v>-0.13839500000000093</c:v>
                </c:pt>
                <c:pt idx="17">
                  <c:v>-0.84326999999999952</c:v>
                </c:pt>
                <c:pt idx="18">
                  <c:v>0.6361859999999997</c:v>
                </c:pt>
              </c:numCache>
            </c:numRef>
          </c:val>
        </c:ser>
        <c:ser>
          <c:idx val="1"/>
          <c:order val="1"/>
          <c:tx>
            <c:v>Δ Gross Public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Φύλλο1!$D$3:$D$21</c:f>
              <c:numCache>
                <c:formatCode>General</c:formatCode>
                <c:ptCount val="19"/>
                <c:pt idx="0">
                  <c:v>-1.4807999999999932E-2</c:v>
                </c:pt>
                <c:pt idx="1">
                  <c:v>0.10255799999999923</c:v>
                </c:pt>
                <c:pt idx="2">
                  <c:v>0.25697500000000006</c:v>
                </c:pt>
                <c:pt idx="3">
                  <c:v>0.19995399999999999</c:v>
                </c:pt>
                <c:pt idx="4">
                  <c:v>0.62509000000000592</c:v>
                </c:pt>
                <c:pt idx="5">
                  <c:v>-0.15232000000000001</c:v>
                </c:pt>
                <c:pt idx="6">
                  <c:v>-0.22457000000000016</c:v>
                </c:pt>
                <c:pt idx="7">
                  <c:v>-0.35633000000000031</c:v>
                </c:pt>
                <c:pt idx="8">
                  <c:v>-0.31878000000000256</c:v>
                </c:pt>
                <c:pt idx="9">
                  <c:v>0.52112999999999987</c:v>
                </c:pt>
                <c:pt idx="10">
                  <c:v>0.44864000000000015</c:v>
                </c:pt>
                <c:pt idx="11">
                  <c:v>0.96031999999999951</c:v>
                </c:pt>
                <c:pt idx="12">
                  <c:v>-0.26549</c:v>
                </c:pt>
                <c:pt idx="13">
                  <c:v>-1.15015000000001</c:v>
                </c:pt>
                <c:pt idx="14">
                  <c:v>0.26129000000000002</c:v>
                </c:pt>
                <c:pt idx="15">
                  <c:v>0.28336000000000228</c:v>
                </c:pt>
                <c:pt idx="16">
                  <c:v>-0.13376000000000021</c:v>
                </c:pt>
                <c:pt idx="17">
                  <c:v>0.21732000000000001</c:v>
                </c:pt>
                <c:pt idx="18">
                  <c:v>-2.5539999999999896E-2</c:v>
                </c:pt>
              </c:numCache>
            </c:numRef>
          </c:val>
        </c:ser>
        <c:marker val="1"/>
        <c:axId val="124158720"/>
        <c:axId val="124160640"/>
      </c:lineChart>
      <c:catAx>
        <c:axId val="124158720"/>
        <c:scaling>
          <c:orientation val="minMax"/>
        </c:scaling>
        <c:axPos val="b"/>
        <c:title>
          <c:tx>
            <c:rich>
              <a:bodyPr/>
              <a:lstStyle/>
              <a:p>
                <a:pPr>
                  <a:defRPr/>
                </a:pPr>
                <a:r>
                  <a:rPr lang="en-US"/>
                  <a:t>Years</a:t>
                </a:r>
              </a:p>
            </c:rich>
          </c:tx>
        </c:title>
        <c:numFmt formatCode="General" sourceLinked="1"/>
        <c:tickLblPos val="nextTo"/>
        <c:crossAx val="124160640"/>
        <c:crosses val="autoZero"/>
        <c:auto val="1"/>
        <c:lblAlgn val="ctr"/>
        <c:lblOffset val="100"/>
      </c:catAx>
      <c:valAx>
        <c:axId val="124160640"/>
        <c:scaling>
          <c:orientation val="minMax"/>
        </c:scaling>
        <c:axPos val="l"/>
        <c:majorGridlines/>
        <c:title>
          <c:tx>
            <c:rich>
              <a:bodyPr rot="-5400000" vert="horz"/>
              <a:lstStyle/>
              <a:p>
                <a:pPr>
                  <a:defRPr/>
                </a:pPr>
                <a:r>
                  <a:rPr lang="en-US"/>
                  <a:t>Difference in Billions</a:t>
                </a:r>
              </a:p>
            </c:rich>
          </c:tx>
        </c:title>
        <c:numFmt formatCode="General" sourceLinked="1"/>
        <c:tickLblPos val="nextTo"/>
        <c:crossAx val="124158720"/>
        <c:crosses val="autoZero"/>
        <c:crossBetween val="between"/>
      </c:valAx>
    </c:plotArea>
    <c:legend>
      <c:legendPos val="r"/>
    </c:legend>
    <c:plotVisOnly val="1"/>
  </c:chart>
  <c:externalData r:id="rId1"/>
</c:chartSpace>
</file>

<file path=word/charts/chart2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400"/>
            </a:pPr>
            <a:r>
              <a:rPr lang="en-US" sz="1400"/>
              <a:t>Graph 23 - Gross Public &amp; Private Savings in Differences / Finland</a:t>
            </a:r>
          </a:p>
        </c:rich>
      </c:tx>
    </c:title>
    <c:plotArea>
      <c:layout/>
      <c:lineChart>
        <c:grouping val="standard"/>
        <c:ser>
          <c:idx val="0"/>
          <c:order val="0"/>
          <c:tx>
            <c:v>Δ Gross Private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Φύλλο1!$I$3:$I$21</c:f>
              <c:numCache>
                <c:formatCode>General</c:formatCode>
                <c:ptCount val="19"/>
                <c:pt idx="0">
                  <c:v>-1.9043700000000001</c:v>
                </c:pt>
                <c:pt idx="1">
                  <c:v>3.8209699999999978</c:v>
                </c:pt>
                <c:pt idx="2">
                  <c:v>0.11731999999999837</c:v>
                </c:pt>
                <c:pt idx="3">
                  <c:v>3.1398499999999743</c:v>
                </c:pt>
                <c:pt idx="4">
                  <c:v>-1.1669999999999978</c:v>
                </c:pt>
                <c:pt idx="5">
                  <c:v>5.3179999999999845</c:v>
                </c:pt>
                <c:pt idx="6">
                  <c:v>0.32600000000000301</c:v>
                </c:pt>
                <c:pt idx="7">
                  <c:v>-1.2079999999999815</c:v>
                </c:pt>
                <c:pt idx="8">
                  <c:v>4.1579999999999755</c:v>
                </c:pt>
                <c:pt idx="9">
                  <c:v>-0.3950000000000059</c:v>
                </c:pt>
                <c:pt idx="10">
                  <c:v>0.8960000000000008</c:v>
                </c:pt>
                <c:pt idx="11">
                  <c:v>2.6529999999999987</c:v>
                </c:pt>
                <c:pt idx="12">
                  <c:v>-0.30699999999999944</c:v>
                </c:pt>
                <c:pt idx="13">
                  <c:v>0.18699999999999986</c:v>
                </c:pt>
                <c:pt idx="14">
                  <c:v>1.9529999999999959</c:v>
                </c:pt>
                <c:pt idx="15">
                  <c:v>-3.332999999999978</c:v>
                </c:pt>
                <c:pt idx="16">
                  <c:v>-0.41300000000000003</c:v>
                </c:pt>
                <c:pt idx="17">
                  <c:v>-1.792000000000002</c:v>
                </c:pt>
                <c:pt idx="18">
                  <c:v>-0.14500000000000321</c:v>
                </c:pt>
              </c:numCache>
            </c:numRef>
          </c:val>
        </c:ser>
        <c:ser>
          <c:idx val="1"/>
          <c:order val="1"/>
          <c:tx>
            <c:v>Δ Gross Public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Φύλλο1!$H$3:$H$21</c:f>
              <c:numCache>
                <c:formatCode>General</c:formatCode>
                <c:ptCount val="19"/>
                <c:pt idx="0">
                  <c:v>1.6232899999999999</c:v>
                </c:pt>
                <c:pt idx="1">
                  <c:v>1.4300299999999901</c:v>
                </c:pt>
                <c:pt idx="2">
                  <c:v>3.3655199999999987</c:v>
                </c:pt>
                <c:pt idx="3">
                  <c:v>0.7017199999999999</c:v>
                </c:pt>
                <c:pt idx="4">
                  <c:v>6.535000000000001</c:v>
                </c:pt>
                <c:pt idx="5">
                  <c:v>-1.9200000000000021</c:v>
                </c:pt>
                <c:pt idx="6">
                  <c:v>-0.74800000000000555</c:v>
                </c:pt>
                <c:pt idx="7">
                  <c:v>-2.2170000000000005</c:v>
                </c:pt>
                <c:pt idx="8">
                  <c:v>0.21100000000000041</c:v>
                </c:pt>
                <c:pt idx="9">
                  <c:v>0.6700000000000057</c:v>
                </c:pt>
                <c:pt idx="10">
                  <c:v>2.1400000000000006</c:v>
                </c:pt>
                <c:pt idx="11">
                  <c:v>3.5809999999999995</c:v>
                </c:pt>
                <c:pt idx="12">
                  <c:v>-1.1009999999999978</c:v>
                </c:pt>
                <c:pt idx="13">
                  <c:v>-12.014000000000001</c:v>
                </c:pt>
                <c:pt idx="14">
                  <c:v>-0.80800000000000005</c:v>
                </c:pt>
                <c:pt idx="15">
                  <c:v>3.5629999999999997</c:v>
                </c:pt>
                <c:pt idx="16">
                  <c:v>-1.8679999999999899</c:v>
                </c:pt>
                <c:pt idx="17">
                  <c:v>-0.70800000000000063</c:v>
                </c:pt>
                <c:pt idx="18">
                  <c:v>-0.91999999999999993</c:v>
                </c:pt>
              </c:numCache>
            </c:numRef>
          </c:val>
        </c:ser>
        <c:marker val="1"/>
        <c:axId val="124169600"/>
        <c:axId val="124200448"/>
      </c:lineChart>
      <c:catAx>
        <c:axId val="124169600"/>
        <c:scaling>
          <c:orientation val="minMax"/>
        </c:scaling>
        <c:axPos val="b"/>
        <c:title>
          <c:tx>
            <c:rich>
              <a:bodyPr/>
              <a:lstStyle/>
              <a:p>
                <a:pPr>
                  <a:defRPr/>
                </a:pPr>
                <a:r>
                  <a:rPr lang="en-US"/>
                  <a:t>Years</a:t>
                </a:r>
              </a:p>
            </c:rich>
          </c:tx>
        </c:title>
        <c:numFmt formatCode="General" sourceLinked="1"/>
        <c:tickLblPos val="nextTo"/>
        <c:crossAx val="124200448"/>
        <c:crosses val="autoZero"/>
        <c:auto val="1"/>
        <c:lblAlgn val="ctr"/>
        <c:lblOffset val="100"/>
      </c:catAx>
      <c:valAx>
        <c:axId val="124200448"/>
        <c:scaling>
          <c:orientation val="minMax"/>
        </c:scaling>
        <c:axPos val="l"/>
        <c:majorGridlines/>
        <c:title>
          <c:tx>
            <c:rich>
              <a:bodyPr rot="-5400000" vert="horz"/>
              <a:lstStyle/>
              <a:p>
                <a:pPr>
                  <a:defRPr/>
                </a:pPr>
                <a:r>
                  <a:rPr lang="en-US"/>
                  <a:t>Difference in Billions</a:t>
                </a:r>
              </a:p>
            </c:rich>
          </c:tx>
        </c:title>
        <c:numFmt formatCode="General" sourceLinked="1"/>
        <c:tickLblPos val="nextTo"/>
        <c:crossAx val="124169600"/>
        <c:crosses val="autoZero"/>
        <c:crossBetween val="between"/>
      </c:valAx>
    </c:plotArea>
    <c:legend>
      <c:legendPos val="r"/>
    </c:legend>
    <c:plotVisOnly val="1"/>
  </c:chart>
  <c:externalData r:id="rId1"/>
</c:chartSpace>
</file>

<file path=word/charts/chart2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400"/>
            </a:pPr>
            <a:r>
              <a:rPr lang="en-US" sz="1400"/>
              <a:t>Graph</a:t>
            </a:r>
            <a:r>
              <a:rPr lang="en-US" sz="1400" baseline="0"/>
              <a:t> 24 - Gross Public &amp; Private Savings in Differences / Netherlands</a:t>
            </a:r>
            <a:endParaRPr lang="en-US" sz="1400"/>
          </a:p>
        </c:rich>
      </c:tx>
    </c:title>
    <c:plotArea>
      <c:layout/>
      <c:lineChart>
        <c:grouping val="standard"/>
        <c:ser>
          <c:idx val="0"/>
          <c:order val="0"/>
          <c:tx>
            <c:v>Δ Gross Private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Φύλλο1!$M$3:$M$21</c:f>
              <c:numCache>
                <c:formatCode>General</c:formatCode>
                <c:ptCount val="19"/>
                <c:pt idx="0">
                  <c:v>-4.4298000000000002</c:v>
                </c:pt>
                <c:pt idx="1">
                  <c:v>4.7269999999999897</c:v>
                </c:pt>
                <c:pt idx="2">
                  <c:v>-3.1167999999999978</c:v>
                </c:pt>
                <c:pt idx="3">
                  <c:v>7.7075999999999985</c:v>
                </c:pt>
                <c:pt idx="4">
                  <c:v>7.203000000000003</c:v>
                </c:pt>
                <c:pt idx="5">
                  <c:v>4.9000000000006934E-2</c:v>
                </c:pt>
                <c:pt idx="6">
                  <c:v>8.0030000000000001</c:v>
                </c:pt>
                <c:pt idx="7">
                  <c:v>11.937000000000001</c:v>
                </c:pt>
                <c:pt idx="8">
                  <c:v>7.8700000000000054</c:v>
                </c:pt>
                <c:pt idx="9">
                  <c:v>-7.2339999999999804</c:v>
                </c:pt>
                <c:pt idx="10">
                  <c:v>16.877999999999993</c:v>
                </c:pt>
                <c:pt idx="11">
                  <c:v>9.1409999999999947</c:v>
                </c:pt>
                <c:pt idx="12">
                  <c:v>-11.207000000000001</c:v>
                </c:pt>
                <c:pt idx="13">
                  <c:v>20.729000000000013</c:v>
                </c:pt>
                <c:pt idx="14">
                  <c:v>12.818000000000001</c:v>
                </c:pt>
                <c:pt idx="15">
                  <c:v>0.54500000000001592</c:v>
                </c:pt>
                <c:pt idx="16">
                  <c:v>1.4590000000000032</c:v>
                </c:pt>
                <c:pt idx="17">
                  <c:v>-15.362000000000076</c:v>
                </c:pt>
                <c:pt idx="18">
                  <c:v>11.667000000000002</c:v>
                </c:pt>
              </c:numCache>
            </c:numRef>
          </c:val>
        </c:ser>
        <c:ser>
          <c:idx val="1"/>
          <c:order val="1"/>
          <c:tx>
            <c:v>Δ Gross Public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Φύλλο1!$L$3:$L$21</c:f>
              <c:numCache>
                <c:formatCode>General</c:formatCode>
                <c:ptCount val="19"/>
                <c:pt idx="0">
                  <c:v>5.5597899999999996</c:v>
                </c:pt>
                <c:pt idx="1">
                  <c:v>2.7434500000000002</c:v>
                </c:pt>
                <c:pt idx="2">
                  <c:v>1.4481199999999994</c:v>
                </c:pt>
                <c:pt idx="3">
                  <c:v>6.9868700000000024</c:v>
                </c:pt>
                <c:pt idx="4">
                  <c:v>5.8629999999999765</c:v>
                </c:pt>
                <c:pt idx="5">
                  <c:v>-3.7339999999999982</c:v>
                </c:pt>
                <c:pt idx="6">
                  <c:v>-7.8450000000000006</c:v>
                </c:pt>
                <c:pt idx="7">
                  <c:v>-4.1859999999999955</c:v>
                </c:pt>
                <c:pt idx="8">
                  <c:v>3.58</c:v>
                </c:pt>
                <c:pt idx="9">
                  <c:v>6.4600000000000009</c:v>
                </c:pt>
                <c:pt idx="10">
                  <c:v>3.8249999999999993</c:v>
                </c:pt>
                <c:pt idx="11">
                  <c:v>2.4480000000000004</c:v>
                </c:pt>
                <c:pt idx="12">
                  <c:v>2.9980000000000007</c:v>
                </c:pt>
                <c:pt idx="13">
                  <c:v>-28.744999999999987</c:v>
                </c:pt>
                <c:pt idx="14">
                  <c:v>0.81899999999999995</c:v>
                </c:pt>
                <c:pt idx="15">
                  <c:v>0.64300000000000501</c:v>
                </c:pt>
                <c:pt idx="16">
                  <c:v>1.5690000000000002</c:v>
                </c:pt>
                <c:pt idx="17">
                  <c:v>7.01</c:v>
                </c:pt>
                <c:pt idx="18">
                  <c:v>1.3549999999999978</c:v>
                </c:pt>
              </c:numCache>
            </c:numRef>
          </c:val>
        </c:ser>
        <c:marker val="1"/>
        <c:axId val="124233984"/>
        <c:axId val="124244352"/>
      </c:lineChart>
      <c:catAx>
        <c:axId val="124233984"/>
        <c:scaling>
          <c:orientation val="minMax"/>
        </c:scaling>
        <c:axPos val="b"/>
        <c:title>
          <c:tx>
            <c:rich>
              <a:bodyPr/>
              <a:lstStyle/>
              <a:p>
                <a:pPr>
                  <a:defRPr/>
                </a:pPr>
                <a:r>
                  <a:rPr lang="en-US"/>
                  <a:t>Years</a:t>
                </a:r>
              </a:p>
            </c:rich>
          </c:tx>
        </c:title>
        <c:numFmt formatCode="General" sourceLinked="1"/>
        <c:tickLblPos val="nextTo"/>
        <c:crossAx val="124244352"/>
        <c:crosses val="autoZero"/>
        <c:auto val="1"/>
        <c:lblAlgn val="ctr"/>
        <c:lblOffset val="100"/>
      </c:catAx>
      <c:valAx>
        <c:axId val="124244352"/>
        <c:scaling>
          <c:orientation val="minMax"/>
        </c:scaling>
        <c:axPos val="l"/>
        <c:majorGridlines/>
        <c:title>
          <c:tx>
            <c:rich>
              <a:bodyPr rot="-5400000" vert="horz"/>
              <a:lstStyle/>
              <a:p>
                <a:pPr>
                  <a:defRPr/>
                </a:pPr>
                <a:r>
                  <a:rPr lang="en-US"/>
                  <a:t>Difference in Billions</a:t>
                </a:r>
              </a:p>
            </c:rich>
          </c:tx>
        </c:title>
        <c:numFmt formatCode="General" sourceLinked="1"/>
        <c:tickLblPos val="nextTo"/>
        <c:crossAx val="124233984"/>
        <c:crosses val="autoZero"/>
        <c:crossBetween val="between"/>
      </c:valAx>
    </c:plotArea>
    <c:legend>
      <c:legendPos val="r"/>
    </c:legend>
    <c:plotVisOnly val="1"/>
  </c:chart>
  <c:externalData r:id="rId1"/>
</c:chartSpace>
</file>

<file path=word/charts/chart25.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400"/>
            </a:pPr>
            <a:r>
              <a:rPr lang="en-US" sz="1400"/>
              <a:t>Graph 25 - Gross Public &amp; Private Savings in differences / Germany</a:t>
            </a:r>
          </a:p>
        </c:rich>
      </c:tx>
    </c:title>
    <c:plotArea>
      <c:layout/>
      <c:lineChart>
        <c:grouping val="standard"/>
        <c:ser>
          <c:idx val="0"/>
          <c:order val="0"/>
          <c:tx>
            <c:v>Δ Gross Private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Φύλλο1!$Q$3:$Q$21</c:f>
              <c:numCache>
                <c:formatCode>General</c:formatCode>
                <c:ptCount val="19"/>
                <c:pt idx="0">
                  <c:v>-1.2931000000000379</c:v>
                </c:pt>
                <c:pt idx="1">
                  <c:v>-6.4046999999999912</c:v>
                </c:pt>
                <c:pt idx="2">
                  <c:v>5.6790000000000314</c:v>
                </c:pt>
                <c:pt idx="3">
                  <c:v>-14.981900000000001</c:v>
                </c:pt>
                <c:pt idx="4">
                  <c:v>7.1399999999999864</c:v>
                </c:pt>
                <c:pt idx="5">
                  <c:v>40.673000000000002</c:v>
                </c:pt>
                <c:pt idx="6">
                  <c:v>24.295000000000016</c:v>
                </c:pt>
                <c:pt idx="7">
                  <c:v>-6.521000000000015</c:v>
                </c:pt>
                <c:pt idx="8">
                  <c:v>64.867999999999995</c:v>
                </c:pt>
                <c:pt idx="9">
                  <c:v>-2.8949999999999787</c:v>
                </c:pt>
                <c:pt idx="10">
                  <c:v>34.803000000000004</c:v>
                </c:pt>
                <c:pt idx="11">
                  <c:v>39.210000000000008</c:v>
                </c:pt>
                <c:pt idx="12">
                  <c:v>-17.263999999999889</c:v>
                </c:pt>
                <c:pt idx="13">
                  <c:v>-14.673000000000002</c:v>
                </c:pt>
                <c:pt idx="14">
                  <c:v>63.913999999999987</c:v>
                </c:pt>
                <c:pt idx="15">
                  <c:v>12.187000000000012</c:v>
                </c:pt>
                <c:pt idx="16">
                  <c:v>-20.217000000000098</c:v>
                </c:pt>
                <c:pt idx="17">
                  <c:v>1.7550000000001078</c:v>
                </c:pt>
                <c:pt idx="18">
                  <c:v>27.274000000000001</c:v>
                </c:pt>
              </c:numCache>
            </c:numRef>
          </c:val>
        </c:ser>
        <c:ser>
          <c:idx val="1"/>
          <c:order val="1"/>
          <c:tx>
            <c:v>Δ Gross Public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Φύλλο1!$P$3:$P$21</c:f>
              <c:numCache>
                <c:formatCode>General</c:formatCode>
                <c:ptCount val="19"/>
                <c:pt idx="0">
                  <c:v>-11.67713</c:v>
                </c:pt>
                <c:pt idx="1">
                  <c:v>6.2999600000000004</c:v>
                </c:pt>
                <c:pt idx="2">
                  <c:v>11.451460000000004</c:v>
                </c:pt>
                <c:pt idx="3">
                  <c:v>17.361739999999806</c:v>
                </c:pt>
                <c:pt idx="4">
                  <c:v>6.9759999999999991</c:v>
                </c:pt>
                <c:pt idx="5">
                  <c:v>-30.704999999999988</c:v>
                </c:pt>
                <c:pt idx="6">
                  <c:v>-20.39</c:v>
                </c:pt>
                <c:pt idx="7">
                  <c:v>-5.8690000000000015</c:v>
                </c:pt>
                <c:pt idx="8">
                  <c:v>1.5740000000000021</c:v>
                </c:pt>
                <c:pt idx="9">
                  <c:v>7.3469999999999995</c:v>
                </c:pt>
                <c:pt idx="10">
                  <c:v>37.426000000000002</c:v>
                </c:pt>
                <c:pt idx="11">
                  <c:v>44.394000000000005</c:v>
                </c:pt>
                <c:pt idx="12">
                  <c:v>3.8149999999999977</c:v>
                </c:pt>
                <c:pt idx="13">
                  <c:v>-73.949000000000026</c:v>
                </c:pt>
                <c:pt idx="14">
                  <c:v>-3.423</c:v>
                </c:pt>
                <c:pt idx="15">
                  <c:v>56.369</c:v>
                </c:pt>
                <c:pt idx="16">
                  <c:v>23.270999999999987</c:v>
                </c:pt>
                <c:pt idx="17">
                  <c:v>-4.5000000000001823E-2</c:v>
                </c:pt>
                <c:pt idx="18">
                  <c:v>12.95400000000002</c:v>
                </c:pt>
              </c:numCache>
            </c:numRef>
          </c:val>
        </c:ser>
        <c:marker val="1"/>
        <c:axId val="124273792"/>
        <c:axId val="124275712"/>
      </c:lineChart>
      <c:catAx>
        <c:axId val="124273792"/>
        <c:scaling>
          <c:orientation val="minMax"/>
        </c:scaling>
        <c:axPos val="b"/>
        <c:title>
          <c:tx>
            <c:rich>
              <a:bodyPr/>
              <a:lstStyle/>
              <a:p>
                <a:pPr>
                  <a:defRPr/>
                </a:pPr>
                <a:r>
                  <a:rPr lang="en-US"/>
                  <a:t>Years</a:t>
                </a:r>
              </a:p>
            </c:rich>
          </c:tx>
        </c:title>
        <c:numFmt formatCode="General" sourceLinked="1"/>
        <c:tickLblPos val="nextTo"/>
        <c:crossAx val="124275712"/>
        <c:crosses val="autoZero"/>
        <c:auto val="1"/>
        <c:lblAlgn val="ctr"/>
        <c:lblOffset val="100"/>
      </c:catAx>
      <c:valAx>
        <c:axId val="124275712"/>
        <c:scaling>
          <c:orientation val="minMax"/>
        </c:scaling>
        <c:axPos val="l"/>
        <c:majorGridlines/>
        <c:title>
          <c:tx>
            <c:rich>
              <a:bodyPr rot="-5400000" vert="horz"/>
              <a:lstStyle/>
              <a:p>
                <a:pPr>
                  <a:defRPr/>
                </a:pPr>
                <a:r>
                  <a:rPr lang="en-US"/>
                  <a:t>Difference in Billions</a:t>
                </a:r>
              </a:p>
            </c:rich>
          </c:tx>
        </c:title>
        <c:numFmt formatCode="General" sourceLinked="1"/>
        <c:tickLblPos val="nextTo"/>
        <c:crossAx val="124273792"/>
        <c:crosses val="autoZero"/>
        <c:crossBetween val="between"/>
      </c:valAx>
    </c:plotArea>
    <c:legend>
      <c:legendPos val="r"/>
    </c:legend>
    <c:plotVisOnly val="1"/>
  </c:chart>
  <c:externalData r:id="rId1"/>
</c:chartSpace>
</file>

<file path=word/charts/chart26.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400"/>
            </a:pPr>
            <a:r>
              <a:rPr lang="en-US" sz="1400"/>
              <a:t>Graph 26 - Gross public &amp; Private Savings in differences / Austria</a:t>
            </a:r>
          </a:p>
        </c:rich>
      </c:tx>
    </c:title>
    <c:plotArea>
      <c:layout/>
      <c:lineChart>
        <c:grouping val="standard"/>
        <c:ser>
          <c:idx val="0"/>
          <c:order val="0"/>
          <c:tx>
            <c:v>Δ Gross Private Savings </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Φύλλο1!$U$3:$U$21</c:f>
              <c:numCache>
                <c:formatCode>General</c:formatCode>
                <c:ptCount val="19"/>
                <c:pt idx="0">
                  <c:v>-3.0229399999999984</c:v>
                </c:pt>
                <c:pt idx="1">
                  <c:v>-1.143480000000004</c:v>
                </c:pt>
                <c:pt idx="2">
                  <c:v>2.4702000000000037</c:v>
                </c:pt>
                <c:pt idx="3">
                  <c:v>2.7401699999999991</c:v>
                </c:pt>
                <c:pt idx="4">
                  <c:v>2.9569600000000023</c:v>
                </c:pt>
                <c:pt idx="5">
                  <c:v>-3.0572300000000041</c:v>
                </c:pt>
                <c:pt idx="6">
                  <c:v>7.1014499999999998</c:v>
                </c:pt>
                <c:pt idx="7">
                  <c:v>1.596820000000001</c:v>
                </c:pt>
                <c:pt idx="8">
                  <c:v>2.126449999999978</c:v>
                </c:pt>
                <c:pt idx="9">
                  <c:v>3.3761199999999967</c:v>
                </c:pt>
                <c:pt idx="10">
                  <c:v>6.7134600000000084</c:v>
                </c:pt>
                <c:pt idx="11">
                  <c:v>4.3303099999999972</c:v>
                </c:pt>
                <c:pt idx="12">
                  <c:v>3.8436899999999947</c:v>
                </c:pt>
                <c:pt idx="13">
                  <c:v>-3.7886699999999962</c:v>
                </c:pt>
                <c:pt idx="14">
                  <c:v>3.9957299999999947</c:v>
                </c:pt>
                <c:pt idx="15">
                  <c:v>1.2792400000000015</c:v>
                </c:pt>
                <c:pt idx="16">
                  <c:v>1.975189999999998</c:v>
                </c:pt>
                <c:pt idx="17">
                  <c:v>-4.3606099999999941</c:v>
                </c:pt>
                <c:pt idx="18">
                  <c:v>0.7286000000000058</c:v>
                </c:pt>
              </c:numCache>
            </c:numRef>
          </c:val>
        </c:ser>
        <c:ser>
          <c:idx val="1"/>
          <c:order val="1"/>
          <c:tx>
            <c:v>Δ Gross Public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Φύλλο1!$T$3:$T$21</c:f>
              <c:numCache>
                <c:formatCode>General</c:formatCode>
                <c:ptCount val="19"/>
                <c:pt idx="0">
                  <c:v>3.2558459999999743</c:v>
                </c:pt>
                <c:pt idx="1">
                  <c:v>1.8202349999999998</c:v>
                </c:pt>
                <c:pt idx="2">
                  <c:v>-8.9175000000000046E-2</c:v>
                </c:pt>
                <c:pt idx="3">
                  <c:v>-0.52098200000000006</c:v>
                </c:pt>
                <c:pt idx="4">
                  <c:v>0.18057000000000001</c:v>
                </c:pt>
                <c:pt idx="5">
                  <c:v>3.9802599999999977</c:v>
                </c:pt>
                <c:pt idx="6">
                  <c:v>-1.8065299999999958</c:v>
                </c:pt>
                <c:pt idx="7">
                  <c:v>-1.4406599999999998</c:v>
                </c:pt>
                <c:pt idx="8">
                  <c:v>1.5198499999999906</c:v>
                </c:pt>
                <c:pt idx="9">
                  <c:v>-2.0207099999999998</c:v>
                </c:pt>
                <c:pt idx="10">
                  <c:v>0.15788000000000021</c:v>
                </c:pt>
                <c:pt idx="11">
                  <c:v>3.8814799999999967</c:v>
                </c:pt>
                <c:pt idx="12">
                  <c:v>0.31304000000000032</c:v>
                </c:pt>
                <c:pt idx="13">
                  <c:v>-8.9275900000000004</c:v>
                </c:pt>
                <c:pt idx="14">
                  <c:v>0.35058000000000222</c:v>
                </c:pt>
                <c:pt idx="15">
                  <c:v>4.6134299999999975</c:v>
                </c:pt>
                <c:pt idx="16">
                  <c:v>1.2383000000000006</c:v>
                </c:pt>
                <c:pt idx="17">
                  <c:v>0.84500999999999971</c:v>
                </c:pt>
                <c:pt idx="18">
                  <c:v>1.1034800000000002</c:v>
                </c:pt>
              </c:numCache>
            </c:numRef>
          </c:val>
        </c:ser>
        <c:marker val="1"/>
        <c:axId val="124321792"/>
        <c:axId val="124323712"/>
      </c:lineChart>
      <c:catAx>
        <c:axId val="124321792"/>
        <c:scaling>
          <c:orientation val="minMax"/>
        </c:scaling>
        <c:axPos val="b"/>
        <c:title>
          <c:tx>
            <c:rich>
              <a:bodyPr/>
              <a:lstStyle/>
              <a:p>
                <a:pPr>
                  <a:defRPr/>
                </a:pPr>
                <a:r>
                  <a:rPr lang="en-US"/>
                  <a:t>Years</a:t>
                </a:r>
              </a:p>
            </c:rich>
          </c:tx>
        </c:title>
        <c:numFmt formatCode="General" sourceLinked="1"/>
        <c:tickLblPos val="nextTo"/>
        <c:crossAx val="124323712"/>
        <c:crosses val="autoZero"/>
        <c:auto val="1"/>
        <c:lblAlgn val="ctr"/>
        <c:lblOffset val="100"/>
      </c:catAx>
      <c:valAx>
        <c:axId val="124323712"/>
        <c:scaling>
          <c:orientation val="minMax"/>
        </c:scaling>
        <c:axPos val="l"/>
        <c:majorGridlines/>
        <c:title>
          <c:tx>
            <c:rich>
              <a:bodyPr rot="-5400000" vert="horz"/>
              <a:lstStyle/>
              <a:p>
                <a:pPr>
                  <a:defRPr/>
                </a:pPr>
                <a:r>
                  <a:rPr lang="en-US"/>
                  <a:t>Difference in Billions</a:t>
                </a:r>
              </a:p>
            </c:rich>
          </c:tx>
        </c:title>
        <c:numFmt formatCode="General" sourceLinked="1"/>
        <c:tickLblPos val="nextTo"/>
        <c:crossAx val="124321792"/>
        <c:crosses val="autoZero"/>
        <c:crossBetween val="between"/>
      </c:valAx>
    </c:plotArea>
    <c:legend>
      <c:legendPos val="r"/>
    </c:legend>
    <c:plotVisOnly val="1"/>
  </c:chart>
  <c:externalData r:id="rId1"/>
</c:chartSpace>
</file>

<file path=word/charts/chart27.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400"/>
            </a:pPr>
            <a:r>
              <a:rPr lang="en-US" sz="1400"/>
              <a:t>Graph</a:t>
            </a:r>
            <a:r>
              <a:rPr lang="en-US" sz="1400" baseline="0"/>
              <a:t> 27 - Gross Public &amp; Private Savings in Differences / </a:t>
            </a:r>
          </a:p>
          <a:p>
            <a:pPr>
              <a:defRPr sz="1400"/>
            </a:pPr>
            <a:r>
              <a:rPr lang="en-US" sz="1400" baseline="0"/>
              <a:t>France</a:t>
            </a:r>
            <a:endParaRPr lang="el-GR" sz="1400"/>
          </a:p>
        </c:rich>
      </c:tx>
    </c:title>
    <c:plotArea>
      <c:layout/>
      <c:lineChart>
        <c:grouping val="standard"/>
        <c:ser>
          <c:idx val="0"/>
          <c:order val="0"/>
          <c:tx>
            <c:v>Δ Gross Private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Φύλλο1!$Y$3:$Y$21</c:f>
              <c:numCache>
                <c:formatCode>General</c:formatCode>
                <c:ptCount val="19"/>
                <c:pt idx="0">
                  <c:v>-2.251199999999983</c:v>
                </c:pt>
                <c:pt idx="1">
                  <c:v>18.993899999999929</c:v>
                </c:pt>
                <c:pt idx="2">
                  <c:v>12.523300000000003</c:v>
                </c:pt>
                <c:pt idx="3">
                  <c:v>10.608299999999986</c:v>
                </c:pt>
                <c:pt idx="4">
                  <c:v>12.213700000000017</c:v>
                </c:pt>
                <c:pt idx="5">
                  <c:v>9.5651000000000295</c:v>
                </c:pt>
                <c:pt idx="6">
                  <c:v>20.587499999999821</c:v>
                </c:pt>
                <c:pt idx="7">
                  <c:v>15.383200000000002</c:v>
                </c:pt>
                <c:pt idx="8">
                  <c:v>14.7034</c:v>
                </c:pt>
                <c:pt idx="9">
                  <c:v>0.50760000000002492</c:v>
                </c:pt>
                <c:pt idx="10">
                  <c:v>8.8806000000000225</c:v>
                </c:pt>
                <c:pt idx="11">
                  <c:v>30.699700000000007</c:v>
                </c:pt>
                <c:pt idx="12">
                  <c:v>10.887900000000002</c:v>
                </c:pt>
                <c:pt idx="13">
                  <c:v>-0.95660000000003764</c:v>
                </c:pt>
                <c:pt idx="14">
                  <c:v>19.678100000000033</c:v>
                </c:pt>
                <c:pt idx="15">
                  <c:v>0.71699999999998465</c:v>
                </c:pt>
                <c:pt idx="16">
                  <c:v>-18.166999999999973</c:v>
                </c:pt>
                <c:pt idx="17">
                  <c:v>-13.624000000000018</c:v>
                </c:pt>
                <c:pt idx="18">
                  <c:v>13.766300000000001</c:v>
                </c:pt>
              </c:numCache>
            </c:numRef>
          </c:val>
        </c:ser>
        <c:ser>
          <c:idx val="1"/>
          <c:order val="1"/>
          <c:tx>
            <c:v>Δ Gross Public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Φύλλο1!$X$3:$X$21</c:f>
              <c:numCache>
                <c:formatCode>General</c:formatCode>
                <c:ptCount val="19"/>
                <c:pt idx="0">
                  <c:v>7.2054400000000003</c:v>
                </c:pt>
                <c:pt idx="1">
                  <c:v>1.2081699999999918</c:v>
                </c:pt>
                <c:pt idx="2">
                  <c:v>14.871650000000002</c:v>
                </c:pt>
                <c:pt idx="3">
                  <c:v>14.640229999999999</c:v>
                </c:pt>
                <c:pt idx="4">
                  <c:v>2.9191000000000003</c:v>
                </c:pt>
                <c:pt idx="5">
                  <c:v>1.2828000000000017</c:v>
                </c:pt>
                <c:pt idx="6">
                  <c:v>-27.357900000000168</c:v>
                </c:pt>
                <c:pt idx="7">
                  <c:v>-13.872100000000026</c:v>
                </c:pt>
                <c:pt idx="8">
                  <c:v>8.4744000000000028</c:v>
                </c:pt>
                <c:pt idx="9">
                  <c:v>7.7984000000000009</c:v>
                </c:pt>
                <c:pt idx="10">
                  <c:v>19.194600000000001</c:v>
                </c:pt>
                <c:pt idx="11">
                  <c:v>-0.41000000000000381</c:v>
                </c:pt>
                <c:pt idx="12">
                  <c:v>-6.1302999999999983</c:v>
                </c:pt>
                <c:pt idx="13">
                  <c:v>-70.284500000000023</c:v>
                </c:pt>
                <c:pt idx="14">
                  <c:v>1.3340000000000041</c:v>
                </c:pt>
                <c:pt idx="15">
                  <c:v>28.317000000000135</c:v>
                </c:pt>
                <c:pt idx="16">
                  <c:v>8.5040000000000013</c:v>
                </c:pt>
                <c:pt idx="17">
                  <c:v>14.653000000000002</c:v>
                </c:pt>
                <c:pt idx="18">
                  <c:v>-4.7639999999999985</c:v>
                </c:pt>
              </c:numCache>
            </c:numRef>
          </c:val>
        </c:ser>
        <c:marker val="1"/>
        <c:axId val="124336768"/>
        <c:axId val="124351232"/>
      </c:lineChart>
      <c:catAx>
        <c:axId val="124336768"/>
        <c:scaling>
          <c:orientation val="minMax"/>
        </c:scaling>
        <c:axPos val="b"/>
        <c:title>
          <c:tx>
            <c:rich>
              <a:bodyPr/>
              <a:lstStyle/>
              <a:p>
                <a:pPr>
                  <a:defRPr/>
                </a:pPr>
                <a:r>
                  <a:rPr lang="en-US"/>
                  <a:t>Years</a:t>
                </a:r>
              </a:p>
            </c:rich>
          </c:tx>
        </c:title>
        <c:numFmt formatCode="General" sourceLinked="1"/>
        <c:tickLblPos val="nextTo"/>
        <c:crossAx val="124351232"/>
        <c:crosses val="autoZero"/>
        <c:auto val="1"/>
        <c:lblAlgn val="ctr"/>
        <c:lblOffset val="100"/>
      </c:catAx>
      <c:valAx>
        <c:axId val="124351232"/>
        <c:scaling>
          <c:orientation val="minMax"/>
        </c:scaling>
        <c:axPos val="l"/>
        <c:majorGridlines/>
        <c:title>
          <c:tx>
            <c:rich>
              <a:bodyPr rot="-5400000" vert="horz"/>
              <a:lstStyle/>
              <a:p>
                <a:pPr>
                  <a:defRPr/>
                </a:pPr>
                <a:r>
                  <a:rPr lang="en-US"/>
                  <a:t>Difference in Billions</a:t>
                </a:r>
              </a:p>
            </c:rich>
          </c:tx>
        </c:title>
        <c:numFmt formatCode="General" sourceLinked="1"/>
        <c:tickLblPos val="nextTo"/>
        <c:crossAx val="124336768"/>
        <c:crosses val="autoZero"/>
        <c:crossBetween val="between"/>
      </c:valAx>
    </c:plotArea>
    <c:legend>
      <c:legendPos val="r"/>
    </c:legend>
    <c:plotVisOnly val="1"/>
  </c:chart>
  <c:externalData r:id="rId1"/>
</c:chartSpace>
</file>

<file path=word/charts/chart28.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400"/>
            </a:pPr>
            <a:r>
              <a:rPr lang="en-US" sz="1400"/>
              <a:t>Graph 28 - Gross Public &amp; Private Savings in Differences / Belgium</a:t>
            </a:r>
          </a:p>
        </c:rich>
      </c:tx>
    </c:title>
    <c:plotArea>
      <c:layout/>
      <c:lineChart>
        <c:grouping val="standard"/>
        <c:ser>
          <c:idx val="0"/>
          <c:order val="0"/>
          <c:tx>
            <c:v>Δ Gross Private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Φύλλο1!$AC$3:$AC$21</c:f>
              <c:numCache>
                <c:formatCode>General</c:formatCode>
                <c:ptCount val="19"/>
                <c:pt idx="0">
                  <c:v>-2.8039999999999949</c:v>
                </c:pt>
                <c:pt idx="1">
                  <c:v>-0.34000000000000341</c:v>
                </c:pt>
                <c:pt idx="2">
                  <c:v>-0.74790000000000634</c:v>
                </c:pt>
                <c:pt idx="3">
                  <c:v>3.3580000000000028</c:v>
                </c:pt>
                <c:pt idx="4">
                  <c:v>2.8875999999999991</c:v>
                </c:pt>
                <c:pt idx="5">
                  <c:v>-0.41690000000000038</c:v>
                </c:pt>
                <c:pt idx="6">
                  <c:v>3.1685000000000016</c:v>
                </c:pt>
                <c:pt idx="7">
                  <c:v>4.9065999999999974</c:v>
                </c:pt>
                <c:pt idx="8">
                  <c:v>3.6891999999999996</c:v>
                </c:pt>
                <c:pt idx="9">
                  <c:v>2.1440999999999946</c:v>
                </c:pt>
                <c:pt idx="10">
                  <c:v>5.0755000000000052</c:v>
                </c:pt>
                <c:pt idx="11">
                  <c:v>7.3979999999999855</c:v>
                </c:pt>
                <c:pt idx="12">
                  <c:v>0.55339999999999634</c:v>
                </c:pt>
                <c:pt idx="13">
                  <c:v>-3.7416999999999945</c:v>
                </c:pt>
                <c:pt idx="14">
                  <c:v>11.047600000000003</c:v>
                </c:pt>
                <c:pt idx="15">
                  <c:v>-2.2809000000000212</c:v>
                </c:pt>
                <c:pt idx="16">
                  <c:v>-0.42650000000000432</c:v>
                </c:pt>
                <c:pt idx="17">
                  <c:v>-11.487900000000002</c:v>
                </c:pt>
                <c:pt idx="18">
                  <c:v>7.3566000000000003</c:v>
                </c:pt>
              </c:numCache>
            </c:numRef>
          </c:val>
        </c:ser>
        <c:ser>
          <c:idx val="1"/>
          <c:order val="1"/>
          <c:tx>
            <c:v>Δ Gross Public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Φύλλο1!$AB$3:$AB$21</c:f>
              <c:numCache>
                <c:formatCode>General</c:formatCode>
                <c:ptCount val="19"/>
                <c:pt idx="0">
                  <c:v>0.8988170000000002</c:v>
                </c:pt>
                <c:pt idx="1">
                  <c:v>4.3682780000000001</c:v>
                </c:pt>
                <c:pt idx="2">
                  <c:v>2.8285290000000005</c:v>
                </c:pt>
                <c:pt idx="3">
                  <c:v>1.3011669999999906</c:v>
                </c:pt>
                <c:pt idx="4">
                  <c:v>1.7490999999999894</c:v>
                </c:pt>
                <c:pt idx="5">
                  <c:v>-0.49810000000000032</c:v>
                </c:pt>
                <c:pt idx="6">
                  <c:v>-0.69190000000000063</c:v>
                </c:pt>
                <c:pt idx="7">
                  <c:v>-3.3268999999999793</c:v>
                </c:pt>
                <c:pt idx="8">
                  <c:v>2.4444000000000004</c:v>
                </c:pt>
                <c:pt idx="9">
                  <c:v>0.62180000000000446</c:v>
                </c:pt>
                <c:pt idx="10">
                  <c:v>1.4626999999999899</c:v>
                </c:pt>
                <c:pt idx="11">
                  <c:v>0.99440000000000051</c:v>
                </c:pt>
                <c:pt idx="12">
                  <c:v>-3.4658000000000007</c:v>
                </c:pt>
                <c:pt idx="13">
                  <c:v>-13.4468</c:v>
                </c:pt>
                <c:pt idx="14">
                  <c:v>3.9670000000000005</c:v>
                </c:pt>
                <c:pt idx="15">
                  <c:v>2.1142000000000003</c:v>
                </c:pt>
                <c:pt idx="16">
                  <c:v>0.87010000000000065</c:v>
                </c:pt>
                <c:pt idx="17">
                  <c:v>1.4563999999999901</c:v>
                </c:pt>
                <c:pt idx="18">
                  <c:v>-1.3273999999999901</c:v>
                </c:pt>
              </c:numCache>
            </c:numRef>
          </c:val>
        </c:ser>
        <c:marker val="1"/>
        <c:axId val="124421632"/>
        <c:axId val="124423552"/>
      </c:lineChart>
      <c:catAx>
        <c:axId val="124421632"/>
        <c:scaling>
          <c:orientation val="minMax"/>
        </c:scaling>
        <c:axPos val="b"/>
        <c:title>
          <c:tx>
            <c:rich>
              <a:bodyPr/>
              <a:lstStyle/>
              <a:p>
                <a:pPr>
                  <a:defRPr/>
                </a:pPr>
                <a:r>
                  <a:rPr lang="en-US"/>
                  <a:t>Years</a:t>
                </a:r>
              </a:p>
            </c:rich>
          </c:tx>
        </c:title>
        <c:numFmt formatCode="General" sourceLinked="1"/>
        <c:tickLblPos val="nextTo"/>
        <c:crossAx val="124423552"/>
        <c:crosses val="autoZero"/>
        <c:auto val="1"/>
        <c:lblAlgn val="ctr"/>
        <c:lblOffset val="100"/>
      </c:catAx>
      <c:valAx>
        <c:axId val="124423552"/>
        <c:scaling>
          <c:orientation val="minMax"/>
        </c:scaling>
        <c:axPos val="l"/>
        <c:majorGridlines/>
        <c:title>
          <c:tx>
            <c:rich>
              <a:bodyPr rot="-5400000" vert="horz"/>
              <a:lstStyle/>
              <a:p>
                <a:pPr>
                  <a:defRPr/>
                </a:pPr>
                <a:r>
                  <a:rPr lang="en-US"/>
                  <a:t>Difference in Billions</a:t>
                </a:r>
              </a:p>
            </c:rich>
          </c:tx>
        </c:title>
        <c:numFmt formatCode="General" sourceLinked="1"/>
        <c:tickLblPos val="nextTo"/>
        <c:crossAx val="124421632"/>
        <c:crosses val="autoZero"/>
        <c:crossBetween val="between"/>
      </c:valAx>
    </c:plotArea>
    <c:legend>
      <c:legendPos val="r"/>
    </c:legend>
    <c:plotVisOnly val="1"/>
  </c:chart>
  <c:externalData r:id="rId1"/>
</c:chartSpace>
</file>

<file path=word/charts/chart29.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400"/>
            </a:pPr>
            <a:r>
              <a:rPr lang="en-US" sz="1400"/>
              <a:t>Graph 29 - Gross public &amp; Private Savings in Differences / Ireland</a:t>
            </a:r>
          </a:p>
        </c:rich>
      </c:tx>
    </c:title>
    <c:plotArea>
      <c:layout/>
      <c:lineChart>
        <c:grouping val="standard"/>
        <c:ser>
          <c:idx val="0"/>
          <c:order val="0"/>
          <c:tx>
            <c:v>Δ Gross Private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Φύλλο1!$AG$3:$AG$21</c:f>
              <c:numCache>
                <c:formatCode>General</c:formatCode>
                <c:ptCount val="19"/>
                <c:pt idx="0">
                  <c:v>0.6914700000000007</c:v>
                </c:pt>
                <c:pt idx="1">
                  <c:v>3.1151299999999988</c:v>
                </c:pt>
                <c:pt idx="2">
                  <c:v>1.8175199999999998</c:v>
                </c:pt>
                <c:pt idx="3">
                  <c:v>-0.59944000000000131</c:v>
                </c:pt>
                <c:pt idx="4">
                  <c:v>1.2981400000000001</c:v>
                </c:pt>
                <c:pt idx="5">
                  <c:v>4.1701799999999976</c:v>
                </c:pt>
                <c:pt idx="6">
                  <c:v>3.5934799999999987</c:v>
                </c:pt>
                <c:pt idx="7">
                  <c:v>4.1586199999999955</c:v>
                </c:pt>
                <c:pt idx="8">
                  <c:v>2.5331500000000031</c:v>
                </c:pt>
                <c:pt idx="9">
                  <c:v>3.7353899999999953</c:v>
                </c:pt>
                <c:pt idx="10">
                  <c:v>1.6808900000000051</c:v>
                </c:pt>
                <c:pt idx="11">
                  <c:v>-0.15879000000000487</c:v>
                </c:pt>
                <c:pt idx="12">
                  <c:v>-0.83623000000000069</c:v>
                </c:pt>
                <c:pt idx="13">
                  <c:v>0.41349000000000302</c:v>
                </c:pt>
                <c:pt idx="14">
                  <c:v>2.7541299999999982</c:v>
                </c:pt>
                <c:pt idx="15">
                  <c:v>-0.9350999999999986</c:v>
                </c:pt>
                <c:pt idx="16">
                  <c:v>2.250160000000001</c:v>
                </c:pt>
                <c:pt idx="17">
                  <c:v>2.8795699999999815</c:v>
                </c:pt>
                <c:pt idx="18">
                  <c:v>5.3544099999999855</c:v>
                </c:pt>
              </c:numCache>
            </c:numRef>
          </c:val>
        </c:ser>
        <c:ser>
          <c:idx val="1"/>
          <c:order val="1"/>
          <c:tx>
            <c:v>Δ Gross Public Ireland</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Φύλλο1!$AF$3:$AF$21</c:f>
              <c:numCache>
                <c:formatCode>General</c:formatCode>
                <c:ptCount val="19"/>
                <c:pt idx="0">
                  <c:v>1.0891599999999999</c:v>
                </c:pt>
                <c:pt idx="1">
                  <c:v>1.2674199999999998</c:v>
                </c:pt>
                <c:pt idx="2">
                  <c:v>1.0118999999999867</c:v>
                </c:pt>
                <c:pt idx="3">
                  <c:v>2.7080199999999999</c:v>
                </c:pt>
                <c:pt idx="4">
                  <c:v>2.6131200000000012</c:v>
                </c:pt>
                <c:pt idx="5">
                  <c:v>-2.5193399999999997</c:v>
                </c:pt>
                <c:pt idx="6">
                  <c:v>-1.4993599999999994</c:v>
                </c:pt>
                <c:pt idx="7">
                  <c:v>1.1721699999999995</c:v>
                </c:pt>
                <c:pt idx="8">
                  <c:v>1.4283400000000004</c:v>
                </c:pt>
                <c:pt idx="9">
                  <c:v>0.38447000000000298</c:v>
                </c:pt>
                <c:pt idx="10">
                  <c:v>3.3612900000000003</c:v>
                </c:pt>
                <c:pt idx="11">
                  <c:v>-2.3897099999999987</c:v>
                </c:pt>
                <c:pt idx="12">
                  <c:v>-10.852820000000024</c:v>
                </c:pt>
                <c:pt idx="13">
                  <c:v>-9.84741</c:v>
                </c:pt>
                <c:pt idx="14">
                  <c:v>0.49131000000000313</c:v>
                </c:pt>
                <c:pt idx="15">
                  <c:v>1.3826800000000021</c:v>
                </c:pt>
                <c:pt idx="16">
                  <c:v>0.73590999999999873</c:v>
                </c:pt>
                <c:pt idx="17">
                  <c:v>2.2585000000000006</c:v>
                </c:pt>
                <c:pt idx="18">
                  <c:v>3.7654000000000001</c:v>
                </c:pt>
              </c:numCache>
            </c:numRef>
          </c:val>
        </c:ser>
        <c:marker val="1"/>
        <c:axId val="124453248"/>
        <c:axId val="124454784"/>
      </c:lineChart>
      <c:catAx>
        <c:axId val="124453248"/>
        <c:scaling>
          <c:orientation val="minMax"/>
        </c:scaling>
        <c:axPos val="b"/>
        <c:numFmt formatCode="General" sourceLinked="1"/>
        <c:tickLblPos val="nextTo"/>
        <c:crossAx val="124454784"/>
        <c:crosses val="autoZero"/>
        <c:auto val="1"/>
        <c:lblAlgn val="ctr"/>
        <c:lblOffset val="100"/>
      </c:catAx>
      <c:valAx>
        <c:axId val="124454784"/>
        <c:scaling>
          <c:orientation val="minMax"/>
        </c:scaling>
        <c:axPos val="l"/>
        <c:majorGridlines/>
        <c:numFmt formatCode="General" sourceLinked="1"/>
        <c:tickLblPos val="nextTo"/>
        <c:crossAx val="124453248"/>
        <c:crosses val="autoZero"/>
        <c:crossBetween val="between"/>
      </c:valAx>
    </c:plotArea>
    <c:legend>
      <c:legendPos val="r"/>
    </c:legend>
    <c:plotVisOnly val="1"/>
  </c:chart>
  <c:externalData r:id="rId1"/>
</c:chartSpace>
</file>

<file path=word/charts/chart30.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400"/>
            </a:pPr>
            <a:r>
              <a:rPr lang="en-US" sz="1400"/>
              <a:t>Graph</a:t>
            </a:r>
            <a:r>
              <a:rPr lang="en-US" sz="1400" baseline="0"/>
              <a:t> 30 - Gross Public &amp; Private Savings in Differences / Portugal</a:t>
            </a:r>
          </a:p>
          <a:p>
            <a:pPr>
              <a:defRPr sz="1400"/>
            </a:pPr>
            <a:endParaRPr lang="el-GR" sz="1400"/>
          </a:p>
        </c:rich>
      </c:tx>
    </c:title>
    <c:plotArea>
      <c:layout/>
      <c:lineChart>
        <c:grouping val="standard"/>
        <c:ser>
          <c:idx val="0"/>
          <c:order val="0"/>
          <c:tx>
            <c:v>Δ Gross Private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Φύλλο1!$AO$3:$AO$21</c:f>
              <c:numCache>
                <c:formatCode>General</c:formatCode>
                <c:ptCount val="19"/>
                <c:pt idx="0">
                  <c:v>-0.68514000000000064</c:v>
                </c:pt>
                <c:pt idx="1">
                  <c:v>0.5028800000000011</c:v>
                </c:pt>
                <c:pt idx="2">
                  <c:v>1.8552</c:v>
                </c:pt>
                <c:pt idx="3">
                  <c:v>0.21536000000000044</c:v>
                </c:pt>
                <c:pt idx="4">
                  <c:v>-0.30350000000000038</c:v>
                </c:pt>
                <c:pt idx="5">
                  <c:v>2.8938599999999757</c:v>
                </c:pt>
                <c:pt idx="6">
                  <c:v>-1.2499999999999276E-2</c:v>
                </c:pt>
                <c:pt idx="7">
                  <c:v>0.52793999999999741</c:v>
                </c:pt>
                <c:pt idx="8">
                  <c:v>1.2318599999999922</c:v>
                </c:pt>
                <c:pt idx="9">
                  <c:v>-0.96550999999999831</c:v>
                </c:pt>
                <c:pt idx="10">
                  <c:v>-2.5273600000000016</c:v>
                </c:pt>
                <c:pt idx="11">
                  <c:v>0.32882000000000478</c:v>
                </c:pt>
                <c:pt idx="12">
                  <c:v>-2.2572700000000019</c:v>
                </c:pt>
                <c:pt idx="13">
                  <c:v>7.9774799999999999</c:v>
                </c:pt>
                <c:pt idx="14">
                  <c:v>-0.25559999999999788</c:v>
                </c:pt>
                <c:pt idx="15">
                  <c:v>1.5234599999999998</c:v>
                </c:pt>
                <c:pt idx="16">
                  <c:v>-7.6399999999999593E-2</c:v>
                </c:pt>
                <c:pt idx="17">
                  <c:v>0.51973999999999876</c:v>
                </c:pt>
                <c:pt idx="18">
                  <c:v>-0.49830000000000324</c:v>
                </c:pt>
              </c:numCache>
            </c:numRef>
          </c:val>
        </c:ser>
        <c:ser>
          <c:idx val="1"/>
          <c:order val="1"/>
          <c:tx>
            <c:v>Δ Gross public Savings </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Φύλλο1!$AN$3:$AN$21</c:f>
              <c:numCache>
                <c:formatCode>General</c:formatCode>
                <c:ptCount val="19"/>
                <c:pt idx="0">
                  <c:v>0.79210000000000003</c:v>
                </c:pt>
                <c:pt idx="1">
                  <c:v>1.2873999999999892</c:v>
                </c:pt>
                <c:pt idx="2">
                  <c:v>2.9109999999999976E-2</c:v>
                </c:pt>
                <c:pt idx="3">
                  <c:v>1.1556899999999999</c:v>
                </c:pt>
                <c:pt idx="4">
                  <c:v>-0.94839999999999991</c:v>
                </c:pt>
                <c:pt idx="5">
                  <c:v>-1.4705999999999904</c:v>
                </c:pt>
                <c:pt idx="6">
                  <c:v>0.29889000000000032</c:v>
                </c:pt>
                <c:pt idx="7">
                  <c:v>-1.4051299999999844</c:v>
                </c:pt>
                <c:pt idx="8">
                  <c:v>-1.5173699999999899</c:v>
                </c:pt>
                <c:pt idx="9">
                  <c:v>-1.13774</c:v>
                </c:pt>
                <c:pt idx="10">
                  <c:v>2.0571999999999999</c:v>
                </c:pt>
                <c:pt idx="11">
                  <c:v>1.7083899999999999</c:v>
                </c:pt>
                <c:pt idx="12">
                  <c:v>-1.0085899999999999</c:v>
                </c:pt>
                <c:pt idx="13">
                  <c:v>-8.782820000000001</c:v>
                </c:pt>
                <c:pt idx="14">
                  <c:v>0.63326999999999967</c:v>
                </c:pt>
                <c:pt idx="15">
                  <c:v>2.1773299999999995</c:v>
                </c:pt>
                <c:pt idx="16">
                  <c:v>0.24107000000000056</c:v>
                </c:pt>
                <c:pt idx="17">
                  <c:v>2.4420099999999967</c:v>
                </c:pt>
                <c:pt idx="18">
                  <c:v>1.15998</c:v>
                </c:pt>
              </c:numCache>
            </c:numRef>
          </c:val>
        </c:ser>
        <c:marker val="1"/>
        <c:axId val="124467456"/>
        <c:axId val="124494208"/>
      </c:lineChart>
      <c:catAx>
        <c:axId val="124467456"/>
        <c:scaling>
          <c:orientation val="minMax"/>
        </c:scaling>
        <c:axPos val="b"/>
        <c:title>
          <c:tx>
            <c:rich>
              <a:bodyPr/>
              <a:lstStyle/>
              <a:p>
                <a:pPr>
                  <a:defRPr/>
                </a:pPr>
                <a:r>
                  <a:rPr lang="en-US"/>
                  <a:t>Years</a:t>
                </a:r>
              </a:p>
            </c:rich>
          </c:tx>
        </c:title>
        <c:numFmt formatCode="General" sourceLinked="1"/>
        <c:tickLblPos val="nextTo"/>
        <c:crossAx val="124494208"/>
        <c:crosses val="autoZero"/>
        <c:auto val="1"/>
        <c:lblAlgn val="ctr"/>
        <c:lblOffset val="100"/>
      </c:catAx>
      <c:valAx>
        <c:axId val="124494208"/>
        <c:scaling>
          <c:orientation val="minMax"/>
        </c:scaling>
        <c:axPos val="l"/>
        <c:majorGridlines/>
        <c:title>
          <c:tx>
            <c:rich>
              <a:bodyPr rot="-5400000" vert="horz"/>
              <a:lstStyle/>
              <a:p>
                <a:pPr>
                  <a:defRPr/>
                </a:pPr>
                <a:r>
                  <a:rPr lang="en-US"/>
                  <a:t>Difference in Billions</a:t>
                </a:r>
              </a:p>
            </c:rich>
          </c:tx>
        </c:title>
        <c:numFmt formatCode="General" sourceLinked="1"/>
        <c:tickLblPos val="nextTo"/>
        <c:crossAx val="124467456"/>
        <c:crosses val="autoZero"/>
        <c:crossBetween val="between"/>
      </c:valAx>
    </c:plotArea>
    <c:legend>
      <c:legendPos val="r"/>
    </c:legend>
    <c:plotVisOnly val="1"/>
  </c:chart>
  <c:externalData r:id="rId1"/>
</c:chartSpace>
</file>

<file path=word/charts/chart3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400"/>
            </a:pPr>
            <a:r>
              <a:rPr lang="en-US" sz="1400"/>
              <a:t>Graph 31- Gross public &amp; Private Savings in Differences / Italy</a:t>
            </a:r>
          </a:p>
        </c:rich>
      </c:tx>
    </c:title>
    <c:plotArea>
      <c:layout/>
      <c:lineChart>
        <c:grouping val="standard"/>
        <c:ser>
          <c:idx val="0"/>
          <c:order val="0"/>
          <c:tx>
            <c:v>Δ Gross Private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Φύλλο1!$AK$3:$AK$21</c:f>
              <c:numCache>
                <c:formatCode>General</c:formatCode>
                <c:ptCount val="19"/>
                <c:pt idx="0">
                  <c:v>33.627200000000016</c:v>
                </c:pt>
                <c:pt idx="1">
                  <c:v>-16.298100000000002</c:v>
                </c:pt>
                <c:pt idx="2">
                  <c:v>-6.3626000000000147</c:v>
                </c:pt>
                <c:pt idx="3">
                  <c:v>-14.465900000000024</c:v>
                </c:pt>
                <c:pt idx="4">
                  <c:v>16.726600000000019</c:v>
                </c:pt>
                <c:pt idx="5">
                  <c:v>21.727099999999979</c:v>
                </c:pt>
                <c:pt idx="6">
                  <c:v>14.366200000000006</c:v>
                </c:pt>
                <c:pt idx="7">
                  <c:v>13.382600000000076</c:v>
                </c:pt>
                <c:pt idx="8">
                  <c:v>12.200500000000002</c:v>
                </c:pt>
                <c:pt idx="9">
                  <c:v>2.3731000000000222</c:v>
                </c:pt>
                <c:pt idx="10">
                  <c:v>-9.5582000000000011</c:v>
                </c:pt>
                <c:pt idx="11">
                  <c:v>7.7699999999993524E-2</c:v>
                </c:pt>
                <c:pt idx="12">
                  <c:v>-4.4633999999999814</c:v>
                </c:pt>
                <c:pt idx="13">
                  <c:v>5.3287999999999975</c:v>
                </c:pt>
                <c:pt idx="14">
                  <c:v>-9.8369000000000142</c:v>
                </c:pt>
                <c:pt idx="15">
                  <c:v>8.9823000000000093</c:v>
                </c:pt>
                <c:pt idx="16">
                  <c:v>-19.384700000000009</c:v>
                </c:pt>
                <c:pt idx="17">
                  <c:v>21.35590000000003</c:v>
                </c:pt>
                <c:pt idx="18">
                  <c:v>4.7921000000000049</c:v>
                </c:pt>
              </c:numCache>
            </c:numRef>
          </c:val>
        </c:ser>
        <c:ser>
          <c:idx val="1"/>
          <c:order val="1"/>
          <c:tx>
            <c:v>Δ Gross Public Savings</c:v>
          </c:tx>
          <c:marker>
            <c:symbol val="none"/>
          </c:marker>
          <c:cat>
            <c:numRef>
              <c:f>Φύλλο1!$A$3:$A$21</c:f>
              <c:numCache>
                <c:formatCode>General</c:formatCode>
                <c:ptCount val="19"/>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pt idx="18">
                  <c:v>2014</c:v>
                </c:pt>
              </c:numCache>
            </c:numRef>
          </c:cat>
          <c:val>
            <c:numRef>
              <c:f>Φύλλο1!$AJ$3:$AJ$21</c:f>
              <c:numCache>
                <c:formatCode>General</c:formatCode>
                <c:ptCount val="19"/>
                <c:pt idx="0">
                  <c:v>-1.9832199999999993</c:v>
                </c:pt>
                <c:pt idx="1">
                  <c:v>29.22943999999978</c:v>
                </c:pt>
                <c:pt idx="2">
                  <c:v>6.21462</c:v>
                </c:pt>
                <c:pt idx="3">
                  <c:v>19.057299999999987</c:v>
                </c:pt>
                <c:pt idx="4">
                  <c:v>-7.3979999999999855</c:v>
                </c:pt>
                <c:pt idx="5">
                  <c:v>-4.7099999999999991</c:v>
                </c:pt>
                <c:pt idx="6">
                  <c:v>-3.3339999999999987</c:v>
                </c:pt>
                <c:pt idx="7">
                  <c:v>-12.934000000000001</c:v>
                </c:pt>
                <c:pt idx="8">
                  <c:v>5.3100000000000005</c:v>
                </c:pt>
                <c:pt idx="9">
                  <c:v>-1.0640000000000001</c:v>
                </c:pt>
                <c:pt idx="10">
                  <c:v>24.294</c:v>
                </c:pt>
                <c:pt idx="11">
                  <c:v>19.053000000000001</c:v>
                </c:pt>
                <c:pt idx="12">
                  <c:v>-20.549000000000003</c:v>
                </c:pt>
                <c:pt idx="13">
                  <c:v>-39.925000000000011</c:v>
                </c:pt>
                <c:pt idx="14">
                  <c:v>9.0130000000000017</c:v>
                </c:pt>
                <c:pt idx="15">
                  <c:v>1.8650000000000002</c:v>
                </c:pt>
                <c:pt idx="16">
                  <c:v>16.023499999999839</c:v>
                </c:pt>
                <c:pt idx="17">
                  <c:v>-9.0708000000000002</c:v>
                </c:pt>
                <c:pt idx="18">
                  <c:v>1.1663999999999999</c:v>
                </c:pt>
              </c:numCache>
            </c:numRef>
          </c:val>
        </c:ser>
        <c:marker val="1"/>
        <c:axId val="124511360"/>
        <c:axId val="124513280"/>
      </c:lineChart>
      <c:catAx>
        <c:axId val="124511360"/>
        <c:scaling>
          <c:orientation val="minMax"/>
        </c:scaling>
        <c:axPos val="b"/>
        <c:title>
          <c:tx>
            <c:rich>
              <a:bodyPr/>
              <a:lstStyle/>
              <a:p>
                <a:pPr>
                  <a:defRPr/>
                </a:pPr>
                <a:r>
                  <a:rPr lang="en-US"/>
                  <a:t>Years</a:t>
                </a:r>
              </a:p>
            </c:rich>
          </c:tx>
        </c:title>
        <c:numFmt formatCode="General" sourceLinked="1"/>
        <c:tickLblPos val="nextTo"/>
        <c:crossAx val="124513280"/>
        <c:crosses val="autoZero"/>
        <c:auto val="1"/>
        <c:lblAlgn val="ctr"/>
        <c:lblOffset val="100"/>
      </c:catAx>
      <c:valAx>
        <c:axId val="124513280"/>
        <c:scaling>
          <c:orientation val="minMax"/>
        </c:scaling>
        <c:axPos val="l"/>
        <c:majorGridlines/>
        <c:title>
          <c:tx>
            <c:rich>
              <a:bodyPr rot="-5400000" vert="horz"/>
              <a:lstStyle/>
              <a:p>
                <a:pPr>
                  <a:defRPr/>
                </a:pPr>
                <a:r>
                  <a:rPr lang="en-US"/>
                  <a:t>Difference in Billions</a:t>
                </a:r>
              </a:p>
            </c:rich>
          </c:tx>
        </c:title>
        <c:numFmt formatCode="General" sourceLinked="1"/>
        <c:tickLblPos val="nextTo"/>
        <c:crossAx val="124511360"/>
        <c:crosses val="autoZero"/>
        <c:crossBetween val="between"/>
      </c:valAx>
    </c:plotArea>
    <c:legend>
      <c:legendPos val="r"/>
    </c:legend>
    <c:plotVisOnly val="1"/>
  </c:chart>
  <c:externalData r:id="rId1"/>
</c:chartSpace>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94ED15-1093-4EE9-9F50-07BD16766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2452</TotalTime>
  <Pages>47</Pages>
  <Words>16265</Words>
  <Characters>92717</Characters>
  <Application>Microsoft Office Word</Application>
  <DocSecurity>0</DocSecurity>
  <Lines>772</Lines>
  <Paragraphs>217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108765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54</cp:revision>
  <cp:lastPrinted>2015-07-14T09:19:00Z</cp:lastPrinted>
  <dcterms:created xsi:type="dcterms:W3CDTF">2014-09-10T10:23:00Z</dcterms:created>
  <dcterms:modified xsi:type="dcterms:W3CDTF">2015-07-14T09:21:00Z</dcterms:modified>
</cp:coreProperties>
</file>