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id w:val="-1407142522"/>
        <w:docPartObj>
          <w:docPartGallery w:val="Cover Pages"/>
          <w:docPartUnique/>
        </w:docPartObj>
      </w:sdtPr>
      <w:sdtEndPr>
        <w:rPr>
          <w:b/>
        </w:rPr>
      </w:sdtEndPr>
      <w:sdtContent>
        <w:tbl>
          <w:tblPr>
            <w:tblpPr w:leftFromText="187" w:rightFromText="187" w:vertAnchor="page" w:horzAnchor="page" w:tblpYSpec="top"/>
            <w:tblW w:w="0" w:type="auto"/>
            <w:tblLook w:val="04A0" w:firstRow="1" w:lastRow="0" w:firstColumn="1" w:lastColumn="0" w:noHBand="0" w:noVBand="1"/>
          </w:tblPr>
          <w:tblGrid>
            <w:gridCol w:w="1440"/>
            <w:gridCol w:w="2520"/>
          </w:tblGrid>
          <w:tr w:rsidR="00AA321E">
            <w:trPr>
              <w:trHeight w:val="1440"/>
            </w:trPr>
            <w:tc>
              <w:tcPr>
                <w:tcW w:w="1440" w:type="dxa"/>
                <w:tcBorders>
                  <w:right w:val="single" w:sz="4" w:space="0" w:color="FFFFFF" w:themeColor="background1"/>
                </w:tcBorders>
                <w:shd w:val="clear" w:color="auto" w:fill="943634" w:themeFill="accent2" w:themeFillShade="BF"/>
              </w:tcPr>
              <w:p w:rsidR="00AA321E" w:rsidRDefault="00AA321E" w:rsidP="00903661">
                <w:pPr>
                  <w:spacing w:line="360" w:lineRule="auto"/>
                </w:pPr>
              </w:p>
            </w:tc>
            <w:sdt>
              <w:sdtPr>
                <w:rPr>
                  <w:rFonts w:asciiTheme="majorHAnsi" w:eastAsiaTheme="majorEastAsia" w:hAnsiTheme="majorHAnsi" w:cstheme="majorBidi"/>
                  <w:b/>
                  <w:bCs/>
                  <w:color w:val="FFFFFF" w:themeColor="background1"/>
                  <w:sz w:val="72"/>
                  <w:szCs w:val="72"/>
                </w:rPr>
                <w:alias w:val="Jaar"/>
                <w:id w:val="15676118"/>
                <w:dataBinding w:prefixMappings="xmlns:ns0='http://schemas.microsoft.com/office/2006/coverPageProps'" w:xpath="/ns0:CoverPageProperties[1]/ns0:PublishDate[1]" w:storeItemID="{55AF091B-3C7A-41E3-B477-F2FDAA23CFDA}"/>
                <w:date w:fullDate="2015-01-01T00:00:00Z">
                  <w:dateFormat w:val="yyyy"/>
                  <w:lid w:val="nl-NL"/>
                  <w:storeMappedDataAs w:val="dateTime"/>
                  <w:calendar w:val="gregorian"/>
                </w:date>
              </w:sdtPr>
              <w:sdtEndPr/>
              <w:sdtContent>
                <w:tc>
                  <w:tcPr>
                    <w:tcW w:w="2520" w:type="dxa"/>
                    <w:tcBorders>
                      <w:left w:val="single" w:sz="4" w:space="0" w:color="FFFFFF" w:themeColor="background1"/>
                    </w:tcBorders>
                    <w:shd w:val="clear" w:color="auto" w:fill="943634" w:themeFill="accent2" w:themeFillShade="BF"/>
                    <w:vAlign w:val="bottom"/>
                  </w:tcPr>
                  <w:p w:rsidR="00AA321E" w:rsidRDefault="00AF3E33" w:rsidP="00903661">
                    <w:pPr>
                      <w:pStyle w:val="NoSpacing"/>
                      <w:spacing w:line="360" w:lineRule="auto"/>
                      <w:rPr>
                        <w:rFonts w:asciiTheme="majorHAnsi" w:eastAsiaTheme="majorEastAsia" w:hAnsiTheme="majorHAnsi" w:cstheme="majorBidi"/>
                        <w:b/>
                        <w:bCs/>
                        <w:color w:val="FFFFFF" w:themeColor="background1"/>
                        <w:sz w:val="72"/>
                        <w:szCs w:val="72"/>
                      </w:rPr>
                    </w:pPr>
                    <w:r>
                      <w:rPr>
                        <w:rFonts w:asciiTheme="majorHAnsi" w:eastAsiaTheme="majorEastAsia" w:hAnsiTheme="majorHAnsi" w:cstheme="majorBidi"/>
                        <w:b/>
                        <w:bCs/>
                        <w:color w:val="FFFFFF" w:themeColor="background1"/>
                        <w:sz w:val="72"/>
                        <w:szCs w:val="72"/>
                      </w:rPr>
                      <w:t>2015</w:t>
                    </w:r>
                  </w:p>
                </w:tc>
              </w:sdtContent>
            </w:sdt>
          </w:tr>
          <w:tr w:rsidR="00AA321E">
            <w:trPr>
              <w:trHeight w:val="2880"/>
            </w:trPr>
            <w:tc>
              <w:tcPr>
                <w:tcW w:w="1440" w:type="dxa"/>
                <w:tcBorders>
                  <w:right w:val="single" w:sz="4" w:space="0" w:color="000000" w:themeColor="text1"/>
                </w:tcBorders>
              </w:tcPr>
              <w:p w:rsidR="00AA321E" w:rsidRDefault="00AA321E" w:rsidP="00903661">
                <w:pPr>
                  <w:spacing w:line="360" w:lineRule="auto"/>
                </w:pPr>
              </w:p>
            </w:tc>
            <w:tc>
              <w:tcPr>
                <w:tcW w:w="2520" w:type="dxa"/>
                <w:tcBorders>
                  <w:left w:val="single" w:sz="4" w:space="0" w:color="000000" w:themeColor="text1"/>
                </w:tcBorders>
                <w:vAlign w:val="center"/>
              </w:tcPr>
              <w:sdt>
                <w:sdtPr>
                  <w:alias w:val="Bedrijf"/>
                  <w:id w:val="15676123"/>
                  <w:dataBinding w:prefixMappings="xmlns:ns0='http://schemas.openxmlformats.org/officeDocument/2006/extended-properties'" w:xpath="/ns0:Properties[1]/ns0:Company[1]" w:storeItemID="{6668398D-A668-4E3E-A5EB-62B293D839F1}"/>
                  <w:text/>
                </w:sdtPr>
                <w:sdtEndPr/>
                <w:sdtContent>
                  <w:p w:rsidR="00AA321E" w:rsidRPr="00AA321E" w:rsidRDefault="00AF3E33" w:rsidP="00903661">
                    <w:pPr>
                      <w:pStyle w:val="NoSpacing"/>
                      <w:spacing w:line="360" w:lineRule="auto"/>
                    </w:pPr>
                    <w:r>
                      <w:t>Erasmus Universiteit Rotterdam</w:t>
                    </w:r>
                  </w:p>
                </w:sdtContent>
              </w:sdt>
              <w:p w:rsidR="00AA321E" w:rsidRDefault="009321F8" w:rsidP="00903661">
                <w:pPr>
                  <w:pStyle w:val="NoSpacing"/>
                  <w:spacing w:line="360" w:lineRule="auto"/>
                </w:pPr>
                <w:r>
                  <w:rPr>
                    <w:color w:val="76923C" w:themeColor="accent3" w:themeShade="BF"/>
                  </w:rPr>
                  <w:br/>
                </w:r>
                <w:r w:rsidRPr="009321F8">
                  <w:t>Economie en bedrijfseconomie</w:t>
                </w:r>
              </w:p>
              <w:p w:rsidR="009321F8" w:rsidRDefault="009321F8" w:rsidP="00903661">
                <w:pPr>
                  <w:pStyle w:val="NoSpacing"/>
                  <w:spacing w:line="360" w:lineRule="auto"/>
                </w:pPr>
              </w:p>
              <w:p w:rsidR="009321F8" w:rsidRPr="00AA321E" w:rsidRDefault="009321F8" w:rsidP="00903661">
                <w:pPr>
                  <w:pStyle w:val="NoSpacing"/>
                  <w:spacing w:line="360" w:lineRule="auto"/>
                </w:pPr>
                <w:r w:rsidRPr="00AA321E">
                  <w:t>Stefan Baan</w:t>
                </w:r>
              </w:p>
              <w:p w:rsidR="009321F8" w:rsidRPr="00AA321E" w:rsidRDefault="009321F8" w:rsidP="00903661">
                <w:pPr>
                  <w:pStyle w:val="NoSpacing"/>
                  <w:spacing w:line="360" w:lineRule="auto"/>
                </w:pPr>
                <w:r w:rsidRPr="00AA321E">
                  <w:t>374624</w:t>
                </w:r>
              </w:p>
              <w:p w:rsidR="009321F8" w:rsidRDefault="009321F8" w:rsidP="00903661">
                <w:pPr>
                  <w:pStyle w:val="NoSpacing"/>
                  <w:spacing w:line="360" w:lineRule="auto"/>
                  <w:rPr>
                    <w:color w:val="76923C" w:themeColor="accent3" w:themeShade="BF"/>
                  </w:rPr>
                </w:pPr>
              </w:p>
            </w:tc>
          </w:tr>
        </w:tbl>
        <w:p w:rsidR="00AA321E" w:rsidRDefault="00AA321E" w:rsidP="00903661">
          <w:pPr>
            <w:spacing w:line="360" w:lineRule="auto"/>
          </w:pPr>
        </w:p>
        <w:p w:rsidR="00AA321E" w:rsidRDefault="00AA321E" w:rsidP="00903661">
          <w:pPr>
            <w:spacing w:line="360" w:lineRule="auto"/>
          </w:pPr>
        </w:p>
        <w:p w:rsidR="00E62B38" w:rsidRDefault="00804374" w:rsidP="00903661">
          <w:pPr>
            <w:rPr>
              <w:b/>
            </w:rPr>
          </w:pPr>
          <w:sdt>
            <w:sdtPr>
              <w:rPr>
                <w:b/>
                <w:bCs/>
                <w:caps/>
                <w:sz w:val="40"/>
                <w:szCs w:val="40"/>
              </w:rPr>
              <w:alias w:val="Titel"/>
              <w:id w:val="15676137"/>
              <w:dataBinding w:prefixMappings="xmlns:ns0='http://schemas.openxmlformats.org/package/2006/metadata/core-properties' xmlns:ns1='http://purl.org/dc/elements/1.1/'" w:xpath="/ns0:coreProperties[1]/ns1:title[1]" w:storeItemID="{6C3C8BC8-F283-45AE-878A-BAB7291924A1}"/>
              <w:text/>
            </w:sdtPr>
            <w:sdtEndPr/>
            <w:sdtContent>
              <w:r w:rsidR="00AF3E33" w:rsidRPr="002B6FE4">
                <w:rPr>
                  <w:b/>
                  <w:bCs/>
                  <w:caps/>
                  <w:sz w:val="40"/>
                  <w:szCs w:val="40"/>
                </w:rPr>
                <w:t xml:space="preserve">dE INVLOED VAN hET AKKOORD </w:t>
              </w:r>
              <w:r w:rsidR="002B6FE4">
                <w:rPr>
                  <w:b/>
                  <w:bCs/>
                  <w:caps/>
                  <w:sz w:val="40"/>
                  <w:szCs w:val="40"/>
                </w:rPr>
                <w:t xml:space="preserve">VAN WASSENAAR OP DE NEDERLANDSE </w:t>
              </w:r>
              <w:r w:rsidR="00AF3E33" w:rsidRPr="002B6FE4">
                <w:rPr>
                  <w:b/>
                  <w:bCs/>
                  <w:caps/>
                  <w:sz w:val="40"/>
                  <w:szCs w:val="40"/>
                </w:rPr>
                <w:t>ORGANISATIEGRAAD</w:t>
              </w:r>
            </w:sdtContent>
          </w:sdt>
          <w:r w:rsidR="003B1D4C">
            <w:rPr>
              <w:b/>
            </w:rPr>
            <w:t xml:space="preserve"> </w:t>
          </w:r>
          <w:r w:rsidR="00E62B38">
            <w:rPr>
              <w:b/>
            </w:rPr>
            <w:br/>
          </w:r>
        </w:p>
        <w:p w:rsidR="00E62B38" w:rsidRDefault="00E62B38" w:rsidP="00903661">
          <w:pPr>
            <w:spacing w:line="360" w:lineRule="auto"/>
            <w:rPr>
              <w:b/>
            </w:rPr>
          </w:pPr>
        </w:p>
        <w:p w:rsidR="00E62B38" w:rsidRDefault="00E62B38" w:rsidP="00903661">
          <w:pPr>
            <w:spacing w:line="360" w:lineRule="auto"/>
            <w:rPr>
              <w:b/>
            </w:rPr>
          </w:pPr>
        </w:p>
        <w:p w:rsidR="00530608" w:rsidRDefault="00E62B38" w:rsidP="00903661">
          <w:pPr>
            <w:spacing w:line="360" w:lineRule="auto"/>
            <w:rPr>
              <w:b/>
            </w:rPr>
          </w:pPr>
          <w:r>
            <w:rPr>
              <w:b/>
            </w:rPr>
            <w:t xml:space="preserve">                               </w:t>
          </w:r>
          <w:r>
            <w:rPr>
              <w:noProof/>
              <w:lang w:eastAsia="nl-NL"/>
            </w:rPr>
            <w:drawing>
              <wp:inline distT="0" distB="0" distL="0" distR="0" wp14:anchorId="2AA310FA" wp14:editId="4CCF1EB6">
                <wp:extent cx="3917733" cy="4477407"/>
                <wp:effectExtent l="0" t="0" r="6985" b="0"/>
                <wp:docPr id="6" name="Afbeelding 6" descr="http://www.overlegeconomie.nl/~/media/images/overlegeconomie/afbeeldingen/resultaten/1980_1990_1982_akkoordvanwassenaar_385.ashx?w=385&amp;h=440&amp;a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overlegeconomie.nl/~/media/images/overlegeconomie/afbeeldingen/resultaten/1980_1990_1982_akkoordvanwassenaar_385.ashx?w=385&amp;h=440&amp;as=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22793" cy="4483190"/>
                        </a:xfrm>
                        <a:prstGeom prst="rect">
                          <a:avLst/>
                        </a:prstGeom>
                        <a:noFill/>
                        <a:ln>
                          <a:noFill/>
                        </a:ln>
                      </pic:spPr>
                    </pic:pic>
                  </a:graphicData>
                </a:graphic>
              </wp:inline>
            </w:drawing>
          </w:r>
          <w:r>
            <w:rPr>
              <w:b/>
            </w:rPr>
            <w:br/>
          </w:r>
        </w:p>
        <w:p w:rsidR="00530608" w:rsidRDefault="00530608" w:rsidP="00903661">
          <w:pPr>
            <w:spacing w:line="360" w:lineRule="auto"/>
            <w:rPr>
              <w:b/>
            </w:rPr>
          </w:pPr>
        </w:p>
        <w:p w:rsidR="00530608" w:rsidRPr="00BE09C4" w:rsidRDefault="00D275D6" w:rsidP="00903661">
          <w:pPr>
            <w:spacing w:line="360" w:lineRule="auto"/>
          </w:pPr>
          <w:r w:rsidRPr="00BE09C4">
            <w:t>Scriptiebegeleider:</w:t>
          </w:r>
          <w:r w:rsidRPr="00BE09C4">
            <w:tab/>
          </w:r>
          <w:r w:rsidR="0023084B" w:rsidRPr="00BE09C4">
            <w:t>M. van Lent M</w:t>
          </w:r>
          <w:r w:rsidRPr="00BE09C4">
            <w:t>S</w:t>
          </w:r>
          <w:r w:rsidR="0023084B" w:rsidRPr="00BE09C4">
            <w:t>c.</w:t>
          </w:r>
        </w:p>
        <w:p w:rsidR="0023084B" w:rsidRPr="00BE09C4" w:rsidRDefault="0023084B" w:rsidP="00903661">
          <w:pPr>
            <w:spacing w:line="360" w:lineRule="auto"/>
          </w:pPr>
          <w:r w:rsidRPr="00BE09C4">
            <w:t>27 Juli 2015</w:t>
          </w:r>
        </w:p>
        <w:p w:rsidR="00530608" w:rsidRPr="003A299B" w:rsidRDefault="00530608" w:rsidP="00903661">
          <w:pPr>
            <w:spacing w:line="360" w:lineRule="auto"/>
            <w:rPr>
              <w:b/>
              <w:sz w:val="24"/>
              <w:szCs w:val="24"/>
            </w:rPr>
          </w:pPr>
          <w:r w:rsidRPr="003A299B">
            <w:rPr>
              <w:b/>
              <w:sz w:val="24"/>
              <w:szCs w:val="24"/>
            </w:rPr>
            <w:lastRenderedPageBreak/>
            <w:t>Abstract</w:t>
          </w:r>
        </w:p>
        <w:p w:rsidR="003A299B" w:rsidRPr="003A299B" w:rsidRDefault="00CE3832" w:rsidP="00903661">
          <w:pPr>
            <w:spacing w:line="360" w:lineRule="auto"/>
          </w:pPr>
          <w:r>
            <w:t xml:space="preserve">In dit onderzoek is de relatie onderzocht tussen het Akkoord van Wassenaar enerzijds en de ontwikkeling van de organisatiegraad anderzijds. </w:t>
          </w:r>
          <w:r w:rsidR="00903661">
            <w:t xml:space="preserve">Het verband tussen deze twee begrippen is in het verleden reeds vaak gelegd, maar niet eerder op statistische wijze onderzocht. </w:t>
          </w:r>
          <w:r>
            <w:t xml:space="preserve">Vanaf 1982, het jaar waarin het akkoord is afgesloten, lijkt de organisatiegraad een scherpe daling in te zetten. </w:t>
          </w:r>
          <w:r w:rsidR="002A66B8">
            <w:t xml:space="preserve">Om te </w:t>
          </w:r>
          <w:r w:rsidR="00931A47">
            <w:t>onderzoeken</w:t>
          </w:r>
          <w:r w:rsidR="002A66B8">
            <w:t xml:space="preserve"> of er daadwerkelijk een verband is tussen het Akkoord van Wassenaar en de daling van de organisatiegraad, </w:t>
          </w:r>
          <w:r w:rsidR="00465FE7">
            <w:t xml:space="preserve">is de organisatiegraad in de eerste tien jaar na het akkoord, vergeleken met die van drie landen </w:t>
          </w:r>
          <w:r w:rsidR="00A37EEB">
            <w:t xml:space="preserve">(referentielanden) </w:t>
          </w:r>
          <w:r w:rsidR="00465FE7">
            <w:t>met overeenkomstige economische kenmerken</w:t>
          </w:r>
          <w:r w:rsidR="005D5EB7">
            <w:t xml:space="preserve">. </w:t>
          </w:r>
          <w:r w:rsidR="00903661">
            <w:br/>
            <w:t xml:space="preserve"> </w:t>
          </w:r>
          <w:r w:rsidR="00903661">
            <w:tab/>
          </w:r>
          <w:r w:rsidR="00465FE7">
            <w:t>De</w:t>
          </w:r>
          <w:r w:rsidR="00CB3319" w:rsidRPr="00104108">
            <w:t xml:space="preserve"> </w:t>
          </w:r>
          <w:r w:rsidR="00CB3319" w:rsidRPr="00104108">
            <w:rPr>
              <w:i/>
            </w:rPr>
            <w:t xml:space="preserve">two sample t-test for comparing two means </w:t>
          </w:r>
          <w:r w:rsidR="00465FE7">
            <w:t>is uitgevoerd om significante afwijkingen van de Nederlandse organisatiegraad na het Akkoord van Wassenaar te ontdekken.</w:t>
          </w:r>
          <w:r w:rsidR="00104108">
            <w:t xml:space="preserve"> Daarnaast </w:t>
          </w:r>
          <w:r w:rsidR="00465FE7">
            <w:t xml:space="preserve">zijn, naar de maatstaven van het B-E </w:t>
          </w:r>
          <w:r w:rsidR="00A37EEB">
            <w:t xml:space="preserve">(Bains-Elsheikh) </w:t>
          </w:r>
          <w:r w:rsidR="00465FE7">
            <w:t xml:space="preserve">model, drie variabelen </w:t>
          </w:r>
          <w:r w:rsidR="00A37EEB">
            <w:t>onderzocht</w:t>
          </w:r>
          <w:r w:rsidR="00465FE7">
            <w:t xml:space="preserve"> op </w:t>
          </w:r>
          <w:r w:rsidR="00A37EEB">
            <w:t>hun invloed op de organisatiegraad van Nederland en de referentielanden. Vervolgens zijn deze resultaten onderling met elkaar vergeleken, waarna verklaringen zijn gegeven voor de verschillende ontwikkelingen van de organisatiegraden.</w:t>
          </w:r>
          <w:r w:rsidR="00903661">
            <w:t xml:space="preserve"> </w:t>
          </w:r>
          <w:r w:rsidR="00903661">
            <w:br/>
            <w:t xml:space="preserve"> </w:t>
          </w:r>
          <w:r w:rsidR="00903661">
            <w:tab/>
          </w:r>
          <w:r w:rsidR="005905B4">
            <w:t xml:space="preserve">Uit de t-test blijkt dat er </w:t>
          </w:r>
          <w:r w:rsidR="00A37EEB">
            <w:t xml:space="preserve">voor de eerste vijf jaar na het Akkoord van Wassenaar </w:t>
          </w:r>
          <w:r w:rsidR="005905B4">
            <w:t xml:space="preserve">een sterke indicatie </w:t>
          </w:r>
          <w:r w:rsidR="00A37EEB">
            <w:t xml:space="preserve">aanwezig is, </w:t>
          </w:r>
          <w:r w:rsidR="007D0248">
            <w:t>voor</w:t>
          </w:r>
          <w:r w:rsidR="005905B4">
            <w:t xml:space="preserve"> een </w:t>
          </w:r>
          <w:r w:rsidR="00A37EEB">
            <w:t xml:space="preserve">significant </w:t>
          </w:r>
          <w:r w:rsidR="005905B4">
            <w:t xml:space="preserve">snellere daling van de organisatiegraad van Nederland </w:t>
          </w:r>
          <w:r w:rsidR="00A37EEB">
            <w:t>in vergelijking met die van de referentielanden</w:t>
          </w:r>
          <w:r w:rsidR="005905B4">
            <w:t xml:space="preserve">. Bij de vijf </w:t>
          </w:r>
          <w:r w:rsidR="00A37EEB">
            <w:t>jaren</w:t>
          </w:r>
          <w:r w:rsidR="005905B4">
            <w:t xml:space="preserve"> die daarop volgen blijkt er echter </w:t>
          </w:r>
          <w:r w:rsidR="00A37EEB">
            <w:t>geen enkele aanwijzing</w:t>
          </w:r>
          <w:r w:rsidR="005905B4">
            <w:t xml:space="preserve"> meer te zijn </w:t>
          </w:r>
          <w:r w:rsidR="00A37EEB">
            <w:t>voor een significante afwijking.</w:t>
          </w:r>
          <w:r w:rsidR="005905B4">
            <w:t xml:space="preserve"> </w:t>
          </w:r>
          <w:r w:rsidR="00A37EEB">
            <w:t>Hierdoor kan</w:t>
          </w:r>
          <w:r w:rsidR="005905B4">
            <w:t xml:space="preserve"> de invloed van het Akkoord van Wassenaar op de organisatiegraad voor de eerste tien jaar na het akkoord, </w:t>
          </w:r>
          <w:r w:rsidR="00A37EEB">
            <w:t xml:space="preserve">eveneens </w:t>
          </w:r>
          <w:r w:rsidR="005905B4">
            <w:t>niet worden bevestigd.</w:t>
          </w:r>
          <w:r w:rsidR="00257B11">
            <w:t xml:space="preserve"> De B-E-variabelen blijken tussen Nederland en de referentielanden per periode een verschillende invloed te hebben op de organisatiegraad en zijn </w:t>
          </w:r>
          <w:r w:rsidR="00A37EEB">
            <w:t>meer dan eens</w:t>
          </w:r>
          <w:r w:rsidR="00257B11">
            <w:t xml:space="preserve"> in tegenstrijd met wat </w:t>
          </w:r>
          <w:r w:rsidR="009F1B92">
            <w:t>Bains</w:t>
          </w:r>
          <w:r w:rsidR="00257B11">
            <w:t xml:space="preserve"> en Elsheikh </w:t>
          </w:r>
          <w:r w:rsidR="00A37EEB">
            <w:t xml:space="preserve">in hun model </w:t>
          </w:r>
          <w:r w:rsidR="007D0248">
            <w:t>beschrijven.</w:t>
          </w:r>
          <w:r w:rsidR="00257B11">
            <w:t xml:space="preserve"> </w:t>
          </w:r>
          <w:r w:rsidR="007D0248">
            <w:t>Dit is een mogelijke</w:t>
          </w:r>
          <w:r w:rsidR="00257B11">
            <w:t xml:space="preserve"> indicatie </w:t>
          </w:r>
          <w:r w:rsidR="007D0248">
            <w:t>voor</w:t>
          </w:r>
          <w:r w:rsidR="00257B11">
            <w:t xml:space="preserve"> </w:t>
          </w:r>
          <w:r w:rsidR="007D0248">
            <w:t xml:space="preserve">de aanwezigheid van </w:t>
          </w:r>
          <w:r w:rsidR="00257B11">
            <w:t xml:space="preserve">‘verstorende’ factoren. </w:t>
          </w:r>
          <w:r w:rsidR="00A14730">
            <w:t>Desondanks</w:t>
          </w:r>
          <w:r w:rsidR="00740656">
            <w:t xml:space="preserve"> kan</w:t>
          </w:r>
          <w:r w:rsidR="00257B11">
            <w:t xml:space="preserve"> gesteld worden dat het Akkoord van Wassenaar via de verandering van verscheidene economische variabelen, ertoe heeft geleid, dat de Nederlandse organisatiegraad op de zeer korte termijn (de eerste vijf jaar na het akkoord) sterk is afgenomen. </w:t>
          </w:r>
        </w:p>
      </w:sdtContent>
    </w:sdt>
    <w:p w:rsidR="00465FE7" w:rsidRDefault="00465FE7" w:rsidP="00346ADF">
      <w:pPr>
        <w:pStyle w:val="TOC1"/>
      </w:pPr>
    </w:p>
    <w:p w:rsidR="00465FE7" w:rsidRDefault="00465FE7" w:rsidP="00346ADF">
      <w:pPr>
        <w:pStyle w:val="TOC1"/>
      </w:pPr>
    </w:p>
    <w:p w:rsidR="00465FE7" w:rsidRDefault="00465FE7" w:rsidP="00346ADF">
      <w:pPr>
        <w:pStyle w:val="TOC1"/>
      </w:pPr>
    </w:p>
    <w:p w:rsidR="00465FE7" w:rsidRDefault="00465FE7" w:rsidP="00346ADF">
      <w:pPr>
        <w:pStyle w:val="TOC1"/>
      </w:pPr>
    </w:p>
    <w:p w:rsidR="00931A47" w:rsidRDefault="00931A47" w:rsidP="00346ADF">
      <w:pPr>
        <w:pStyle w:val="TOC1"/>
      </w:pPr>
    </w:p>
    <w:p w:rsidR="00931A47" w:rsidRDefault="00931A47" w:rsidP="00346ADF">
      <w:pPr>
        <w:pStyle w:val="TOC1"/>
      </w:pPr>
    </w:p>
    <w:p w:rsidR="003A299B" w:rsidRDefault="003A299B" w:rsidP="00346ADF">
      <w:pPr>
        <w:pStyle w:val="TOC1"/>
      </w:pPr>
      <w:r w:rsidRPr="003A299B">
        <w:lastRenderedPageBreak/>
        <w:t>Inhoudsopgave</w:t>
      </w:r>
    </w:p>
    <w:p w:rsidR="003A299B" w:rsidRPr="003A299B" w:rsidRDefault="003A299B" w:rsidP="003A299B"/>
    <w:p w:rsidR="003A299B" w:rsidRPr="00C22ADE" w:rsidRDefault="003A299B" w:rsidP="00C22ADE">
      <w:pPr>
        <w:pStyle w:val="TOC1"/>
        <w:rPr>
          <w:sz w:val="22"/>
        </w:rPr>
      </w:pPr>
      <w:r w:rsidRPr="00C22ADE">
        <w:rPr>
          <w:sz w:val="22"/>
        </w:rPr>
        <w:t>Abstract</w:t>
      </w:r>
      <w:r w:rsidRPr="00C22ADE">
        <w:rPr>
          <w:sz w:val="22"/>
        </w:rPr>
        <w:tab/>
        <w:t>1</w:t>
      </w:r>
    </w:p>
    <w:p w:rsidR="003A299B" w:rsidRPr="00C22ADE" w:rsidRDefault="003A299B" w:rsidP="00C22ADE">
      <w:pPr>
        <w:pStyle w:val="TOC1"/>
        <w:rPr>
          <w:sz w:val="22"/>
        </w:rPr>
      </w:pPr>
      <w:r w:rsidRPr="00C22ADE">
        <w:rPr>
          <w:sz w:val="22"/>
        </w:rPr>
        <w:t>Inhoudsopgave</w:t>
      </w:r>
      <w:r w:rsidRPr="00C22ADE">
        <w:rPr>
          <w:sz w:val="22"/>
        </w:rPr>
        <w:tab/>
        <w:t>2</w:t>
      </w:r>
    </w:p>
    <w:p w:rsidR="003A299B" w:rsidRPr="00C22ADE" w:rsidRDefault="00434845" w:rsidP="00C22ADE">
      <w:pPr>
        <w:pStyle w:val="TOC1"/>
        <w:rPr>
          <w:sz w:val="22"/>
        </w:rPr>
      </w:pPr>
      <w:r w:rsidRPr="00C22ADE">
        <w:rPr>
          <w:sz w:val="22"/>
        </w:rPr>
        <w:t xml:space="preserve">I. </w:t>
      </w:r>
      <w:r w:rsidR="003A299B" w:rsidRPr="00C22ADE">
        <w:rPr>
          <w:sz w:val="22"/>
        </w:rPr>
        <w:t>Inleiding</w:t>
      </w:r>
      <w:r w:rsidR="003A299B" w:rsidRPr="00C22ADE">
        <w:rPr>
          <w:sz w:val="22"/>
        </w:rPr>
        <w:tab/>
        <w:t>3</w:t>
      </w:r>
    </w:p>
    <w:p w:rsidR="003A299B" w:rsidRPr="00C22ADE" w:rsidRDefault="00434845" w:rsidP="00C22ADE">
      <w:pPr>
        <w:pStyle w:val="TOC1"/>
        <w:rPr>
          <w:sz w:val="22"/>
        </w:rPr>
      </w:pPr>
      <w:r w:rsidRPr="00C22ADE">
        <w:rPr>
          <w:sz w:val="22"/>
        </w:rPr>
        <w:t xml:space="preserve">II. </w:t>
      </w:r>
      <w:r w:rsidR="003A299B" w:rsidRPr="00C22ADE">
        <w:rPr>
          <w:sz w:val="22"/>
        </w:rPr>
        <w:t>Theoretisch kader</w:t>
      </w:r>
      <w:r w:rsidR="003A299B" w:rsidRPr="00C22ADE">
        <w:rPr>
          <w:sz w:val="22"/>
        </w:rPr>
        <w:tab/>
        <w:t>5</w:t>
      </w:r>
    </w:p>
    <w:p w:rsidR="003A299B" w:rsidRPr="00C22ADE" w:rsidRDefault="009F1B92" w:rsidP="00C22ADE">
      <w:pPr>
        <w:pStyle w:val="TOC2"/>
        <w:tabs>
          <w:tab w:val="right" w:leader="dot" w:pos="9072"/>
        </w:tabs>
        <w:spacing w:line="360" w:lineRule="auto"/>
        <w:ind w:left="216"/>
      </w:pPr>
      <w:r w:rsidRPr="00C22ADE">
        <w:t>Het Akkoord van Wassenaar</w:t>
      </w:r>
      <w:r w:rsidR="003A299B" w:rsidRPr="00C22ADE">
        <w:rPr>
          <w:b/>
        </w:rPr>
        <w:t xml:space="preserve"> </w:t>
      </w:r>
      <w:r w:rsidR="003A299B" w:rsidRPr="00C22ADE">
        <w:tab/>
      </w:r>
      <w:r w:rsidR="00CB7884">
        <w:t>7</w:t>
      </w:r>
    </w:p>
    <w:p w:rsidR="003A299B" w:rsidRPr="004B1334" w:rsidRDefault="009F1B92" w:rsidP="00C22ADE">
      <w:pPr>
        <w:pStyle w:val="TOC3"/>
        <w:spacing w:line="360" w:lineRule="auto"/>
        <w:rPr>
          <w:lang w:val="en-US"/>
        </w:rPr>
      </w:pPr>
      <w:r w:rsidRPr="004B1334">
        <w:rPr>
          <w:lang w:val="en-US"/>
        </w:rPr>
        <w:t>Triggers voor het ‘</w:t>
      </w:r>
      <w:r w:rsidRPr="004B1334">
        <w:rPr>
          <w:i/>
          <w:lang w:val="en-US"/>
        </w:rPr>
        <w:t>free rider problem’</w:t>
      </w:r>
      <w:r w:rsidR="003A299B" w:rsidRPr="004B1334">
        <w:rPr>
          <w:lang w:val="en-US"/>
        </w:rPr>
        <w:tab/>
      </w:r>
      <w:r w:rsidR="00CB7884" w:rsidRPr="004B1334">
        <w:rPr>
          <w:lang w:val="en-US"/>
        </w:rPr>
        <w:t>8</w:t>
      </w:r>
      <w:r w:rsidRPr="004B1334">
        <w:rPr>
          <w:lang w:val="en-US"/>
        </w:rPr>
        <w:br/>
        <w:t xml:space="preserve">           Het Bains-Elsheikh model</w:t>
      </w:r>
      <w:r w:rsidRPr="004B1334">
        <w:rPr>
          <w:lang w:val="en-US"/>
        </w:rPr>
        <w:tab/>
      </w:r>
      <w:r w:rsidR="00CB7884" w:rsidRPr="004B1334">
        <w:rPr>
          <w:lang w:val="en-US"/>
        </w:rPr>
        <w:t>9</w:t>
      </w:r>
    </w:p>
    <w:p w:rsidR="003A299B" w:rsidRPr="00CB7884" w:rsidRDefault="00434845" w:rsidP="00CB7884">
      <w:pPr>
        <w:pStyle w:val="TOC2"/>
        <w:tabs>
          <w:tab w:val="right" w:leader="dot" w:pos="9072"/>
        </w:tabs>
        <w:spacing w:line="360" w:lineRule="auto"/>
        <w:ind w:left="0"/>
        <w:rPr>
          <w:lang w:val="en-US"/>
        </w:rPr>
      </w:pPr>
      <w:r w:rsidRPr="00CB7884">
        <w:rPr>
          <w:b/>
          <w:lang w:val="en-US"/>
        </w:rPr>
        <w:t xml:space="preserve">III. </w:t>
      </w:r>
      <w:r w:rsidR="003A299B" w:rsidRPr="00CB7884">
        <w:rPr>
          <w:b/>
          <w:lang w:val="en-US"/>
        </w:rPr>
        <w:t>Data</w:t>
      </w:r>
      <w:r w:rsidR="009F1B92" w:rsidRPr="00CB7884">
        <w:rPr>
          <w:b/>
          <w:lang w:val="en-US"/>
        </w:rPr>
        <w:t xml:space="preserve"> en methodologie</w:t>
      </w:r>
      <w:r w:rsidR="003A299B" w:rsidRPr="00CB7884">
        <w:rPr>
          <w:b/>
          <w:lang w:val="en-US"/>
        </w:rPr>
        <w:tab/>
        <w:t>1</w:t>
      </w:r>
      <w:r w:rsidR="00B857D8">
        <w:rPr>
          <w:b/>
          <w:lang w:val="en-US"/>
        </w:rPr>
        <w:t>2</w:t>
      </w:r>
      <w:r w:rsidR="00CB7884" w:rsidRPr="00CB7884">
        <w:rPr>
          <w:b/>
          <w:lang w:val="en-US"/>
        </w:rPr>
        <w:br/>
      </w:r>
      <w:r w:rsidR="00CB7884" w:rsidRPr="00CB7884">
        <w:rPr>
          <w:lang w:val="en-US"/>
        </w:rPr>
        <w:t xml:space="preserve">     Two sample t-test for comparing two means</w:t>
      </w:r>
      <w:r w:rsidR="00CB7884" w:rsidRPr="00CB7884">
        <w:rPr>
          <w:lang w:val="en-US"/>
        </w:rPr>
        <w:tab/>
      </w:r>
      <w:r w:rsidR="00B54AD7">
        <w:rPr>
          <w:lang w:val="en-US"/>
        </w:rPr>
        <w:t>17</w:t>
      </w:r>
    </w:p>
    <w:p w:rsidR="009F1B92" w:rsidRPr="00C22ADE" w:rsidRDefault="00434845" w:rsidP="00C22ADE">
      <w:pPr>
        <w:pStyle w:val="TOC1"/>
        <w:rPr>
          <w:sz w:val="22"/>
        </w:rPr>
      </w:pPr>
      <w:r w:rsidRPr="00C22ADE">
        <w:rPr>
          <w:sz w:val="22"/>
        </w:rPr>
        <w:t xml:space="preserve">IV. </w:t>
      </w:r>
      <w:r w:rsidR="009F1B92" w:rsidRPr="00C22ADE">
        <w:rPr>
          <w:sz w:val="22"/>
        </w:rPr>
        <w:t>Resultaten</w:t>
      </w:r>
      <w:r w:rsidR="009F1B92" w:rsidRPr="00C22ADE">
        <w:rPr>
          <w:sz w:val="22"/>
        </w:rPr>
        <w:tab/>
        <w:t>2</w:t>
      </w:r>
      <w:r w:rsidR="00B54AD7">
        <w:rPr>
          <w:sz w:val="22"/>
        </w:rPr>
        <w:t>0</w:t>
      </w:r>
    </w:p>
    <w:p w:rsidR="009F1B92" w:rsidRPr="00C22ADE" w:rsidRDefault="009F1B92" w:rsidP="00C22ADE">
      <w:pPr>
        <w:pStyle w:val="TOC2"/>
        <w:tabs>
          <w:tab w:val="right" w:leader="dot" w:pos="9072"/>
        </w:tabs>
        <w:spacing w:line="360" w:lineRule="auto"/>
        <w:ind w:left="216"/>
      </w:pPr>
      <w:r w:rsidRPr="00C22ADE">
        <w:t>De eerste vijf jaar na het Akkoord van Wassenaar</w:t>
      </w:r>
      <w:r w:rsidRPr="00C22ADE">
        <w:tab/>
        <w:t>2</w:t>
      </w:r>
      <w:r w:rsidR="00B54AD7">
        <w:t>0</w:t>
      </w:r>
    </w:p>
    <w:p w:rsidR="009F1B92" w:rsidRPr="00C22ADE" w:rsidRDefault="009F1B92" w:rsidP="00C22ADE">
      <w:pPr>
        <w:pStyle w:val="TOC3"/>
        <w:spacing w:line="360" w:lineRule="auto"/>
      </w:pPr>
      <w:r w:rsidRPr="00C22ADE">
        <w:t>De tweede vijf jaar na het Akkoord van Wassenaar</w:t>
      </w:r>
      <w:r w:rsidRPr="00C22ADE">
        <w:tab/>
        <w:t>2</w:t>
      </w:r>
      <w:r w:rsidR="00B54AD7">
        <w:t>2</w:t>
      </w:r>
    </w:p>
    <w:p w:rsidR="009F1B92" w:rsidRPr="00C22ADE" w:rsidRDefault="009F1B92" w:rsidP="00C22ADE">
      <w:pPr>
        <w:pStyle w:val="TOC3"/>
        <w:spacing w:line="360" w:lineRule="auto"/>
      </w:pPr>
      <w:r w:rsidRPr="00C22ADE">
        <w:t xml:space="preserve">      </w:t>
      </w:r>
      <w:r w:rsidR="00B54B74" w:rsidRPr="00C22ADE">
        <w:t>De eerste tien jaar na het Akkoord van Wassenaar</w:t>
      </w:r>
      <w:r w:rsidRPr="00C22ADE">
        <w:tab/>
      </w:r>
      <w:r w:rsidR="00B54B74" w:rsidRPr="00C22ADE">
        <w:t>2</w:t>
      </w:r>
      <w:r w:rsidR="00B54AD7">
        <w:t>3</w:t>
      </w:r>
    </w:p>
    <w:p w:rsidR="009F1B92" w:rsidRPr="00C22ADE" w:rsidRDefault="009F1B92" w:rsidP="00C22ADE">
      <w:pPr>
        <w:pStyle w:val="TOC2"/>
        <w:tabs>
          <w:tab w:val="right" w:leader="dot" w:pos="9072"/>
        </w:tabs>
        <w:spacing w:line="360" w:lineRule="auto"/>
        <w:ind w:left="216"/>
      </w:pPr>
      <w:r w:rsidRPr="00C22ADE">
        <w:t xml:space="preserve">                 </w:t>
      </w:r>
      <w:r w:rsidR="00B54B74" w:rsidRPr="00C22ADE">
        <w:t>Verklaringen vanuit het B-E model</w:t>
      </w:r>
      <w:r w:rsidRPr="00C22ADE">
        <w:tab/>
      </w:r>
      <w:r w:rsidR="00B54B74" w:rsidRPr="00C22ADE">
        <w:t>2</w:t>
      </w:r>
      <w:r w:rsidR="00B54AD7">
        <w:t>4</w:t>
      </w:r>
    </w:p>
    <w:p w:rsidR="009F1B92" w:rsidRPr="00C22ADE" w:rsidRDefault="009F1B92" w:rsidP="00C22ADE">
      <w:pPr>
        <w:pStyle w:val="TOC3"/>
        <w:spacing w:line="360" w:lineRule="auto"/>
      </w:pPr>
      <w:r w:rsidRPr="00C22ADE">
        <w:t xml:space="preserve">                    </w:t>
      </w:r>
      <w:r w:rsidR="00B54B74" w:rsidRPr="00C22ADE">
        <w:t>Panel data analysis</w:t>
      </w:r>
      <w:r w:rsidRPr="00C22ADE">
        <w:tab/>
      </w:r>
      <w:r w:rsidR="00B54B74" w:rsidRPr="00C22ADE">
        <w:t>26</w:t>
      </w:r>
    </w:p>
    <w:p w:rsidR="009F1B92" w:rsidRPr="00C22ADE" w:rsidRDefault="009F1B92" w:rsidP="00C22ADE">
      <w:pPr>
        <w:pStyle w:val="TOC3"/>
        <w:spacing w:line="360" w:lineRule="auto"/>
      </w:pPr>
      <w:r w:rsidRPr="00C22ADE">
        <w:t xml:space="preserve">                           </w:t>
      </w:r>
      <w:r w:rsidR="00B54B74" w:rsidRPr="00C22ADE">
        <w:t>Coëfficiënten regressievergelijkingen</w:t>
      </w:r>
      <w:r w:rsidRPr="00C22ADE">
        <w:tab/>
      </w:r>
      <w:r w:rsidR="00B54B74" w:rsidRPr="00C22ADE">
        <w:t>27</w:t>
      </w:r>
    </w:p>
    <w:p w:rsidR="003A299B" w:rsidRPr="00BE09C4" w:rsidRDefault="00434845" w:rsidP="00BE09C4">
      <w:pPr>
        <w:pStyle w:val="TOC3"/>
        <w:spacing w:line="360" w:lineRule="auto"/>
        <w:ind w:left="0"/>
        <w:rPr>
          <w:b/>
        </w:rPr>
      </w:pPr>
      <w:r w:rsidRPr="00BE09C4">
        <w:rPr>
          <w:b/>
        </w:rPr>
        <w:t xml:space="preserve">V. </w:t>
      </w:r>
      <w:r w:rsidR="00B54B74" w:rsidRPr="00BE09C4">
        <w:rPr>
          <w:b/>
        </w:rPr>
        <w:t>Conclusie en d</w:t>
      </w:r>
      <w:r w:rsidR="003A299B" w:rsidRPr="00BE09C4">
        <w:rPr>
          <w:b/>
          <w:bCs/>
        </w:rPr>
        <w:t>iscussie</w:t>
      </w:r>
      <w:r w:rsidR="003A299B" w:rsidRPr="00BE09C4">
        <w:rPr>
          <w:b/>
          <w:bCs/>
        </w:rPr>
        <w:tab/>
        <w:t>3</w:t>
      </w:r>
      <w:r w:rsidR="00B54AD7" w:rsidRPr="00BE09C4">
        <w:rPr>
          <w:b/>
        </w:rPr>
        <w:t>0</w:t>
      </w:r>
    </w:p>
    <w:p w:rsidR="00B54B74" w:rsidRPr="00C22ADE" w:rsidRDefault="003A299B" w:rsidP="00C22ADE">
      <w:pPr>
        <w:pStyle w:val="TOC3"/>
        <w:spacing w:line="360" w:lineRule="auto"/>
      </w:pPr>
      <w:r w:rsidRPr="00C22ADE">
        <w:t>Conclusie</w:t>
      </w:r>
      <w:r w:rsidRPr="00C22ADE">
        <w:tab/>
        <w:t>3</w:t>
      </w:r>
      <w:r w:rsidR="00B54AD7">
        <w:t>0</w:t>
      </w:r>
      <w:r w:rsidR="00B54B74" w:rsidRPr="00C22ADE">
        <w:br/>
        <w:t xml:space="preserve">     </w:t>
      </w:r>
      <w:r w:rsidR="00346ADF" w:rsidRPr="00C22ADE">
        <w:t xml:space="preserve">    </w:t>
      </w:r>
      <w:r w:rsidR="00B54B74" w:rsidRPr="00C22ADE">
        <w:t>Discussie</w:t>
      </w:r>
      <w:r w:rsidR="00B54B74" w:rsidRPr="00C22ADE">
        <w:tab/>
        <w:t>3</w:t>
      </w:r>
      <w:r w:rsidR="00B54AD7">
        <w:t>2</w:t>
      </w:r>
    </w:p>
    <w:p w:rsidR="00B54B74" w:rsidRPr="00C22ADE" w:rsidRDefault="00B54B74" w:rsidP="00C22ADE">
      <w:pPr>
        <w:pStyle w:val="TOC3"/>
        <w:spacing w:line="360" w:lineRule="auto"/>
      </w:pPr>
      <w:r w:rsidRPr="00C22ADE">
        <w:t xml:space="preserve">                   Beperkingen</w:t>
      </w:r>
      <w:r w:rsidRPr="00C22ADE">
        <w:tab/>
        <w:t>3</w:t>
      </w:r>
      <w:r w:rsidR="00C22ADE">
        <w:t>3</w:t>
      </w:r>
    </w:p>
    <w:p w:rsidR="00B54B74" w:rsidRPr="00C22ADE" w:rsidRDefault="00B54B74" w:rsidP="00C22ADE">
      <w:pPr>
        <w:pStyle w:val="TOC2"/>
        <w:tabs>
          <w:tab w:val="right" w:leader="dot" w:pos="9072"/>
        </w:tabs>
        <w:spacing w:line="360" w:lineRule="auto"/>
        <w:ind w:left="216"/>
      </w:pPr>
      <w:r w:rsidRPr="00C22ADE">
        <w:t xml:space="preserve">                                      Aanbevelingen</w:t>
      </w:r>
      <w:r w:rsidRPr="00C22ADE">
        <w:tab/>
        <w:t>3</w:t>
      </w:r>
      <w:r w:rsidR="00B54AD7">
        <w:t>3</w:t>
      </w:r>
    </w:p>
    <w:p w:rsidR="003A299B" w:rsidRPr="00C22ADE" w:rsidRDefault="00434845" w:rsidP="00C22ADE">
      <w:pPr>
        <w:pStyle w:val="TOC1"/>
        <w:rPr>
          <w:sz w:val="22"/>
        </w:rPr>
      </w:pPr>
      <w:r w:rsidRPr="00C22ADE">
        <w:rPr>
          <w:sz w:val="22"/>
        </w:rPr>
        <w:t xml:space="preserve">VI. </w:t>
      </w:r>
      <w:r w:rsidR="00301048">
        <w:rPr>
          <w:sz w:val="22"/>
        </w:rPr>
        <w:t>Literatuurlijst</w:t>
      </w:r>
      <w:r w:rsidR="003A299B" w:rsidRPr="00C22ADE">
        <w:rPr>
          <w:sz w:val="22"/>
        </w:rPr>
        <w:tab/>
        <w:t>3</w:t>
      </w:r>
      <w:r w:rsidR="00B54AD7">
        <w:rPr>
          <w:sz w:val="22"/>
        </w:rPr>
        <w:t>4</w:t>
      </w:r>
    </w:p>
    <w:p w:rsidR="003A299B" w:rsidRPr="00C22ADE" w:rsidRDefault="00434845" w:rsidP="00C22ADE">
      <w:pPr>
        <w:pStyle w:val="TOC1"/>
        <w:rPr>
          <w:sz w:val="22"/>
        </w:rPr>
      </w:pPr>
      <w:r w:rsidRPr="00C22ADE">
        <w:rPr>
          <w:sz w:val="22"/>
        </w:rPr>
        <w:t xml:space="preserve">VII. </w:t>
      </w:r>
      <w:r w:rsidR="003A299B" w:rsidRPr="00C22ADE">
        <w:rPr>
          <w:sz w:val="22"/>
        </w:rPr>
        <w:t>Bijlage</w:t>
      </w:r>
      <w:r w:rsidR="003A299B" w:rsidRPr="00C22ADE">
        <w:rPr>
          <w:sz w:val="22"/>
        </w:rPr>
        <w:tab/>
      </w:r>
      <w:r w:rsidR="00B54AD7">
        <w:rPr>
          <w:sz w:val="22"/>
        </w:rPr>
        <w:t>38</w:t>
      </w:r>
    </w:p>
    <w:p w:rsidR="00AA321E" w:rsidRDefault="00AA321E" w:rsidP="003A299B">
      <w:pPr>
        <w:spacing w:line="360" w:lineRule="auto"/>
        <w:rPr>
          <w:b/>
        </w:rPr>
      </w:pPr>
    </w:p>
    <w:p w:rsidR="00AA321E" w:rsidRDefault="00AA321E" w:rsidP="002B6FE4">
      <w:pPr>
        <w:spacing w:line="360" w:lineRule="auto"/>
        <w:rPr>
          <w:b/>
        </w:rPr>
      </w:pPr>
    </w:p>
    <w:p w:rsidR="00AA321E" w:rsidRDefault="00AA321E" w:rsidP="002B6FE4">
      <w:pPr>
        <w:spacing w:line="360" w:lineRule="auto"/>
        <w:rPr>
          <w:b/>
        </w:rPr>
      </w:pPr>
    </w:p>
    <w:p w:rsidR="00E21E4E" w:rsidRDefault="00E21E4E" w:rsidP="002B6FE4">
      <w:pPr>
        <w:spacing w:line="360" w:lineRule="auto"/>
      </w:pPr>
      <w:r w:rsidRPr="00E21E4E">
        <w:rPr>
          <w:b/>
          <w:sz w:val="24"/>
        </w:rPr>
        <w:lastRenderedPageBreak/>
        <w:t>I.</w:t>
      </w:r>
      <w:r>
        <w:rPr>
          <w:b/>
          <w:sz w:val="24"/>
        </w:rPr>
        <w:t xml:space="preserve"> </w:t>
      </w:r>
      <w:r w:rsidR="00E66B70" w:rsidRPr="00E21E4E">
        <w:rPr>
          <w:b/>
          <w:sz w:val="24"/>
        </w:rPr>
        <w:t>In</w:t>
      </w:r>
      <w:r w:rsidR="0017089D" w:rsidRPr="00E21E4E">
        <w:rPr>
          <w:b/>
          <w:sz w:val="24"/>
        </w:rPr>
        <w:t>troductie</w:t>
      </w:r>
    </w:p>
    <w:p w:rsidR="007B2745" w:rsidRDefault="00253F9D" w:rsidP="002B6FE4">
      <w:pPr>
        <w:spacing w:line="360" w:lineRule="auto"/>
      </w:pPr>
      <w:r>
        <w:t>‘Vakbonden verliezen 52.000 leden’</w:t>
      </w:r>
      <w:sdt>
        <w:sdtPr>
          <w:id w:val="1762725205"/>
          <w:citation/>
        </w:sdtPr>
        <w:sdtEndPr/>
        <w:sdtContent>
          <w:r w:rsidR="008D1BEA">
            <w:fldChar w:fldCharType="begin"/>
          </w:r>
          <w:r w:rsidR="001A07EF">
            <w:instrText xml:space="preserve">CITATION deV13 \l 1043 </w:instrText>
          </w:r>
          <w:r w:rsidR="008D1BEA">
            <w:fldChar w:fldCharType="separate"/>
          </w:r>
          <w:r w:rsidR="00D56303">
            <w:rPr>
              <w:noProof/>
            </w:rPr>
            <w:t xml:space="preserve"> (de Volkskrant, 2013)</w:t>
          </w:r>
          <w:r w:rsidR="008D1BEA">
            <w:fldChar w:fldCharType="end"/>
          </w:r>
        </w:sdtContent>
      </w:sdt>
      <w:r>
        <w:t xml:space="preserve"> ‘Jongeren keren vakbond de rug toe’</w:t>
      </w:r>
      <w:r w:rsidR="008D1BEA">
        <w:t xml:space="preserve"> </w:t>
      </w:r>
      <w:sdt>
        <w:sdtPr>
          <w:id w:val="-640579321"/>
          <w:citation/>
        </w:sdtPr>
        <w:sdtEndPr/>
        <w:sdtContent>
          <w:r w:rsidR="008D1BEA">
            <w:fldChar w:fldCharType="begin"/>
          </w:r>
          <w:r w:rsidR="001A07EF">
            <w:instrText xml:space="preserve">CITATION Nun13 \l 1043 </w:instrText>
          </w:r>
          <w:r w:rsidR="008D1BEA">
            <w:fldChar w:fldCharType="separate"/>
          </w:r>
          <w:r w:rsidR="00D56303">
            <w:rPr>
              <w:noProof/>
            </w:rPr>
            <w:t>(Nu.nl, 2013)</w:t>
          </w:r>
          <w:r w:rsidR="008D1BEA">
            <w:fldChar w:fldCharType="end"/>
          </w:r>
        </w:sdtContent>
      </w:sdt>
      <w:r w:rsidR="00703C0B">
        <w:t xml:space="preserve"> </w:t>
      </w:r>
      <w:r>
        <w:t>en ‘CBS: Ledental vakbonden op historisch dieptepunt’</w:t>
      </w:r>
      <w:r w:rsidR="008D1BEA">
        <w:t xml:space="preserve"> </w:t>
      </w:r>
      <w:sdt>
        <w:sdtPr>
          <w:id w:val="1617955577"/>
          <w:citation/>
        </w:sdtPr>
        <w:sdtEndPr/>
        <w:sdtContent>
          <w:r w:rsidR="008D1BEA">
            <w:fldChar w:fldCharType="begin"/>
          </w:r>
          <w:r w:rsidR="001A07EF">
            <w:instrText xml:space="preserve">CITATION Jer12 \l 1043 </w:instrText>
          </w:r>
          <w:r w:rsidR="008D1BEA">
            <w:fldChar w:fldCharType="separate"/>
          </w:r>
          <w:r w:rsidR="00D56303">
            <w:rPr>
              <w:noProof/>
            </w:rPr>
            <w:t>(Langelaar, 2012)</w:t>
          </w:r>
          <w:r w:rsidR="008D1BEA">
            <w:fldChar w:fldCharType="end"/>
          </w:r>
        </w:sdtContent>
      </w:sdt>
      <w:r>
        <w:t xml:space="preserve">. Slechts een greep uit de enorme hoeveelheid berichten die </w:t>
      </w:r>
      <w:r w:rsidR="003F46DF">
        <w:t>de massamedia</w:t>
      </w:r>
      <w:r>
        <w:t xml:space="preserve"> laatste jaren veelvuldig </w:t>
      </w:r>
      <w:r w:rsidR="003F46DF">
        <w:t>de wereld in sturen</w:t>
      </w:r>
      <w:r>
        <w:t>. Het ledenbestand van de Nederlandse vakbonden is</w:t>
      </w:r>
      <w:r w:rsidR="00293AE2">
        <w:t xml:space="preserve"> laatste decennia sterk tanende. D</w:t>
      </w:r>
      <w:r>
        <w:t>aar waar in de jaren ’70 van de vorige eeuw de organis</w:t>
      </w:r>
      <w:r w:rsidR="00293AE2">
        <w:t>atiegraad van Nederland</w:t>
      </w:r>
      <w:r>
        <w:t xml:space="preserve"> gemiddeld</w:t>
      </w:r>
      <w:r w:rsidR="00293AE2">
        <w:t xml:space="preserve"> nog</w:t>
      </w:r>
      <w:r>
        <w:t xml:space="preserve"> </w:t>
      </w:r>
      <w:r w:rsidR="003F46DF">
        <w:t>bijna</w:t>
      </w:r>
      <w:r w:rsidR="008D1BEA">
        <w:t xml:space="preserve"> 3</w:t>
      </w:r>
      <w:r w:rsidR="003F46DF">
        <w:t>7</w:t>
      </w:r>
      <w:r w:rsidR="008D1BEA">
        <w:t>% bedroeg, lijkt het erop dat op korte termijn deze</w:t>
      </w:r>
      <w:r w:rsidR="007E09DC">
        <w:t xml:space="preserve"> genadeloos</w:t>
      </w:r>
      <w:r w:rsidR="00FA416F">
        <w:t xml:space="preserve"> onder de 20% zal duiken. De </w:t>
      </w:r>
      <w:r w:rsidR="00293AE2">
        <w:t xml:space="preserve">daling van </w:t>
      </w:r>
      <w:r w:rsidR="00FA416F">
        <w:t xml:space="preserve"> het percentage werkende mense</w:t>
      </w:r>
      <w:r w:rsidR="00606F71">
        <w:t>n, dat lid is van een vakbond</w:t>
      </w:r>
      <w:r w:rsidR="00293AE2">
        <w:t>,</w:t>
      </w:r>
      <w:r w:rsidR="00FA416F">
        <w:t xml:space="preserve"> zal</w:t>
      </w:r>
      <w:r w:rsidR="008D1BEA">
        <w:t xml:space="preserve"> </w:t>
      </w:r>
      <w:r w:rsidR="00FA416F">
        <w:t xml:space="preserve">onder andere </w:t>
      </w:r>
      <w:r w:rsidR="008D1BEA">
        <w:t xml:space="preserve">plaats </w:t>
      </w:r>
      <w:r w:rsidR="003C0504">
        <w:t>gaan</w:t>
      </w:r>
      <w:r w:rsidR="008D1BEA">
        <w:t xml:space="preserve"> vinden</w:t>
      </w:r>
      <w:r w:rsidR="00293AE2">
        <w:t xml:space="preserve"> door de toenemende vergrijzing. H</w:t>
      </w:r>
      <w:r w:rsidR="008D1BEA">
        <w:t>et aandeel 65+’ers neemt al twintig jaar gestaag toe, terwijl er juist een negatieve trend zichtbaar is bij de leden onder de 25 jaar</w:t>
      </w:r>
      <w:sdt>
        <w:sdtPr>
          <w:id w:val="-1323811935"/>
          <w:citation/>
        </w:sdtPr>
        <w:sdtEndPr/>
        <w:sdtContent>
          <w:r w:rsidR="008D1BEA">
            <w:fldChar w:fldCharType="begin"/>
          </w:r>
          <w:r w:rsidR="00405F05">
            <w:instrText xml:space="preserve">CITATION Mar11 \l 1043 </w:instrText>
          </w:r>
          <w:r w:rsidR="008D1BEA">
            <w:fldChar w:fldCharType="separate"/>
          </w:r>
          <w:r w:rsidR="00D56303">
            <w:rPr>
              <w:noProof/>
            </w:rPr>
            <w:t xml:space="preserve"> (Willems, 2011)</w:t>
          </w:r>
          <w:r w:rsidR="008D1BEA">
            <w:fldChar w:fldCharType="end"/>
          </w:r>
        </w:sdtContent>
      </w:sdt>
      <w:r w:rsidR="008D1BEA">
        <w:t>.</w:t>
      </w:r>
      <w:r w:rsidR="007F2B0E">
        <w:t xml:space="preserve"> Ebbinghaus stelt tevens dat dit fenomeen zich niet slechts tot Nederland </w:t>
      </w:r>
      <w:r w:rsidR="007600C5">
        <w:t>zal beperken</w:t>
      </w:r>
      <w:r w:rsidR="007F2B0E">
        <w:t>, maar zich</w:t>
      </w:r>
      <w:r w:rsidR="007600C5">
        <w:t xml:space="preserve"> op termijn</w:t>
      </w:r>
      <w:r w:rsidR="007F2B0E">
        <w:t xml:space="preserve"> in heel Europa zal voordoen</w:t>
      </w:r>
      <w:sdt>
        <w:sdtPr>
          <w:id w:val="2062437515"/>
          <w:citation/>
        </w:sdtPr>
        <w:sdtEndPr/>
        <w:sdtContent>
          <w:r w:rsidR="007F2B0E">
            <w:fldChar w:fldCharType="begin"/>
          </w:r>
          <w:r w:rsidR="00922EBD">
            <w:instrText xml:space="preserve">CITATION Ebb02 \l 1043 </w:instrText>
          </w:r>
          <w:r w:rsidR="007F2B0E">
            <w:fldChar w:fldCharType="separate"/>
          </w:r>
          <w:r w:rsidR="00D56303">
            <w:rPr>
              <w:noProof/>
            </w:rPr>
            <w:t xml:space="preserve"> (Ebbinghaus, 2002)</w:t>
          </w:r>
          <w:r w:rsidR="007F2B0E">
            <w:fldChar w:fldCharType="end"/>
          </w:r>
        </w:sdtContent>
      </w:sdt>
      <w:r w:rsidR="007F2B0E">
        <w:t>.</w:t>
      </w:r>
      <w:r w:rsidR="00CB7884">
        <w:br/>
        <w:t xml:space="preserve"> </w:t>
      </w:r>
      <w:r w:rsidR="00CB7884">
        <w:tab/>
      </w:r>
      <w:r w:rsidR="00823C8D">
        <w:t>Niet alleen hieruit blijkt dat de Nederlandse vakbonden zich zorgen moeten maken, maar ook uit het feit dat bepaalde ontwikkelingen in het verleden ervoor gezorgd</w:t>
      </w:r>
      <w:r w:rsidR="00BD5108">
        <w:t xml:space="preserve"> hebben</w:t>
      </w:r>
      <w:r w:rsidR="00823C8D">
        <w:t xml:space="preserve">, dat de afname van </w:t>
      </w:r>
      <w:r w:rsidR="00B96F55">
        <w:t>de organisatiegraad</w:t>
      </w:r>
      <w:r w:rsidR="00BD5108">
        <w:t xml:space="preserve"> aanzienlijk is geremd.</w:t>
      </w:r>
      <w:r w:rsidR="00AE7BFB">
        <w:t xml:space="preserve"> </w:t>
      </w:r>
      <w:r w:rsidR="00534B45">
        <w:t xml:space="preserve">De grondige emancipatie van de vrouw op de </w:t>
      </w:r>
      <w:r w:rsidR="00BD5108">
        <w:t xml:space="preserve">Nederlandse </w:t>
      </w:r>
      <w:r w:rsidR="00534B45">
        <w:t>arbeidsmarkt die in de loop van de zestiger jaren op gang is gekomen, heeft</w:t>
      </w:r>
      <w:r w:rsidR="00436658">
        <w:t xml:space="preserve"> bijvoorbeeld</w:t>
      </w:r>
      <w:r w:rsidR="00534B45">
        <w:t xml:space="preserve"> een </w:t>
      </w:r>
      <w:r w:rsidR="00EC4387">
        <w:t>omvangrijke</w:t>
      </w:r>
      <w:r w:rsidR="00123535">
        <w:t xml:space="preserve"> </w:t>
      </w:r>
      <w:r w:rsidR="00436658">
        <w:t xml:space="preserve">bijdrage geleverd aan de </w:t>
      </w:r>
      <w:r w:rsidR="00534B45">
        <w:t>sterk groeiende beroepsbevolking. In de periode 1971-1997 is de participatiegraad van vrouwen in Nederland toegenomen van 29,4% naar 51,8%</w:t>
      </w:r>
      <w:sdt>
        <w:sdtPr>
          <w:id w:val="-368530883"/>
          <w:citation/>
        </w:sdtPr>
        <w:sdtEndPr/>
        <w:sdtContent>
          <w:r w:rsidR="00534B45">
            <w:fldChar w:fldCharType="begin"/>
          </w:r>
          <w:r w:rsidR="00BD5108">
            <w:instrText xml:space="preserve">CITATION Joo02 \l 1043 </w:instrText>
          </w:r>
          <w:r w:rsidR="00534B45">
            <w:fldChar w:fldCharType="separate"/>
          </w:r>
          <w:r w:rsidR="00D56303">
            <w:rPr>
              <w:noProof/>
            </w:rPr>
            <w:t xml:space="preserve"> (Schippers, 2002)</w:t>
          </w:r>
          <w:r w:rsidR="00534B45">
            <w:fldChar w:fldCharType="end"/>
          </w:r>
        </w:sdtContent>
      </w:sdt>
      <w:r w:rsidR="00534B45">
        <w:t xml:space="preserve">. Uit recentere publicaties van het CBS blijkt dit aandeel nog groter te zijn geworden, waardoor anno 2014 </w:t>
      </w:r>
      <w:r w:rsidR="006B6195">
        <w:t>65</w:t>
      </w:r>
      <w:r w:rsidR="00BD5108">
        <w:t>,</w:t>
      </w:r>
      <w:r w:rsidR="006B6195">
        <w:t>1</w:t>
      </w:r>
      <w:r w:rsidR="00534B45">
        <w:t>% van de vrouwen onderdeel is van de beroepsbevolking</w:t>
      </w:r>
      <w:sdt>
        <w:sdtPr>
          <w:id w:val="919520707"/>
          <w:citation/>
        </w:sdtPr>
        <w:sdtEndPr/>
        <w:sdtContent>
          <w:r w:rsidR="0080780F">
            <w:fldChar w:fldCharType="begin"/>
          </w:r>
          <w:r w:rsidR="000172A6">
            <w:instrText xml:space="preserve">CITATION CBS151 \l 1043 </w:instrText>
          </w:r>
          <w:r w:rsidR="0080780F">
            <w:fldChar w:fldCharType="separate"/>
          </w:r>
          <w:r w:rsidR="000172A6">
            <w:rPr>
              <w:noProof/>
            </w:rPr>
            <w:t xml:space="preserve"> (Centraal Bureau voor de Statistiek [CBS], 2015)</w:t>
          </w:r>
          <w:r w:rsidR="0080780F">
            <w:fldChar w:fldCharType="end"/>
          </w:r>
        </w:sdtContent>
      </w:sdt>
      <w:r w:rsidR="00534B45">
        <w:t xml:space="preserve">. </w:t>
      </w:r>
      <w:r w:rsidR="00F04202">
        <w:t xml:space="preserve">Het groeiende aandeel werkende vrouwen heeft op zijn beurt weer een positief effect heeft gehad op het ledenbestand van de vakbonden. </w:t>
      </w:r>
      <w:r w:rsidR="0007476F">
        <w:t>Zo is het aandeel van vrouwen in het ledenbestand van de vakcentrales van zo’n 9% in 1960, naar 35</w:t>
      </w:r>
      <w:r w:rsidR="00BD5108">
        <w:t>,</w:t>
      </w:r>
      <w:r w:rsidR="0007476F">
        <w:t>5% in 2008</w:t>
      </w:r>
      <w:r w:rsidR="00DE6C06">
        <w:t xml:space="preserve"> gestegen</w:t>
      </w:r>
      <w:r w:rsidR="00725670">
        <w:rPr>
          <w:noProof/>
        </w:rPr>
        <w:t xml:space="preserve"> (Visser, 2013)</w:t>
      </w:r>
      <w:r w:rsidR="000172A6">
        <w:rPr>
          <w:noProof/>
        </w:rPr>
        <w:t>.</w:t>
      </w:r>
      <w:r w:rsidR="00CB7884">
        <w:br/>
        <w:t xml:space="preserve"> </w:t>
      </w:r>
      <w:r w:rsidR="00CB7884">
        <w:tab/>
      </w:r>
      <w:r w:rsidR="002239BF">
        <w:t>Eind jaren ’70 en begin jaren ’80 ging het slecht met de Nederlandse economie: er was sprake van een hoge werkloosheid en een arbeidsinkomensquote die zulke hoge waarden aannam, dat het bedrijfsleven nauwelijks nog winst maakte. Ook</w:t>
      </w:r>
      <w:r w:rsidR="002423C9">
        <w:t xml:space="preserve"> de collectieve druk</w:t>
      </w:r>
      <w:r w:rsidR="002239BF">
        <w:t xml:space="preserve"> was </w:t>
      </w:r>
      <w:r w:rsidR="00397DB8">
        <w:t>behoorlijk</w:t>
      </w:r>
      <w:r w:rsidR="002239BF">
        <w:t xml:space="preserve"> hoog, terwijl </w:t>
      </w:r>
      <w:r w:rsidR="009F5A93">
        <w:t xml:space="preserve">het </w:t>
      </w:r>
      <w:r w:rsidR="002423C9">
        <w:t xml:space="preserve">financieringstekort </w:t>
      </w:r>
      <w:r w:rsidR="009F5A93">
        <w:t xml:space="preserve">van de overheid </w:t>
      </w:r>
      <w:r w:rsidR="002423C9">
        <w:t xml:space="preserve">de pan </w:t>
      </w:r>
      <w:r w:rsidR="002423C9" w:rsidRPr="00725670">
        <w:t>uitrees</w:t>
      </w:r>
      <w:r w:rsidR="00725670" w:rsidRPr="00725670">
        <w:rPr>
          <w:noProof/>
        </w:rPr>
        <w:t xml:space="preserve"> </w:t>
      </w:r>
      <w:r w:rsidR="00725670">
        <w:rPr>
          <w:noProof/>
        </w:rPr>
        <w:t>(</w:t>
      </w:r>
      <w:r w:rsidR="00332FC7" w:rsidRPr="00725670">
        <w:rPr>
          <w:noProof/>
        </w:rPr>
        <w:t>CBS, 2010</w:t>
      </w:r>
      <w:r w:rsidR="00332FC7">
        <w:rPr>
          <w:noProof/>
        </w:rPr>
        <w:t xml:space="preserve">; </w:t>
      </w:r>
      <w:r w:rsidR="00725670">
        <w:rPr>
          <w:noProof/>
        </w:rPr>
        <w:t>van Sinderen, 2000;</w:t>
      </w:r>
      <w:r w:rsidR="00725670" w:rsidRPr="00725670">
        <w:rPr>
          <w:noProof/>
        </w:rPr>
        <w:t>)</w:t>
      </w:r>
      <w:r w:rsidR="002239BF" w:rsidRPr="00725670">
        <w:t>.</w:t>
      </w:r>
      <w:r w:rsidR="002239BF">
        <w:t xml:space="preserve"> Vanuit de politiek zag men de noodzaak om het beleid radicaal te veranderen; het Akkoord van Wassenaar was daarin het omslagpunt. </w:t>
      </w:r>
      <w:r w:rsidR="009600FD">
        <w:t>In 1982 werd het Akkoord van Wassenaar geslo</w:t>
      </w:r>
      <w:r w:rsidR="00F93C16">
        <w:t>ten tussen de sociale partners (</w:t>
      </w:r>
      <w:r w:rsidR="009600FD">
        <w:t>werkgevers- en de vakverenigingen</w:t>
      </w:r>
      <w:r w:rsidR="00F93C16">
        <w:t>)</w:t>
      </w:r>
      <w:r w:rsidR="002239BF">
        <w:t xml:space="preserve">, </w:t>
      </w:r>
      <w:r w:rsidR="0051059A">
        <w:t>waarbij</w:t>
      </w:r>
      <w:r w:rsidR="002239BF">
        <w:t xml:space="preserve"> de overheid als </w:t>
      </w:r>
      <w:r w:rsidR="002239BF">
        <w:rPr>
          <w:i/>
        </w:rPr>
        <w:t xml:space="preserve">mediator </w:t>
      </w:r>
      <w:r w:rsidR="002239BF">
        <w:t>fungeerde</w:t>
      </w:r>
      <w:r w:rsidR="009600FD">
        <w:t xml:space="preserve">. De vakverenigingen gingen akkoord met een beleid van loonmatiging en in ruil daarvoor zou er een arbeidstijdverkorting komen, die het aantal vrije dagen </w:t>
      </w:r>
      <w:r w:rsidR="00393E26">
        <w:t xml:space="preserve">op een jaar zou doen toenemen. </w:t>
      </w:r>
      <w:r w:rsidR="009600FD">
        <w:t>Tevens werd er besloten om arbeid te gaan herverdelen, terwi</w:t>
      </w:r>
      <w:r w:rsidR="00393E26">
        <w:t>jl de cao’s werden opengebroken:</w:t>
      </w:r>
      <w:r w:rsidR="009600FD">
        <w:t xml:space="preserve"> de gemaakte </w:t>
      </w:r>
      <w:r w:rsidR="009600FD">
        <w:lastRenderedPageBreak/>
        <w:t xml:space="preserve">afspraken </w:t>
      </w:r>
      <w:r w:rsidR="002239BF">
        <w:t>kregen een meerjarig karakter</w:t>
      </w:r>
      <w:r w:rsidR="004B1334">
        <w:rPr>
          <w:noProof/>
        </w:rPr>
        <w:t xml:space="preserve"> (Parlement &amp; Politiek, 2015a)</w:t>
      </w:r>
      <w:r w:rsidR="009600FD">
        <w:t>. De institutionele setting van het gesloten akkoord en de gevoerde dialoog tussen de sociale partners en de overheid werd als revolutionair gezien. Ondanks het feit dat er in Nederland al sprake was van een ‘overlegcultuur’ (tot stand gekomen onder aanvoering van de Stichting van de Arbeid, waarbinnen de sociale partners met elkaar overleggen), werd het Akkoord van Wassenaar in het buitenland als een wonder beschouwd. De Nederlandse economie herstelde voorspoedig en de groeicijfers bleken s</w:t>
      </w:r>
      <w:r w:rsidR="0051059A">
        <w:t xml:space="preserve">tructureel hoger te zijn dan die </w:t>
      </w:r>
      <w:r w:rsidR="009600FD">
        <w:t>van de andere westerse landen</w:t>
      </w:r>
      <w:sdt>
        <w:sdtPr>
          <w:id w:val="714631651"/>
          <w:citation/>
        </w:sdtPr>
        <w:sdtEndPr/>
        <w:sdtContent>
          <w:r w:rsidR="00393E26">
            <w:fldChar w:fldCharType="begin"/>
          </w:r>
          <w:r w:rsidR="00393E26">
            <w:instrText xml:space="preserve"> CITATION Sin00 \l 1043 </w:instrText>
          </w:r>
          <w:r w:rsidR="00393E26">
            <w:fldChar w:fldCharType="separate"/>
          </w:r>
          <w:r w:rsidR="00D56303">
            <w:rPr>
              <w:noProof/>
            </w:rPr>
            <w:t xml:space="preserve"> (van Sinderen, 2000)</w:t>
          </w:r>
          <w:r w:rsidR="00393E26">
            <w:fldChar w:fldCharType="end"/>
          </w:r>
        </w:sdtContent>
      </w:sdt>
      <w:r w:rsidR="009600FD">
        <w:t>.</w:t>
      </w:r>
      <w:r w:rsidR="00CB7884">
        <w:t xml:space="preserve"> </w:t>
      </w:r>
      <w:r w:rsidR="00CB7884">
        <w:br/>
        <w:t xml:space="preserve"> </w:t>
      </w:r>
      <w:r w:rsidR="00CB7884">
        <w:tab/>
      </w:r>
      <w:r w:rsidR="009600FD">
        <w:t xml:space="preserve">Met het ingezette economische herstel werd tevens een andere trend zichtbaar. </w:t>
      </w:r>
      <w:r w:rsidR="008379A0">
        <w:t xml:space="preserve">In het begin van de jaren ’80 </w:t>
      </w:r>
      <w:r w:rsidR="0051059A">
        <w:t>vindt er een opmerkelijke daling van de organisatiegraad plaats</w:t>
      </w:r>
      <w:r w:rsidR="008379A0">
        <w:t xml:space="preserve">. </w:t>
      </w:r>
      <w:r w:rsidR="009600FD">
        <w:t xml:space="preserve">Het aantal vakbondsleden ten opzichte van de </w:t>
      </w:r>
      <w:r w:rsidR="008379A0">
        <w:t xml:space="preserve">werkende </w:t>
      </w:r>
      <w:r w:rsidR="009600FD">
        <w:t>beroepsbevolking, dat vanaf 19</w:t>
      </w:r>
      <w:r w:rsidR="00436658">
        <w:t>6</w:t>
      </w:r>
      <w:r w:rsidR="009600FD">
        <w:t xml:space="preserve">0 al geruim </w:t>
      </w:r>
      <w:r w:rsidR="00436658">
        <w:t>2</w:t>
      </w:r>
      <w:r w:rsidR="009600FD">
        <w:t>0 jaar op zo’n 3</w:t>
      </w:r>
      <w:r w:rsidR="00436658">
        <w:t>8</w:t>
      </w:r>
      <w:r w:rsidR="009600FD">
        <w:t>% stond, bleek in de jaren na het Akkoord van Wassenaar plots te dalen richting ‘</w:t>
      </w:r>
      <w:r w:rsidR="008379A0">
        <w:t>een schamele</w:t>
      </w:r>
      <w:r w:rsidR="009600FD">
        <w:t xml:space="preserve">’ 25%. Na een korte opleving begin jaren ’90 daalde dit percentage nog verder waardoor </w:t>
      </w:r>
      <w:r w:rsidR="008379A0">
        <w:t xml:space="preserve">de organisatiegraad anno 2011 slechts 19% is. Niet alleen in Nederland, maar ook </w:t>
      </w:r>
      <w:r w:rsidR="0042472A">
        <w:t xml:space="preserve">in het grootste gedeelte van de rest van de westerse landen </w:t>
      </w:r>
      <w:r w:rsidR="009600FD">
        <w:t xml:space="preserve"> </w:t>
      </w:r>
      <w:r w:rsidR="0042472A">
        <w:t xml:space="preserve">is </w:t>
      </w:r>
      <w:r w:rsidR="00A10B87">
        <w:t>er een dalende trend</w:t>
      </w:r>
      <w:r w:rsidR="0042472A">
        <w:t xml:space="preserve"> over de laatste decennia zichtbaar geworden</w:t>
      </w:r>
      <w:r w:rsidR="00392172">
        <w:t xml:space="preserve"> </w:t>
      </w:r>
      <w:r w:rsidR="002C2DE3" w:rsidRPr="00725670">
        <w:rPr>
          <w:noProof/>
        </w:rPr>
        <w:t>(</w:t>
      </w:r>
      <w:r w:rsidR="00725670" w:rsidRPr="00725670">
        <w:rPr>
          <w:noProof/>
        </w:rPr>
        <w:t>de Beer, 2012</w:t>
      </w:r>
      <w:r w:rsidR="00332FC7">
        <w:rPr>
          <w:noProof/>
        </w:rPr>
        <w:t>;</w:t>
      </w:r>
      <w:r w:rsidR="00332FC7" w:rsidRPr="00332FC7">
        <w:rPr>
          <w:noProof/>
        </w:rPr>
        <w:t xml:space="preserve"> </w:t>
      </w:r>
      <w:r w:rsidR="00332FC7" w:rsidRPr="00725670">
        <w:rPr>
          <w:noProof/>
        </w:rPr>
        <w:t xml:space="preserve">Visser, </w:t>
      </w:r>
      <w:r w:rsidR="00332FC7">
        <w:rPr>
          <w:noProof/>
        </w:rPr>
        <w:t>2013</w:t>
      </w:r>
      <w:r w:rsidR="00725670" w:rsidRPr="00725670">
        <w:rPr>
          <w:noProof/>
        </w:rPr>
        <w:t>)</w:t>
      </w:r>
      <w:r w:rsidR="003A6DDA" w:rsidRPr="00725670">
        <w:rPr>
          <w:b/>
        </w:rPr>
        <w:t>.</w:t>
      </w:r>
      <w:r w:rsidR="00A10B87">
        <w:t xml:space="preserve"> Nederland is in dit opzicht geen uitzondering te noemen, was het niet dat de afname van de organisatiegraad </w:t>
      </w:r>
      <w:r w:rsidR="00392172">
        <w:t>geen geleidelijk karakter heeft aangenomen</w:t>
      </w:r>
      <w:r w:rsidR="00A10B87">
        <w:t xml:space="preserve">. </w:t>
      </w:r>
      <w:r w:rsidR="00CB7884">
        <w:br/>
        <w:t xml:space="preserve"> </w:t>
      </w:r>
      <w:r w:rsidR="00CB7884">
        <w:tab/>
      </w:r>
      <w:r w:rsidR="007B2745">
        <w:t xml:space="preserve">In het verleden is er reeds veelvuldig (internationaal) onderzoek gedaan naar de oorzaken van </w:t>
      </w:r>
      <w:r w:rsidR="00393E26">
        <w:t>een</w:t>
      </w:r>
      <w:r w:rsidR="007B2745">
        <w:t xml:space="preserve"> afnemende organisatiegraad. </w:t>
      </w:r>
      <w:r w:rsidR="003B4E86">
        <w:t xml:space="preserve">Deze onderzoeken richten zich echter vaak op slechts één of enkele aspecten die het totaalplaatje zouden kunnen verklaren. Zo stelt Booth dat het </w:t>
      </w:r>
      <w:r w:rsidR="00F833D4">
        <w:t>‘</w:t>
      </w:r>
      <w:r w:rsidR="003B4E86">
        <w:rPr>
          <w:i/>
        </w:rPr>
        <w:t>free Rider Problem</w:t>
      </w:r>
      <w:r w:rsidR="00F833D4">
        <w:rPr>
          <w:i/>
        </w:rPr>
        <w:t>’</w:t>
      </w:r>
      <w:r w:rsidR="003B4E86">
        <w:rPr>
          <w:i/>
        </w:rPr>
        <w:t xml:space="preserve"> </w:t>
      </w:r>
      <w:r w:rsidR="003B4E86">
        <w:t>een rol speelt in de ontwikkeli</w:t>
      </w:r>
      <w:r w:rsidR="00393E26">
        <w:t>ng van het aantal vakbondsleden. M</w:t>
      </w:r>
      <w:r w:rsidR="003B4E86">
        <w:t xml:space="preserve">inder mensen zouden lid worden, aangezien </w:t>
      </w:r>
      <w:r w:rsidR="00F833D4">
        <w:t>ze reeds kunnen profiteren van het</w:t>
      </w:r>
      <w:r w:rsidR="003B4E86">
        <w:t xml:space="preserve"> lidmaatschap </w:t>
      </w:r>
      <w:r w:rsidR="00F833D4">
        <w:t>van anderen, zonder zelf lid te zijn</w:t>
      </w:r>
      <w:sdt>
        <w:sdtPr>
          <w:id w:val="247695574"/>
          <w:citation/>
        </w:sdtPr>
        <w:sdtEndPr/>
        <w:sdtContent>
          <w:r w:rsidR="003B4E86">
            <w:fldChar w:fldCharType="begin"/>
          </w:r>
          <w:r w:rsidR="002C2DE3">
            <w:instrText xml:space="preserve">CITATION Ali85 \l 1043 </w:instrText>
          </w:r>
          <w:r w:rsidR="003B4E86">
            <w:fldChar w:fldCharType="separate"/>
          </w:r>
          <w:r w:rsidR="00D56303">
            <w:rPr>
              <w:noProof/>
            </w:rPr>
            <w:t xml:space="preserve"> (Booth, 1985)</w:t>
          </w:r>
          <w:r w:rsidR="003B4E86">
            <w:fldChar w:fldCharType="end"/>
          </w:r>
        </w:sdtContent>
      </w:sdt>
      <w:r w:rsidR="003B4E86">
        <w:t xml:space="preserve">. Een </w:t>
      </w:r>
      <w:r w:rsidR="00C50BC6">
        <w:t xml:space="preserve">ander </w:t>
      </w:r>
      <w:r w:rsidR="00626218">
        <w:t xml:space="preserve">empirisch </w:t>
      </w:r>
      <w:r w:rsidR="00C50BC6">
        <w:t xml:space="preserve">onderzoek, laat zien dat het ledental van de vakbonden sterk afhankelijk is van de conjunctuur: </w:t>
      </w:r>
      <w:r w:rsidR="00393E26">
        <w:t xml:space="preserve">volgens Davis is het </w:t>
      </w:r>
      <w:r w:rsidR="00C50BC6">
        <w:t xml:space="preserve">in </w:t>
      </w:r>
      <w:r w:rsidR="00626218">
        <w:t>een periode van herstel</w:t>
      </w:r>
      <w:r w:rsidR="00C50BC6">
        <w:t xml:space="preserve"> zeer aannemelijk dat het aantal vakbondsleden zal groeien</w:t>
      </w:r>
      <w:sdt>
        <w:sdtPr>
          <w:id w:val="-53549175"/>
          <w:citation/>
        </w:sdtPr>
        <w:sdtEndPr/>
        <w:sdtContent>
          <w:r w:rsidR="00C50BC6">
            <w:fldChar w:fldCharType="begin"/>
          </w:r>
          <w:r w:rsidR="002C2DE3">
            <w:instrText xml:space="preserve">CITATION Hor41 \l 1043 </w:instrText>
          </w:r>
          <w:r w:rsidR="00C50BC6">
            <w:fldChar w:fldCharType="separate"/>
          </w:r>
          <w:r w:rsidR="00D56303">
            <w:rPr>
              <w:noProof/>
            </w:rPr>
            <w:t xml:space="preserve"> (Davis, 1941)</w:t>
          </w:r>
          <w:r w:rsidR="00C50BC6">
            <w:fldChar w:fldCharType="end"/>
          </w:r>
        </w:sdtContent>
      </w:sdt>
      <w:r w:rsidR="00C50BC6">
        <w:t>.</w:t>
      </w:r>
      <w:r w:rsidR="009C308E">
        <w:t xml:space="preserve"> </w:t>
      </w:r>
      <w:r w:rsidR="00CB7884">
        <w:br/>
        <w:t xml:space="preserve"> </w:t>
      </w:r>
      <w:r w:rsidR="00CB7884">
        <w:tab/>
      </w:r>
      <w:r w:rsidR="006B5511">
        <w:t>Al met al zijn er i</w:t>
      </w:r>
      <w:r w:rsidR="00B67E25">
        <w:t xml:space="preserve">n de loop van de afgelopen eeuw de nodige meningsverschillen geweest over de </w:t>
      </w:r>
      <w:r w:rsidR="00B67E25">
        <w:rPr>
          <w:i/>
        </w:rPr>
        <w:t xml:space="preserve">juiste </w:t>
      </w:r>
      <w:r w:rsidR="00B67E25">
        <w:t xml:space="preserve">verklaring voor de fluctuaties in de hoeveelheid vakbondsleden en de </w:t>
      </w:r>
      <w:r w:rsidR="00F833D4">
        <w:t xml:space="preserve">verandering van de </w:t>
      </w:r>
      <w:r w:rsidR="00B67E25">
        <w:t xml:space="preserve">organisatiegraad. Veel van de onderzoeken en opgestelde modellen zijn berust op </w:t>
      </w:r>
      <w:r w:rsidR="00CA5443">
        <w:t xml:space="preserve">empirisch </w:t>
      </w:r>
      <w:r w:rsidR="00B67E25">
        <w:t xml:space="preserve">significant </w:t>
      </w:r>
      <w:r w:rsidR="00F833D4">
        <w:t>bevonden</w:t>
      </w:r>
      <w:r w:rsidR="00B67E25">
        <w:t xml:space="preserve"> resulta</w:t>
      </w:r>
      <w:r w:rsidR="00CA5443">
        <w:t xml:space="preserve">ten. </w:t>
      </w:r>
      <w:r w:rsidR="00B67E25">
        <w:t>Theorie en praktijk blijken echter vaak</w:t>
      </w:r>
      <w:r w:rsidR="00FB2C11">
        <w:t xml:space="preserve"> slechts toepasbaar binnen beperkte omstandigheden en bovendien op de</w:t>
      </w:r>
      <w:r w:rsidR="00B67E25">
        <w:t xml:space="preserve"> korte termijn, daar de omstandigheden </w:t>
      </w:r>
      <w:r w:rsidR="00FB2C11">
        <w:t xml:space="preserve">waar en </w:t>
      </w:r>
      <w:r w:rsidR="00B67E25">
        <w:t>waarbinnen de vakbonden zich bewegen, zeer dynamisch zijn</w:t>
      </w:r>
      <w:sdt>
        <w:sdtPr>
          <w:id w:val="525061814"/>
          <w:citation/>
        </w:sdtPr>
        <w:sdtEndPr/>
        <w:sdtContent>
          <w:r w:rsidR="00D22571">
            <w:fldChar w:fldCharType="begin"/>
          </w:r>
          <w:r w:rsidR="002C2DE3">
            <w:instrText xml:space="preserve">CITATION Ste86 \l 1043 </w:instrText>
          </w:r>
          <w:r w:rsidR="00D22571">
            <w:fldChar w:fldCharType="separate"/>
          </w:r>
          <w:r w:rsidR="00D56303">
            <w:rPr>
              <w:noProof/>
            </w:rPr>
            <w:t xml:space="preserve"> (Stepina &amp; Fiorito, 1986)</w:t>
          </w:r>
          <w:r w:rsidR="00D22571">
            <w:fldChar w:fldCharType="end"/>
          </w:r>
        </w:sdtContent>
      </w:sdt>
      <w:r w:rsidR="00B67E25">
        <w:t xml:space="preserve">. </w:t>
      </w:r>
      <w:r w:rsidR="00CB7884">
        <w:br/>
        <w:t xml:space="preserve"> </w:t>
      </w:r>
      <w:r w:rsidR="00CB7884">
        <w:tab/>
      </w:r>
      <w:r w:rsidR="00E77B3A">
        <w:t xml:space="preserve">Meer recente bevindingen van </w:t>
      </w:r>
      <w:r w:rsidR="009F1B92">
        <w:t>Bains</w:t>
      </w:r>
      <w:r w:rsidR="00E77B3A">
        <w:t xml:space="preserve"> en Elsheikh, stellen dat meerdere factoren invloed hebben op de ontwikkeling van het aantal vakbondsleden. Zo laat het </w:t>
      </w:r>
      <w:r w:rsidR="009F1B92">
        <w:t>Bains</w:t>
      </w:r>
      <w:r w:rsidR="00E77B3A">
        <w:t xml:space="preserve">-Elsheikh model zien dat er sprake is van significant causale verbanden van de voorafgaande ontwikkeling van de organisatiegraad, het werkloosheids- en inflatieniveau en het reële loon enerzijds en de verandering </w:t>
      </w:r>
      <w:r w:rsidR="00E77B3A">
        <w:lastRenderedPageBreak/>
        <w:t>van het aantal vakbondsleden anderzijds</w:t>
      </w:r>
      <w:sdt>
        <w:sdtPr>
          <w:id w:val="-1953084012"/>
          <w:citation/>
        </w:sdtPr>
        <w:sdtEndPr/>
        <w:sdtContent>
          <w:r w:rsidR="005F0C50">
            <w:fldChar w:fldCharType="begin"/>
          </w:r>
          <w:r w:rsidR="002C2DE3">
            <w:instrText xml:space="preserve">CITATION Bai82 \l 1043 </w:instrText>
          </w:r>
          <w:r w:rsidR="005F0C50">
            <w:fldChar w:fldCharType="separate"/>
          </w:r>
          <w:r w:rsidR="00D56303">
            <w:rPr>
              <w:noProof/>
            </w:rPr>
            <w:t xml:space="preserve"> (Bain &amp; Elsheikh, 1982)</w:t>
          </w:r>
          <w:r w:rsidR="005F0C50">
            <w:fldChar w:fldCharType="end"/>
          </w:r>
        </w:sdtContent>
      </w:sdt>
      <w:r w:rsidR="00E77B3A">
        <w:t xml:space="preserve">. De aangekaarte variabelen zijn binnen dit model in veel gevallen statistisch significant verklarend. Dit in combinatie met het feit dat het B-E model meerdere verklarende variabelen in de analyse meeneemt, maakt het interessant om deze empirische bevindingen naast de bevindingen in dit onderzoek te leggen. </w:t>
      </w:r>
      <w:r w:rsidR="005E3E75">
        <w:t xml:space="preserve">De volgende onderzoeksvraag is </w:t>
      </w:r>
      <w:r w:rsidR="00391E42">
        <w:t xml:space="preserve">dan ook </w:t>
      </w:r>
      <w:r w:rsidR="005A1624">
        <w:t>uit al het voorgaande</w:t>
      </w:r>
      <w:r w:rsidR="00E77B3A">
        <w:t xml:space="preserve"> voortgekomen</w:t>
      </w:r>
      <w:r w:rsidR="005E3E75">
        <w:t>:</w:t>
      </w:r>
    </w:p>
    <w:p w:rsidR="005E3E75" w:rsidRPr="005E3E75" w:rsidRDefault="005E3E75" w:rsidP="002B6FE4">
      <w:pPr>
        <w:spacing w:line="360" w:lineRule="auto"/>
        <w:rPr>
          <w:b/>
          <w:i/>
        </w:rPr>
      </w:pPr>
      <w:r w:rsidRPr="00920308">
        <w:rPr>
          <w:b/>
          <w:i/>
        </w:rPr>
        <w:t xml:space="preserve">Wat </w:t>
      </w:r>
      <w:r w:rsidR="00C24830">
        <w:rPr>
          <w:b/>
          <w:i/>
        </w:rPr>
        <w:t>is het effect</w:t>
      </w:r>
      <w:r w:rsidRPr="00920308">
        <w:rPr>
          <w:b/>
          <w:i/>
        </w:rPr>
        <w:t xml:space="preserve"> van het Akkoord van Wassenaar op </w:t>
      </w:r>
      <w:r w:rsidR="00C24830">
        <w:rPr>
          <w:b/>
          <w:i/>
        </w:rPr>
        <w:t xml:space="preserve">de </w:t>
      </w:r>
      <w:r w:rsidR="009707F0">
        <w:rPr>
          <w:b/>
          <w:i/>
        </w:rPr>
        <w:t xml:space="preserve">Nederlandse </w:t>
      </w:r>
      <w:r w:rsidR="00C24830">
        <w:rPr>
          <w:b/>
          <w:i/>
        </w:rPr>
        <w:t>organisatiegraad</w:t>
      </w:r>
      <w:r w:rsidRPr="00920308">
        <w:rPr>
          <w:b/>
          <w:i/>
        </w:rPr>
        <w:t>?</w:t>
      </w:r>
    </w:p>
    <w:p w:rsidR="00CB7884" w:rsidRDefault="00C24830" w:rsidP="002B6FE4">
      <w:pPr>
        <w:spacing w:line="360" w:lineRule="auto"/>
      </w:pPr>
      <w:r>
        <w:t>In dit onderzoek zal worden bekeken of het Akkoord van Wassenaar in 1982 er daadwerkelijk voor heeft gezorgd dat de organisatiegraad in Nederl</w:t>
      </w:r>
      <w:r w:rsidR="00B95E33">
        <w:t xml:space="preserve">and is </w:t>
      </w:r>
      <w:r w:rsidR="007A5446">
        <w:t>veranderd</w:t>
      </w:r>
      <w:r w:rsidR="00391E42">
        <w:t>.</w:t>
      </w:r>
      <w:r w:rsidR="00DA2113">
        <w:t xml:space="preserve"> </w:t>
      </w:r>
      <w:r w:rsidR="00391E42">
        <w:t>De</w:t>
      </w:r>
      <w:r w:rsidR="00B95E33">
        <w:t xml:space="preserve"> focus zal hierbij voornamelijk op de korte termijn liggen</w:t>
      </w:r>
      <w:r w:rsidR="00DA2113">
        <w:t>, die de eerste tien jaar na het akkoord beslaat</w:t>
      </w:r>
      <w:r w:rsidR="009600FD">
        <w:t xml:space="preserve">. </w:t>
      </w:r>
      <w:r w:rsidR="00E66B70">
        <w:t xml:space="preserve">De gebruikte data zijn </w:t>
      </w:r>
      <w:r w:rsidR="00E77B3A">
        <w:t>grotendeels</w:t>
      </w:r>
      <w:r w:rsidR="005526C3">
        <w:t xml:space="preserve"> </w:t>
      </w:r>
      <w:r w:rsidR="00E66B70">
        <w:t xml:space="preserve">afkomstig van een </w:t>
      </w:r>
      <w:r w:rsidR="00E77B3A">
        <w:t xml:space="preserve">selectie van Visser, </w:t>
      </w:r>
      <w:r w:rsidR="00DA2113">
        <w:t xml:space="preserve">de </w:t>
      </w:r>
      <w:r w:rsidR="00E66B70">
        <w:t>World Databank</w:t>
      </w:r>
      <w:r w:rsidR="00E77B3A">
        <w:t>, Eurostat</w:t>
      </w:r>
      <w:r w:rsidR="00D25A13">
        <w:t>, OECD</w:t>
      </w:r>
      <w:r w:rsidR="00E77B3A">
        <w:t xml:space="preserve"> en het CBS</w:t>
      </w:r>
      <w:r w:rsidR="00E66B70">
        <w:t xml:space="preserve">; deze gegevens zullen gebruikt worden om de hypotheses te testen. Uiteindelijk zullen </w:t>
      </w:r>
      <w:r w:rsidR="007A5446">
        <w:t>de</w:t>
      </w:r>
      <w:r w:rsidR="00E66B70">
        <w:t xml:space="preserve"> </w:t>
      </w:r>
      <w:r w:rsidR="00232DFF">
        <w:t xml:space="preserve">opgestelde </w:t>
      </w:r>
      <w:r w:rsidR="00E66B70">
        <w:t xml:space="preserve">deelvragen worden beantwoord met behulp van </w:t>
      </w:r>
      <w:r w:rsidR="005526C3">
        <w:t>statistisch onderzoek. Door middel van een</w:t>
      </w:r>
      <w:r w:rsidR="00E66B70">
        <w:rPr>
          <w:b/>
        </w:rPr>
        <w:t xml:space="preserve"> </w:t>
      </w:r>
      <w:r w:rsidR="005526C3">
        <w:rPr>
          <w:i/>
        </w:rPr>
        <w:t xml:space="preserve">two sample </w:t>
      </w:r>
      <w:r w:rsidR="00B81D52">
        <w:rPr>
          <w:i/>
        </w:rPr>
        <w:t>t</w:t>
      </w:r>
      <w:r w:rsidR="005526C3">
        <w:rPr>
          <w:i/>
        </w:rPr>
        <w:t>-test for comparing two means</w:t>
      </w:r>
      <w:r w:rsidR="00297982">
        <w:t xml:space="preserve">, in combinatie met op het B-E </w:t>
      </w:r>
      <w:r w:rsidR="005526C3">
        <w:t xml:space="preserve">model van </w:t>
      </w:r>
      <w:r w:rsidR="009F1B92">
        <w:t>Bains</w:t>
      </w:r>
      <w:r w:rsidR="005526C3">
        <w:t xml:space="preserve"> en Elsheikh gestaafde kanttekeningen bij de toetsing van de hyp</w:t>
      </w:r>
      <w:r w:rsidR="00690830">
        <w:t>o</w:t>
      </w:r>
      <w:r w:rsidR="005526C3">
        <w:t xml:space="preserve">theses, </w:t>
      </w:r>
      <w:r w:rsidR="00E66B70">
        <w:t>zal uiteindelijk de aanzet worden gegeven tot de beantwoording van de opgestelde onderzoeksvraag.</w:t>
      </w:r>
    </w:p>
    <w:p w:rsidR="00CB7884" w:rsidRDefault="00CB7884" w:rsidP="002B6FE4">
      <w:pPr>
        <w:spacing w:line="360" w:lineRule="auto"/>
      </w:pPr>
    </w:p>
    <w:p w:rsidR="00E21E4E" w:rsidRPr="00CB7884" w:rsidRDefault="00756E22" w:rsidP="002B6FE4">
      <w:pPr>
        <w:spacing w:line="360" w:lineRule="auto"/>
      </w:pPr>
      <w:r w:rsidRPr="00E21E4E">
        <w:rPr>
          <w:b/>
          <w:sz w:val="24"/>
        </w:rPr>
        <w:t xml:space="preserve">II. </w:t>
      </w:r>
      <w:r w:rsidR="00E66B70" w:rsidRPr="00E21E4E">
        <w:rPr>
          <w:b/>
          <w:sz w:val="24"/>
        </w:rPr>
        <w:t>Theoretisch kader</w:t>
      </w:r>
    </w:p>
    <w:p w:rsidR="006D4CA0" w:rsidRPr="00CB7884" w:rsidRDefault="00131EE0" w:rsidP="002B6FE4">
      <w:pPr>
        <w:spacing w:line="360" w:lineRule="auto"/>
        <w:rPr>
          <w:b/>
        </w:rPr>
      </w:pPr>
      <w:r>
        <w:t xml:space="preserve">Bij de uitvoering van </w:t>
      </w:r>
      <w:r w:rsidR="00453105">
        <w:t>de statistische testen</w:t>
      </w:r>
      <w:r w:rsidR="005526C3">
        <w:t xml:space="preserve"> </w:t>
      </w:r>
      <w:r>
        <w:t xml:space="preserve">die benodigd zijn om tot een correct </w:t>
      </w:r>
      <w:r w:rsidR="005526C3">
        <w:t>be</w:t>
      </w:r>
      <w:r>
        <w:t>antwoord</w:t>
      </w:r>
      <w:r w:rsidR="005526C3">
        <w:t>ing van</w:t>
      </w:r>
      <w:r>
        <w:t xml:space="preserve"> de hypotheses te komen, is het van belang om een helder beeld te hebben geschetst van bepaalde begrippen die in dit onderzoek gebruikt worden.</w:t>
      </w:r>
      <w:r w:rsidR="0017089D">
        <w:t xml:space="preserve"> Het gaat in dezen om zaken die</w:t>
      </w:r>
      <w:r w:rsidR="00453105">
        <w:t xml:space="preserve"> in de introductie</w:t>
      </w:r>
      <w:r w:rsidR="0017089D">
        <w:t xml:space="preserve"> nog niet (uitgebreid genoeg) aan de orde zijn gekomen.</w:t>
      </w:r>
      <w:r w:rsidR="00CB7884">
        <w:rPr>
          <w:b/>
        </w:rPr>
        <w:br/>
        <w:t xml:space="preserve"> </w:t>
      </w:r>
      <w:r w:rsidR="00CB7884">
        <w:rPr>
          <w:b/>
        </w:rPr>
        <w:tab/>
      </w:r>
      <w:r w:rsidR="00252991">
        <w:t xml:space="preserve">Een vakbond is een vereniging van werknemers die zich hard maakt </w:t>
      </w:r>
      <w:r w:rsidR="005B4545">
        <w:t>voor de belangen van werknemers</w:t>
      </w:r>
      <w:sdt>
        <w:sdtPr>
          <w:id w:val="1322162614"/>
          <w:citation/>
        </w:sdtPr>
        <w:sdtEndPr/>
        <w:sdtContent>
          <w:r w:rsidR="005B4545">
            <w:fldChar w:fldCharType="begin"/>
          </w:r>
          <w:r w:rsidR="005B4545">
            <w:instrText xml:space="preserve"> CITATION Van14 \l 1043 </w:instrText>
          </w:r>
          <w:r w:rsidR="005B4545">
            <w:fldChar w:fldCharType="separate"/>
          </w:r>
          <w:r w:rsidR="00D56303">
            <w:rPr>
              <w:noProof/>
            </w:rPr>
            <w:t xml:space="preserve"> (Van Dale, 2014)</w:t>
          </w:r>
          <w:r w:rsidR="005B4545">
            <w:fldChar w:fldCharType="end"/>
          </w:r>
        </w:sdtContent>
      </w:sdt>
      <w:r w:rsidR="005B4545">
        <w:t xml:space="preserve">. </w:t>
      </w:r>
      <w:r w:rsidR="00857E9E">
        <w:t xml:space="preserve">Deze vakbonden zijn over het algemeen aangesloten bij vakcentrales: de overkoepelende organisaties van vakbonden. In Nederland zijn er </w:t>
      </w:r>
      <w:r w:rsidR="006A1C6C">
        <w:t xml:space="preserve">momenteel </w:t>
      </w:r>
      <w:r w:rsidR="00857E9E">
        <w:t>drie grote vakcentrales</w:t>
      </w:r>
      <w:r w:rsidR="005B4545">
        <w:t>:</w:t>
      </w:r>
      <w:r w:rsidR="00857E9E">
        <w:t xml:space="preserve"> de Federale Nederlandse Vakbeweging (FNV), het Christelijk Nationaal Vakverbond (CNV) en de Vakcentrale voo</w:t>
      </w:r>
      <w:r w:rsidR="00232DFF">
        <w:t>r Professionals (VCP).</w:t>
      </w:r>
      <w:r w:rsidR="00857E9E">
        <w:t xml:space="preserve"> </w:t>
      </w:r>
      <w:r w:rsidR="00226871">
        <w:t>De eerste vakbonden die zo halverwege de 19</w:t>
      </w:r>
      <w:r w:rsidR="00226871" w:rsidRPr="00226871">
        <w:rPr>
          <w:vertAlign w:val="superscript"/>
        </w:rPr>
        <w:t>e</w:t>
      </w:r>
      <w:r w:rsidR="00226871">
        <w:t xml:space="preserve"> eeuw in Nederland werden opgericht, hadden voornamelijk als doel de slechte werk- en leefomstandigheden ten tijde van de industriële revolutie te verbeteren. </w:t>
      </w:r>
      <w:r w:rsidR="000157A4">
        <w:t>Dit primaire doel lijkt volgens velen te zijn bereikt</w:t>
      </w:r>
      <w:r w:rsidR="00232DFF">
        <w:rPr>
          <w:noProof/>
        </w:rPr>
        <w:t xml:space="preserve"> </w:t>
      </w:r>
      <w:r w:rsidR="0065447B">
        <w:t xml:space="preserve">, waardoor het </w:t>
      </w:r>
      <w:r w:rsidR="00A129F5">
        <w:t xml:space="preserve">zichzelf </w:t>
      </w:r>
      <w:r w:rsidR="0065447B">
        <w:t xml:space="preserve">anno 2015 een andere rol </w:t>
      </w:r>
      <w:r w:rsidR="000703CF">
        <w:t>zou moeten aanmeten</w:t>
      </w:r>
      <w:r w:rsidR="00232DFF">
        <w:t xml:space="preserve"> </w:t>
      </w:r>
      <w:r w:rsidR="00725670">
        <w:rPr>
          <w:noProof/>
        </w:rPr>
        <w:t>(de Beer, 2012; Lommen, 2014)</w:t>
      </w:r>
      <w:r w:rsidR="000703CF">
        <w:t>.</w:t>
      </w:r>
      <w:r w:rsidR="00FB384D" w:rsidRPr="00FB384D">
        <w:t xml:space="preserve"> </w:t>
      </w:r>
      <w:r w:rsidR="00FB384D">
        <w:t xml:space="preserve">De met afstand grootste </w:t>
      </w:r>
      <w:r w:rsidR="005B4545">
        <w:t xml:space="preserve">Nederlandse vakcentrale </w:t>
      </w:r>
      <w:r w:rsidR="00FB384D">
        <w:t>met</w:t>
      </w:r>
      <w:r w:rsidR="005B4545">
        <w:t xml:space="preserve"> een kleine 1,2 miljoen leden,</w:t>
      </w:r>
      <w:r w:rsidR="005B4545" w:rsidRPr="005B4545">
        <w:t xml:space="preserve"> </w:t>
      </w:r>
      <w:r w:rsidR="005B4545">
        <w:t xml:space="preserve">is de FNV. </w:t>
      </w:r>
      <w:r w:rsidR="003365F6">
        <w:t>De</w:t>
      </w:r>
      <w:r w:rsidR="00393242">
        <w:t xml:space="preserve"> FNV stelt zich met de volgende zaken bezig te houden</w:t>
      </w:r>
      <w:r w:rsidR="00FB384D">
        <w:t xml:space="preserve">: het </w:t>
      </w:r>
      <w:r w:rsidR="00FB384D">
        <w:lastRenderedPageBreak/>
        <w:t>onderhandelen met de overheid en werkgevers(organisaties), het afsluiten van cao’s, het campagne voeren op belangrijke thema’s en het geven van gastlessen</w:t>
      </w:r>
      <w:sdt>
        <w:sdtPr>
          <w:id w:val="551892703"/>
          <w:citation/>
        </w:sdtPr>
        <w:sdtEndPr/>
        <w:sdtContent>
          <w:r w:rsidR="00FB384D">
            <w:fldChar w:fldCharType="begin"/>
          </w:r>
          <w:r w:rsidR="00696A2A">
            <w:instrText xml:space="preserve">CITATION FNV15 \l 1043 </w:instrText>
          </w:r>
          <w:r w:rsidR="00FB384D">
            <w:fldChar w:fldCharType="separate"/>
          </w:r>
          <w:r w:rsidR="00D56303">
            <w:rPr>
              <w:noProof/>
            </w:rPr>
            <w:t xml:space="preserve"> (FNV, 2015)</w:t>
          </w:r>
          <w:r w:rsidR="00FB384D">
            <w:fldChar w:fldCharType="end"/>
          </w:r>
        </w:sdtContent>
      </w:sdt>
      <w:r w:rsidR="00FB384D">
        <w:t>.</w:t>
      </w:r>
    </w:p>
    <w:p w:rsidR="003713B8" w:rsidRDefault="00FB384D" w:rsidP="002B6FE4">
      <w:pPr>
        <w:spacing w:line="360" w:lineRule="auto"/>
      </w:pPr>
      <w:r>
        <w:t xml:space="preserve">Nederland </w:t>
      </w:r>
      <w:r w:rsidR="00BE12A7">
        <w:t xml:space="preserve">kent </w:t>
      </w:r>
      <w:r>
        <w:t>reeds een rijke historie als het gaat om het ‘onderhandelen’. Kort na het einde van de Tweede Wereldoorlog is namelijk de Stichting van de Arbeid opgericht, om de wederopbouw van Nederland te bevorderen.  Binnen dit orgaan wordt overlegd en samengewerkt tussen de werkgevers</w:t>
      </w:r>
      <w:r w:rsidR="001666D5">
        <w:t xml:space="preserve">verenigingen (die de werkgevers vertegenwoordigen) enerzijds en de vakbonden (die de werknemers vertegenwoordigen) anderzijds. </w:t>
      </w:r>
      <w:r w:rsidR="00EF2B7F">
        <w:t xml:space="preserve"> Toen </w:t>
      </w:r>
      <w:r w:rsidR="000D6147">
        <w:t>in de</w:t>
      </w:r>
      <w:r w:rsidR="00EF2B7F">
        <w:t xml:space="preserve"> jaren ’60 bleek dat de </w:t>
      </w:r>
      <w:r w:rsidR="00AF5833">
        <w:t xml:space="preserve">centraal </w:t>
      </w:r>
      <w:r w:rsidR="00EF2B7F">
        <w:t>geleide</w:t>
      </w:r>
      <w:r w:rsidR="00CA7051">
        <w:t xml:space="preserve"> loonpolitiek - </w:t>
      </w:r>
      <w:r w:rsidR="000D6147">
        <w:t xml:space="preserve">die hand in hand ging met de wederopbouw van Nederland </w:t>
      </w:r>
      <w:r w:rsidR="00CA7051">
        <w:t>-</w:t>
      </w:r>
      <w:r w:rsidR="000D6147">
        <w:t xml:space="preserve"> niet meer werkte, verschoof de verantwoor</w:t>
      </w:r>
      <w:r w:rsidR="00AF5833">
        <w:t xml:space="preserve">delijkheid </w:t>
      </w:r>
      <w:r w:rsidR="00D702B2">
        <w:t>van</w:t>
      </w:r>
      <w:r w:rsidR="00BE12A7">
        <w:t>af</w:t>
      </w:r>
      <w:r w:rsidR="00D702B2">
        <w:t xml:space="preserve"> de overheid </w:t>
      </w:r>
      <w:r w:rsidR="00AF5833">
        <w:t>geleidelijk n</w:t>
      </w:r>
      <w:r w:rsidR="000D6147">
        <w:t xml:space="preserve">aar de </w:t>
      </w:r>
      <w:r w:rsidR="00AF5833">
        <w:t>vakbonden en werkgeversverenigingen</w:t>
      </w:r>
      <w:r w:rsidR="00725670">
        <w:rPr>
          <w:noProof/>
        </w:rPr>
        <w:t xml:space="preserve"> (</w:t>
      </w:r>
      <w:r w:rsidR="00332FC7">
        <w:rPr>
          <w:noProof/>
        </w:rPr>
        <w:t>Parlement &amp; Politiek, 2015</w:t>
      </w:r>
      <w:r w:rsidR="004B1334">
        <w:rPr>
          <w:noProof/>
        </w:rPr>
        <w:t>b</w:t>
      </w:r>
      <w:r w:rsidR="00332FC7">
        <w:rPr>
          <w:noProof/>
        </w:rPr>
        <w:t>; Stichting van de Arbeid, z.d.</w:t>
      </w:r>
      <w:r w:rsidR="00725670">
        <w:rPr>
          <w:noProof/>
        </w:rPr>
        <w:t>)</w:t>
      </w:r>
      <w:r w:rsidR="00AF5833">
        <w:t xml:space="preserve">. De centraal </w:t>
      </w:r>
      <w:r w:rsidR="00BA1DD4">
        <w:t xml:space="preserve">geleide loonpolitiek </w:t>
      </w:r>
      <w:r w:rsidR="00EB7B0F">
        <w:t>hield in feite</w:t>
      </w:r>
      <w:r w:rsidR="00BA1DD4">
        <w:t xml:space="preserve"> in</w:t>
      </w:r>
      <w:r w:rsidR="00EB7B0F">
        <w:t>,</w:t>
      </w:r>
      <w:r w:rsidR="00BA1DD4">
        <w:t xml:space="preserve"> dat de loonvorming in Nederland in grote mate werd gestuurd en beïnvloed door de overheid. Om de economie na de Tweede Wereldoorlog te laten herstellen, zag de overheid zich genoodzaakt om de lonen kunstmatig laag te houden. Door het centraal </w:t>
      </w:r>
      <w:r w:rsidR="00BD3878">
        <w:t>aan banden leggen van de omhoogschietende lonen</w:t>
      </w:r>
      <w:r w:rsidR="00BA1DD4">
        <w:t xml:space="preserve">, </w:t>
      </w:r>
      <w:r w:rsidR="00EB7B0F">
        <w:t>ontstond de situatie waarin</w:t>
      </w:r>
      <w:r w:rsidR="00BA1DD4">
        <w:t xml:space="preserve"> de lonen sterk achterbleven </w:t>
      </w:r>
      <w:r w:rsidR="00232DFF">
        <w:t>ten opzichte van</w:t>
      </w:r>
      <w:r w:rsidR="00BA1DD4">
        <w:t xml:space="preserve"> de arbeidsproductiviteit, waardoor de Nederlandse economie een flinke ‘boost’ kreeg</w:t>
      </w:r>
      <w:sdt>
        <w:sdtPr>
          <w:id w:val="2132824084"/>
          <w:citation/>
        </w:sdtPr>
        <w:sdtEndPr/>
        <w:sdtContent>
          <w:r w:rsidR="00BA1DD4">
            <w:fldChar w:fldCharType="begin"/>
          </w:r>
          <w:r w:rsidR="00696A2A">
            <w:instrText xml:space="preserve">CITATION Pet08 \l 1043 </w:instrText>
          </w:r>
          <w:r w:rsidR="00BA1DD4">
            <w:fldChar w:fldCharType="separate"/>
          </w:r>
          <w:r w:rsidR="00D56303">
            <w:rPr>
              <w:noProof/>
            </w:rPr>
            <w:t xml:space="preserve"> (van der Heiden, 2008)</w:t>
          </w:r>
          <w:r w:rsidR="00BA1DD4">
            <w:fldChar w:fldCharType="end"/>
          </w:r>
        </w:sdtContent>
      </w:sdt>
      <w:r w:rsidR="00BA1DD4">
        <w:t>.</w:t>
      </w:r>
      <w:r w:rsidR="00CB7884">
        <w:br/>
        <w:t xml:space="preserve"> </w:t>
      </w:r>
      <w:r w:rsidR="00CB7884">
        <w:tab/>
      </w:r>
      <w:r w:rsidR="00BD3878">
        <w:t>De buiten proporties staande groei van de Nederlandse economie hield aan tot 1973, het jaar waarin de eerste oliecrisis uitbrak</w:t>
      </w:r>
      <w:sdt>
        <w:sdtPr>
          <w:id w:val="-1657299842"/>
          <w:citation/>
        </w:sdtPr>
        <w:sdtEndPr/>
        <w:sdtContent>
          <w:r w:rsidR="0093411A">
            <w:fldChar w:fldCharType="begin"/>
          </w:r>
          <w:r w:rsidR="0093411A">
            <w:instrText xml:space="preserve">CITATION Jan00 \l 1043 </w:instrText>
          </w:r>
          <w:r w:rsidR="0093411A">
            <w:fldChar w:fldCharType="separate"/>
          </w:r>
          <w:r w:rsidR="00D56303">
            <w:rPr>
              <w:noProof/>
            </w:rPr>
            <w:t xml:space="preserve"> (Luiten van Zanden, 2000)</w:t>
          </w:r>
          <w:r w:rsidR="0093411A">
            <w:fldChar w:fldCharType="end"/>
          </w:r>
        </w:sdtContent>
      </w:sdt>
      <w:r w:rsidR="00BD3878">
        <w:t xml:space="preserve">. </w:t>
      </w:r>
      <w:r w:rsidR="005F6ED1">
        <w:t>Dit luidde een periode van economische neergang in, waarbij er sprake was van een almaar toenemende w</w:t>
      </w:r>
      <w:r w:rsidR="009F75EE">
        <w:t>erkloosheid, hoge inflatie en een stagnerende groei</w:t>
      </w:r>
      <w:sdt>
        <w:sdtPr>
          <w:id w:val="1571222658"/>
          <w:citation/>
        </w:sdtPr>
        <w:sdtEndPr/>
        <w:sdtContent>
          <w:r w:rsidR="009F75EE">
            <w:fldChar w:fldCharType="begin"/>
          </w:r>
          <w:r w:rsidR="006A1FE0">
            <w:instrText xml:space="preserve">CITATION The15 \l 1043 </w:instrText>
          </w:r>
          <w:r w:rsidR="009F75EE">
            <w:fldChar w:fldCharType="separate"/>
          </w:r>
          <w:r w:rsidR="00D56303">
            <w:rPr>
              <w:noProof/>
            </w:rPr>
            <w:t xml:space="preserve"> (The World Bank, 2015)</w:t>
          </w:r>
          <w:r w:rsidR="009F75EE">
            <w:fldChar w:fldCharType="end"/>
          </w:r>
        </w:sdtContent>
      </w:sdt>
      <w:r w:rsidR="009F75EE">
        <w:t>.</w:t>
      </w:r>
      <w:r w:rsidR="005F6ED1">
        <w:t xml:space="preserve"> </w:t>
      </w:r>
      <w:r w:rsidR="00D45FFD">
        <w:t xml:space="preserve">Deze negatieve economische omstandigheden creëerden bij uitstek de ideale gelegenheid voor de </w:t>
      </w:r>
      <w:r w:rsidR="00296DC5">
        <w:t xml:space="preserve">Nederlandse </w:t>
      </w:r>
      <w:r w:rsidR="00D45FFD">
        <w:t>vakbonden</w:t>
      </w:r>
      <w:sdt>
        <w:sdtPr>
          <w:id w:val="-1067798155"/>
          <w:citation/>
        </w:sdtPr>
        <w:sdtEndPr/>
        <w:sdtContent>
          <w:r w:rsidR="00D45FFD">
            <w:fldChar w:fldCharType="begin"/>
          </w:r>
          <w:r w:rsidR="00696A2A">
            <w:instrText xml:space="preserve">CITATION Cla02 \l 1043 </w:instrText>
          </w:r>
          <w:r w:rsidR="00D45FFD">
            <w:fldChar w:fldCharType="separate"/>
          </w:r>
          <w:r w:rsidR="00D56303">
            <w:rPr>
              <w:noProof/>
            </w:rPr>
            <w:t xml:space="preserve"> (Schnabel, 2002)</w:t>
          </w:r>
          <w:r w:rsidR="00D45FFD">
            <w:fldChar w:fldCharType="end"/>
          </w:r>
        </w:sdtContent>
      </w:sdt>
      <w:r w:rsidR="00415CF0">
        <w:t>.</w:t>
      </w:r>
      <w:r w:rsidR="00210555">
        <w:t xml:space="preserve"> Vanaf 1960 was er reeds een trend zichtbaar geworden die een langzame daling van de Nederlandse organisatiegraad </w:t>
      </w:r>
      <w:r w:rsidR="00D25A13">
        <w:t>toonde</w:t>
      </w:r>
      <w:r w:rsidR="00210555">
        <w:t xml:space="preserve">. Begin jaren ’70 - rond de eerste oliecrisis - begon de sterke economische groei af te nemen, wat direct terug te zien is in de ontwikkeling van de organisatiegraad. Het aantal vakbondsleden nam weer </w:t>
      </w:r>
      <w:r w:rsidR="00A75AE9">
        <w:t>-</w:t>
      </w:r>
      <w:r w:rsidR="00210555">
        <w:t xml:space="preserve"> relatief gezien </w:t>
      </w:r>
      <w:r w:rsidR="00A75AE9">
        <w:t>-</w:t>
      </w:r>
      <w:r w:rsidR="00210555">
        <w:t xml:space="preserve"> sterk toe, </w:t>
      </w:r>
      <w:r w:rsidR="00A75AE9">
        <w:t>waarnaast</w:t>
      </w:r>
      <w:r w:rsidR="00210555">
        <w:t xml:space="preserve"> er vaker op de barricaden werd gestaan</w:t>
      </w:r>
      <w:sdt>
        <w:sdtPr>
          <w:id w:val="1285927952"/>
          <w:citation/>
        </w:sdtPr>
        <w:sdtEndPr/>
        <w:sdtContent>
          <w:r w:rsidR="00665BDE">
            <w:fldChar w:fldCharType="begin"/>
          </w:r>
          <w:r w:rsidR="00696A2A">
            <w:instrText xml:space="preserve">CITATION Reb14 \l 1043 </w:instrText>
          </w:r>
          <w:r w:rsidR="00665BDE">
            <w:fldChar w:fldCharType="separate"/>
          </w:r>
          <w:r w:rsidR="00D56303">
            <w:rPr>
              <w:noProof/>
            </w:rPr>
            <w:t xml:space="preserve"> (Audier, 2014)</w:t>
          </w:r>
          <w:r w:rsidR="00665BDE">
            <w:fldChar w:fldCharType="end"/>
          </w:r>
        </w:sdtContent>
      </w:sdt>
      <w:r w:rsidR="00210555">
        <w:t>. In he</w:t>
      </w:r>
      <w:r w:rsidR="000E37B7">
        <w:t xml:space="preserve">t jaar </w:t>
      </w:r>
      <w:r w:rsidR="00A75AE9">
        <w:t>van de oliecrisis</w:t>
      </w:r>
      <w:r w:rsidR="000E37B7">
        <w:t xml:space="preserve"> </w:t>
      </w:r>
      <w:r w:rsidR="006A1FE0">
        <w:t>vond er een</w:t>
      </w:r>
      <w:r w:rsidR="000E37B7">
        <w:t xml:space="preserve"> historische </w:t>
      </w:r>
      <w:r w:rsidR="006A1FE0">
        <w:t>aantal van 27 werkstakingen plaats</w:t>
      </w:r>
      <w:r w:rsidR="000E37B7">
        <w:t>, waarbij bijna zeshonderdduizend arbeidsuren verloren zijn gegaan</w:t>
      </w:r>
      <w:r w:rsidR="00332FC7">
        <w:rPr>
          <w:noProof/>
        </w:rPr>
        <w:t xml:space="preserve"> (CBS, 2015b)</w:t>
      </w:r>
      <w:r w:rsidR="000E37B7">
        <w:t>.</w:t>
      </w:r>
      <w:r w:rsidR="00476C4A">
        <w:t xml:space="preserve"> </w:t>
      </w:r>
      <w:r w:rsidR="00CB7884">
        <w:br/>
        <w:t xml:space="preserve"> </w:t>
      </w:r>
      <w:r w:rsidR="00CB7884">
        <w:tab/>
      </w:r>
      <w:r w:rsidR="00E727F9">
        <w:t>De organisatiegraad is een begrip dat vaak terugkomt in dit onderzoek; het is van belang helder toe te lichten wat dit exact inhoudt. De organisatiegraad is het aantal werknemers aangesloten bij een vakbond</w:t>
      </w:r>
      <w:r w:rsidR="00F63C8C">
        <w:t xml:space="preserve">, gedeeld door de totale beroepsbevolking, uitgedrukt in een percentage. Tot de werknemers worden mensen </w:t>
      </w:r>
      <w:r w:rsidR="00BB6529">
        <w:t>jonger dan 65 jaar gerekend</w:t>
      </w:r>
      <w:r w:rsidR="00F63C8C">
        <w:t>, met betaald werk voor minimaal twaalf uur per week</w:t>
      </w:r>
      <w:r w:rsidR="00332FC7">
        <w:rPr>
          <w:noProof/>
        </w:rPr>
        <w:t xml:space="preserve"> (CBS, 2015c)</w:t>
      </w:r>
      <w:r w:rsidR="00F63C8C">
        <w:t>.</w:t>
      </w:r>
      <w:r w:rsidR="00337CE9">
        <w:t xml:space="preserve"> Er wordt </w:t>
      </w:r>
      <w:r w:rsidR="00DC4642">
        <w:t>in dit onderzoek (naar de maatstaven van Visser)</w:t>
      </w:r>
      <w:r w:rsidR="00337CE9">
        <w:t xml:space="preserve"> </w:t>
      </w:r>
      <w:r w:rsidR="00D25A13">
        <w:t xml:space="preserve">echter </w:t>
      </w:r>
      <w:r w:rsidR="00337CE9">
        <w:t xml:space="preserve">uitgegaan van actieve vakbondsleden in loondienst, waardoor gepensioneerden, </w:t>
      </w:r>
      <w:r w:rsidR="00337CE9">
        <w:lastRenderedPageBreak/>
        <w:t>werklozen, mensen die minder dan twaalf uur per week werken, studenten en zelfstandigen (zzp’ers) niet worden meegenomen in de berekeningen.</w:t>
      </w:r>
      <w:r w:rsidR="00DC4642">
        <w:t xml:space="preserve"> </w:t>
      </w:r>
      <w:r w:rsidR="00E06A06">
        <w:t xml:space="preserve">Doordat </w:t>
      </w:r>
      <w:r w:rsidR="00DC4642">
        <w:t xml:space="preserve">de beroepsbevolking </w:t>
      </w:r>
      <w:r w:rsidR="00491D21">
        <w:t>in dit geval</w:t>
      </w:r>
      <w:r w:rsidR="00DC4642">
        <w:t xml:space="preserve"> eveneens slechts de mensen </w:t>
      </w:r>
      <w:r w:rsidR="00E06A06">
        <w:t>meeneemt</w:t>
      </w:r>
      <w:r w:rsidR="008E15A3">
        <w:t xml:space="preserve">, die </w:t>
      </w:r>
      <w:r w:rsidR="00DC4642">
        <w:t>in loondienst meer</w:t>
      </w:r>
      <w:r w:rsidR="008607D8">
        <w:t xml:space="preserve"> dan twaalf uur per week werken</w:t>
      </w:r>
      <w:r w:rsidR="008E15A3">
        <w:t>,</w:t>
      </w:r>
      <w:r w:rsidR="008607D8">
        <w:t xml:space="preserve"> </w:t>
      </w:r>
      <w:r w:rsidR="00BB6529">
        <w:t>worden</w:t>
      </w:r>
      <w:r w:rsidR="008607D8">
        <w:t xml:space="preserve"> de juiste grootheden met elkaar in verhouding gebracht</w:t>
      </w:r>
      <w:r w:rsidR="00696A2A">
        <w:rPr>
          <w:noProof/>
        </w:rPr>
        <w:t xml:space="preserve"> </w:t>
      </w:r>
      <w:r w:rsidR="00725670">
        <w:rPr>
          <w:noProof/>
        </w:rPr>
        <w:t>(Visser, 2013).</w:t>
      </w:r>
      <w:r w:rsidR="00CB7884">
        <w:br/>
        <w:t xml:space="preserve"> </w:t>
      </w:r>
      <w:r w:rsidR="00CB7884">
        <w:tab/>
      </w:r>
      <w:r w:rsidR="003A6DDA">
        <w:t xml:space="preserve">De weer opkrabbelende organisatiegraad geeft aan dat </w:t>
      </w:r>
      <w:r w:rsidR="003713B8">
        <w:t>het volk weer zijn heil zocht in de vakbonden</w:t>
      </w:r>
      <w:r w:rsidR="003A6DDA">
        <w:t xml:space="preserve">; </w:t>
      </w:r>
      <w:r w:rsidR="003713B8">
        <w:t>zij kregen naarmate de jaren ’70 vorder</w:t>
      </w:r>
      <w:r w:rsidR="00D25A13">
        <w:t>d</w:t>
      </w:r>
      <w:r w:rsidR="003713B8">
        <w:t>en</w:t>
      </w:r>
      <w:r w:rsidR="003C5DD0">
        <w:t>, dan ook s</w:t>
      </w:r>
      <w:r w:rsidR="003713B8">
        <w:t>teeds meer macht. De Wet op d</w:t>
      </w:r>
      <w:r w:rsidR="008B6DEE">
        <w:t xml:space="preserve">e loonvorming in 1970 </w:t>
      </w:r>
      <w:r w:rsidR="00D25A13">
        <w:t xml:space="preserve">speelt hierbij een </w:t>
      </w:r>
      <w:r w:rsidR="00EC4387">
        <w:t>essentiële</w:t>
      </w:r>
      <w:r w:rsidR="00D25A13">
        <w:t xml:space="preserve"> rol</w:t>
      </w:r>
      <w:r w:rsidR="008B6DEE">
        <w:t xml:space="preserve">, </w:t>
      </w:r>
      <w:r w:rsidR="003C5DD0">
        <w:t>aangezien</w:t>
      </w:r>
      <w:r w:rsidR="008B6DEE">
        <w:t xml:space="preserve"> de werknemers- en werkgeversverenigingen</w:t>
      </w:r>
      <w:r w:rsidR="00D25A13">
        <w:t xml:space="preserve"> gezamenlijk</w:t>
      </w:r>
      <w:r w:rsidR="008B6DEE">
        <w:t xml:space="preserve"> de verantwoordelijkheid kregen voor het bepalen van de hoogte van de lonen</w:t>
      </w:r>
      <w:r w:rsidR="00BF3CFE">
        <w:rPr>
          <w:rStyle w:val="FootnoteReference"/>
        </w:rPr>
        <w:footnoteReference w:id="1"/>
      </w:r>
      <w:r w:rsidR="008B6DEE">
        <w:t xml:space="preserve">. De samenwerking tussen de sociale partners </w:t>
      </w:r>
      <w:r w:rsidR="00D25A13">
        <w:t>verliep</w:t>
      </w:r>
      <w:r w:rsidR="008B6DEE">
        <w:t xml:space="preserve"> in de loop van de zeventiger jaren </w:t>
      </w:r>
      <w:r w:rsidR="007E5795">
        <w:t>echter steeds stroever.</w:t>
      </w:r>
      <w:r w:rsidR="008B6DEE">
        <w:t xml:space="preserve"> </w:t>
      </w:r>
      <w:r w:rsidR="00774478">
        <w:t xml:space="preserve">Daarbovenop kwam nog eens de tweede oliecrisis in 1979, waarmee de Nederlandse economie opnieuw een harde klap kreeg te verduren. </w:t>
      </w:r>
      <w:r w:rsidR="007E5795">
        <w:t>Het besef ontstond dat het zo niet langer door kon gaan</w:t>
      </w:r>
      <w:sdt>
        <w:sdtPr>
          <w:id w:val="1153562766"/>
          <w:citation/>
        </w:sdtPr>
        <w:sdtEndPr/>
        <w:sdtContent>
          <w:r w:rsidR="007E5795">
            <w:fldChar w:fldCharType="begin"/>
          </w:r>
          <w:r w:rsidR="00696A2A">
            <w:instrText xml:space="preserve">CITATION Bli03 \l 1043 </w:instrText>
          </w:r>
          <w:r w:rsidR="007E5795">
            <w:fldChar w:fldCharType="separate"/>
          </w:r>
          <w:r w:rsidR="00D56303">
            <w:rPr>
              <w:noProof/>
            </w:rPr>
            <w:t xml:space="preserve"> (Blik op de Wereld, 2003)</w:t>
          </w:r>
          <w:r w:rsidR="007E5795">
            <w:fldChar w:fldCharType="end"/>
          </w:r>
        </w:sdtContent>
      </w:sdt>
      <w:r w:rsidR="00D25A13">
        <w:t>;</w:t>
      </w:r>
      <w:r w:rsidR="007E5795">
        <w:t xml:space="preserve"> hiermee </w:t>
      </w:r>
      <w:r w:rsidR="00AA5718">
        <w:t>was de brug geslagen naar een keerpunt aan het begin van de jaren ’</w:t>
      </w:r>
      <w:r w:rsidR="007E5795">
        <w:t>80</w:t>
      </w:r>
      <w:r w:rsidR="003C5DD0">
        <w:t>.</w:t>
      </w:r>
    </w:p>
    <w:p w:rsidR="003749F4" w:rsidRDefault="005E1338" w:rsidP="002B6FE4">
      <w:pPr>
        <w:spacing w:line="360" w:lineRule="auto"/>
      </w:pPr>
      <w:r>
        <w:rPr>
          <w:b/>
        </w:rPr>
        <w:t>Het Akkoord van Wassenaar</w:t>
      </w:r>
      <w:r>
        <w:br/>
      </w:r>
      <w:r w:rsidR="007D0560">
        <w:t xml:space="preserve">In september 1982 werden de Tweede Kamerverkiezingen gewonnen door de PvdA, dat ondanks het feit dat het de grootste partij was, in de oppositie </w:t>
      </w:r>
      <w:r w:rsidR="003C5DD0">
        <w:t xml:space="preserve">plaats </w:t>
      </w:r>
      <w:r w:rsidR="007D0560">
        <w:t xml:space="preserve">mocht nemen. De regering werd gevormd door een combinatie van het CDA en de VVD, waarmee een centrumrechts kabinet tot stond kwam. </w:t>
      </w:r>
      <w:r w:rsidR="00447E17">
        <w:t xml:space="preserve">De premier werd geleverd door het CDA, wat resulteerde in het eerste kabinet-Lubbers. Dit kabinet had de taak op zich genomen om </w:t>
      </w:r>
      <w:r w:rsidR="00AE0FE7">
        <w:t xml:space="preserve">de </w:t>
      </w:r>
      <w:r w:rsidR="00447E17">
        <w:t xml:space="preserve">Nederlandse economie weer </w:t>
      </w:r>
      <w:r w:rsidR="00DF37B3">
        <w:t>uit het slop</w:t>
      </w:r>
      <w:r w:rsidR="00447E17">
        <w:t xml:space="preserve"> te trekken, </w:t>
      </w:r>
      <w:r w:rsidR="00AE0FE7">
        <w:t>waarbij de</w:t>
      </w:r>
      <w:r w:rsidR="00447E17">
        <w:t xml:space="preserve"> nadruk </w:t>
      </w:r>
      <w:r w:rsidR="00DF37B3">
        <w:t xml:space="preserve">van het beleid </w:t>
      </w:r>
      <w:r w:rsidR="00447E17">
        <w:t>op de werkgelegenheid</w:t>
      </w:r>
      <w:r w:rsidR="00AE0FE7">
        <w:t xml:space="preserve"> kwam te liggen</w:t>
      </w:r>
      <w:r w:rsidR="004B1334">
        <w:rPr>
          <w:noProof/>
        </w:rPr>
        <w:t xml:space="preserve"> (Parlement &amp; Politiek, 2015c)</w:t>
      </w:r>
      <w:r w:rsidR="00447E17">
        <w:t>.</w:t>
      </w:r>
      <w:r w:rsidR="003D05F0">
        <w:t xml:space="preserve"> De stijgende we</w:t>
      </w:r>
      <w:r w:rsidR="001F09DD">
        <w:t>rkloosheid zorgde ook bij</w:t>
      </w:r>
      <w:r w:rsidR="003D05F0">
        <w:t xml:space="preserve"> de sociale partners </w:t>
      </w:r>
      <w:r w:rsidR="001F09DD">
        <w:t>voor kopzorgen; op de 24</w:t>
      </w:r>
      <w:r w:rsidR="001F09DD" w:rsidRPr="001F09DD">
        <w:rPr>
          <w:vertAlign w:val="superscript"/>
        </w:rPr>
        <w:t>e</w:t>
      </w:r>
      <w:r w:rsidR="001F09DD">
        <w:t xml:space="preserve"> november van 1982 werd </w:t>
      </w:r>
      <w:r w:rsidR="00112A3E">
        <w:t xml:space="preserve">in de Stichting van de Arbeid </w:t>
      </w:r>
      <w:r w:rsidR="003B0464">
        <w:t>dan ook een</w:t>
      </w:r>
      <w:r w:rsidR="001F09DD">
        <w:t xml:space="preserve"> </w:t>
      </w:r>
      <w:r w:rsidR="001F09DD">
        <w:rPr>
          <w:i/>
        </w:rPr>
        <w:t>revolutionair</w:t>
      </w:r>
      <w:r w:rsidR="00112A3E">
        <w:rPr>
          <w:i/>
        </w:rPr>
        <w:t>e</w:t>
      </w:r>
      <w:r w:rsidR="001F09DD">
        <w:rPr>
          <w:i/>
        </w:rPr>
        <w:t xml:space="preserve"> </w:t>
      </w:r>
      <w:r w:rsidR="00112A3E">
        <w:t>overeenkomst</w:t>
      </w:r>
      <w:r w:rsidR="001F09DD">
        <w:t xml:space="preserve"> bereikt</w:t>
      </w:r>
      <w:r w:rsidR="00105B37">
        <w:t xml:space="preserve"> </w:t>
      </w:r>
      <w:r w:rsidR="001F09DD">
        <w:t>tussen de werkgeversverenigingen en de vakcen</w:t>
      </w:r>
      <w:r w:rsidR="00112A3E">
        <w:t>trales. Dit alles gebeurde onder een zekere drang van het kabinet, dat bij het uitblijven van een constructief akkoord zelf zou ingrijpen</w:t>
      </w:r>
      <w:r w:rsidR="00D56303">
        <w:rPr>
          <w:noProof/>
        </w:rPr>
        <w:t xml:space="preserve"> </w:t>
      </w:r>
      <w:r w:rsidR="00725670">
        <w:rPr>
          <w:noProof/>
        </w:rPr>
        <w:t>(de Beer, 2013)</w:t>
      </w:r>
      <w:r w:rsidR="00112A3E">
        <w:t>.</w:t>
      </w:r>
      <w:r w:rsidR="00CB7884">
        <w:br/>
        <w:t xml:space="preserve"> </w:t>
      </w:r>
      <w:r w:rsidR="00CB7884">
        <w:tab/>
      </w:r>
      <w:r w:rsidR="004F635C">
        <w:t xml:space="preserve">Het Akkoord van Wassenaar, zoals de overeenkomst bekend staat, </w:t>
      </w:r>
      <w:r w:rsidR="00C441C3">
        <w:t>beslaat slechts anderhalf A4’tje. Hierop wordt in feite gesteld dat de werknemersorganisaties een beleid van loonmatiging zouden accepteren, in r</w:t>
      </w:r>
      <w:r w:rsidR="00B10AFE">
        <w:t xml:space="preserve">uil voor arbeidstijdverkorting. </w:t>
      </w:r>
      <w:r w:rsidR="001F166A">
        <w:t>De cao-lonen stegen voor 1982 al geruim een decennium met gemiddeld 8% per jaar, waardoor de concurrentiepositie van Nederland als exportland in het geding kwam</w:t>
      </w:r>
      <w:sdt>
        <w:sdtPr>
          <w:id w:val="2087338400"/>
          <w:citation/>
        </w:sdtPr>
        <w:sdtEndPr/>
        <w:sdtContent>
          <w:r w:rsidR="00AD0A67">
            <w:fldChar w:fldCharType="begin"/>
          </w:r>
          <w:r w:rsidR="005E2D82">
            <w:instrText xml:space="preserve">CITATION Han07 \l 1043 </w:instrText>
          </w:r>
          <w:r w:rsidR="00AD0A67">
            <w:fldChar w:fldCharType="separate"/>
          </w:r>
          <w:r w:rsidR="00D56303">
            <w:rPr>
              <w:noProof/>
            </w:rPr>
            <w:t xml:space="preserve"> (Bhageloe-Datadin, 2007)</w:t>
          </w:r>
          <w:r w:rsidR="00AD0A67">
            <w:fldChar w:fldCharType="end"/>
          </w:r>
        </w:sdtContent>
      </w:sdt>
      <w:r w:rsidR="001F166A">
        <w:t xml:space="preserve">. </w:t>
      </w:r>
      <w:r w:rsidR="00B10AFE">
        <w:t>Een beleid van loonmatiging beteken</w:t>
      </w:r>
      <w:r w:rsidR="001F166A">
        <w:t>de</w:t>
      </w:r>
      <w:r w:rsidR="00B10AFE">
        <w:t xml:space="preserve"> dat de stijging van het loon w</w:t>
      </w:r>
      <w:r w:rsidR="001F166A">
        <w:t>erd</w:t>
      </w:r>
      <w:r w:rsidR="00B10AFE">
        <w:t xml:space="preserve"> beperkt </w:t>
      </w:r>
      <w:r w:rsidR="00B614AE">
        <w:t>door er afspraken over te maken:</w:t>
      </w:r>
      <w:r w:rsidR="00B10AFE">
        <w:t xml:space="preserve"> het loon z</w:t>
      </w:r>
      <w:r w:rsidR="001F166A">
        <w:t>ou</w:t>
      </w:r>
      <w:r w:rsidR="00B10AFE">
        <w:t xml:space="preserve"> hierdoor minder hard stijgen dan wanneer er g</w:t>
      </w:r>
      <w:r w:rsidR="001F166A">
        <w:t>ee</w:t>
      </w:r>
      <w:r w:rsidR="00B10AFE">
        <w:t xml:space="preserve">n afspraken over zouden worden gemaakt. Dit </w:t>
      </w:r>
      <w:r w:rsidR="00B614AE">
        <w:t>betekende</w:t>
      </w:r>
      <w:r w:rsidR="00B10AFE">
        <w:t xml:space="preserve"> dat de koopkracht van de werknemers </w:t>
      </w:r>
      <w:r w:rsidR="001F166A">
        <w:t xml:space="preserve">relatief gezien </w:t>
      </w:r>
      <w:r w:rsidR="00B10AFE">
        <w:t xml:space="preserve">negatief </w:t>
      </w:r>
      <w:r w:rsidR="00B614AE">
        <w:t>werd</w:t>
      </w:r>
      <w:r w:rsidR="00AD253F">
        <w:t xml:space="preserve"> </w:t>
      </w:r>
      <w:r w:rsidR="00B10AFE">
        <w:t xml:space="preserve">beïnvloed. Om </w:t>
      </w:r>
      <w:r w:rsidR="003B0464">
        <w:t>deze achteruitgang</w:t>
      </w:r>
      <w:r w:rsidR="00B10AFE">
        <w:t xml:space="preserve"> te compenseren </w:t>
      </w:r>
      <w:r w:rsidR="00817B59">
        <w:t xml:space="preserve">werd de arbeidstijdverkorting </w:t>
      </w:r>
      <w:r w:rsidR="00AD253F">
        <w:t>ingevoerd</w:t>
      </w:r>
      <w:r w:rsidR="00817B59">
        <w:t xml:space="preserve">; deze zou de werkweek verkorten, zodat er </w:t>
      </w:r>
      <w:r w:rsidR="00817B59">
        <w:lastRenderedPageBreak/>
        <w:t xml:space="preserve">netto meer werkgelegenheid gecreëerd kan worden. </w:t>
      </w:r>
      <w:r w:rsidR="00B10AFE">
        <w:t xml:space="preserve">Dit zou een bijdrage moeten leveren aan de terugloop van de hoge werkloosheid, terwijl de winstgevendheid van de bedrijven via een dalende arbeidsinkomensquote </w:t>
      </w:r>
      <w:r w:rsidR="007244DE">
        <w:t>eveneens positief zou worden beïnvloed</w:t>
      </w:r>
      <w:r w:rsidR="004B1334">
        <w:rPr>
          <w:noProof/>
        </w:rPr>
        <w:t xml:space="preserve"> (Parlement &amp; Politiek, 2015a)</w:t>
      </w:r>
      <w:r w:rsidR="00B10AFE">
        <w:t xml:space="preserve">. </w:t>
      </w:r>
      <w:r w:rsidR="00817B59">
        <w:t>De arbeidsinkomensquote (aiq) is het totale inkomen uit arbeid, gedeeld door de netto toegevoegde waarde. Anders verwoord is de aiq het gedeelte van het nationaal inkomen dat naar de productiefactor arbeid gaat (het overige gedeelte gaat naar de productiefactoren kapitaal, natuur en ondernemerschap)</w:t>
      </w:r>
      <w:sdt>
        <w:sdtPr>
          <w:id w:val="-1299384121"/>
          <w:citation/>
        </w:sdtPr>
        <w:sdtEndPr/>
        <w:sdtContent>
          <w:r w:rsidR="00827AD4">
            <w:fldChar w:fldCharType="begin"/>
          </w:r>
          <w:r w:rsidR="00B614AE">
            <w:instrText xml:space="preserve">CITATION Sch14 \l 1043 </w:instrText>
          </w:r>
          <w:r w:rsidR="00827AD4">
            <w:fldChar w:fldCharType="separate"/>
          </w:r>
          <w:r w:rsidR="00D56303">
            <w:rPr>
              <w:noProof/>
            </w:rPr>
            <w:t xml:space="preserve"> (Bos, 2014)</w:t>
          </w:r>
          <w:r w:rsidR="00827AD4">
            <w:fldChar w:fldCharType="end"/>
          </w:r>
        </w:sdtContent>
      </w:sdt>
      <w:r w:rsidR="00817B59">
        <w:t xml:space="preserve">. Ten tijde van het Akkoord van Wassenaar lag de aiq op maar liefst 87%, waardoor het bedrijfsleven </w:t>
      </w:r>
      <w:r w:rsidR="007244DE">
        <w:t xml:space="preserve">nog </w:t>
      </w:r>
      <w:r w:rsidR="00817B59">
        <w:t xml:space="preserve">amper winstgevend was. Aangezien maximaal 13% van het nationaal inkomen naar de overige productiefactoren </w:t>
      </w:r>
      <w:r w:rsidR="00D638F2">
        <w:t>wegvloeide</w:t>
      </w:r>
      <w:r w:rsidR="00817B59">
        <w:t>, was het onaantrekkelijk voor investeerders om kapitaal in het bedrijfsleven te steken.</w:t>
      </w:r>
      <w:r w:rsidR="00CB7884">
        <w:br/>
        <w:t xml:space="preserve"> </w:t>
      </w:r>
      <w:r w:rsidR="00CB7884">
        <w:tab/>
      </w:r>
      <w:r w:rsidR="0055451D">
        <w:t xml:space="preserve">Parallel aan </w:t>
      </w:r>
      <w:r w:rsidR="003749F4">
        <w:t>de maa</w:t>
      </w:r>
      <w:r w:rsidR="0055451D">
        <w:t xml:space="preserve">tregelen uit het akkoord, </w:t>
      </w:r>
      <w:r w:rsidR="004A3E46">
        <w:t>liep</w:t>
      </w:r>
      <w:r w:rsidR="00DC787D">
        <w:t xml:space="preserve"> onder andere</w:t>
      </w:r>
      <w:r w:rsidR="003749F4">
        <w:t xml:space="preserve"> de ontwikkeling van </w:t>
      </w:r>
      <w:r w:rsidR="0055451D">
        <w:t>de grootschalige privatisering die vanaf het begin van de jaren ’80 geleidelijk op gang kwam</w:t>
      </w:r>
      <w:sdt>
        <w:sdtPr>
          <w:id w:val="-877391961"/>
          <w:citation/>
        </w:sdtPr>
        <w:sdtEndPr/>
        <w:sdtContent>
          <w:r w:rsidR="00EA38D8">
            <w:fldChar w:fldCharType="begin"/>
          </w:r>
          <w:r w:rsidR="00671380">
            <w:instrText xml:space="preserve">CITATION Sin00 \l 1043 </w:instrText>
          </w:r>
          <w:r w:rsidR="00EA38D8">
            <w:fldChar w:fldCharType="separate"/>
          </w:r>
          <w:r w:rsidR="00D56303">
            <w:rPr>
              <w:noProof/>
            </w:rPr>
            <w:t xml:space="preserve"> (van Sinderen, 2000)</w:t>
          </w:r>
          <w:r w:rsidR="00EA38D8">
            <w:fldChar w:fldCharType="end"/>
          </w:r>
        </w:sdtContent>
      </w:sdt>
      <w:r w:rsidR="0055451D">
        <w:t xml:space="preserve">. Vanuit het kabinet Lubbers I werd privatisering van staatsbedrijven gezien als een </w:t>
      </w:r>
      <w:r w:rsidR="00EC4387">
        <w:t>relevant</w:t>
      </w:r>
      <w:r w:rsidR="0055451D">
        <w:t xml:space="preserve"> middel om </w:t>
      </w:r>
      <w:r w:rsidR="00DC787D">
        <w:t>de overheidsfinanciën op orde te brengen</w:t>
      </w:r>
      <w:sdt>
        <w:sdtPr>
          <w:id w:val="-164477120"/>
          <w:citation/>
        </w:sdtPr>
        <w:sdtEndPr/>
        <w:sdtContent>
          <w:r w:rsidR="00EA38D8">
            <w:fldChar w:fldCharType="begin"/>
          </w:r>
          <w:r w:rsidR="00B614AE">
            <w:instrText xml:space="preserve">CITATION Bar12 \l 1043 </w:instrText>
          </w:r>
          <w:r w:rsidR="00EA38D8">
            <w:fldChar w:fldCharType="separate"/>
          </w:r>
          <w:r w:rsidR="00D56303">
            <w:rPr>
              <w:noProof/>
            </w:rPr>
            <w:t xml:space="preserve"> (Stellinga, 2012)</w:t>
          </w:r>
          <w:r w:rsidR="00EA38D8">
            <w:fldChar w:fldCharType="end"/>
          </w:r>
        </w:sdtContent>
      </w:sdt>
      <w:r w:rsidR="00DC787D">
        <w:t xml:space="preserve">. </w:t>
      </w:r>
      <w:r w:rsidR="000D6342">
        <w:t>Zeker na het faillissement van scheepsbouwer RSV, dat meer dan twee miljard gulden aan overheidssteun had ontvangen, werd geconcludeerd dat de overheidsbemoeienis vaak te groot was en afgebouwd zou moeten worden</w:t>
      </w:r>
      <w:r w:rsidR="004B1334">
        <w:rPr>
          <w:noProof/>
        </w:rPr>
        <w:t xml:space="preserve"> (Parlement &amp; Politiek, 2015d)</w:t>
      </w:r>
      <w:r w:rsidR="000D6342">
        <w:t>.</w:t>
      </w:r>
    </w:p>
    <w:p w:rsidR="00665BDE" w:rsidRDefault="00A97FAD" w:rsidP="002B6FE4">
      <w:pPr>
        <w:spacing w:line="360" w:lineRule="auto"/>
        <w:rPr>
          <w:rFonts w:cstheme="minorHAnsi"/>
          <w:shd w:val="clear" w:color="auto" w:fill="FFFFFF"/>
        </w:rPr>
      </w:pPr>
      <w:r>
        <w:rPr>
          <w:b/>
          <w:shd w:val="clear" w:color="auto" w:fill="FFFFFF"/>
        </w:rPr>
        <w:t>T</w:t>
      </w:r>
      <w:r w:rsidR="00D02594">
        <w:rPr>
          <w:b/>
          <w:shd w:val="clear" w:color="auto" w:fill="FFFFFF"/>
        </w:rPr>
        <w:t>riggers voor het ‘</w:t>
      </w:r>
      <w:r w:rsidR="00D02594">
        <w:rPr>
          <w:b/>
          <w:i/>
          <w:shd w:val="clear" w:color="auto" w:fill="FFFFFF"/>
        </w:rPr>
        <w:t>free rider problem’</w:t>
      </w:r>
      <w:r w:rsidR="00B36AC4">
        <w:br/>
      </w:r>
      <w:r w:rsidR="00965251">
        <w:t>Alle door de sociale partners en overheid voorgenomen maatregelen</w:t>
      </w:r>
      <w:r w:rsidR="00603E45">
        <w:t xml:space="preserve"> uit het Akkoord van Wassenaar</w:t>
      </w:r>
      <w:r w:rsidR="00965251">
        <w:t xml:space="preserve">, zouden worden verwerkt in de nieuw afgesloten cao’s. </w:t>
      </w:r>
      <w:r w:rsidR="001A136F">
        <w:t xml:space="preserve">Al vanaf 1927 geldt in Nederland de </w:t>
      </w:r>
      <w:r w:rsidR="00B06CB1">
        <w:t>w</w:t>
      </w:r>
      <w:r w:rsidR="001A136F">
        <w:t>et op de cao. Een wet die</w:t>
      </w:r>
      <w:r w:rsidR="00965251">
        <w:t xml:space="preserve"> -</w:t>
      </w:r>
      <w:r w:rsidR="001A136F">
        <w:t xml:space="preserve"> kort gezegd </w:t>
      </w:r>
      <w:r w:rsidR="00965251">
        <w:t xml:space="preserve">- </w:t>
      </w:r>
      <w:r w:rsidR="001A136F">
        <w:t>stelt, dat een werkgever bij het hanteren van een cao, deze cao aan iedere werknemer moet uitgeven</w:t>
      </w:r>
      <w:r w:rsidR="005C2AB9">
        <w:t>.</w:t>
      </w:r>
      <w:r w:rsidR="005C2AB9">
        <w:rPr>
          <w:rStyle w:val="FootnoteReference"/>
        </w:rPr>
        <w:footnoteReference w:id="2"/>
      </w:r>
      <w:r w:rsidR="005C2AB9">
        <w:t xml:space="preserve"> </w:t>
      </w:r>
      <w:r w:rsidR="001A136F">
        <w:t>Hiermee werd al snel in de 20</w:t>
      </w:r>
      <w:r w:rsidR="001A136F" w:rsidRPr="001A136F">
        <w:rPr>
          <w:vertAlign w:val="superscript"/>
        </w:rPr>
        <w:t>e</w:t>
      </w:r>
      <w:r w:rsidR="001A136F">
        <w:t xml:space="preserve"> eeuw gezorgd voor een </w:t>
      </w:r>
      <w:r w:rsidR="00EF42F4">
        <w:t>sterke</w:t>
      </w:r>
      <w:r w:rsidR="00A94F36">
        <w:t xml:space="preserve"> afbraak</w:t>
      </w:r>
      <w:r w:rsidR="001A136F">
        <w:t xml:space="preserve"> van het verschil tussen vakbondsleden en niet-vakbondsleden</w:t>
      </w:r>
      <w:sdt>
        <w:sdtPr>
          <w:id w:val="494928830"/>
          <w:citation/>
        </w:sdtPr>
        <w:sdtEndPr/>
        <w:sdtContent>
          <w:r w:rsidR="001A136F">
            <w:fldChar w:fldCharType="begin"/>
          </w:r>
          <w:r w:rsidR="00975089">
            <w:instrText xml:space="preserve">CITATION Harnd \l 1043 </w:instrText>
          </w:r>
          <w:r w:rsidR="001A136F">
            <w:fldChar w:fldCharType="separate"/>
          </w:r>
          <w:r w:rsidR="00D56303">
            <w:rPr>
              <w:noProof/>
            </w:rPr>
            <w:t xml:space="preserve"> (Vogels, z.d.)</w:t>
          </w:r>
          <w:r w:rsidR="001A136F">
            <w:fldChar w:fldCharType="end"/>
          </w:r>
        </w:sdtContent>
      </w:sdt>
      <w:r w:rsidR="001A136F">
        <w:t xml:space="preserve">. </w:t>
      </w:r>
      <w:r w:rsidR="00975089">
        <w:t xml:space="preserve">De </w:t>
      </w:r>
      <w:r w:rsidR="005B680E">
        <w:t>collectieve arbeidsovereenkomst</w:t>
      </w:r>
      <w:r w:rsidR="00D40529" w:rsidRPr="00D40529">
        <w:rPr>
          <w:shd w:val="clear" w:color="auto" w:fill="FFFFFF"/>
        </w:rPr>
        <w:t xml:space="preserve"> </w:t>
      </w:r>
      <w:r w:rsidR="00975089">
        <w:rPr>
          <w:shd w:val="clear" w:color="auto" w:fill="FFFFFF"/>
        </w:rPr>
        <w:t xml:space="preserve">wordt </w:t>
      </w:r>
      <w:r w:rsidR="00D40529">
        <w:rPr>
          <w:shd w:val="clear" w:color="auto" w:fill="FFFFFF"/>
        </w:rPr>
        <w:t xml:space="preserve">afgesloten </w:t>
      </w:r>
      <w:r w:rsidR="00975089">
        <w:rPr>
          <w:shd w:val="clear" w:color="auto" w:fill="FFFFFF"/>
        </w:rPr>
        <w:t>tussen</w:t>
      </w:r>
      <w:r w:rsidR="00D40529">
        <w:rPr>
          <w:shd w:val="clear" w:color="auto" w:fill="FFFFFF"/>
        </w:rPr>
        <w:t xml:space="preserve"> werkgever(s), werkgeversorganisatie(s) en werknemersorganisatie(s)</w:t>
      </w:r>
      <w:r w:rsidR="000D2530">
        <w:rPr>
          <w:shd w:val="clear" w:color="auto" w:fill="FFFFFF"/>
        </w:rPr>
        <w:t xml:space="preserve"> (afhankelijk van het niveau waarop de cao wordt afgesloten)</w:t>
      </w:r>
      <w:r w:rsidR="00975089">
        <w:rPr>
          <w:shd w:val="clear" w:color="auto" w:fill="FFFFFF"/>
        </w:rPr>
        <w:t xml:space="preserve">. </w:t>
      </w:r>
      <w:r w:rsidR="00975089">
        <w:t xml:space="preserve">De Rijksoverheid omschrijft de cao als </w:t>
      </w:r>
      <w:r w:rsidR="005B680E">
        <w:t>‘’een schriftelijke overeenkomst</w:t>
      </w:r>
      <w:r w:rsidR="005B680E" w:rsidRPr="005B680E">
        <w:rPr>
          <w:b/>
          <w:shd w:val="clear" w:color="auto" w:fill="FFFFFF"/>
        </w:rPr>
        <w:t xml:space="preserve"> </w:t>
      </w:r>
      <w:r w:rsidR="005B680E" w:rsidRPr="005B680E">
        <w:rPr>
          <w:shd w:val="clear" w:color="auto" w:fill="FFFFFF"/>
        </w:rPr>
        <w:t>waarin afspraken over arbeidsvoorwaarden zijn vastgelegd</w:t>
      </w:r>
      <w:r w:rsidR="005B680E">
        <w:rPr>
          <w:shd w:val="clear" w:color="auto" w:fill="FFFFFF"/>
        </w:rPr>
        <w:t>’’</w:t>
      </w:r>
      <w:r w:rsidR="004B1334">
        <w:rPr>
          <w:noProof/>
          <w:shd w:val="clear" w:color="auto" w:fill="FFFFFF"/>
        </w:rPr>
        <w:t xml:space="preserve"> </w:t>
      </w:r>
      <w:r w:rsidR="004B1334" w:rsidRPr="00D56303">
        <w:rPr>
          <w:noProof/>
          <w:shd w:val="clear" w:color="auto" w:fill="FFFFFF"/>
        </w:rPr>
        <w:t>(Rijksoverheid, 2015</w:t>
      </w:r>
      <w:r w:rsidR="004B1334">
        <w:rPr>
          <w:noProof/>
          <w:shd w:val="clear" w:color="auto" w:fill="FFFFFF"/>
        </w:rPr>
        <w:t>b</w:t>
      </w:r>
      <w:r w:rsidR="004B1334" w:rsidRPr="00D56303">
        <w:rPr>
          <w:noProof/>
          <w:shd w:val="clear" w:color="auto" w:fill="FFFFFF"/>
        </w:rPr>
        <w:t>)</w:t>
      </w:r>
      <w:r w:rsidR="0061770D">
        <w:rPr>
          <w:shd w:val="clear" w:color="auto" w:fill="FFFFFF"/>
        </w:rPr>
        <w:t xml:space="preserve">. De </w:t>
      </w:r>
      <w:r w:rsidR="00BC03C5">
        <w:rPr>
          <w:shd w:val="clear" w:color="auto" w:fill="FFFFFF"/>
        </w:rPr>
        <w:t xml:space="preserve">afgesproken </w:t>
      </w:r>
      <w:r w:rsidR="0061770D">
        <w:rPr>
          <w:shd w:val="clear" w:color="auto" w:fill="FFFFFF"/>
        </w:rPr>
        <w:t xml:space="preserve">arbeidsvoorwaarden kunnen van primaire </w:t>
      </w:r>
      <w:r w:rsidR="00975089">
        <w:rPr>
          <w:shd w:val="clear" w:color="auto" w:fill="FFFFFF"/>
        </w:rPr>
        <w:t>of</w:t>
      </w:r>
      <w:r w:rsidR="0061770D">
        <w:rPr>
          <w:shd w:val="clear" w:color="auto" w:fill="FFFFFF"/>
        </w:rPr>
        <w:t xml:space="preserve"> secundaire aard zijn. De primaire arbeidsvoorwaarden betreffen de zaken die standaard in het tussen werkgever en werknemer afgesloten contract staan, zoals het loon en de werktijden. De secundaire arbeidsvoorwaarden omvatten </w:t>
      </w:r>
      <w:r w:rsidR="0061770D" w:rsidRPr="00D638F2">
        <w:rPr>
          <w:shd w:val="clear" w:color="auto" w:fill="FFFFFF"/>
        </w:rPr>
        <w:t>alle ‘extra’ zaken, die bovenop de primaire arbeidsvoorwaarden komen, zoals de kinderopvang en het ouderschapsverlof</w:t>
      </w:r>
      <w:r w:rsidR="004B1334">
        <w:rPr>
          <w:noProof/>
          <w:shd w:val="clear" w:color="auto" w:fill="FFFFFF"/>
        </w:rPr>
        <w:t xml:space="preserve"> </w:t>
      </w:r>
      <w:r w:rsidR="004B1334" w:rsidRPr="00D56303">
        <w:rPr>
          <w:noProof/>
          <w:shd w:val="clear" w:color="auto" w:fill="FFFFFF"/>
        </w:rPr>
        <w:t>(Rijksoverheid, 2015</w:t>
      </w:r>
      <w:r w:rsidR="004B1334">
        <w:rPr>
          <w:noProof/>
          <w:shd w:val="clear" w:color="auto" w:fill="FFFFFF"/>
        </w:rPr>
        <w:t>a</w:t>
      </w:r>
      <w:r w:rsidR="004B1334" w:rsidRPr="00D56303">
        <w:rPr>
          <w:noProof/>
          <w:shd w:val="clear" w:color="auto" w:fill="FFFFFF"/>
        </w:rPr>
        <w:t>)</w:t>
      </w:r>
      <w:r w:rsidR="0061770D" w:rsidRPr="00D638F2">
        <w:rPr>
          <w:shd w:val="clear" w:color="auto" w:fill="FFFFFF"/>
        </w:rPr>
        <w:t>.</w:t>
      </w:r>
      <w:r w:rsidR="00BC03C5" w:rsidRPr="00D638F2">
        <w:rPr>
          <w:shd w:val="clear" w:color="auto" w:fill="FFFFFF"/>
        </w:rPr>
        <w:t xml:space="preserve"> </w:t>
      </w:r>
      <w:r w:rsidR="00062644" w:rsidRPr="00D638F2">
        <w:rPr>
          <w:shd w:val="clear" w:color="auto" w:fill="FFFFFF"/>
        </w:rPr>
        <w:t xml:space="preserve">De secundaire afspraken zijn slechts optioneel en geheel afhankelijk van onderhandelingen, terwijl </w:t>
      </w:r>
      <w:r w:rsidR="00062644" w:rsidRPr="00D638F2">
        <w:rPr>
          <w:shd w:val="clear" w:color="auto" w:fill="FFFFFF"/>
        </w:rPr>
        <w:lastRenderedPageBreak/>
        <w:t xml:space="preserve">de primaire afspraken gebonden zijn aan bepaalde vereisten, </w:t>
      </w:r>
      <w:r w:rsidR="001A136F" w:rsidRPr="00D638F2">
        <w:rPr>
          <w:shd w:val="clear" w:color="auto" w:fill="FFFFFF"/>
        </w:rPr>
        <w:t>vastgelegd</w:t>
      </w:r>
      <w:r w:rsidR="00062644" w:rsidRPr="00D638F2">
        <w:rPr>
          <w:shd w:val="clear" w:color="auto" w:fill="FFFFFF"/>
        </w:rPr>
        <w:t xml:space="preserve"> door de overheid </w:t>
      </w:r>
      <w:r w:rsidR="001A136F" w:rsidRPr="00D638F2">
        <w:rPr>
          <w:shd w:val="clear" w:color="auto" w:fill="FFFFFF"/>
        </w:rPr>
        <w:t xml:space="preserve">in wetten en regelgeving </w:t>
      </w:r>
      <w:r w:rsidR="00062644" w:rsidRPr="00D638F2">
        <w:rPr>
          <w:shd w:val="clear" w:color="auto" w:fill="FFFFFF"/>
        </w:rPr>
        <w:t xml:space="preserve">(denk aan het </w:t>
      </w:r>
      <w:r w:rsidR="00062644" w:rsidRPr="00D638F2">
        <w:rPr>
          <w:rFonts w:cstheme="minorHAnsi"/>
          <w:shd w:val="clear" w:color="auto" w:fill="FFFFFF"/>
        </w:rPr>
        <w:t>minimumloon, hoeveelheid vakantiedagen)</w:t>
      </w:r>
      <w:r w:rsidR="00332FC7">
        <w:rPr>
          <w:rFonts w:cstheme="minorHAnsi"/>
          <w:noProof/>
          <w:shd w:val="clear" w:color="auto" w:fill="FFFFFF"/>
        </w:rPr>
        <w:t xml:space="preserve"> </w:t>
      </w:r>
      <w:r w:rsidR="00332FC7" w:rsidRPr="00D56303">
        <w:rPr>
          <w:rFonts w:cstheme="minorHAnsi"/>
          <w:noProof/>
          <w:shd w:val="clear" w:color="auto" w:fill="FFFFFF"/>
        </w:rPr>
        <w:t>(CBS, 2015</w:t>
      </w:r>
      <w:r w:rsidR="00332FC7">
        <w:rPr>
          <w:rFonts w:cstheme="minorHAnsi"/>
          <w:noProof/>
          <w:shd w:val="clear" w:color="auto" w:fill="FFFFFF"/>
        </w:rPr>
        <w:t>a</w:t>
      </w:r>
      <w:r w:rsidR="00332FC7" w:rsidRPr="00D56303">
        <w:rPr>
          <w:rFonts w:cstheme="minorHAnsi"/>
          <w:noProof/>
          <w:shd w:val="clear" w:color="auto" w:fill="FFFFFF"/>
        </w:rPr>
        <w:t>)</w:t>
      </w:r>
      <w:r w:rsidR="00062644" w:rsidRPr="00D638F2">
        <w:rPr>
          <w:rFonts w:cstheme="minorHAnsi"/>
          <w:shd w:val="clear" w:color="auto" w:fill="FFFFFF"/>
        </w:rPr>
        <w:t>.</w:t>
      </w:r>
    </w:p>
    <w:p w:rsidR="00B06CB1" w:rsidRPr="00D638F2" w:rsidRDefault="00B06CB1" w:rsidP="002B6FE4">
      <w:pPr>
        <w:spacing w:line="360" w:lineRule="auto"/>
      </w:pPr>
      <w:r w:rsidRPr="00D638F2">
        <w:rPr>
          <w:shd w:val="clear" w:color="auto" w:fill="FFFFFF"/>
        </w:rPr>
        <w:t xml:space="preserve">In 1937 werd bovendien de wet AVV aangenomen. Deze </w:t>
      </w:r>
      <w:r w:rsidRPr="00D638F2">
        <w:t xml:space="preserve">Wet op het algemeen verbindend en het onverbindend verklaren van bepalingen van collectieve arbeidsovereenkomsten, </w:t>
      </w:r>
      <w:r w:rsidR="00800394" w:rsidRPr="00D638F2">
        <w:t>stelde</w:t>
      </w:r>
      <w:r w:rsidRPr="00D638F2">
        <w:t xml:space="preserve"> de Minister van Sociale Zaken </w:t>
      </w:r>
      <w:r w:rsidR="00800394" w:rsidRPr="00D638F2">
        <w:t xml:space="preserve">in staat </w:t>
      </w:r>
      <w:r w:rsidRPr="00D638F2">
        <w:t xml:space="preserve">om afgesloten cao’s te verplichten voor alle werknemers </w:t>
      </w:r>
      <w:r w:rsidR="00975089">
        <w:t>binnen een bepaalde bedrijfstak.</w:t>
      </w:r>
      <w:r w:rsidR="00975089">
        <w:rPr>
          <w:rStyle w:val="FootnoteReference"/>
        </w:rPr>
        <w:footnoteReference w:id="3"/>
      </w:r>
      <w:r w:rsidR="00975089">
        <w:t xml:space="preserve"> </w:t>
      </w:r>
      <w:r w:rsidR="00800394" w:rsidRPr="00D638F2">
        <w:t>Hierdoor werd het onderscheid tussen leden en niet-leden van de vakbond verder afgebrokkel</w:t>
      </w:r>
      <w:r w:rsidR="00175F25">
        <w:t>d. De vakbondsleden onderhandel</w:t>
      </w:r>
      <w:r w:rsidR="00800394" w:rsidRPr="00D638F2">
        <w:t xml:space="preserve">en in feite niet meer </w:t>
      </w:r>
      <w:r w:rsidR="00175F25">
        <w:t>uitsluitend</w:t>
      </w:r>
      <w:r w:rsidR="00800394" w:rsidRPr="00D638F2">
        <w:t xml:space="preserve"> voor henzelf, maar ook voor de werknemers die geen lidmaatschap van de vakbond </w:t>
      </w:r>
      <w:r w:rsidR="003B0464">
        <w:t>hebben</w:t>
      </w:r>
      <w:r w:rsidR="00800394" w:rsidRPr="00D638F2">
        <w:t>.</w:t>
      </w:r>
      <w:r w:rsidR="006C0DE8" w:rsidRPr="00D638F2">
        <w:t xml:space="preserve"> </w:t>
      </w:r>
      <w:r w:rsidR="007244DE">
        <w:t xml:space="preserve">Dit </w:t>
      </w:r>
      <w:r w:rsidR="00175F25">
        <w:t>kan</w:t>
      </w:r>
      <w:r w:rsidR="007244DE">
        <w:t xml:space="preserve"> een </w:t>
      </w:r>
      <w:r w:rsidR="00D02594">
        <w:t>aanleiding</w:t>
      </w:r>
      <w:r w:rsidR="007244DE">
        <w:t xml:space="preserve"> </w:t>
      </w:r>
      <w:r w:rsidR="00175F25">
        <w:t>vormen</w:t>
      </w:r>
      <w:r w:rsidR="007244DE">
        <w:t xml:space="preserve"> voor het </w:t>
      </w:r>
      <w:r w:rsidR="007244DE">
        <w:rPr>
          <w:i/>
        </w:rPr>
        <w:t xml:space="preserve">free riden </w:t>
      </w:r>
      <w:r w:rsidR="007244DE">
        <w:t>van een</w:t>
      </w:r>
      <w:r w:rsidR="00C110A4">
        <w:t xml:space="preserve"> gedeelte van de beroepsbevolking: de voordelen van de vakbond kunnen worden genoten zonder de nadelen te hoeven ervaren. </w:t>
      </w:r>
      <w:r w:rsidR="00175F25">
        <w:t>Dit kan wellicht een oorzaak</w:t>
      </w:r>
      <w:r w:rsidR="00EF42F4" w:rsidRPr="00D638F2">
        <w:t xml:space="preserve"> zijn </w:t>
      </w:r>
      <w:r w:rsidR="00175F25">
        <w:t xml:space="preserve">voor het feit </w:t>
      </w:r>
      <w:r w:rsidR="00EF42F4" w:rsidRPr="00D638F2">
        <w:t>dat</w:t>
      </w:r>
      <w:r w:rsidR="0031636F" w:rsidRPr="00D638F2">
        <w:t xml:space="preserve"> anno 2013</w:t>
      </w:r>
      <w:r w:rsidR="00EF42F4" w:rsidRPr="00D638F2">
        <w:t xml:space="preserve"> </w:t>
      </w:r>
      <w:r w:rsidR="00DD285C" w:rsidRPr="00D638F2">
        <w:t>meer dan</w:t>
      </w:r>
      <w:r w:rsidR="00EF42F4" w:rsidRPr="00D638F2">
        <w:t xml:space="preserve"> 80% van de</w:t>
      </w:r>
      <w:r w:rsidR="00C31C5B" w:rsidRPr="00D638F2">
        <w:t xml:space="preserve"> Nederlandse</w:t>
      </w:r>
      <w:r w:rsidR="00EF42F4" w:rsidRPr="00D638F2">
        <w:t xml:space="preserve"> werknemers onder een cao valt</w:t>
      </w:r>
      <w:r w:rsidR="00175F25">
        <w:t>, terwijl</w:t>
      </w:r>
      <w:r w:rsidR="00175F25" w:rsidRPr="00D638F2">
        <w:t xml:space="preserve"> de organisatiegraad zich ruimschoots onder de 20% bevindt</w:t>
      </w:r>
      <w:r w:rsidR="00C41080">
        <w:rPr>
          <w:noProof/>
        </w:rPr>
        <w:t xml:space="preserve"> </w:t>
      </w:r>
      <w:r w:rsidR="00725670">
        <w:rPr>
          <w:noProof/>
        </w:rPr>
        <w:t>(de Beer, 2013)</w:t>
      </w:r>
    </w:p>
    <w:p w:rsidR="00866EDB" w:rsidRDefault="005E1338" w:rsidP="002B6FE4">
      <w:pPr>
        <w:spacing w:line="360" w:lineRule="auto"/>
      </w:pPr>
      <w:r>
        <w:rPr>
          <w:b/>
        </w:rPr>
        <w:t xml:space="preserve">Het </w:t>
      </w:r>
      <w:r w:rsidR="009F1B92">
        <w:rPr>
          <w:b/>
        </w:rPr>
        <w:t>Bain</w:t>
      </w:r>
      <w:r>
        <w:rPr>
          <w:b/>
        </w:rPr>
        <w:t>s-Elsheikh model</w:t>
      </w:r>
      <w:r>
        <w:br/>
      </w:r>
      <w:r w:rsidR="003F6D68">
        <w:t xml:space="preserve">Ondanks dat er voor het Akkoord van Wassenaar </w:t>
      </w:r>
      <w:r w:rsidR="00703029">
        <w:t>niet veel meer dan</w:t>
      </w:r>
      <w:r w:rsidR="003F6D68">
        <w:t xml:space="preserve"> een A4’tje nodig was, heeft het </w:t>
      </w:r>
      <w:r w:rsidR="00405F05">
        <w:t xml:space="preserve">ogenschijnlijk </w:t>
      </w:r>
      <w:r w:rsidR="003F6D68">
        <w:t xml:space="preserve">diepgaande gevolgen gehad voor de Nederlandse economie. </w:t>
      </w:r>
      <w:r w:rsidR="005526C3">
        <w:t xml:space="preserve">Zo </w:t>
      </w:r>
      <w:r w:rsidR="00211CFF">
        <w:t xml:space="preserve">werd de hoge werkloosheid in tien jaar </w:t>
      </w:r>
      <w:r w:rsidR="00405F05">
        <w:t xml:space="preserve">tijd bijna </w:t>
      </w:r>
      <w:r w:rsidR="00211CFF">
        <w:t xml:space="preserve">gehalveerd, terwijl de economische krimp een halt werd </w:t>
      </w:r>
      <w:r w:rsidR="00866EDB" w:rsidRPr="00725670">
        <w:t>toe</w:t>
      </w:r>
      <w:r w:rsidR="00211CFF" w:rsidRPr="00725670">
        <w:t>geroepen</w:t>
      </w:r>
      <w:r w:rsidR="00725670" w:rsidRPr="00725670">
        <w:rPr>
          <w:noProof/>
        </w:rPr>
        <w:t xml:space="preserve"> </w:t>
      </w:r>
      <w:r w:rsidR="00725670">
        <w:rPr>
          <w:noProof/>
        </w:rPr>
        <w:t xml:space="preserve">(CBS, 2014; </w:t>
      </w:r>
      <w:r w:rsidR="00725670" w:rsidRPr="00725670">
        <w:rPr>
          <w:noProof/>
        </w:rPr>
        <w:t>The World Bank, 2015)</w:t>
      </w:r>
      <w:r w:rsidR="00405F05" w:rsidRPr="00725670">
        <w:t xml:space="preserve">. </w:t>
      </w:r>
      <w:r w:rsidR="00211CFF" w:rsidRPr="00725670">
        <w:t>Tegelijkertijd</w:t>
      </w:r>
      <w:r w:rsidR="00211CFF">
        <w:t xml:space="preserve"> heeft er - zoals al eerder is aangegeven - dus ook een daling van de organisatiegraad plaatsgevonden.</w:t>
      </w:r>
      <w:r w:rsidR="00690830">
        <w:t xml:space="preserve"> </w:t>
      </w:r>
      <w:r w:rsidR="00866EDB">
        <w:t>Het in de introductie besproken B</w:t>
      </w:r>
      <w:r w:rsidR="00297982">
        <w:t>-</w:t>
      </w:r>
      <w:r w:rsidR="00866EDB">
        <w:t>E</w:t>
      </w:r>
      <w:r w:rsidR="00297982">
        <w:t xml:space="preserve"> </w:t>
      </w:r>
      <w:r w:rsidR="00866EDB">
        <w:t xml:space="preserve">model haalt deze twee factoren </w:t>
      </w:r>
      <w:r w:rsidR="00E152B7">
        <w:t xml:space="preserve">aan </w:t>
      </w:r>
      <w:r w:rsidR="00866EDB">
        <w:t>(de ontwikkeling van de organisatiegraad en de hoogte van de werkloosheid)</w:t>
      </w:r>
      <w:r w:rsidR="00405F05">
        <w:t>,</w:t>
      </w:r>
      <w:r w:rsidR="00866EDB">
        <w:t xml:space="preserve"> in combinati</w:t>
      </w:r>
      <w:r w:rsidR="00E152B7">
        <w:t xml:space="preserve">e met het niveau van het loon en het inflatiepeil, als verklaring voor de </w:t>
      </w:r>
      <w:r w:rsidR="00297982">
        <w:t xml:space="preserve">verandering van het aantal vakbondsleden. </w:t>
      </w:r>
      <w:r w:rsidR="003B0464">
        <w:t>Bains</w:t>
      </w:r>
      <w:r w:rsidR="00297982">
        <w:t xml:space="preserve"> en Elsheikh stellen dat bij een stijging van de inflatie, het ‘</w:t>
      </w:r>
      <w:r w:rsidR="00594D39">
        <w:t xml:space="preserve">threat </w:t>
      </w:r>
      <w:r w:rsidR="00297982">
        <w:t xml:space="preserve">effect’ ervoor zou zorgen dat werknemers </w:t>
      </w:r>
      <w:r w:rsidR="00594D39">
        <w:t xml:space="preserve">zich verenigen in vakbonden om </w:t>
      </w:r>
      <w:r w:rsidR="00405F05">
        <w:t xml:space="preserve">te voorkomen dat </w:t>
      </w:r>
      <w:r w:rsidR="00594D39">
        <w:t xml:space="preserve">hun levensstandaard wordt ondermijnd. </w:t>
      </w:r>
      <w:r w:rsidR="00297982">
        <w:t xml:space="preserve"> </w:t>
      </w:r>
      <w:r w:rsidR="00594D39">
        <w:t xml:space="preserve">Het ‘credit effect’ zou eveneens kunnen bijdragen aan een toename van het aantal vakbondsleden. Dit </w:t>
      </w:r>
      <w:r w:rsidR="00405F05">
        <w:t xml:space="preserve">effect </w:t>
      </w:r>
      <w:r w:rsidR="00594D39">
        <w:t>ontstaat wanneer werknemers aannemen dat in een periode van stijgende lonen, die stijging (deels) wordt veroorzaakt</w:t>
      </w:r>
      <w:r w:rsidR="0022129B">
        <w:t xml:space="preserve"> door het werk van de vakbonden. Door deze aanname </w:t>
      </w:r>
      <w:r w:rsidR="00594D39">
        <w:t xml:space="preserve">ontstaat </w:t>
      </w:r>
      <w:r w:rsidR="0022129B">
        <w:t xml:space="preserve">het idee </w:t>
      </w:r>
      <w:r w:rsidR="00594D39">
        <w:t xml:space="preserve">dat het lidmaatschap ervoor kan zorgen dat de lonen wellicht nog verder stijgen. </w:t>
      </w:r>
      <w:r w:rsidR="00D25159">
        <w:t xml:space="preserve">Een stijging van de werkloosheid zou volgens het B-E model in tegenstelling tot de inflatie en de lonen moeten bijdragen </w:t>
      </w:r>
      <w:r w:rsidR="0022129B">
        <w:t>aan een afname van het aantal vakbondsleden</w:t>
      </w:r>
      <w:r w:rsidR="00D25159">
        <w:t xml:space="preserve">. </w:t>
      </w:r>
      <w:r w:rsidR="000239A7">
        <w:t xml:space="preserve">Dit zou </w:t>
      </w:r>
      <w:r w:rsidR="0022129B">
        <w:t>bewerkstelligd worden</w:t>
      </w:r>
      <w:r w:rsidR="000239A7">
        <w:t xml:space="preserve"> door een verslechtering van de onderhandelingspositie, </w:t>
      </w:r>
      <w:r w:rsidR="0022129B">
        <w:t>die</w:t>
      </w:r>
      <w:r w:rsidR="000239A7">
        <w:t xml:space="preserve"> ervoor zorgt dat de drijfveer voor het </w:t>
      </w:r>
      <w:r w:rsidR="0022129B">
        <w:t>lidmaatschap van de vakbond</w:t>
      </w:r>
      <w:r w:rsidR="000239A7">
        <w:t xml:space="preserve"> sterk afneemt. Tot slot wordt gesteld dat de hoogte van de organisatiegraad via het ‘saturation effect’ en het ‘enforcement effect’ </w:t>
      </w:r>
      <w:r w:rsidR="001D1425">
        <w:t xml:space="preserve">wordt beïnvloed. Het </w:t>
      </w:r>
      <w:r w:rsidR="001D1425">
        <w:lastRenderedPageBreak/>
        <w:t>verzadigingseffect stelt dat het lastiger wordt om lid te worden van de vakbond, naarmate</w:t>
      </w:r>
      <w:r w:rsidR="0022129B">
        <w:t xml:space="preserve"> de organisatiegraad hoger ligt.</w:t>
      </w:r>
      <w:r w:rsidR="001D1425">
        <w:t xml:space="preserve"> </w:t>
      </w:r>
      <w:r w:rsidR="0022129B">
        <w:t>Het</w:t>
      </w:r>
      <w:r w:rsidR="001D1425">
        <w:t xml:space="preserve"> handhavingseffect zorgt</w:t>
      </w:r>
      <w:r w:rsidR="0022129B">
        <w:t xml:space="preserve"> er juist voor</w:t>
      </w:r>
      <w:r w:rsidR="001D1425">
        <w:t xml:space="preserve"> dat het vermogen van de vakbond om werknemers te overtuigen lid te </w:t>
      </w:r>
      <w:r w:rsidR="0022129B">
        <w:t xml:space="preserve">worden van de vakbond, bij een hogere organisatiegraad toeneemt. </w:t>
      </w:r>
      <w:r w:rsidR="001D1425">
        <w:t>Het netto effect van de hoogte van de organisatiegraad op de ontwikkeling van het aantal vakbondsleden is door deze conflicterende effecten niet eenduidig omschreven</w:t>
      </w:r>
      <w:sdt>
        <w:sdtPr>
          <w:id w:val="607789207"/>
          <w:citation/>
        </w:sdtPr>
        <w:sdtEndPr/>
        <w:sdtContent>
          <w:r w:rsidR="001D1425">
            <w:fldChar w:fldCharType="begin"/>
          </w:r>
          <w:r w:rsidR="00696A2A">
            <w:instrText xml:space="preserve">CITATION Cla02 \l 1043 </w:instrText>
          </w:r>
          <w:r w:rsidR="001D1425">
            <w:fldChar w:fldCharType="separate"/>
          </w:r>
          <w:r w:rsidR="00D56303">
            <w:rPr>
              <w:noProof/>
            </w:rPr>
            <w:t xml:space="preserve"> (Schnabel, 2002)</w:t>
          </w:r>
          <w:r w:rsidR="001D1425">
            <w:fldChar w:fldCharType="end"/>
          </w:r>
        </w:sdtContent>
      </w:sdt>
      <w:r w:rsidR="001D1425">
        <w:t xml:space="preserve">. </w:t>
      </w:r>
      <w:r w:rsidR="00CB7884">
        <w:br/>
        <w:t xml:space="preserve"> </w:t>
      </w:r>
      <w:r w:rsidR="00CB7884">
        <w:tab/>
      </w:r>
      <w:r w:rsidR="00297982">
        <w:t>Het B-</w:t>
      </w:r>
      <w:r w:rsidR="00E152B7">
        <w:t>E</w:t>
      </w:r>
      <w:r w:rsidR="00297982">
        <w:t xml:space="preserve"> </w:t>
      </w:r>
      <w:r w:rsidR="00E152B7">
        <w:t xml:space="preserve">model wordt in het vervolg van dit onderzoek aangehaald om de verklaringskracht van de </w:t>
      </w:r>
      <w:r w:rsidR="0047416A">
        <w:t xml:space="preserve">drie van de </w:t>
      </w:r>
      <w:r w:rsidR="00E10CEA">
        <w:t xml:space="preserve">vier </w:t>
      </w:r>
      <w:r w:rsidR="00E152B7">
        <w:t xml:space="preserve">zojuist genoemde variabelen </w:t>
      </w:r>
      <w:r w:rsidR="00E10CEA">
        <w:t xml:space="preserve">te onderzoeken. Door deze variabelen </w:t>
      </w:r>
      <w:r w:rsidR="00E152B7">
        <w:t>naast de ontwikkelingen van de Nederlandse organisatiegraad te leggen</w:t>
      </w:r>
      <w:r w:rsidR="00E10CEA">
        <w:t>, kan er een vergelijking worden gemaakt</w:t>
      </w:r>
      <w:r w:rsidR="00E152B7">
        <w:t>.</w:t>
      </w:r>
      <w:r w:rsidR="001E3861">
        <w:t xml:space="preserve"> Hierbij zal de variabele ‘loon’ worden vervangen door een meer algemene variabele ‘werknemerscompensatie’, die uit twee componenten bestaat: het loon en de door de werkgever af te dragen sociale premies</w:t>
      </w:r>
      <w:sdt>
        <w:sdtPr>
          <w:id w:val="-1917548184"/>
          <w:citation/>
        </w:sdtPr>
        <w:sdtEndPr/>
        <w:sdtContent>
          <w:r w:rsidR="001E3861">
            <w:fldChar w:fldCharType="begin"/>
          </w:r>
          <w:r w:rsidR="000172A6">
            <w:instrText xml:space="preserve">CITATION OEC15 \l 1043 </w:instrText>
          </w:r>
          <w:r w:rsidR="001E3861">
            <w:fldChar w:fldCharType="separate"/>
          </w:r>
          <w:r w:rsidR="000172A6">
            <w:rPr>
              <w:noProof/>
            </w:rPr>
            <w:t xml:space="preserve"> (Organisation for Economic Cooperation and Development [OECD], 2015)</w:t>
          </w:r>
          <w:r w:rsidR="001E3861">
            <w:fldChar w:fldCharType="end"/>
          </w:r>
        </w:sdtContent>
      </w:sdt>
      <w:r w:rsidR="001E3861">
        <w:t>.</w:t>
      </w:r>
      <w:r w:rsidR="00E152B7">
        <w:t xml:space="preserve"> </w:t>
      </w:r>
      <w:r w:rsidR="0047416A">
        <w:t>Tevens zal de variabele ‘organisatiegraad’ uit de</w:t>
      </w:r>
      <w:r w:rsidR="008D1951">
        <w:t>ze</w:t>
      </w:r>
      <w:r w:rsidR="0047416A">
        <w:t xml:space="preserve"> analyse worden weggelaten, daar het </w:t>
      </w:r>
      <w:r w:rsidR="003B0464">
        <w:t>netto-</w:t>
      </w:r>
      <w:r w:rsidR="0047416A">
        <w:t xml:space="preserve">effect </w:t>
      </w:r>
      <w:r w:rsidR="0022129B">
        <w:t>-</w:t>
      </w:r>
      <w:r w:rsidR="0047416A">
        <w:t xml:space="preserve"> zoals </w:t>
      </w:r>
      <w:r w:rsidR="00E10CEA">
        <w:t>reeds gesteld</w:t>
      </w:r>
      <w:r w:rsidR="0047416A">
        <w:t xml:space="preserve"> </w:t>
      </w:r>
      <w:r w:rsidR="0022129B">
        <w:t>-</w:t>
      </w:r>
      <w:r w:rsidR="0047416A">
        <w:t xml:space="preserve"> volgens </w:t>
      </w:r>
      <w:r w:rsidR="003B0464">
        <w:t>Bain</w:t>
      </w:r>
      <w:r w:rsidR="0047416A">
        <w:t xml:space="preserve">s en Elsheikh niet eenduidig kan worden beschreven. </w:t>
      </w:r>
      <w:r w:rsidR="00363D4A">
        <w:t xml:space="preserve">In dit onderzoek zal </w:t>
      </w:r>
      <w:r w:rsidR="0022129B">
        <w:t>tot slot</w:t>
      </w:r>
      <w:r w:rsidR="0041217A">
        <w:t xml:space="preserve"> </w:t>
      </w:r>
      <w:r w:rsidR="00363D4A">
        <w:t>de invloed van de variabelen uit het B-E model op het vakbondsledenbestand 1 op 1 worden doorgezet op de organisatiegraad</w:t>
      </w:r>
      <w:r w:rsidR="0022129B">
        <w:t>. Hiermee krijgt</w:t>
      </w:r>
      <w:r w:rsidR="0041217A">
        <w:t xml:space="preserve"> het vakbondsledenbestand dezelfde betekenis als </w:t>
      </w:r>
      <w:r w:rsidR="0022129B">
        <w:t xml:space="preserve">de </w:t>
      </w:r>
      <w:r w:rsidR="0041217A">
        <w:t>organisatiegraad</w:t>
      </w:r>
      <w:r w:rsidR="00363D4A">
        <w:t xml:space="preserve">. </w:t>
      </w:r>
      <w:r w:rsidR="0096383F">
        <w:t>Voordat de</w:t>
      </w:r>
      <w:r w:rsidR="001E3861">
        <w:t xml:space="preserve"> verklaringskracht</w:t>
      </w:r>
      <w:r w:rsidR="0096383F">
        <w:t xml:space="preserve"> </w:t>
      </w:r>
      <w:r w:rsidR="001E3861">
        <w:t xml:space="preserve">van de </w:t>
      </w:r>
      <w:r w:rsidR="0047416A">
        <w:t>drie</w:t>
      </w:r>
      <w:r w:rsidR="001E3861">
        <w:t xml:space="preserve"> variabelen </w:t>
      </w:r>
      <w:r w:rsidR="0047416A">
        <w:t>uit</w:t>
      </w:r>
      <w:r w:rsidR="001E3861">
        <w:t xml:space="preserve"> het </w:t>
      </w:r>
      <w:r w:rsidR="00363D4A">
        <w:t>B-E</w:t>
      </w:r>
      <w:r w:rsidR="001E3861">
        <w:t xml:space="preserve"> model </w:t>
      </w:r>
      <w:r w:rsidR="0022129B">
        <w:t>kan</w:t>
      </w:r>
      <w:r w:rsidR="0096383F">
        <w:t xml:space="preserve"> worden </w:t>
      </w:r>
      <w:r w:rsidR="001E3861">
        <w:t>getoetst</w:t>
      </w:r>
      <w:r w:rsidR="00703029">
        <w:t xml:space="preserve">, moet </w:t>
      </w:r>
      <w:r w:rsidR="00E152B7">
        <w:t xml:space="preserve">echter eerst antwoord worden gegeven op </w:t>
      </w:r>
      <w:r w:rsidR="0096383F">
        <w:t>de volgende deelvragen:</w:t>
      </w:r>
    </w:p>
    <w:p w:rsidR="0096383F" w:rsidRPr="0096383F" w:rsidRDefault="0096383F" w:rsidP="002B6FE4">
      <w:pPr>
        <w:spacing w:line="360" w:lineRule="auto"/>
        <w:ind w:left="705" w:hanging="705"/>
        <w:rPr>
          <w:i/>
        </w:rPr>
      </w:pPr>
      <w:r>
        <w:rPr>
          <w:i/>
        </w:rPr>
        <w:t>-</w:t>
      </w:r>
      <w:r>
        <w:rPr>
          <w:i/>
        </w:rPr>
        <w:tab/>
      </w:r>
      <w:r w:rsidRPr="0096383F">
        <w:rPr>
          <w:i/>
        </w:rPr>
        <w:t xml:space="preserve">Wat is het effect van het Akkoord van Wassenaar op de ontwikkeling van de organisatiegraad </w:t>
      </w:r>
      <w:r w:rsidR="00BE4D8B">
        <w:rPr>
          <w:i/>
        </w:rPr>
        <w:t>in de periode 1983-1987</w:t>
      </w:r>
      <w:r w:rsidRPr="0096383F">
        <w:rPr>
          <w:i/>
        </w:rPr>
        <w:t>?</w:t>
      </w:r>
    </w:p>
    <w:p w:rsidR="0096383F" w:rsidRDefault="0096383F" w:rsidP="002B6FE4">
      <w:pPr>
        <w:spacing w:line="360" w:lineRule="auto"/>
        <w:ind w:left="705" w:hanging="705"/>
        <w:rPr>
          <w:i/>
        </w:rPr>
      </w:pPr>
      <w:r>
        <w:rPr>
          <w:i/>
        </w:rPr>
        <w:t>-</w:t>
      </w:r>
      <w:r>
        <w:rPr>
          <w:i/>
        </w:rPr>
        <w:tab/>
      </w:r>
      <w:r w:rsidRPr="0096383F">
        <w:rPr>
          <w:i/>
        </w:rPr>
        <w:t xml:space="preserve">Wat is het effect van het Akkoord van Wassenaar op de ontwikkeling van de organisatiegraad </w:t>
      </w:r>
      <w:r w:rsidR="00BE4D8B">
        <w:rPr>
          <w:i/>
        </w:rPr>
        <w:t>in de periode 198</w:t>
      </w:r>
      <w:r w:rsidR="003B0464">
        <w:rPr>
          <w:i/>
        </w:rPr>
        <w:t>8-1992</w:t>
      </w:r>
      <w:r w:rsidRPr="0096383F">
        <w:rPr>
          <w:i/>
        </w:rPr>
        <w:t>?</w:t>
      </w:r>
    </w:p>
    <w:p w:rsidR="00301048" w:rsidRDefault="00956D98" w:rsidP="00301048">
      <w:pPr>
        <w:spacing w:line="360" w:lineRule="auto"/>
        <w:ind w:left="705" w:hanging="705"/>
        <w:rPr>
          <w:i/>
        </w:rPr>
      </w:pPr>
      <w:r>
        <w:rPr>
          <w:i/>
        </w:rPr>
        <w:t>-</w:t>
      </w:r>
      <w:r>
        <w:rPr>
          <w:i/>
        </w:rPr>
        <w:tab/>
      </w:r>
      <w:r w:rsidRPr="0096383F">
        <w:rPr>
          <w:i/>
        </w:rPr>
        <w:t xml:space="preserve">Wat is het effect van het Akkoord van Wassenaar op de ontwikkeling van de organisatiegraad </w:t>
      </w:r>
      <w:r>
        <w:rPr>
          <w:i/>
        </w:rPr>
        <w:t>in de periode 1983-1992</w:t>
      </w:r>
      <w:r w:rsidR="00346ADF">
        <w:rPr>
          <w:i/>
        </w:rPr>
        <w:t>?</w:t>
      </w:r>
    </w:p>
    <w:p w:rsidR="005820BC" w:rsidRPr="00301048" w:rsidRDefault="00690830" w:rsidP="00301048">
      <w:pPr>
        <w:spacing w:line="360" w:lineRule="auto"/>
        <w:ind w:left="705" w:hanging="705"/>
        <w:rPr>
          <w:i/>
        </w:rPr>
      </w:pPr>
      <w:r>
        <w:t xml:space="preserve">Om </w:t>
      </w:r>
      <w:r w:rsidR="0096383F">
        <w:t xml:space="preserve">deze </w:t>
      </w:r>
      <w:r w:rsidR="00956D98">
        <w:t>drie</w:t>
      </w:r>
      <w:r w:rsidR="0096383F">
        <w:t xml:space="preserve"> deelvragen </w:t>
      </w:r>
      <w:r>
        <w:t xml:space="preserve"> te beantwoorden, zijn de volgende </w:t>
      </w:r>
      <w:r w:rsidR="0096383F">
        <w:t>aansluitende</w:t>
      </w:r>
      <w:r>
        <w:t xml:space="preserve"> hypotheses opgesteld:</w:t>
      </w:r>
    </w:p>
    <w:p w:rsidR="00FA5F3A" w:rsidRDefault="00FA5F3A" w:rsidP="002B6FE4">
      <w:pPr>
        <w:spacing w:line="360" w:lineRule="auto"/>
        <w:rPr>
          <w:b/>
        </w:rPr>
      </w:pPr>
      <w:r>
        <w:rPr>
          <w:b/>
        </w:rPr>
        <w:t xml:space="preserve">Hypothese 1: </w:t>
      </w:r>
    </w:p>
    <w:p w:rsidR="00FA5F3A" w:rsidRDefault="00FA5F3A" w:rsidP="002B6FE4">
      <w:pPr>
        <w:spacing w:line="360" w:lineRule="auto"/>
        <w:rPr>
          <w:rFonts w:eastAsiaTheme="minorEastAsia"/>
          <w:i/>
        </w:rPr>
      </w:pPr>
      <w:r w:rsidRPr="00FA5F3A">
        <w:rPr>
          <w:i/>
        </w:rPr>
        <w:t xml:space="preserve">Het Akkoord van Wassenaar heeft geen effect gehad op de ontwikkeling van de organisatiegraad </w:t>
      </w:r>
      <w:r w:rsidR="00BE4D8B">
        <w:rPr>
          <w:i/>
        </w:rPr>
        <w:t>in de periode 1983-1987</w:t>
      </w:r>
      <w:r>
        <w:rPr>
          <w:i/>
        </w:rPr>
        <w:t xml:space="preserve">. ( </w:t>
      </w:r>
      <m:oMath>
        <m:sSub>
          <m:sSubPr>
            <m:ctrlPr>
              <w:rPr>
                <w:rFonts w:ascii="Cambria Math" w:eastAsiaTheme="minorEastAsia" w:hAnsi="Cambria Math"/>
                <w:i/>
              </w:rPr>
            </m:ctrlPr>
          </m:sSubPr>
          <m:e>
            <m:r>
              <w:rPr>
                <w:rFonts w:ascii="Cambria Math" w:eastAsiaTheme="minorEastAsia" w:hAnsi="Cambria Math"/>
              </w:rPr>
              <m:t>μ</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μ</m:t>
            </m:r>
          </m:e>
          <m:sub>
            <m:r>
              <w:rPr>
                <w:rFonts w:ascii="Cambria Math" w:eastAsiaTheme="minorEastAsia" w:hAnsi="Cambria Math"/>
              </w:rPr>
              <m:t>2</m:t>
            </m:r>
          </m:sub>
        </m:sSub>
      </m:oMath>
      <w:r>
        <w:rPr>
          <w:rFonts w:eastAsiaTheme="minorEastAsia"/>
          <w:i/>
        </w:rPr>
        <w:t>)</w:t>
      </w:r>
    </w:p>
    <w:p w:rsidR="00B857D8" w:rsidRDefault="00B857D8" w:rsidP="002B6FE4">
      <w:pPr>
        <w:spacing w:line="360" w:lineRule="auto"/>
        <w:rPr>
          <w:b/>
        </w:rPr>
      </w:pPr>
    </w:p>
    <w:p w:rsidR="00B857D8" w:rsidRDefault="00B857D8" w:rsidP="002B6FE4">
      <w:pPr>
        <w:spacing w:line="360" w:lineRule="auto"/>
        <w:rPr>
          <w:b/>
        </w:rPr>
      </w:pPr>
    </w:p>
    <w:p w:rsidR="00D645A5" w:rsidRDefault="00D645A5" w:rsidP="002B6FE4">
      <w:pPr>
        <w:spacing w:line="360" w:lineRule="auto"/>
        <w:rPr>
          <w:b/>
        </w:rPr>
      </w:pPr>
      <w:r>
        <w:rPr>
          <w:b/>
        </w:rPr>
        <w:lastRenderedPageBreak/>
        <w:t xml:space="preserve">Hypothese 2: </w:t>
      </w:r>
    </w:p>
    <w:p w:rsidR="00D645A5" w:rsidRDefault="00D645A5" w:rsidP="002B6FE4">
      <w:pPr>
        <w:spacing w:line="360" w:lineRule="auto"/>
        <w:rPr>
          <w:rFonts w:eastAsiaTheme="minorEastAsia"/>
          <w:i/>
        </w:rPr>
      </w:pPr>
      <w:r w:rsidRPr="00FA5F3A">
        <w:rPr>
          <w:i/>
        </w:rPr>
        <w:t xml:space="preserve">Het Akkoord van Wassenaar heeft geen effect gehad op de ontwikkeling van de organisatiegraad </w:t>
      </w:r>
      <w:r w:rsidR="00BE4D8B">
        <w:rPr>
          <w:i/>
        </w:rPr>
        <w:t>in de periode 1988-1992</w:t>
      </w:r>
      <w:r>
        <w:rPr>
          <w:i/>
        </w:rPr>
        <w:t xml:space="preserve">. ( </w:t>
      </w:r>
      <m:oMath>
        <m:sSub>
          <m:sSubPr>
            <m:ctrlPr>
              <w:rPr>
                <w:rFonts w:ascii="Cambria Math" w:eastAsiaTheme="minorEastAsia" w:hAnsi="Cambria Math"/>
                <w:i/>
              </w:rPr>
            </m:ctrlPr>
          </m:sSubPr>
          <m:e>
            <m:r>
              <w:rPr>
                <w:rFonts w:ascii="Cambria Math" w:eastAsiaTheme="minorEastAsia" w:hAnsi="Cambria Math"/>
              </w:rPr>
              <m:t>μ</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μ</m:t>
            </m:r>
          </m:e>
          <m:sub>
            <m:r>
              <w:rPr>
                <w:rFonts w:ascii="Cambria Math" w:eastAsiaTheme="minorEastAsia" w:hAnsi="Cambria Math"/>
              </w:rPr>
              <m:t>2</m:t>
            </m:r>
          </m:sub>
        </m:sSub>
      </m:oMath>
      <w:r>
        <w:rPr>
          <w:rFonts w:eastAsiaTheme="minorEastAsia"/>
          <w:i/>
        </w:rPr>
        <w:t>)</w:t>
      </w:r>
    </w:p>
    <w:p w:rsidR="00956D98" w:rsidRDefault="00956D98" w:rsidP="00956D98">
      <w:pPr>
        <w:spacing w:line="360" w:lineRule="auto"/>
        <w:rPr>
          <w:b/>
        </w:rPr>
      </w:pPr>
      <w:r>
        <w:rPr>
          <w:b/>
        </w:rPr>
        <w:t xml:space="preserve">Hypothese 3: </w:t>
      </w:r>
    </w:p>
    <w:p w:rsidR="00956D98" w:rsidRDefault="00956D98" w:rsidP="00956D98">
      <w:pPr>
        <w:spacing w:line="360" w:lineRule="auto"/>
        <w:rPr>
          <w:rFonts w:eastAsiaTheme="minorEastAsia"/>
          <w:i/>
        </w:rPr>
      </w:pPr>
      <w:r w:rsidRPr="00FA5F3A">
        <w:rPr>
          <w:i/>
        </w:rPr>
        <w:t xml:space="preserve">Het Akkoord van Wassenaar heeft geen effect gehad op de ontwikkeling van de organisatiegraad </w:t>
      </w:r>
      <w:r>
        <w:rPr>
          <w:i/>
        </w:rPr>
        <w:t xml:space="preserve">in de periode 1983-1992. ( </w:t>
      </w:r>
      <m:oMath>
        <m:sSub>
          <m:sSubPr>
            <m:ctrlPr>
              <w:rPr>
                <w:rFonts w:ascii="Cambria Math" w:eastAsiaTheme="minorEastAsia" w:hAnsi="Cambria Math"/>
                <w:i/>
              </w:rPr>
            </m:ctrlPr>
          </m:sSubPr>
          <m:e>
            <m:r>
              <w:rPr>
                <w:rFonts w:ascii="Cambria Math" w:eastAsiaTheme="minorEastAsia" w:hAnsi="Cambria Math"/>
              </w:rPr>
              <m:t>μ</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μ</m:t>
            </m:r>
          </m:e>
          <m:sub>
            <m:r>
              <w:rPr>
                <w:rFonts w:ascii="Cambria Math" w:eastAsiaTheme="minorEastAsia" w:hAnsi="Cambria Math"/>
              </w:rPr>
              <m:t>2</m:t>
            </m:r>
          </m:sub>
        </m:sSub>
      </m:oMath>
      <w:r>
        <w:rPr>
          <w:rFonts w:eastAsiaTheme="minorEastAsia"/>
          <w:i/>
        </w:rPr>
        <w:t>)</w:t>
      </w:r>
    </w:p>
    <w:p w:rsidR="009F1D56" w:rsidRPr="009F1D56" w:rsidRDefault="009F1D56" w:rsidP="002B6FE4">
      <w:pPr>
        <w:spacing w:line="360" w:lineRule="auto"/>
        <w:rPr>
          <w:rFonts w:eastAsiaTheme="minorEastAsia"/>
        </w:rPr>
      </w:pPr>
      <w:r>
        <w:rPr>
          <w:rFonts w:eastAsiaTheme="minorEastAsia"/>
        </w:rPr>
        <w:t xml:space="preserve">Met behulp van een </w:t>
      </w:r>
      <w:r w:rsidR="00B81D52">
        <w:rPr>
          <w:rFonts w:eastAsiaTheme="minorEastAsia"/>
        </w:rPr>
        <w:t>t</w:t>
      </w:r>
      <w:r>
        <w:rPr>
          <w:rFonts w:eastAsiaTheme="minorEastAsia"/>
        </w:rPr>
        <w:t xml:space="preserve">-test die twee gemiddelden met elkaar vergelijkt, kunnen deze </w:t>
      </w:r>
      <w:r w:rsidR="00956D98">
        <w:rPr>
          <w:rFonts w:eastAsiaTheme="minorEastAsia"/>
        </w:rPr>
        <w:t>drie</w:t>
      </w:r>
      <w:r>
        <w:rPr>
          <w:rFonts w:eastAsiaTheme="minorEastAsia"/>
        </w:rPr>
        <w:t xml:space="preserve"> hypotheses worden getoetst. Er is voor gekozen om dezelfde test voor </w:t>
      </w:r>
      <w:r w:rsidR="00956D98">
        <w:rPr>
          <w:rFonts w:eastAsiaTheme="minorEastAsia"/>
        </w:rPr>
        <w:t>drie</w:t>
      </w:r>
      <w:r>
        <w:rPr>
          <w:rFonts w:eastAsiaTheme="minorEastAsia"/>
        </w:rPr>
        <w:t xml:space="preserve"> verschillende korte termijn periodelengtes </w:t>
      </w:r>
      <w:r w:rsidR="00866EDB">
        <w:rPr>
          <w:rFonts w:eastAsiaTheme="minorEastAsia"/>
        </w:rPr>
        <w:t xml:space="preserve">van de eerste vijf, de </w:t>
      </w:r>
      <w:r w:rsidR="005517A5">
        <w:rPr>
          <w:rFonts w:eastAsiaTheme="minorEastAsia"/>
        </w:rPr>
        <w:t xml:space="preserve">tweede vijf </w:t>
      </w:r>
      <w:r w:rsidR="00866EDB">
        <w:rPr>
          <w:rFonts w:eastAsiaTheme="minorEastAsia"/>
        </w:rPr>
        <w:t xml:space="preserve">jaar </w:t>
      </w:r>
      <w:r w:rsidR="00956D98">
        <w:rPr>
          <w:rFonts w:eastAsiaTheme="minorEastAsia"/>
        </w:rPr>
        <w:t xml:space="preserve">en de eerste tien jaar </w:t>
      </w:r>
      <w:r w:rsidR="00866EDB">
        <w:rPr>
          <w:rFonts w:eastAsiaTheme="minorEastAsia"/>
        </w:rPr>
        <w:t xml:space="preserve">na het Akkoord van Wassenaar </w:t>
      </w:r>
      <w:r>
        <w:rPr>
          <w:rFonts w:eastAsiaTheme="minorEastAsia"/>
        </w:rPr>
        <w:t>uit te voeren</w:t>
      </w:r>
      <w:r w:rsidR="005517A5">
        <w:rPr>
          <w:rFonts w:eastAsiaTheme="minorEastAsia"/>
        </w:rPr>
        <w:t xml:space="preserve">. </w:t>
      </w:r>
      <w:r w:rsidR="00866EDB">
        <w:rPr>
          <w:rFonts w:eastAsiaTheme="minorEastAsia"/>
        </w:rPr>
        <w:t xml:space="preserve">Hierdoor wordt het mogelijk om de ontwikkeling van de organisatiegraad richting de lange(re) termijn te bekijken. Wanneer de hypotheses worden verworpen, zullen automatisch de </w:t>
      </w:r>
      <w:r w:rsidR="00397DB8">
        <w:rPr>
          <w:rFonts w:eastAsiaTheme="minorEastAsia"/>
        </w:rPr>
        <w:t xml:space="preserve">volgende </w:t>
      </w:r>
      <w:r w:rsidR="00866EDB">
        <w:rPr>
          <w:rFonts w:eastAsiaTheme="minorEastAsia"/>
        </w:rPr>
        <w:t>alternatie</w:t>
      </w:r>
      <w:r w:rsidR="00397DB8">
        <w:rPr>
          <w:rFonts w:eastAsiaTheme="minorEastAsia"/>
        </w:rPr>
        <w:t>ve hypotheses worden aangenomen</w:t>
      </w:r>
      <w:r w:rsidR="00866EDB">
        <w:rPr>
          <w:rFonts w:eastAsiaTheme="minorEastAsia"/>
        </w:rPr>
        <w:t xml:space="preserve">: </w:t>
      </w:r>
    </w:p>
    <w:p w:rsidR="009F1D56" w:rsidRDefault="009F1D56" w:rsidP="002B6FE4">
      <w:pPr>
        <w:spacing w:line="360" w:lineRule="auto"/>
        <w:rPr>
          <w:b/>
        </w:rPr>
      </w:pPr>
      <w:r>
        <w:rPr>
          <w:b/>
        </w:rPr>
        <w:t xml:space="preserve">Alternatieve hypothese 1: </w:t>
      </w:r>
    </w:p>
    <w:p w:rsidR="009F1D56" w:rsidRDefault="009F1D56" w:rsidP="002B6FE4">
      <w:pPr>
        <w:spacing w:line="360" w:lineRule="auto"/>
        <w:rPr>
          <w:rFonts w:eastAsiaTheme="minorEastAsia"/>
          <w:i/>
        </w:rPr>
      </w:pPr>
      <w:r w:rsidRPr="00FA5F3A">
        <w:rPr>
          <w:i/>
        </w:rPr>
        <w:t xml:space="preserve">Het Akkoord van Wassenaar heeft effect gehad op de ontwikkeling van de organisatiegraad </w:t>
      </w:r>
      <w:r w:rsidR="00BE4D8B">
        <w:rPr>
          <w:i/>
        </w:rPr>
        <w:t>in de periode 1983-1987</w:t>
      </w:r>
      <w:r>
        <w:rPr>
          <w:i/>
        </w:rPr>
        <w:t xml:space="preserve">. ( </w:t>
      </w:r>
      <m:oMath>
        <m:sSub>
          <m:sSubPr>
            <m:ctrlPr>
              <w:rPr>
                <w:rFonts w:ascii="Cambria Math" w:eastAsiaTheme="minorEastAsia" w:hAnsi="Cambria Math"/>
                <w:i/>
              </w:rPr>
            </m:ctrlPr>
          </m:sSubPr>
          <m:e>
            <m:r>
              <w:rPr>
                <w:rFonts w:ascii="Cambria Math" w:eastAsiaTheme="minorEastAsia" w:hAnsi="Cambria Math"/>
              </w:rPr>
              <m:t>μ</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μ</m:t>
            </m:r>
          </m:e>
          <m:sub>
            <m:r>
              <w:rPr>
                <w:rFonts w:ascii="Cambria Math" w:eastAsiaTheme="minorEastAsia" w:hAnsi="Cambria Math"/>
              </w:rPr>
              <m:t>2</m:t>
            </m:r>
          </m:sub>
        </m:sSub>
      </m:oMath>
      <w:r>
        <w:rPr>
          <w:rFonts w:eastAsiaTheme="minorEastAsia"/>
          <w:i/>
        </w:rPr>
        <w:t>)</w:t>
      </w:r>
    </w:p>
    <w:p w:rsidR="009F1D56" w:rsidRDefault="009F1D56" w:rsidP="002B6FE4">
      <w:pPr>
        <w:spacing w:line="360" w:lineRule="auto"/>
        <w:rPr>
          <w:b/>
        </w:rPr>
      </w:pPr>
      <w:r>
        <w:rPr>
          <w:b/>
        </w:rPr>
        <w:t xml:space="preserve">Alternatieve hypothese 2: </w:t>
      </w:r>
    </w:p>
    <w:p w:rsidR="009F1D56" w:rsidRDefault="009F1D56" w:rsidP="002B6FE4">
      <w:pPr>
        <w:spacing w:line="360" w:lineRule="auto"/>
        <w:rPr>
          <w:rFonts w:eastAsiaTheme="minorEastAsia"/>
          <w:i/>
        </w:rPr>
      </w:pPr>
      <w:r w:rsidRPr="00FA5F3A">
        <w:rPr>
          <w:i/>
        </w:rPr>
        <w:t xml:space="preserve">Het Akkoord van Wassenaar heeft effect gehad op de ontwikkeling van de organisatiegraad </w:t>
      </w:r>
      <w:r w:rsidR="00BE4D8B">
        <w:rPr>
          <w:i/>
        </w:rPr>
        <w:t>de periode 1988-1992</w:t>
      </w:r>
      <w:r>
        <w:rPr>
          <w:i/>
        </w:rPr>
        <w:t xml:space="preserve">. ( </w:t>
      </w:r>
      <m:oMath>
        <m:sSub>
          <m:sSubPr>
            <m:ctrlPr>
              <w:rPr>
                <w:rFonts w:ascii="Cambria Math" w:eastAsiaTheme="minorEastAsia" w:hAnsi="Cambria Math"/>
                <w:i/>
              </w:rPr>
            </m:ctrlPr>
          </m:sSubPr>
          <m:e>
            <m:r>
              <w:rPr>
                <w:rFonts w:ascii="Cambria Math" w:eastAsiaTheme="minorEastAsia" w:hAnsi="Cambria Math"/>
              </w:rPr>
              <m:t>μ</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μ</m:t>
            </m:r>
          </m:e>
          <m:sub>
            <m:r>
              <w:rPr>
                <w:rFonts w:ascii="Cambria Math" w:eastAsiaTheme="minorEastAsia" w:hAnsi="Cambria Math"/>
              </w:rPr>
              <m:t>2</m:t>
            </m:r>
          </m:sub>
        </m:sSub>
      </m:oMath>
      <w:r>
        <w:rPr>
          <w:rFonts w:eastAsiaTheme="minorEastAsia"/>
          <w:i/>
        </w:rPr>
        <w:t>)</w:t>
      </w:r>
    </w:p>
    <w:p w:rsidR="00956D98" w:rsidRDefault="00956D98" w:rsidP="00956D98">
      <w:pPr>
        <w:spacing w:line="360" w:lineRule="auto"/>
        <w:rPr>
          <w:b/>
        </w:rPr>
      </w:pPr>
      <w:r>
        <w:rPr>
          <w:b/>
        </w:rPr>
        <w:t xml:space="preserve">Alternatieve hypothese 3: </w:t>
      </w:r>
    </w:p>
    <w:p w:rsidR="00956D98" w:rsidRPr="009F1D56" w:rsidRDefault="00956D98" w:rsidP="00956D98">
      <w:pPr>
        <w:spacing w:line="360" w:lineRule="auto"/>
        <w:rPr>
          <w:rFonts w:eastAsiaTheme="minorEastAsia"/>
          <w:i/>
        </w:rPr>
      </w:pPr>
      <w:r w:rsidRPr="00FA5F3A">
        <w:rPr>
          <w:i/>
        </w:rPr>
        <w:t xml:space="preserve">Het Akkoord van Wassenaar heeft effect gehad op de ontwikkeling van de organisatiegraad </w:t>
      </w:r>
      <w:r>
        <w:rPr>
          <w:i/>
        </w:rPr>
        <w:t xml:space="preserve">de periode 1983-1992. ( </w:t>
      </w:r>
      <m:oMath>
        <m:sSub>
          <m:sSubPr>
            <m:ctrlPr>
              <w:rPr>
                <w:rFonts w:ascii="Cambria Math" w:eastAsiaTheme="minorEastAsia" w:hAnsi="Cambria Math"/>
                <w:i/>
              </w:rPr>
            </m:ctrlPr>
          </m:sSubPr>
          <m:e>
            <m:r>
              <w:rPr>
                <w:rFonts w:ascii="Cambria Math" w:eastAsiaTheme="minorEastAsia" w:hAnsi="Cambria Math"/>
              </w:rPr>
              <m:t>μ</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μ</m:t>
            </m:r>
          </m:e>
          <m:sub>
            <m:r>
              <w:rPr>
                <w:rFonts w:ascii="Cambria Math" w:eastAsiaTheme="minorEastAsia" w:hAnsi="Cambria Math"/>
              </w:rPr>
              <m:t>2</m:t>
            </m:r>
          </m:sub>
        </m:sSub>
      </m:oMath>
      <w:r>
        <w:rPr>
          <w:rFonts w:eastAsiaTheme="minorEastAsia"/>
          <w:i/>
        </w:rPr>
        <w:t>)</w:t>
      </w:r>
    </w:p>
    <w:p w:rsidR="00CB7884" w:rsidRDefault="00866EDB" w:rsidP="002B6FE4">
      <w:pPr>
        <w:spacing w:line="360" w:lineRule="auto"/>
      </w:pPr>
      <w:r>
        <w:t xml:space="preserve">De resultaten die uit het hypothesevraagstuk naar voren komen, zullen naast de </w:t>
      </w:r>
      <w:r w:rsidR="001177EE">
        <w:t>drie</w:t>
      </w:r>
      <w:r>
        <w:t xml:space="preserve"> factoren uit het B&amp;E-model worden gelegd. </w:t>
      </w:r>
      <w:r w:rsidR="006008DF">
        <w:t>Hierna zal</w:t>
      </w:r>
      <w:r w:rsidR="001177EE">
        <w:t xml:space="preserve"> </w:t>
      </w:r>
      <w:r w:rsidR="0056240B">
        <w:t xml:space="preserve">tot slot </w:t>
      </w:r>
      <w:r w:rsidR="001177EE">
        <w:t>een panel data analyse de coëfficiënten van die drie variabelen schat</w:t>
      </w:r>
      <w:r w:rsidR="006008DF">
        <w:t>ten</w:t>
      </w:r>
      <w:r w:rsidR="001177EE">
        <w:t xml:space="preserve">, waardoor voor </w:t>
      </w:r>
      <w:r w:rsidR="0056240B">
        <w:t xml:space="preserve">de </w:t>
      </w:r>
      <w:r w:rsidR="001177EE">
        <w:t xml:space="preserve">verschillende tijdsintervallen </w:t>
      </w:r>
      <w:r w:rsidR="00BA7A7B">
        <w:t>een</w:t>
      </w:r>
      <w:r w:rsidR="001177EE">
        <w:t xml:space="preserve"> vergelijking tussen Nederland en de referentielanden kan worden gemaakt.</w:t>
      </w:r>
    </w:p>
    <w:p w:rsidR="00CB7884" w:rsidRDefault="00CB7884" w:rsidP="002B6FE4">
      <w:pPr>
        <w:spacing w:line="360" w:lineRule="auto"/>
      </w:pPr>
    </w:p>
    <w:p w:rsidR="00B857D8" w:rsidRDefault="00B857D8" w:rsidP="002B6FE4">
      <w:pPr>
        <w:spacing w:line="360" w:lineRule="auto"/>
        <w:rPr>
          <w:b/>
          <w:sz w:val="24"/>
        </w:rPr>
      </w:pPr>
    </w:p>
    <w:p w:rsidR="00E21E4E" w:rsidRPr="00CB7884" w:rsidRDefault="00756E22" w:rsidP="002B6FE4">
      <w:pPr>
        <w:spacing w:line="360" w:lineRule="auto"/>
      </w:pPr>
      <w:r w:rsidRPr="00E21E4E">
        <w:rPr>
          <w:b/>
          <w:sz w:val="24"/>
        </w:rPr>
        <w:lastRenderedPageBreak/>
        <w:t xml:space="preserve">III. </w:t>
      </w:r>
      <w:r w:rsidR="006E3867" w:rsidRPr="00E21E4E">
        <w:rPr>
          <w:b/>
          <w:sz w:val="24"/>
        </w:rPr>
        <w:t xml:space="preserve">Data &amp; </w:t>
      </w:r>
      <w:r w:rsidR="009707F0" w:rsidRPr="00E21E4E">
        <w:rPr>
          <w:b/>
          <w:sz w:val="24"/>
        </w:rPr>
        <w:t>Methodologie</w:t>
      </w:r>
    </w:p>
    <w:p w:rsidR="0088075F" w:rsidRPr="00CB7884" w:rsidRDefault="009707F0" w:rsidP="002B6FE4">
      <w:pPr>
        <w:spacing w:line="360" w:lineRule="auto"/>
        <w:rPr>
          <w:b/>
        </w:rPr>
      </w:pPr>
      <w:r>
        <w:t xml:space="preserve">Om de onderzoeksvraag </w:t>
      </w:r>
      <w:r w:rsidR="00211CFF">
        <w:t xml:space="preserve">met behulp van de hypotheses </w:t>
      </w:r>
      <w:r>
        <w:t xml:space="preserve">te beantwoorden, </w:t>
      </w:r>
      <w:r w:rsidR="009747F2">
        <w:t>wordt</w:t>
      </w:r>
      <w:r>
        <w:t xml:space="preserve"> er gegrepen naar een heel scala aan middelen. Ten eerste is het van belang de</w:t>
      </w:r>
      <w:r w:rsidR="00327B1D">
        <w:t xml:space="preserve"> Nederlandse</w:t>
      </w:r>
      <w:r>
        <w:t xml:space="preserve"> organisatiegraad door de geschiedenis heen </w:t>
      </w:r>
      <w:r w:rsidR="00CD4E0F">
        <w:t>te analyseren. De gebruikte d</w:t>
      </w:r>
      <w:r>
        <w:t>ata</w:t>
      </w:r>
      <w:r w:rsidR="00932B42">
        <w:t>set</w:t>
      </w:r>
      <w:r>
        <w:t xml:space="preserve"> van Visser, </w:t>
      </w:r>
      <w:r w:rsidR="00932B42">
        <w:t>toont</w:t>
      </w:r>
      <w:r>
        <w:t xml:space="preserve"> de </w:t>
      </w:r>
      <w:r w:rsidR="005474E5">
        <w:t xml:space="preserve">macro-economische </w:t>
      </w:r>
      <w:r w:rsidR="00CD4E0F">
        <w:t>organisatie</w:t>
      </w:r>
      <w:r>
        <w:t>cijfers van tientallen landen</w:t>
      </w:r>
      <w:r w:rsidR="00CD4E0F">
        <w:t xml:space="preserve"> van 1960 tot 2011. Aangezien het Akkoord van Wassenaar in 1982 is afgesloten, is de range van de dataset voldoende groot om zinnige opmerkingen te plaatsen over de ontwikkeling van de Nederlandse organisatiegraad. </w:t>
      </w:r>
      <w:r w:rsidR="009747F2">
        <w:t>De gevonden data worden geplot in een lijngrafiek, waarna e</w:t>
      </w:r>
      <w:r w:rsidR="00565642">
        <w:t>en</w:t>
      </w:r>
      <w:r w:rsidR="009747F2">
        <w:t xml:space="preserve"> </w:t>
      </w:r>
      <w:r w:rsidR="00493BCA">
        <w:t>lineaire trendlijn wordt opgesteld die de ontwikkeling van de organisatiegraad weergeeft.</w:t>
      </w:r>
      <w:r w:rsidR="00CB7884">
        <w:rPr>
          <w:b/>
        </w:rPr>
        <w:br/>
      </w:r>
      <w:r w:rsidR="00CB7884">
        <w:t xml:space="preserve"> </w:t>
      </w:r>
      <w:r w:rsidR="00CB7884">
        <w:tab/>
      </w:r>
      <w:r w:rsidR="00493BCA">
        <w:t xml:space="preserve">Het is van belang om een vergelijking te maken met een situatie waarin het Akkoord van Wassenaar niet plaatsvindt, </w:t>
      </w:r>
      <w:r w:rsidR="00563B99">
        <w:t>zodat</w:t>
      </w:r>
      <w:r w:rsidR="00493BCA">
        <w:t xml:space="preserve"> de ontwikkeling van de organisatiegraad in Nederland in perspectief kan worden gezet. Aangezien het Akkoord van Wassenaar branche-overschrijdend is, is het niet mogelijk om binnen de landsgrenzen te blijven bij het zoeken naar een referentiekader. Om deze reden is er gegrepen naar de organisatiegraden van andere landen, zodat er alsnog een </w:t>
      </w:r>
      <w:r w:rsidR="00563B99">
        <w:t xml:space="preserve">bruikbare </w:t>
      </w:r>
      <w:r w:rsidR="00493BCA">
        <w:t xml:space="preserve">vergelijking kan worden gemaakt. Het is van belang om landen te gebruiken, die een </w:t>
      </w:r>
      <w:r w:rsidR="00565642">
        <w:t xml:space="preserve">met Nederland </w:t>
      </w:r>
      <w:r w:rsidR="00493BCA">
        <w:t xml:space="preserve">vergelijkbare </w:t>
      </w:r>
      <w:r w:rsidR="00563B99">
        <w:t xml:space="preserve">en dus representatieve </w:t>
      </w:r>
      <w:r w:rsidR="00493BCA">
        <w:t xml:space="preserve">economische ontwikkeling </w:t>
      </w:r>
      <w:r w:rsidR="00565642">
        <w:t>doormaken</w:t>
      </w:r>
      <w:r w:rsidR="00563B99">
        <w:t>.</w:t>
      </w:r>
      <w:r w:rsidR="00CB7884">
        <w:rPr>
          <w:b/>
        </w:rPr>
        <w:br/>
        <w:t xml:space="preserve"> </w:t>
      </w:r>
      <w:r w:rsidR="00CB7884">
        <w:rPr>
          <w:b/>
        </w:rPr>
        <w:tab/>
      </w:r>
      <w:r w:rsidR="008526BD">
        <w:t xml:space="preserve">In dezelfde database van Visser </w:t>
      </w:r>
      <w:r w:rsidR="00565642">
        <w:t>(</w:t>
      </w:r>
      <w:r w:rsidR="008526BD">
        <w:t>die hierboven reeds is beschreven</w:t>
      </w:r>
      <w:r w:rsidR="00565642">
        <w:t>)</w:t>
      </w:r>
      <w:r w:rsidR="008526BD">
        <w:t xml:space="preserve">, zijn ongeveer 30 landen geanalyseerd. Dit zijn </w:t>
      </w:r>
      <w:r w:rsidR="00563B99">
        <w:t>meteen</w:t>
      </w:r>
      <w:r w:rsidR="008526BD">
        <w:t xml:space="preserve"> de landen die zijn meegenomen in de voorselectie van de </w:t>
      </w:r>
      <w:r w:rsidR="00563B99">
        <w:t xml:space="preserve">benodigde </w:t>
      </w:r>
      <w:r w:rsidR="008526BD">
        <w:t xml:space="preserve">referentielanden. Door de ontwikkeling van de organisatiegraden op dezelfde wijze te analyseren zoals dat bij Nederland is gedaan, </w:t>
      </w:r>
      <w:r w:rsidR="00123319">
        <w:t xml:space="preserve">is het mogelijk </w:t>
      </w:r>
      <w:r w:rsidR="00563B99">
        <w:t>geworden bepaalde</w:t>
      </w:r>
      <w:r w:rsidR="00123319">
        <w:t xml:space="preserve"> landen weg te strepen</w:t>
      </w:r>
      <w:r w:rsidR="003F51D4">
        <w:t xml:space="preserve"> </w:t>
      </w:r>
      <w:r w:rsidR="008526BD">
        <w:t xml:space="preserve">. </w:t>
      </w:r>
      <w:r w:rsidR="00563B99">
        <w:t>Landen</w:t>
      </w:r>
      <w:r w:rsidR="008526BD">
        <w:t xml:space="preserve"> met afwijkende trendlijnen</w:t>
      </w:r>
      <w:r w:rsidR="00D03674">
        <w:t xml:space="preserve"> (die een andere richtingscoëfficiënt hebben)</w:t>
      </w:r>
      <w:r w:rsidR="008526BD">
        <w:t xml:space="preserve"> zijn </w:t>
      </w:r>
      <w:r w:rsidR="00563B99">
        <w:t>hierbij afgevallen</w:t>
      </w:r>
      <w:r w:rsidR="008526BD">
        <w:t xml:space="preserve">. Wanneer de trendlijn immers een andere richting aanneemt dan </w:t>
      </w:r>
      <w:r w:rsidR="00123319">
        <w:t>de trendlijn</w:t>
      </w:r>
      <w:r w:rsidR="008526BD">
        <w:t xml:space="preserve"> van Nederland, is de organisatiegraad van dat land niet </w:t>
      </w:r>
      <w:r w:rsidR="00123319">
        <w:t xml:space="preserve">(voldoende) </w:t>
      </w:r>
      <w:r w:rsidR="008526BD">
        <w:t>representatief</w:t>
      </w:r>
      <w:r w:rsidR="003F51D4">
        <w:t xml:space="preserve">. </w:t>
      </w:r>
      <w:r w:rsidR="0061630C">
        <w:t>Wan</w:t>
      </w:r>
      <w:r w:rsidR="008526BD">
        <w:t>neer deze selectie heeft plaatsgevonden, wordt er</w:t>
      </w:r>
      <w:r w:rsidR="0061630C">
        <w:t xml:space="preserve"> gekeken naar eventueel </w:t>
      </w:r>
      <w:r w:rsidR="00123319">
        <w:t>abnormale</w:t>
      </w:r>
      <w:r w:rsidR="0061630C">
        <w:t xml:space="preserve"> de</w:t>
      </w:r>
      <w:r w:rsidR="00123319">
        <w:t xml:space="preserve">viaties van de organisatiegraad, waarna eveneens deze landen </w:t>
      </w:r>
      <w:r w:rsidR="00563B99">
        <w:t>eruit worden gefilterd</w:t>
      </w:r>
      <w:r w:rsidR="00123319">
        <w:t xml:space="preserve">. </w:t>
      </w:r>
      <w:r w:rsidR="00B101EA">
        <w:t>Hierop inhakend</w:t>
      </w:r>
      <w:r w:rsidR="00564E81">
        <w:t xml:space="preserve"> wordt de procentuele </w:t>
      </w:r>
      <w:r w:rsidR="00565642">
        <w:t>verandering</w:t>
      </w:r>
      <w:r w:rsidR="00564E81">
        <w:t xml:space="preserve"> van de organisatiegraad in ruim 50 jaar tijd in acht genomen, zodat t</w:t>
      </w:r>
      <w:r w:rsidR="00123319">
        <w:t xml:space="preserve">ot slot de overgebleven landen geanalyseerd </w:t>
      </w:r>
      <w:r w:rsidR="00564E81">
        <w:t xml:space="preserve">kunnen worden </w:t>
      </w:r>
      <w:r w:rsidR="00123319">
        <w:t xml:space="preserve">op basis van </w:t>
      </w:r>
      <w:r w:rsidR="00FD0798">
        <w:t>de</w:t>
      </w:r>
      <w:r w:rsidR="00123319">
        <w:t xml:space="preserve"> </w:t>
      </w:r>
      <w:r w:rsidR="00B101EA">
        <w:t xml:space="preserve">drie </w:t>
      </w:r>
      <w:r w:rsidR="00123319">
        <w:t xml:space="preserve">economische factoren die </w:t>
      </w:r>
      <w:r w:rsidR="00FD0798">
        <w:t xml:space="preserve">volgens het </w:t>
      </w:r>
      <w:r w:rsidR="00B42F69">
        <w:t>B-E</w:t>
      </w:r>
      <w:r w:rsidR="00FD0798">
        <w:t xml:space="preserve"> model </w:t>
      </w:r>
      <w:r w:rsidR="00123319">
        <w:t>van invloed zouden kunn</w:t>
      </w:r>
      <w:r w:rsidR="00FD0798">
        <w:t>en zijn op de organisatiegraad</w:t>
      </w:r>
      <w:sdt>
        <w:sdtPr>
          <w:id w:val="-2130318214"/>
          <w:citation/>
        </w:sdtPr>
        <w:sdtEndPr/>
        <w:sdtContent>
          <w:r w:rsidR="00123319">
            <w:fldChar w:fldCharType="begin"/>
          </w:r>
          <w:r w:rsidR="002C2DE3">
            <w:instrText xml:space="preserve">CITATION Bai82 \l 1043 </w:instrText>
          </w:r>
          <w:r w:rsidR="00123319">
            <w:fldChar w:fldCharType="separate"/>
          </w:r>
          <w:r w:rsidR="00D56303">
            <w:rPr>
              <w:noProof/>
            </w:rPr>
            <w:t xml:space="preserve"> (Bain &amp; Elsheikh, 1982)</w:t>
          </w:r>
          <w:r w:rsidR="00123319">
            <w:fldChar w:fldCharType="end"/>
          </w:r>
        </w:sdtContent>
      </w:sdt>
      <w:r w:rsidR="00123319">
        <w:t>.</w:t>
      </w:r>
      <w:r w:rsidR="00BF07F1">
        <w:t xml:space="preserve"> </w:t>
      </w:r>
      <w:r w:rsidR="00B101EA">
        <w:t>Deze factoren zijn de inflatie, het werkloosheidspercentage en de werknemerscompensatie. Door de ontwikkeling van deze v</w:t>
      </w:r>
      <w:r w:rsidR="00563B99">
        <w:t xml:space="preserve">ariabelen voor de overgebleven </w:t>
      </w:r>
      <w:r w:rsidR="00B101EA">
        <w:t>landen in de periode voor het Akkoord van Wassenaar te bekijken, is het mogelijk geworden om drie referentielanden te selecteren</w:t>
      </w:r>
      <w:r w:rsidR="00871D0A">
        <w:t xml:space="preserve"> die de meeste overeenkomsten tonen met Nederland</w:t>
      </w:r>
      <w:r w:rsidR="00B101EA">
        <w:t xml:space="preserve">. </w:t>
      </w:r>
      <w:r w:rsidR="00CB7884">
        <w:rPr>
          <w:b/>
        </w:rPr>
        <w:br/>
      </w:r>
      <w:r w:rsidR="00CB7884">
        <w:t xml:space="preserve"> </w:t>
      </w:r>
      <w:r w:rsidR="00CB7884">
        <w:tab/>
      </w:r>
      <w:r w:rsidR="00B101EA">
        <w:t xml:space="preserve">Duitsland, Zwitserland en Japan zijn uiteindelijk de landen die geselecteerd zijn op basis </w:t>
      </w:r>
      <w:r w:rsidR="00563B99">
        <w:t xml:space="preserve">van </w:t>
      </w:r>
      <w:r w:rsidR="00563B99">
        <w:lastRenderedPageBreak/>
        <w:t>al het voorgaande.</w:t>
      </w:r>
      <w:r w:rsidR="000D0BF1">
        <w:t xml:space="preserve"> </w:t>
      </w:r>
      <w:r w:rsidR="00C14269">
        <w:t xml:space="preserve">Hieronder </w:t>
      </w:r>
      <w:r w:rsidR="000D0BF1">
        <w:t xml:space="preserve">zal de selectie van de referentielanden op basis van </w:t>
      </w:r>
      <w:r w:rsidR="00E06CA2">
        <w:t>de</w:t>
      </w:r>
      <w:r w:rsidR="0048371F">
        <w:t xml:space="preserve"> </w:t>
      </w:r>
      <w:r w:rsidR="00E06CA2">
        <w:t xml:space="preserve">variabelen </w:t>
      </w:r>
      <w:r w:rsidR="0048371F">
        <w:t xml:space="preserve">uit het </w:t>
      </w:r>
      <w:r w:rsidR="00B42F69">
        <w:t>B-E</w:t>
      </w:r>
      <w:r w:rsidR="0048371F">
        <w:t xml:space="preserve"> model en de ontwikkeling van de organisatiegraad </w:t>
      </w:r>
      <w:r w:rsidR="00E06CA2">
        <w:t>worden geanalyseerd.</w:t>
      </w:r>
      <w:r w:rsidR="00FF151E">
        <w:t xml:space="preserve"> </w:t>
      </w:r>
    </w:p>
    <w:p w:rsidR="00BF28D8" w:rsidRPr="00BA4AE6" w:rsidRDefault="00401803" w:rsidP="002B6FE4">
      <w:pPr>
        <w:spacing w:line="360" w:lineRule="auto"/>
        <w:rPr>
          <w:noProof/>
          <w:lang w:eastAsia="nl-NL"/>
        </w:rPr>
      </w:pPr>
      <w:r>
        <w:rPr>
          <w:noProof/>
          <w:lang w:eastAsia="nl-NL"/>
        </w:rPr>
        <w:drawing>
          <wp:inline distT="0" distB="0" distL="0" distR="0" wp14:anchorId="29E53699" wp14:editId="596C52D6">
            <wp:extent cx="5724525" cy="2743200"/>
            <wp:effectExtent l="0" t="0" r="9525" b="19050"/>
            <wp:docPr id="5" name="Grafiek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sidR="004557EA">
        <w:rPr>
          <w:noProof/>
          <w:lang w:eastAsia="nl-NL"/>
        </w:rPr>
        <w:br/>
      </w:r>
      <w:r w:rsidR="004557EA" w:rsidRPr="0077004B">
        <w:rPr>
          <w:b/>
          <w:i/>
          <w:noProof/>
          <w:sz w:val="20"/>
          <w:szCs w:val="20"/>
          <w:lang w:eastAsia="nl-NL"/>
        </w:rPr>
        <w:t xml:space="preserve">Figuur 1. </w:t>
      </w:r>
      <w:r w:rsidR="004557EA" w:rsidRPr="0077004B">
        <w:rPr>
          <w:b/>
          <w:noProof/>
          <w:sz w:val="20"/>
          <w:szCs w:val="20"/>
          <w:lang w:eastAsia="nl-NL"/>
        </w:rPr>
        <w:t>Inflatiecijfers Duitsland, Japan, Nederland en Zwitserland in de periode 1960-1982</w:t>
      </w:r>
      <w:r w:rsidR="004557EA">
        <w:rPr>
          <w:noProof/>
          <w:sz w:val="20"/>
          <w:szCs w:val="20"/>
          <w:lang w:eastAsia="nl-NL"/>
        </w:rPr>
        <w:t xml:space="preserve"> </w:t>
      </w:r>
      <w:sdt>
        <w:sdtPr>
          <w:rPr>
            <w:noProof/>
            <w:sz w:val="16"/>
            <w:szCs w:val="20"/>
            <w:lang w:eastAsia="nl-NL"/>
          </w:rPr>
          <w:id w:val="-693312523"/>
          <w:citation/>
        </w:sdtPr>
        <w:sdtEndPr/>
        <w:sdtContent>
          <w:r w:rsidR="004557EA" w:rsidRPr="0077004B">
            <w:rPr>
              <w:noProof/>
              <w:sz w:val="16"/>
              <w:szCs w:val="20"/>
              <w:lang w:eastAsia="nl-NL"/>
            </w:rPr>
            <w:fldChar w:fldCharType="begin"/>
          </w:r>
          <w:r w:rsidR="004557EA" w:rsidRPr="0077004B">
            <w:rPr>
              <w:noProof/>
              <w:sz w:val="16"/>
              <w:szCs w:val="20"/>
              <w:lang w:eastAsia="nl-NL"/>
            </w:rPr>
            <w:instrText xml:space="preserve">CITATION OEC151 \l 1043 </w:instrText>
          </w:r>
          <w:r w:rsidR="004557EA" w:rsidRPr="0077004B">
            <w:rPr>
              <w:noProof/>
              <w:sz w:val="16"/>
              <w:szCs w:val="20"/>
              <w:lang w:eastAsia="nl-NL"/>
            </w:rPr>
            <w:fldChar w:fldCharType="separate"/>
          </w:r>
          <w:r w:rsidR="00D56303" w:rsidRPr="00D56303">
            <w:rPr>
              <w:noProof/>
              <w:sz w:val="16"/>
              <w:szCs w:val="20"/>
              <w:lang w:eastAsia="nl-NL"/>
            </w:rPr>
            <w:t>(OECD, 2015)</w:t>
          </w:r>
          <w:r w:rsidR="004557EA" w:rsidRPr="0077004B">
            <w:rPr>
              <w:noProof/>
              <w:sz w:val="16"/>
              <w:szCs w:val="20"/>
              <w:lang w:eastAsia="nl-NL"/>
            </w:rPr>
            <w:fldChar w:fldCharType="end"/>
          </w:r>
        </w:sdtContent>
      </w:sdt>
      <w:r w:rsidR="00BF28D8">
        <w:rPr>
          <w:noProof/>
          <w:lang w:eastAsia="nl-NL"/>
        </w:rPr>
        <w:br/>
      </w:r>
      <w:r w:rsidR="00BA4AE6">
        <w:rPr>
          <w:noProof/>
          <w:lang w:eastAsia="nl-NL"/>
        </w:rPr>
        <w:br/>
      </w:r>
      <w:r w:rsidR="00AB4A14">
        <w:rPr>
          <w:noProof/>
          <w:lang w:eastAsia="nl-NL"/>
        </w:rPr>
        <w:t xml:space="preserve">De ontwikkeling van de inflatie lijkt voor alle landen in zekere mate vergelijkbaar te zijn. Het prijspeil blijft vanaf 1960 tot 1973 vrijwel stabiel, waarna er plots een sterke stijging optreed. Deze sterke stijging heeft te maken met het ontstaan van de eerste oliecrisis in 1973, wat resulteerde in sterke economische achteruitgang en hoge inflatie. </w:t>
      </w:r>
      <w:r w:rsidR="004557EA">
        <w:rPr>
          <w:noProof/>
          <w:lang w:eastAsia="nl-NL"/>
        </w:rPr>
        <w:t>Met name het Japanse prijspeil steeg erg hard, tot bijna 25% ten opzichte van het voorgaande jaar in 1974.</w:t>
      </w:r>
      <w:r w:rsidR="00A45EC9">
        <w:rPr>
          <w:noProof/>
          <w:lang w:eastAsia="nl-NL"/>
        </w:rPr>
        <w:t xml:space="preserve"> Na </w:t>
      </w:r>
      <w:r w:rsidR="004557EA">
        <w:rPr>
          <w:noProof/>
          <w:lang w:eastAsia="nl-NL"/>
        </w:rPr>
        <w:t>dat jaar</w:t>
      </w:r>
      <w:r w:rsidR="00A45EC9">
        <w:rPr>
          <w:noProof/>
          <w:lang w:eastAsia="nl-NL"/>
        </w:rPr>
        <w:t xml:space="preserve"> daalde de inflatie </w:t>
      </w:r>
      <w:r w:rsidR="004557EA">
        <w:rPr>
          <w:noProof/>
          <w:lang w:eastAsia="nl-NL"/>
        </w:rPr>
        <w:t xml:space="preserve">voor alle landen </w:t>
      </w:r>
      <w:r w:rsidR="00A45EC9">
        <w:rPr>
          <w:noProof/>
          <w:lang w:eastAsia="nl-NL"/>
        </w:rPr>
        <w:t xml:space="preserve">weer </w:t>
      </w:r>
      <w:r w:rsidR="004557EA">
        <w:rPr>
          <w:noProof/>
          <w:lang w:eastAsia="nl-NL"/>
        </w:rPr>
        <w:t>gestaag</w:t>
      </w:r>
      <w:r w:rsidR="00A45EC9">
        <w:rPr>
          <w:noProof/>
          <w:lang w:eastAsia="nl-NL"/>
        </w:rPr>
        <w:t xml:space="preserve"> naar het initiële niveau, waarna in 1979 wederom een (relatief minder</w:t>
      </w:r>
      <w:r w:rsidR="00565642">
        <w:rPr>
          <w:noProof/>
          <w:lang w:eastAsia="nl-NL"/>
        </w:rPr>
        <w:t xml:space="preserve"> sterke</w:t>
      </w:r>
      <w:r w:rsidR="00A45EC9">
        <w:rPr>
          <w:noProof/>
          <w:lang w:eastAsia="nl-NL"/>
        </w:rPr>
        <w:t>) groei plaatsvond. In dit jaar brak de tweede oliecrisis uit, wat resulteerde in wederom een teruggang van de economie en een stijging van de inflatie. Net zoals de</w:t>
      </w:r>
      <w:r w:rsidR="00B554E7">
        <w:rPr>
          <w:noProof/>
          <w:lang w:eastAsia="nl-NL"/>
        </w:rPr>
        <w:t xml:space="preserve"> Nederlandse inflatie, tendeert</w:t>
      </w:r>
      <w:r w:rsidR="00A45EC9">
        <w:rPr>
          <w:noProof/>
          <w:lang w:eastAsia="nl-NL"/>
        </w:rPr>
        <w:t xml:space="preserve"> </w:t>
      </w:r>
      <w:r w:rsidR="00B554E7">
        <w:rPr>
          <w:noProof/>
          <w:lang w:eastAsia="nl-NL"/>
        </w:rPr>
        <w:t xml:space="preserve">die van de referentielanden in de periode 1960-1982 rond de 5%-lijn, waardoor </w:t>
      </w:r>
      <w:r w:rsidR="0077004B">
        <w:rPr>
          <w:noProof/>
          <w:lang w:eastAsia="nl-NL"/>
        </w:rPr>
        <w:t>gesteld kan worden dat deze variabele uit het B-E model voor bovenstaande vier landen vergelijkbaar is.</w:t>
      </w:r>
      <w:r w:rsidR="00B554E7">
        <w:rPr>
          <w:noProof/>
          <w:lang w:eastAsia="nl-NL"/>
        </w:rPr>
        <w:t xml:space="preserve">   </w:t>
      </w:r>
    </w:p>
    <w:p w:rsidR="005376D6" w:rsidRDefault="001F4E1A" w:rsidP="002B6FE4">
      <w:pPr>
        <w:spacing w:line="360" w:lineRule="auto"/>
        <w:rPr>
          <w:noProof/>
          <w:lang w:eastAsia="nl-NL"/>
        </w:rPr>
      </w:pPr>
      <w:r>
        <w:rPr>
          <w:noProof/>
          <w:lang w:eastAsia="nl-NL"/>
        </w:rPr>
        <w:lastRenderedPageBreak/>
        <w:drawing>
          <wp:inline distT="0" distB="0" distL="0" distR="0" wp14:anchorId="2BB2D1FB" wp14:editId="062E55CA">
            <wp:extent cx="5619750" cy="2838450"/>
            <wp:effectExtent l="0" t="0" r="0" b="0"/>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9750" cy="2838450"/>
                    </a:xfrm>
                    <a:prstGeom prst="rect">
                      <a:avLst/>
                    </a:prstGeom>
                    <a:noFill/>
                    <a:ln>
                      <a:noFill/>
                    </a:ln>
                  </pic:spPr>
                </pic:pic>
              </a:graphicData>
            </a:graphic>
          </wp:inline>
        </w:drawing>
      </w:r>
      <w:r w:rsidR="00FD0798" w:rsidRPr="00FD0798">
        <w:rPr>
          <w:noProof/>
          <w:lang w:eastAsia="nl-NL"/>
        </w:rPr>
        <w:t xml:space="preserve"> </w:t>
      </w:r>
      <w:r w:rsidR="0077004B">
        <w:rPr>
          <w:noProof/>
          <w:lang w:eastAsia="nl-NL"/>
        </w:rPr>
        <w:br/>
      </w:r>
      <w:r w:rsidR="0077004B" w:rsidRPr="0077004B">
        <w:rPr>
          <w:b/>
          <w:i/>
          <w:noProof/>
          <w:sz w:val="20"/>
          <w:szCs w:val="20"/>
          <w:lang w:eastAsia="nl-NL"/>
        </w:rPr>
        <w:t xml:space="preserve">Figuur 2. </w:t>
      </w:r>
      <w:r w:rsidR="0077004B" w:rsidRPr="0077004B">
        <w:rPr>
          <w:b/>
          <w:noProof/>
          <w:sz w:val="20"/>
          <w:szCs w:val="20"/>
          <w:lang w:eastAsia="nl-NL"/>
        </w:rPr>
        <w:t>Werkloosheidspercentages Duitsland, Japan, Nederland en Zwitserland in de periode 1960-1982</w:t>
      </w:r>
      <w:r w:rsidR="0077004B" w:rsidRPr="0077004B">
        <w:rPr>
          <w:noProof/>
          <w:sz w:val="20"/>
          <w:szCs w:val="20"/>
          <w:lang w:eastAsia="nl-NL"/>
        </w:rPr>
        <w:t xml:space="preserve"> </w:t>
      </w:r>
      <w:r w:rsidR="0077004B" w:rsidRPr="00F66888">
        <w:rPr>
          <w:i/>
          <w:noProof/>
          <w:sz w:val="16"/>
          <w:szCs w:val="16"/>
          <w:lang w:eastAsia="nl-NL"/>
        </w:rPr>
        <w:t xml:space="preserve">Opmerking. </w:t>
      </w:r>
      <w:r w:rsidR="0077004B" w:rsidRPr="00F66888">
        <w:rPr>
          <w:noProof/>
          <w:sz w:val="16"/>
          <w:szCs w:val="16"/>
          <w:lang w:eastAsia="nl-NL"/>
        </w:rPr>
        <w:t xml:space="preserve">Data van Zwitserland </w:t>
      </w:r>
      <w:r w:rsidR="00725670" w:rsidRPr="00F66888">
        <w:rPr>
          <w:noProof/>
          <w:sz w:val="16"/>
          <w:szCs w:val="16"/>
          <w:lang w:eastAsia="nl-NL"/>
        </w:rPr>
        <w:t>zijn</w:t>
      </w:r>
      <w:r w:rsidR="0077004B" w:rsidRPr="00F66888">
        <w:rPr>
          <w:noProof/>
          <w:sz w:val="16"/>
          <w:szCs w:val="16"/>
          <w:lang w:eastAsia="nl-NL"/>
        </w:rPr>
        <w:t xml:space="preserve"> handmatig overgezet naar bovenstaande grafiek</w:t>
      </w:r>
      <w:r w:rsidR="0077004B" w:rsidRPr="00F66888">
        <w:rPr>
          <w:i/>
          <w:noProof/>
          <w:sz w:val="16"/>
          <w:szCs w:val="16"/>
          <w:lang w:eastAsia="nl-NL"/>
        </w:rPr>
        <w:t xml:space="preserve"> </w:t>
      </w:r>
      <w:sdt>
        <w:sdtPr>
          <w:rPr>
            <w:b/>
            <w:noProof/>
            <w:sz w:val="16"/>
            <w:szCs w:val="16"/>
            <w:lang w:eastAsia="nl-NL"/>
          </w:rPr>
          <w:id w:val="-799691880"/>
          <w:citation/>
        </w:sdtPr>
        <w:sdtEndPr/>
        <w:sdtContent>
          <w:r w:rsidR="0077004B" w:rsidRPr="00F66888">
            <w:rPr>
              <w:b/>
              <w:noProof/>
              <w:sz w:val="16"/>
              <w:szCs w:val="16"/>
              <w:lang w:eastAsia="nl-NL"/>
            </w:rPr>
            <w:fldChar w:fldCharType="begin"/>
          </w:r>
          <w:r w:rsidR="0077004B" w:rsidRPr="00F66888">
            <w:rPr>
              <w:b/>
              <w:noProof/>
              <w:sz w:val="16"/>
              <w:szCs w:val="16"/>
              <w:lang w:eastAsia="nl-NL"/>
            </w:rPr>
            <w:instrText xml:space="preserve">CITATION Sta15 \l 1043 </w:instrText>
          </w:r>
          <w:r w:rsidR="0077004B" w:rsidRPr="00F66888">
            <w:rPr>
              <w:b/>
              <w:noProof/>
              <w:sz w:val="16"/>
              <w:szCs w:val="16"/>
              <w:lang w:eastAsia="nl-NL"/>
            </w:rPr>
            <w:fldChar w:fldCharType="separate"/>
          </w:r>
          <w:r w:rsidR="00D56303" w:rsidRPr="00F66888">
            <w:rPr>
              <w:noProof/>
              <w:sz w:val="16"/>
              <w:szCs w:val="16"/>
              <w:lang w:eastAsia="nl-NL"/>
            </w:rPr>
            <w:t>(Statistisches Bundesamt, 2015)</w:t>
          </w:r>
          <w:r w:rsidR="0077004B" w:rsidRPr="00F66888">
            <w:rPr>
              <w:b/>
              <w:noProof/>
              <w:sz w:val="16"/>
              <w:szCs w:val="16"/>
              <w:lang w:eastAsia="nl-NL"/>
            </w:rPr>
            <w:fldChar w:fldCharType="end"/>
          </w:r>
        </w:sdtContent>
      </w:sdt>
      <w:r w:rsidR="0077004B" w:rsidRPr="00F66888">
        <w:rPr>
          <w:b/>
          <w:noProof/>
          <w:sz w:val="16"/>
          <w:szCs w:val="16"/>
          <w:lang w:eastAsia="nl-NL"/>
        </w:rPr>
        <w:t xml:space="preserve"> </w:t>
      </w:r>
      <w:sdt>
        <w:sdtPr>
          <w:rPr>
            <w:b/>
            <w:noProof/>
            <w:sz w:val="16"/>
            <w:szCs w:val="16"/>
            <w:lang w:eastAsia="nl-NL"/>
          </w:rPr>
          <w:id w:val="-1611815286"/>
          <w:citation/>
        </w:sdtPr>
        <w:sdtEndPr/>
        <w:sdtContent>
          <w:r w:rsidR="0077004B" w:rsidRPr="00F66888">
            <w:rPr>
              <w:b/>
              <w:noProof/>
              <w:sz w:val="16"/>
              <w:szCs w:val="16"/>
              <w:lang w:eastAsia="nl-NL"/>
            </w:rPr>
            <w:fldChar w:fldCharType="begin"/>
          </w:r>
          <w:r w:rsidR="0077004B" w:rsidRPr="00F66888">
            <w:rPr>
              <w:b/>
              <w:noProof/>
              <w:sz w:val="16"/>
              <w:szCs w:val="16"/>
              <w:lang w:eastAsia="nl-NL"/>
            </w:rPr>
            <w:instrText xml:space="preserve">CITATION Sta151 \l 1043 </w:instrText>
          </w:r>
          <w:r w:rsidR="0077004B" w:rsidRPr="00F66888">
            <w:rPr>
              <w:b/>
              <w:noProof/>
              <w:sz w:val="16"/>
              <w:szCs w:val="16"/>
              <w:lang w:eastAsia="nl-NL"/>
            </w:rPr>
            <w:fldChar w:fldCharType="separate"/>
          </w:r>
          <w:r w:rsidR="00D56303" w:rsidRPr="00F66888">
            <w:rPr>
              <w:noProof/>
              <w:sz w:val="16"/>
              <w:szCs w:val="16"/>
              <w:lang w:eastAsia="nl-NL"/>
            </w:rPr>
            <w:t>(Statistics Japan, 2015)</w:t>
          </w:r>
          <w:r w:rsidR="0077004B" w:rsidRPr="00F66888">
            <w:rPr>
              <w:b/>
              <w:noProof/>
              <w:sz w:val="16"/>
              <w:szCs w:val="16"/>
              <w:lang w:eastAsia="nl-NL"/>
            </w:rPr>
            <w:fldChar w:fldCharType="end"/>
          </w:r>
        </w:sdtContent>
      </w:sdt>
      <w:r w:rsidR="0077004B" w:rsidRPr="00F66888">
        <w:rPr>
          <w:b/>
          <w:noProof/>
          <w:sz w:val="16"/>
          <w:szCs w:val="16"/>
          <w:lang w:eastAsia="nl-NL"/>
        </w:rPr>
        <w:t xml:space="preserve"> </w:t>
      </w:r>
      <w:sdt>
        <w:sdtPr>
          <w:rPr>
            <w:b/>
            <w:noProof/>
            <w:sz w:val="16"/>
            <w:szCs w:val="16"/>
            <w:lang w:eastAsia="nl-NL"/>
          </w:rPr>
          <w:id w:val="-1076050521"/>
          <w:citation/>
        </w:sdtPr>
        <w:sdtEndPr/>
        <w:sdtContent>
          <w:r w:rsidR="0077004B" w:rsidRPr="00F66888">
            <w:rPr>
              <w:b/>
              <w:noProof/>
              <w:sz w:val="16"/>
              <w:szCs w:val="16"/>
              <w:lang w:eastAsia="nl-NL"/>
            </w:rPr>
            <w:fldChar w:fldCharType="begin"/>
          </w:r>
          <w:r w:rsidR="0077004B" w:rsidRPr="00F66888">
            <w:rPr>
              <w:b/>
              <w:noProof/>
              <w:sz w:val="16"/>
              <w:szCs w:val="16"/>
              <w:lang w:eastAsia="nl-NL"/>
            </w:rPr>
            <w:instrText xml:space="preserve">CITATION CBS142 \l 1043 </w:instrText>
          </w:r>
          <w:r w:rsidR="0077004B" w:rsidRPr="00F66888">
            <w:rPr>
              <w:b/>
              <w:noProof/>
              <w:sz w:val="16"/>
              <w:szCs w:val="16"/>
              <w:lang w:eastAsia="nl-NL"/>
            </w:rPr>
            <w:fldChar w:fldCharType="separate"/>
          </w:r>
          <w:r w:rsidR="00D56303" w:rsidRPr="00F66888">
            <w:rPr>
              <w:noProof/>
              <w:sz w:val="16"/>
              <w:szCs w:val="16"/>
              <w:lang w:eastAsia="nl-NL"/>
            </w:rPr>
            <w:t>(CBS, 2014)</w:t>
          </w:r>
          <w:r w:rsidR="0077004B" w:rsidRPr="00F66888">
            <w:rPr>
              <w:b/>
              <w:noProof/>
              <w:sz w:val="16"/>
              <w:szCs w:val="16"/>
              <w:lang w:eastAsia="nl-NL"/>
            </w:rPr>
            <w:fldChar w:fldCharType="end"/>
          </w:r>
        </w:sdtContent>
      </w:sdt>
      <w:r w:rsidR="0077004B" w:rsidRPr="00F66888">
        <w:rPr>
          <w:b/>
          <w:noProof/>
          <w:sz w:val="16"/>
          <w:szCs w:val="16"/>
          <w:lang w:eastAsia="nl-NL"/>
        </w:rPr>
        <w:t xml:space="preserve"> </w:t>
      </w:r>
      <w:sdt>
        <w:sdtPr>
          <w:rPr>
            <w:b/>
            <w:noProof/>
            <w:sz w:val="16"/>
            <w:szCs w:val="16"/>
            <w:lang w:eastAsia="nl-NL"/>
          </w:rPr>
          <w:id w:val="1218243526"/>
          <w:citation/>
        </w:sdtPr>
        <w:sdtEndPr/>
        <w:sdtContent>
          <w:r w:rsidR="0077004B" w:rsidRPr="00F66888">
            <w:rPr>
              <w:b/>
              <w:noProof/>
              <w:sz w:val="16"/>
              <w:szCs w:val="16"/>
              <w:lang w:eastAsia="nl-NL"/>
            </w:rPr>
            <w:fldChar w:fldCharType="begin"/>
          </w:r>
          <w:r w:rsidR="0077004B" w:rsidRPr="00F66888">
            <w:rPr>
              <w:b/>
              <w:noProof/>
              <w:sz w:val="16"/>
              <w:szCs w:val="16"/>
              <w:lang w:eastAsia="nl-NL"/>
            </w:rPr>
            <w:instrText xml:space="preserve">CITATION Kla15 \l 1043 </w:instrText>
          </w:r>
          <w:r w:rsidR="0077004B" w:rsidRPr="00F66888">
            <w:rPr>
              <w:b/>
              <w:noProof/>
              <w:sz w:val="16"/>
              <w:szCs w:val="16"/>
              <w:lang w:eastAsia="nl-NL"/>
            </w:rPr>
            <w:fldChar w:fldCharType="separate"/>
          </w:r>
          <w:r w:rsidR="00D56303" w:rsidRPr="00F66888">
            <w:rPr>
              <w:noProof/>
              <w:sz w:val="16"/>
              <w:szCs w:val="16"/>
              <w:lang w:eastAsia="nl-NL"/>
            </w:rPr>
            <w:t>(Daube, 2015)</w:t>
          </w:r>
          <w:r w:rsidR="0077004B" w:rsidRPr="00F66888">
            <w:rPr>
              <w:b/>
              <w:noProof/>
              <w:sz w:val="16"/>
              <w:szCs w:val="16"/>
              <w:lang w:eastAsia="nl-NL"/>
            </w:rPr>
            <w:fldChar w:fldCharType="end"/>
          </w:r>
        </w:sdtContent>
      </w:sdt>
      <w:r w:rsidR="007D117E">
        <w:rPr>
          <w:noProof/>
          <w:lang w:eastAsia="nl-NL"/>
        </w:rPr>
        <w:br/>
      </w:r>
      <w:r w:rsidR="000B2AD6">
        <w:rPr>
          <w:noProof/>
          <w:sz w:val="16"/>
          <w:szCs w:val="16"/>
          <w:lang w:eastAsia="nl-NL"/>
        </w:rPr>
        <w:br/>
      </w:r>
      <w:r w:rsidR="000B2AD6">
        <w:rPr>
          <w:noProof/>
          <w:sz w:val="16"/>
          <w:szCs w:val="16"/>
          <w:lang w:eastAsia="nl-NL"/>
        </w:rPr>
        <w:br/>
      </w:r>
      <w:r w:rsidR="007D117E">
        <w:rPr>
          <w:noProof/>
          <w:lang w:eastAsia="nl-NL"/>
        </w:rPr>
        <w:t>Het werkloosheidspercentage in de periode 19</w:t>
      </w:r>
      <w:r w:rsidR="00FE1427">
        <w:rPr>
          <w:noProof/>
          <w:lang w:eastAsia="nl-NL"/>
        </w:rPr>
        <w:t>60</w:t>
      </w:r>
      <w:r w:rsidR="007D117E">
        <w:rPr>
          <w:noProof/>
          <w:lang w:eastAsia="nl-NL"/>
        </w:rPr>
        <w:t>-19</w:t>
      </w:r>
      <w:r w:rsidR="00FE1427">
        <w:rPr>
          <w:noProof/>
          <w:lang w:eastAsia="nl-NL"/>
        </w:rPr>
        <w:t>8</w:t>
      </w:r>
      <w:r w:rsidR="007D117E">
        <w:rPr>
          <w:noProof/>
          <w:lang w:eastAsia="nl-NL"/>
        </w:rPr>
        <w:t xml:space="preserve">2 </w:t>
      </w:r>
      <w:r w:rsidR="00FE1427">
        <w:rPr>
          <w:noProof/>
          <w:lang w:eastAsia="nl-NL"/>
        </w:rPr>
        <w:t>kent voor Japan en Zwitserland een vrij stabiel verloop, terwijl</w:t>
      </w:r>
      <w:r w:rsidR="007D117E">
        <w:rPr>
          <w:noProof/>
          <w:lang w:eastAsia="nl-NL"/>
        </w:rPr>
        <w:t xml:space="preserve"> Duitsland </w:t>
      </w:r>
      <w:r w:rsidR="00FE1427">
        <w:rPr>
          <w:noProof/>
          <w:lang w:eastAsia="nl-NL"/>
        </w:rPr>
        <w:t xml:space="preserve">en Nederland een wat meer fluctuerende trend laten zien. Vooral de twee oliecrises hebben een enorme werkloosheid veroorzaakt in </w:t>
      </w:r>
      <w:r w:rsidR="0077004B">
        <w:rPr>
          <w:noProof/>
          <w:lang w:eastAsia="nl-NL"/>
        </w:rPr>
        <w:t>laatstgenoemde</w:t>
      </w:r>
      <w:r w:rsidR="00FE1427">
        <w:rPr>
          <w:noProof/>
          <w:lang w:eastAsia="nl-NL"/>
        </w:rPr>
        <w:t xml:space="preserve"> landen, terwijl Japan en Zwitserland daar </w:t>
      </w:r>
      <w:r w:rsidR="00045B03">
        <w:rPr>
          <w:noProof/>
          <w:lang w:eastAsia="nl-NL"/>
        </w:rPr>
        <w:t xml:space="preserve">in </w:t>
      </w:r>
      <w:r w:rsidR="0077004B">
        <w:rPr>
          <w:noProof/>
          <w:lang w:eastAsia="nl-NL"/>
        </w:rPr>
        <w:t>aanzienlijk</w:t>
      </w:r>
      <w:r w:rsidR="00045B03">
        <w:rPr>
          <w:noProof/>
          <w:lang w:eastAsia="nl-NL"/>
        </w:rPr>
        <w:t xml:space="preserve"> mindere mate hinder</w:t>
      </w:r>
      <w:r w:rsidR="00FE1427">
        <w:rPr>
          <w:noProof/>
          <w:lang w:eastAsia="nl-NL"/>
        </w:rPr>
        <w:t xml:space="preserve"> van hebben ondervonden.</w:t>
      </w:r>
      <w:r w:rsidR="008E0EEC">
        <w:rPr>
          <w:noProof/>
          <w:lang w:eastAsia="nl-NL"/>
        </w:rPr>
        <w:t xml:space="preserve"> </w:t>
      </w:r>
      <w:r w:rsidR="006D759A">
        <w:rPr>
          <w:noProof/>
          <w:lang w:eastAsia="nl-NL"/>
        </w:rPr>
        <w:t xml:space="preserve">Het werkloosheidspercentage in Zwitserland is in het </w:t>
      </w:r>
      <w:r w:rsidR="0077004B">
        <w:rPr>
          <w:noProof/>
          <w:lang w:eastAsia="nl-NL"/>
        </w:rPr>
        <w:t xml:space="preserve">gehele </w:t>
      </w:r>
      <w:r w:rsidR="006D759A">
        <w:rPr>
          <w:noProof/>
          <w:lang w:eastAsia="nl-NL"/>
        </w:rPr>
        <w:t xml:space="preserve">tijdsinterval zelfs niet eens boven de 1% geraakt. </w:t>
      </w:r>
      <w:r w:rsidR="0077004B">
        <w:rPr>
          <w:noProof/>
          <w:lang w:eastAsia="nl-NL"/>
        </w:rPr>
        <w:t xml:space="preserve">Ondanks het feit dat er wel degelijk verschillen zichtbaar zijn in de werkloosheidspercentages, blijkt </w:t>
      </w:r>
      <w:r w:rsidR="008E0EEC">
        <w:rPr>
          <w:noProof/>
          <w:lang w:eastAsia="nl-NL"/>
        </w:rPr>
        <w:t xml:space="preserve"> </w:t>
      </w:r>
      <w:r w:rsidR="0077004B">
        <w:rPr>
          <w:noProof/>
          <w:lang w:eastAsia="nl-NL"/>
        </w:rPr>
        <w:t xml:space="preserve">er bij alle vier de landen sprake te zijn van een opgaande trend over de gehele periode. </w:t>
      </w:r>
      <w:r w:rsidR="008E0EEC">
        <w:rPr>
          <w:noProof/>
          <w:lang w:eastAsia="nl-NL"/>
        </w:rPr>
        <w:t xml:space="preserve">Bij de analyse van de organisatiegraad moet echter in het achterhoofd worden gehouden dat Duitsland en Nederland in de aanloop naar het Akkoord van Wassenaar te maken hebben gehad met een hogere werkloosheid, </w:t>
      </w:r>
      <w:r w:rsidR="00397DB8">
        <w:rPr>
          <w:noProof/>
          <w:lang w:eastAsia="nl-NL"/>
        </w:rPr>
        <w:t>wat van invloed kan zijn geweest op de ontwikkeling van de organisatiegraad.</w:t>
      </w:r>
      <w:r w:rsidR="008E0EEC">
        <w:rPr>
          <w:noProof/>
          <w:lang w:eastAsia="nl-NL"/>
        </w:rPr>
        <w:br/>
      </w:r>
      <w:r w:rsidR="007D117E">
        <w:rPr>
          <w:noProof/>
          <w:lang w:eastAsia="nl-NL"/>
        </w:rPr>
        <w:br/>
      </w:r>
      <w:r w:rsidR="001E295E">
        <w:rPr>
          <w:noProof/>
          <w:lang w:eastAsia="nl-NL"/>
        </w:rPr>
        <w:lastRenderedPageBreak/>
        <w:drawing>
          <wp:inline distT="0" distB="0" distL="0" distR="0" wp14:anchorId="3A9DE46D" wp14:editId="5650EC5C">
            <wp:extent cx="5524500" cy="2743200"/>
            <wp:effectExtent l="0" t="0" r="19050" b="19050"/>
            <wp:docPr id="9" name="Grafiek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sidR="008A0062" w:rsidRPr="008A0062">
        <w:rPr>
          <w:noProof/>
          <w:lang w:eastAsia="nl-NL"/>
        </w:rPr>
        <w:t xml:space="preserve"> </w:t>
      </w:r>
      <w:r w:rsidR="00CE238C">
        <w:rPr>
          <w:noProof/>
          <w:lang w:eastAsia="nl-NL"/>
        </w:rPr>
        <w:br/>
      </w:r>
      <w:r w:rsidR="00CE238C" w:rsidRPr="00CE238C">
        <w:rPr>
          <w:b/>
          <w:i/>
          <w:noProof/>
          <w:sz w:val="20"/>
          <w:szCs w:val="20"/>
          <w:lang w:eastAsia="nl-NL"/>
        </w:rPr>
        <w:t xml:space="preserve">Figuur 3. </w:t>
      </w:r>
      <w:r w:rsidR="00CE238C" w:rsidRPr="00CE238C">
        <w:rPr>
          <w:b/>
          <w:noProof/>
          <w:sz w:val="20"/>
          <w:szCs w:val="20"/>
          <w:lang w:eastAsia="nl-NL"/>
        </w:rPr>
        <w:t>Werknemerscompensatie</w:t>
      </w:r>
      <w:r w:rsidR="00CE238C">
        <w:rPr>
          <w:b/>
          <w:noProof/>
          <w:sz w:val="20"/>
          <w:szCs w:val="20"/>
          <w:lang w:eastAsia="nl-NL"/>
        </w:rPr>
        <w:t>,</w:t>
      </w:r>
      <w:r w:rsidR="00CE238C" w:rsidRPr="00CE238C">
        <w:rPr>
          <w:b/>
          <w:noProof/>
          <w:sz w:val="20"/>
          <w:szCs w:val="20"/>
          <w:lang w:eastAsia="nl-NL"/>
        </w:rPr>
        <w:t xml:space="preserve"> </w:t>
      </w:r>
      <w:r w:rsidR="00CE238C">
        <w:rPr>
          <w:b/>
          <w:noProof/>
          <w:sz w:val="20"/>
          <w:szCs w:val="20"/>
          <w:lang w:eastAsia="nl-NL"/>
        </w:rPr>
        <w:t xml:space="preserve">uitgedrukt in een percentage van de bruto toegevoegde waarde, voor </w:t>
      </w:r>
      <w:r w:rsidR="00CE238C" w:rsidRPr="00CE238C">
        <w:rPr>
          <w:b/>
          <w:noProof/>
          <w:sz w:val="20"/>
          <w:szCs w:val="20"/>
          <w:lang w:eastAsia="nl-NL"/>
        </w:rPr>
        <w:t>Duitsland, Japan, Nederland en Zwitserland in de periode 1970-1982</w:t>
      </w:r>
      <w:r w:rsidR="00CE238C">
        <w:rPr>
          <w:b/>
          <w:noProof/>
          <w:sz w:val="20"/>
          <w:szCs w:val="20"/>
          <w:lang w:eastAsia="nl-NL"/>
        </w:rPr>
        <w:t xml:space="preserve"> </w:t>
      </w:r>
      <w:r w:rsidR="00CE238C">
        <w:rPr>
          <w:b/>
          <w:noProof/>
          <w:sz w:val="20"/>
          <w:szCs w:val="20"/>
          <w:lang w:eastAsia="nl-NL"/>
        </w:rPr>
        <w:br/>
      </w:r>
      <w:r w:rsidR="00CE238C" w:rsidRPr="00F66888">
        <w:rPr>
          <w:i/>
          <w:noProof/>
          <w:sz w:val="16"/>
          <w:szCs w:val="16"/>
          <w:lang w:eastAsia="nl-NL"/>
        </w:rPr>
        <w:t>Opmerking. Cijfers voor de periode 1960-1969 waren niet beschikbaar voor Duitsland, Japan en Nederland; Cijfers voor de periode 1960-1979 waren niet beschikbaar voor Zwitserland.</w:t>
      </w:r>
      <w:r w:rsidR="00CE238C" w:rsidRPr="00F66888">
        <w:rPr>
          <w:noProof/>
          <w:sz w:val="16"/>
          <w:szCs w:val="16"/>
          <w:lang w:eastAsia="nl-NL"/>
        </w:rPr>
        <w:t xml:space="preserve"> </w:t>
      </w:r>
      <w:sdt>
        <w:sdtPr>
          <w:rPr>
            <w:b/>
            <w:noProof/>
            <w:sz w:val="16"/>
            <w:szCs w:val="16"/>
            <w:lang w:eastAsia="nl-NL"/>
          </w:rPr>
          <w:id w:val="102781633"/>
          <w:citation/>
        </w:sdtPr>
        <w:sdtEndPr/>
        <w:sdtContent>
          <w:r w:rsidR="00AE7D3E" w:rsidRPr="00F66888">
            <w:rPr>
              <w:b/>
              <w:noProof/>
              <w:sz w:val="16"/>
              <w:szCs w:val="16"/>
              <w:lang w:eastAsia="nl-NL"/>
            </w:rPr>
            <w:fldChar w:fldCharType="begin"/>
          </w:r>
          <w:r w:rsidR="0026091E" w:rsidRPr="00F66888">
            <w:rPr>
              <w:b/>
              <w:noProof/>
              <w:sz w:val="16"/>
              <w:szCs w:val="16"/>
              <w:lang w:eastAsia="nl-NL"/>
            </w:rPr>
            <w:instrText xml:space="preserve">CITATION OEC152 \l 1043 </w:instrText>
          </w:r>
          <w:r w:rsidR="00AE7D3E" w:rsidRPr="00F66888">
            <w:rPr>
              <w:b/>
              <w:noProof/>
              <w:sz w:val="16"/>
              <w:szCs w:val="16"/>
              <w:lang w:eastAsia="nl-NL"/>
            </w:rPr>
            <w:fldChar w:fldCharType="separate"/>
          </w:r>
          <w:r w:rsidR="00D56303" w:rsidRPr="00F66888">
            <w:rPr>
              <w:noProof/>
              <w:sz w:val="16"/>
              <w:szCs w:val="16"/>
              <w:lang w:eastAsia="nl-NL"/>
            </w:rPr>
            <w:t>(OECD, 2015)</w:t>
          </w:r>
          <w:r w:rsidR="00AE7D3E" w:rsidRPr="00F66888">
            <w:rPr>
              <w:b/>
              <w:noProof/>
              <w:sz w:val="16"/>
              <w:szCs w:val="16"/>
              <w:lang w:eastAsia="nl-NL"/>
            </w:rPr>
            <w:fldChar w:fldCharType="end"/>
          </w:r>
        </w:sdtContent>
      </w:sdt>
      <w:r w:rsidR="00C568CB" w:rsidRPr="00F66888">
        <w:rPr>
          <w:b/>
          <w:noProof/>
          <w:sz w:val="16"/>
          <w:szCs w:val="16"/>
          <w:lang w:eastAsia="nl-NL"/>
        </w:rPr>
        <w:br/>
      </w:r>
      <w:r w:rsidR="00301048">
        <w:rPr>
          <w:noProof/>
          <w:lang w:eastAsia="nl-NL"/>
        </w:rPr>
        <w:br/>
      </w:r>
      <w:r w:rsidR="00AE7D3E">
        <w:rPr>
          <w:noProof/>
          <w:lang w:eastAsia="nl-NL"/>
        </w:rPr>
        <w:t>De werknemerscompens</w:t>
      </w:r>
      <w:r w:rsidR="001E295E">
        <w:rPr>
          <w:noProof/>
          <w:lang w:eastAsia="nl-NL"/>
        </w:rPr>
        <w:t>atie, uitgedrukt in een percent</w:t>
      </w:r>
      <w:r w:rsidR="00AE7D3E">
        <w:rPr>
          <w:noProof/>
          <w:lang w:eastAsia="nl-NL"/>
        </w:rPr>
        <w:t>a</w:t>
      </w:r>
      <w:r w:rsidR="001E295E">
        <w:rPr>
          <w:noProof/>
          <w:lang w:eastAsia="nl-NL"/>
        </w:rPr>
        <w:t>g</w:t>
      </w:r>
      <w:r w:rsidR="00AE7D3E">
        <w:rPr>
          <w:noProof/>
          <w:lang w:eastAsia="nl-NL"/>
        </w:rPr>
        <w:t xml:space="preserve">e van de bruto toegevoegde </w:t>
      </w:r>
      <w:r w:rsidR="001E295E">
        <w:rPr>
          <w:noProof/>
          <w:lang w:eastAsia="nl-NL"/>
        </w:rPr>
        <w:t xml:space="preserve">waarde in de periode 1970-1982 </w:t>
      </w:r>
      <w:r w:rsidR="000D6894">
        <w:rPr>
          <w:noProof/>
          <w:lang w:eastAsia="nl-NL"/>
        </w:rPr>
        <w:t xml:space="preserve">lijkt voor </w:t>
      </w:r>
      <w:r w:rsidR="001E295E">
        <w:rPr>
          <w:noProof/>
          <w:lang w:eastAsia="nl-NL"/>
        </w:rPr>
        <w:t>Nederland en Duitsland redelijk stabiel te zijn rond de 60%</w:t>
      </w:r>
      <w:r w:rsidR="000D6894">
        <w:rPr>
          <w:noProof/>
          <w:lang w:eastAsia="nl-NL"/>
        </w:rPr>
        <w:t xml:space="preserve">. </w:t>
      </w:r>
      <w:r w:rsidR="001E295E">
        <w:rPr>
          <w:noProof/>
          <w:lang w:eastAsia="nl-NL"/>
        </w:rPr>
        <w:t xml:space="preserve">Japan ondervindt </w:t>
      </w:r>
      <w:r w:rsidR="00AE51E4">
        <w:rPr>
          <w:noProof/>
          <w:lang w:eastAsia="nl-NL"/>
        </w:rPr>
        <w:t>de eerste helft van de jaren ‘70</w:t>
      </w:r>
      <w:r w:rsidR="001E295E">
        <w:rPr>
          <w:noProof/>
          <w:lang w:eastAsia="nl-NL"/>
        </w:rPr>
        <w:t xml:space="preserve"> </w:t>
      </w:r>
      <w:r w:rsidR="00AE51E4">
        <w:rPr>
          <w:noProof/>
          <w:lang w:eastAsia="nl-NL"/>
        </w:rPr>
        <w:t xml:space="preserve">een stijging van </w:t>
      </w:r>
      <w:r w:rsidR="001E295E">
        <w:rPr>
          <w:noProof/>
          <w:lang w:eastAsia="nl-NL"/>
        </w:rPr>
        <w:t xml:space="preserve"> </w:t>
      </w:r>
      <w:r w:rsidR="00AE51E4">
        <w:rPr>
          <w:noProof/>
          <w:lang w:eastAsia="nl-NL"/>
        </w:rPr>
        <w:t xml:space="preserve">in zijn totaliteit zo’n 10%, </w:t>
      </w:r>
      <w:r w:rsidR="001E295E">
        <w:rPr>
          <w:noProof/>
          <w:lang w:eastAsia="nl-NL"/>
        </w:rPr>
        <w:t xml:space="preserve">waarna er evenals in Nederland en Duitsland een stabiele trend lijkt te ontstaan. </w:t>
      </w:r>
      <w:r w:rsidR="00565642">
        <w:rPr>
          <w:noProof/>
          <w:lang w:eastAsia="nl-NL"/>
        </w:rPr>
        <w:t>De gegevens van de werknemerscompensatie zijn voor Zwitserland slechts</w:t>
      </w:r>
      <w:r w:rsidR="001E295E">
        <w:rPr>
          <w:noProof/>
          <w:lang w:eastAsia="nl-NL"/>
        </w:rPr>
        <w:t xml:space="preserve"> vanaf 1980</w:t>
      </w:r>
      <w:r w:rsidR="00565642">
        <w:rPr>
          <w:noProof/>
          <w:lang w:eastAsia="nl-NL"/>
        </w:rPr>
        <w:t xml:space="preserve"> beschikbaar</w:t>
      </w:r>
      <w:r w:rsidR="001E295E">
        <w:rPr>
          <w:noProof/>
          <w:lang w:eastAsia="nl-NL"/>
        </w:rPr>
        <w:t xml:space="preserve">, waardoor de </w:t>
      </w:r>
      <w:r w:rsidR="00AE51E4">
        <w:rPr>
          <w:noProof/>
          <w:lang w:eastAsia="nl-NL"/>
        </w:rPr>
        <w:t xml:space="preserve">voorspelling van de </w:t>
      </w:r>
      <w:r w:rsidR="001E295E">
        <w:rPr>
          <w:noProof/>
          <w:lang w:eastAsia="nl-NL"/>
        </w:rPr>
        <w:t xml:space="preserve">trend wat minder betrouwbaar is. Wanneer de data </w:t>
      </w:r>
      <w:r w:rsidR="00565642">
        <w:rPr>
          <w:noProof/>
          <w:lang w:eastAsia="nl-NL"/>
        </w:rPr>
        <w:t xml:space="preserve">ondanks deze beperking </w:t>
      </w:r>
      <w:r w:rsidR="001E295E">
        <w:rPr>
          <w:noProof/>
          <w:lang w:eastAsia="nl-NL"/>
        </w:rPr>
        <w:t xml:space="preserve">echter in beschouwing </w:t>
      </w:r>
      <w:r w:rsidR="00AE51E4">
        <w:rPr>
          <w:noProof/>
          <w:lang w:eastAsia="nl-NL"/>
        </w:rPr>
        <w:t>worden</w:t>
      </w:r>
      <w:r w:rsidR="001E295E">
        <w:rPr>
          <w:noProof/>
          <w:lang w:eastAsia="nl-NL"/>
        </w:rPr>
        <w:t xml:space="preserve"> genomen, blijkt dat Zwitserland te maken heeft met een lichte stijging van de werknemerscompensatie als percentage van de bruto toegevoegde waarde.</w:t>
      </w:r>
      <w:r w:rsidR="00993BB5">
        <w:rPr>
          <w:noProof/>
          <w:lang w:eastAsia="nl-NL"/>
        </w:rPr>
        <w:t xml:space="preserve"> Wanneer de periode voor het Akkoord van Wassenaar in beschouwing wordt genomen, blijkt dat ondanks de verschillen in hevigheid</w:t>
      </w:r>
      <w:r w:rsidR="00AE51E4">
        <w:rPr>
          <w:noProof/>
          <w:lang w:eastAsia="nl-NL"/>
        </w:rPr>
        <w:t xml:space="preserve"> per jaar</w:t>
      </w:r>
      <w:r w:rsidR="00993BB5">
        <w:rPr>
          <w:noProof/>
          <w:lang w:eastAsia="nl-NL"/>
        </w:rPr>
        <w:t>, d</w:t>
      </w:r>
      <w:r w:rsidR="006D759A">
        <w:rPr>
          <w:noProof/>
          <w:lang w:eastAsia="nl-NL"/>
        </w:rPr>
        <w:t>e werknemerscompensatie  voor alle landen</w:t>
      </w:r>
      <w:r w:rsidR="00AE51E4">
        <w:rPr>
          <w:noProof/>
          <w:lang w:eastAsia="nl-NL"/>
        </w:rPr>
        <w:t xml:space="preserve"> (licht)</w:t>
      </w:r>
      <w:r w:rsidR="006D759A">
        <w:rPr>
          <w:noProof/>
          <w:lang w:eastAsia="nl-NL"/>
        </w:rPr>
        <w:t xml:space="preserve"> te stijgen.</w:t>
      </w:r>
    </w:p>
    <w:p w:rsidR="006D759A" w:rsidRDefault="006D759A" w:rsidP="002B6FE4">
      <w:pPr>
        <w:spacing w:line="360" w:lineRule="auto"/>
        <w:rPr>
          <w:noProof/>
          <w:lang w:eastAsia="nl-NL"/>
        </w:rPr>
      </w:pPr>
      <w:r>
        <w:rPr>
          <w:noProof/>
          <w:lang w:eastAsia="nl-NL"/>
        </w:rPr>
        <w:t xml:space="preserve">Al met al kan gesteld worden dat, ondanks het feit dat de </w:t>
      </w:r>
      <w:r w:rsidR="00D432E0">
        <w:rPr>
          <w:noProof/>
          <w:lang w:eastAsia="nl-NL"/>
        </w:rPr>
        <w:t>beweging van de inflatie, het werkloosheidspercentage en de werknemerscompensatie tussen de vier landen in magnitude verschilt, de trend</w:t>
      </w:r>
      <w:r w:rsidR="00C568CB">
        <w:rPr>
          <w:noProof/>
          <w:lang w:eastAsia="nl-NL"/>
        </w:rPr>
        <w:t>s</w:t>
      </w:r>
      <w:r w:rsidR="00D432E0">
        <w:rPr>
          <w:noProof/>
          <w:lang w:eastAsia="nl-NL"/>
        </w:rPr>
        <w:t xml:space="preserve"> wel van eenzelfde karakter </w:t>
      </w:r>
      <w:r w:rsidR="00C568CB">
        <w:rPr>
          <w:noProof/>
          <w:lang w:eastAsia="nl-NL"/>
        </w:rPr>
        <w:t>zijn</w:t>
      </w:r>
      <w:r w:rsidR="00D432E0">
        <w:rPr>
          <w:noProof/>
          <w:lang w:eastAsia="nl-NL"/>
        </w:rPr>
        <w:t xml:space="preserve">. </w:t>
      </w:r>
    </w:p>
    <w:p w:rsidR="005820BC" w:rsidRDefault="00151496" w:rsidP="002B6FE4">
      <w:pPr>
        <w:pStyle w:val="Heading2"/>
        <w:shd w:val="clear" w:color="auto" w:fill="FFFFFF"/>
        <w:spacing w:before="0" w:beforeAutospacing="0" w:after="0" w:afterAutospacing="0" w:line="360" w:lineRule="auto"/>
        <w:rPr>
          <w:rFonts w:asciiTheme="minorHAnsi" w:hAnsiTheme="minorHAnsi" w:cstheme="minorHAnsi"/>
          <w:b w:val="0"/>
          <w:sz w:val="22"/>
          <w:szCs w:val="22"/>
        </w:rPr>
      </w:pPr>
      <w:r>
        <w:rPr>
          <w:noProof/>
        </w:rPr>
        <w:lastRenderedPageBreak/>
        <w:drawing>
          <wp:inline distT="0" distB="0" distL="0" distR="0" wp14:anchorId="79885930" wp14:editId="7ED2897C">
            <wp:extent cx="5743575" cy="3509962"/>
            <wp:effectExtent l="0" t="0" r="9525" b="14605"/>
            <wp:docPr id="1" name="Grafie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C568CB" w:rsidRPr="001A6446" w:rsidRDefault="00C568CB" w:rsidP="002B6FE4">
      <w:pPr>
        <w:pStyle w:val="Heading2"/>
        <w:shd w:val="clear" w:color="auto" w:fill="FFFFFF"/>
        <w:spacing w:before="0" w:beforeAutospacing="0" w:after="0" w:afterAutospacing="0" w:line="360" w:lineRule="auto"/>
        <w:rPr>
          <w:rFonts w:asciiTheme="minorHAnsi" w:hAnsiTheme="minorHAnsi" w:cstheme="minorHAnsi"/>
          <w:b w:val="0"/>
          <w:sz w:val="20"/>
          <w:szCs w:val="20"/>
        </w:rPr>
      </w:pPr>
      <w:r w:rsidRPr="00151496">
        <w:rPr>
          <w:rFonts w:asciiTheme="minorHAnsi" w:hAnsiTheme="minorHAnsi" w:cstheme="minorHAnsi"/>
          <w:i/>
          <w:sz w:val="20"/>
          <w:szCs w:val="20"/>
        </w:rPr>
        <w:t xml:space="preserve">Figuur 4. </w:t>
      </w:r>
      <w:r w:rsidRPr="005F01EA">
        <w:rPr>
          <w:rFonts w:asciiTheme="minorHAnsi" w:hAnsiTheme="minorHAnsi" w:cstheme="minorHAnsi"/>
          <w:sz w:val="20"/>
          <w:szCs w:val="20"/>
        </w:rPr>
        <w:t>Organisatiegraden met bijhorende trendlijnen van Nederland, Duitsland, Japan en Zwitserland in de periode 1960-2011</w:t>
      </w:r>
      <w:r w:rsidR="001A6446" w:rsidRPr="001A6446">
        <w:rPr>
          <w:rFonts w:asciiTheme="minorHAnsi" w:hAnsiTheme="minorHAnsi" w:cstheme="minorHAnsi"/>
          <w:b w:val="0"/>
          <w:i/>
          <w:noProof/>
          <w:sz w:val="16"/>
          <w:szCs w:val="16"/>
        </w:rPr>
        <w:t xml:space="preserve"> </w:t>
      </w:r>
      <w:r w:rsidR="001A6446" w:rsidRPr="001A6446">
        <w:rPr>
          <w:rFonts w:asciiTheme="minorHAnsi" w:hAnsiTheme="minorHAnsi" w:cstheme="minorHAnsi"/>
          <w:b w:val="0"/>
          <w:noProof/>
          <w:sz w:val="16"/>
          <w:szCs w:val="16"/>
        </w:rPr>
        <w:t>(Visser, 2013)</w:t>
      </w:r>
    </w:p>
    <w:p w:rsidR="00B06CB1" w:rsidRPr="00370273" w:rsidRDefault="00B06CB1" w:rsidP="002B6FE4">
      <w:pPr>
        <w:pStyle w:val="Heading2"/>
        <w:shd w:val="clear" w:color="auto" w:fill="FFFFFF"/>
        <w:spacing w:before="0" w:beforeAutospacing="0" w:after="0" w:afterAutospacing="0" w:line="360" w:lineRule="auto"/>
        <w:rPr>
          <w:rFonts w:asciiTheme="minorHAnsi" w:hAnsiTheme="minorHAnsi" w:cstheme="minorHAnsi"/>
          <w:b w:val="0"/>
          <w:sz w:val="16"/>
          <w:szCs w:val="16"/>
        </w:rPr>
      </w:pPr>
    </w:p>
    <w:p w:rsidR="004279FD" w:rsidRDefault="0072276F" w:rsidP="002B6FE4">
      <w:pPr>
        <w:spacing w:line="360" w:lineRule="auto"/>
      </w:pPr>
      <w:r>
        <w:t xml:space="preserve">Zoals te zien is, hebben de trendlijnen </w:t>
      </w:r>
      <w:r w:rsidR="00BA2EF6">
        <w:t>nagenoeg dezelfde richtingscoëfficiënt. Dit wil zeggen dat de ontwikkeling van het percentage werknemers dat lid is van de vakbond, een soortgelijke ontwikkeling doormaakt in bovenstaande vier landen.</w:t>
      </w:r>
      <w:r w:rsidR="00922648">
        <w:t xml:space="preserve"> </w:t>
      </w:r>
      <w:r w:rsidR="00E8290C">
        <w:t xml:space="preserve">Niet alleen de trendlijnen, maar </w:t>
      </w:r>
      <w:r w:rsidR="007D2C45">
        <w:t xml:space="preserve">ook </w:t>
      </w:r>
      <w:r w:rsidR="005A29B1">
        <w:t>-</w:t>
      </w:r>
      <w:r w:rsidR="007D2C45">
        <w:t xml:space="preserve"> zoals hierboven reeds beschreven </w:t>
      </w:r>
      <w:r w:rsidR="005A29B1">
        <w:t xml:space="preserve">- </w:t>
      </w:r>
      <w:r w:rsidR="00E8290C">
        <w:t xml:space="preserve">de inflatie, het werkloosheidspercentage en de werknemerscompensatie van de </w:t>
      </w:r>
      <w:r w:rsidR="007D2C45">
        <w:t>vier landen</w:t>
      </w:r>
      <w:r w:rsidR="00E8290C">
        <w:t xml:space="preserve"> </w:t>
      </w:r>
      <w:r w:rsidR="007D2C45">
        <w:t>tonen eenzelfde trend</w:t>
      </w:r>
      <w:r w:rsidR="00E8290C">
        <w:t>. Dit maakt dat Duitsland, Japan en Zwitserland binnen dit onderzoek geschikte landen zijn om te gebruiken als referentiekader bij de analyse van de ontwikkeling van de organisatiegraad van Nederland na het Ak</w:t>
      </w:r>
      <w:r w:rsidR="00CB7884">
        <w:t>koord van Wassenaar.</w:t>
      </w:r>
      <w:r w:rsidR="00CB7884">
        <w:br/>
        <w:t xml:space="preserve"> </w:t>
      </w:r>
      <w:r w:rsidR="00CB7884">
        <w:tab/>
      </w:r>
      <w:r w:rsidR="004279FD">
        <w:t xml:space="preserve">Hierboven </w:t>
      </w:r>
      <w:r w:rsidR="0084279B">
        <w:t>valt</w:t>
      </w:r>
      <w:r w:rsidR="004279FD">
        <w:t xml:space="preserve"> te</w:t>
      </w:r>
      <w:r w:rsidR="0084279B">
        <w:t xml:space="preserve">vens </w:t>
      </w:r>
      <w:r w:rsidR="009A4DC2">
        <w:t>op te merken</w:t>
      </w:r>
      <w:r w:rsidR="004279FD">
        <w:t xml:space="preserve"> dat alle landen te maken hebben met fluctuaties in de organisatiegraad afgelopen halve eeuw. Zo is vooral opvallend de grote piek die </w:t>
      </w:r>
      <w:r w:rsidR="00F3309F">
        <w:t>de Duitse trendlijn</w:t>
      </w:r>
      <w:r w:rsidR="004279FD">
        <w:t xml:space="preserve"> toont rond 1991. Dit is te verklaren uit het fe</w:t>
      </w:r>
      <w:r w:rsidR="00F3309F">
        <w:t xml:space="preserve">it dat de cijfers van vóór 1991 </w:t>
      </w:r>
      <w:r w:rsidR="004279FD">
        <w:t>zich uitsluiten</w:t>
      </w:r>
      <w:r w:rsidR="009A4DC2">
        <w:t xml:space="preserve">d beperkten tot West-Duitsland. </w:t>
      </w:r>
      <w:r w:rsidR="004279FD">
        <w:t>Na de val van de muur eind 1989, volgde al snel de herenigin</w:t>
      </w:r>
      <w:r w:rsidR="008D3146">
        <w:t>g</w:t>
      </w:r>
      <w:r w:rsidR="008D3146" w:rsidRPr="008D3146">
        <w:t xml:space="preserve"> </w:t>
      </w:r>
      <w:r w:rsidR="008D3146">
        <w:t xml:space="preserve">met Oost-Duitsland, waardoor de organisatiegraad vanaf 1991 ook het aandeel van vakbondsleden in de DDR heeft meegenomen. In Zwitserland is er eveneens sprake van een sterke stijging van de organisatiegraad, zij het in het midden van de zeventiger jaren. </w:t>
      </w:r>
      <w:r w:rsidR="004279FD">
        <w:t xml:space="preserve">Deze stijging werd echter reeds snel tenietgedaan door een sterke daling die tegen het eind van de jaren ’70 plaatsvond. Ook in Nederland is </w:t>
      </w:r>
      <w:r w:rsidR="008D3146">
        <w:t>-</w:t>
      </w:r>
      <w:r w:rsidR="004279FD">
        <w:t xml:space="preserve"> zoals al </w:t>
      </w:r>
      <w:r w:rsidR="008D3146">
        <w:t xml:space="preserve">even </w:t>
      </w:r>
      <w:r w:rsidR="004279FD">
        <w:t xml:space="preserve">ter sprake is gebracht </w:t>
      </w:r>
      <w:r w:rsidR="008D3146">
        <w:t>-</w:t>
      </w:r>
      <w:r w:rsidR="004279FD">
        <w:t xml:space="preserve"> in de jaren ‘80 een sterke afwijking in de trend te zien. Japan laat in tegenstelling tot de andere landen, veel minder fluctuaties zien en lijkt dan ook de meest stabiele ontwikkeling van de organisatiegraad te hebben.</w:t>
      </w:r>
    </w:p>
    <w:p w:rsidR="00564E81" w:rsidRDefault="00E8290C" w:rsidP="002B6FE4">
      <w:pPr>
        <w:spacing w:line="360" w:lineRule="auto"/>
      </w:pPr>
      <w:r>
        <w:lastRenderedPageBreak/>
        <w:t>Ondanks het feit dat de trendlijnen een vergelijkbare richtingscoëfficiënt hebben, is h</w:t>
      </w:r>
      <w:r w:rsidR="00922648">
        <w:t xml:space="preserve">et lastig om een zinnige uitspraak te doen over de verschillen tussen deze landen. De oorspronkelijke organisatiegraadcijfers van die vier landen kunnen echter met behulp van de trendlijnen </w:t>
      </w:r>
      <w:r w:rsidR="00876EDB">
        <w:t>met elkaar worden vergeleken</w:t>
      </w:r>
      <w:r w:rsidR="00922648">
        <w:t xml:space="preserve">. Van de trendlijnen van Nederland en de referentielanden zijn </w:t>
      </w:r>
      <w:r w:rsidR="00876EDB">
        <w:t>namelijk</w:t>
      </w:r>
      <w:r w:rsidR="00922648">
        <w:t xml:space="preserve"> de formules achterhaald, waarna berekend is welke waarden worden aangenomen op t=0 (1960) en t=51 (2011). De gemiddelden van deze waarden zijn vervolgens </w:t>
      </w:r>
      <w:r w:rsidR="00876EDB">
        <w:t>naast elkaar gelegd</w:t>
      </w:r>
      <w:r w:rsidR="00922648">
        <w:t>, waarna de procentuele afwijking van de referentielanden ten opzichte van Nederland is berekend</w:t>
      </w:r>
      <w:r w:rsidR="003F51D4">
        <w:t xml:space="preserve"> (zie Bijlage A)</w:t>
      </w:r>
      <w:r w:rsidR="00922648">
        <w:t xml:space="preserve">. </w:t>
      </w:r>
      <w:r w:rsidR="00BF79C9">
        <w:t>De oorspronkelijke dataset van de referentielanden is met behulp van deze cijfers gecorrigeerd voor de initiële hoogte en richting van de trendl</w:t>
      </w:r>
      <w:r w:rsidR="00564E81">
        <w:t>ijn.</w:t>
      </w:r>
      <w:r w:rsidR="00123535">
        <w:t xml:space="preserve"> </w:t>
      </w:r>
      <w:r w:rsidR="00CC4704">
        <w:t>De trendlijnen snijden</w:t>
      </w:r>
      <w:r w:rsidR="008D3146">
        <w:t xml:space="preserve"> elkaar</w:t>
      </w:r>
      <w:r w:rsidR="00CC4704">
        <w:t xml:space="preserve"> </w:t>
      </w:r>
      <w:r w:rsidR="001F053F">
        <w:t xml:space="preserve">door deze aanpassing in 1985, </w:t>
      </w:r>
      <w:r w:rsidR="008D3146">
        <w:t>zodat</w:t>
      </w:r>
      <w:r w:rsidR="001F053F">
        <w:t xml:space="preserve"> de </w:t>
      </w:r>
      <w:r w:rsidR="00B95E33">
        <w:t xml:space="preserve">onderlinge </w:t>
      </w:r>
      <w:r w:rsidR="001F053F">
        <w:t>varia</w:t>
      </w:r>
      <w:r w:rsidR="00B95E33">
        <w:t>n</w:t>
      </w:r>
      <w:r w:rsidR="001F053F">
        <w:t xml:space="preserve">tie aanzienlijk is verminderd. </w:t>
      </w:r>
      <w:r w:rsidR="00123535">
        <w:t xml:space="preserve">Hierdoor is het </w:t>
      </w:r>
      <w:r w:rsidR="001F053F">
        <w:t xml:space="preserve">in betere mate </w:t>
      </w:r>
      <w:r w:rsidR="00123535">
        <w:t xml:space="preserve">mogelijk </w:t>
      </w:r>
      <w:r w:rsidR="0009196D">
        <w:t xml:space="preserve">om de referentielanden tot op benadering te laten gelden als een </w:t>
      </w:r>
      <w:r w:rsidR="00876EDB">
        <w:t>betrouwbaar referentiekader</w:t>
      </w:r>
      <w:r w:rsidR="0009196D">
        <w:t xml:space="preserve"> voor Nederland.</w:t>
      </w:r>
    </w:p>
    <w:p w:rsidR="0003027C" w:rsidRPr="001A6446" w:rsidRDefault="008D3146" w:rsidP="002B6FE4">
      <w:pPr>
        <w:spacing w:line="360" w:lineRule="auto"/>
      </w:pPr>
      <w:r>
        <w:rPr>
          <w:noProof/>
          <w:lang w:eastAsia="nl-NL"/>
        </w:rPr>
        <w:drawing>
          <wp:inline distT="0" distB="0" distL="0" distR="0" wp14:anchorId="6DF14E68" wp14:editId="5D59EF6E">
            <wp:extent cx="5295900" cy="3148012"/>
            <wp:effectExtent l="0" t="0" r="19050" b="14605"/>
            <wp:docPr id="3" name="Grafiek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sidRPr="004B1334">
        <w:br/>
      </w:r>
      <w:r w:rsidRPr="004B1334">
        <w:rPr>
          <w:b/>
          <w:i/>
          <w:sz w:val="20"/>
          <w:szCs w:val="20"/>
        </w:rPr>
        <w:t xml:space="preserve">Figuur 5. </w:t>
      </w:r>
      <w:r w:rsidRPr="001A6446">
        <w:rPr>
          <w:b/>
          <w:sz w:val="20"/>
          <w:szCs w:val="20"/>
        </w:rPr>
        <w:t>Gecorrigeerde organisatiegraden Duitsland, Japan, Nederland en Zwitserland in de periode 1960-2011</w:t>
      </w:r>
      <w:r w:rsidRPr="001A6446">
        <w:t xml:space="preserve"> </w:t>
      </w:r>
      <w:r w:rsidR="001A6446" w:rsidRPr="001A6446">
        <w:rPr>
          <w:noProof/>
          <w:sz w:val="16"/>
          <w:szCs w:val="16"/>
        </w:rPr>
        <w:t>(Visser, 2013)</w:t>
      </w:r>
    </w:p>
    <w:p w:rsidR="00C021D4" w:rsidRPr="00C021D4" w:rsidRDefault="00E21E4E" w:rsidP="002B6FE4">
      <w:pPr>
        <w:spacing w:line="360" w:lineRule="auto"/>
      </w:pPr>
      <w:r w:rsidRPr="00E21E4E">
        <w:rPr>
          <w:b/>
        </w:rPr>
        <w:t xml:space="preserve">Two sample </w:t>
      </w:r>
      <w:r w:rsidR="00B81D52">
        <w:rPr>
          <w:b/>
        </w:rPr>
        <w:t>t</w:t>
      </w:r>
      <w:r w:rsidRPr="00E21E4E">
        <w:rPr>
          <w:b/>
        </w:rPr>
        <w:t>-test for comparing two means</w:t>
      </w:r>
      <w:r>
        <w:br/>
      </w:r>
      <w:r w:rsidR="00C021D4">
        <w:t>Nu alle gegevens zijn verzameld, moeten de drie referentielanden met Nederland worden vergeleken.</w:t>
      </w:r>
      <w:r w:rsidR="00877BE2">
        <w:t xml:space="preserve"> Naast </w:t>
      </w:r>
      <w:r w:rsidR="00C31E0F">
        <w:t>de vergelijking met</w:t>
      </w:r>
      <w:r w:rsidR="00877BE2">
        <w:t xml:space="preserve"> de referentielanden wordt tevens het verschil tussen de trendlijn en de werkelijke ontwikkeling van de </w:t>
      </w:r>
      <w:r w:rsidR="00F05B1C">
        <w:t>Nederlandse organisatiegraad bekeken</w:t>
      </w:r>
      <w:r w:rsidR="00877BE2">
        <w:t>.</w:t>
      </w:r>
      <w:r w:rsidR="00C021D4">
        <w:t xml:space="preserve"> Deze vergelijking</w:t>
      </w:r>
      <w:r w:rsidR="00877BE2">
        <w:t>en</w:t>
      </w:r>
      <w:r w:rsidR="00C021D4">
        <w:t xml:space="preserve"> worden uitgevoerd aan de hand van een </w:t>
      </w:r>
      <w:r w:rsidR="00C021D4">
        <w:rPr>
          <w:i/>
        </w:rPr>
        <w:t xml:space="preserve">two sample </w:t>
      </w:r>
      <w:r w:rsidR="00B81D52">
        <w:rPr>
          <w:i/>
        </w:rPr>
        <w:t>t</w:t>
      </w:r>
      <w:r w:rsidR="00C021D4">
        <w:rPr>
          <w:i/>
        </w:rPr>
        <w:t>-test for comparing two means</w:t>
      </w:r>
      <w:r w:rsidR="00C021D4">
        <w:t>; dit is een statistische test die twee verschillende gemiddelden test op gelijkheid</w:t>
      </w:r>
      <w:sdt>
        <w:sdtPr>
          <w:id w:val="1133523202"/>
          <w:citation/>
        </w:sdtPr>
        <w:sdtEndPr/>
        <w:sdtContent>
          <w:r w:rsidR="00690830" w:rsidRPr="001A6446">
            <w:fldChar w:fldCharType="begin"/>
          </w:r>
          <w:r w:rsidR="00690830" w:rsidRPr="001A6446">
            <w:instrText xml:space="preserve"> CITATION Moo11 \l 1043 </w:instrText>
          </w:r>
          <w:r w:rsidR="00690830" w:rsidRPr="001A6446">
            <w:fldChar w:fldCharType="separate"/>
          </w:r>
          <w:r w:rsidR="00D56303" w:rsidRPr="001A6446">
            <w:rPr>
              <w:noProof/>
            </w:rPr>
            <w:t xml:space="preserve"> (Moore, McCabe, Alwan, Craig, &amp; Duckworth, 2011)</w:t>
          </w:r>
          <w:r w:rsidR="00690830" w:rsidRPr="001A6446">
            <w:fldChar w:fldCharType="end"/>
          </w:r>
        </w:sdtContent>
      </w:sdt>
      <w:r w:rsidR="00C021D4" w:rsidRPr="001A6446">
        <w:t>. Hie</w:t>
      </w:r>
      <w:r w:rsidR="00C021D4">
        <w:t>ronder is de</w:t>
      </w:r>
      <w:r w:rsidR="00A92C4B">
        <w:t>sbetreffende</w:t>
      </w:r>
      <w:r w:rsidR="00C021D4">
        <w:t xml:space="preserve"> formule weergegeven:</w:t>
      </w:r>
    </w:p>
    <w:p w:rsidR="005C37C1" w:rsidRDefault="00C80078" w:rsidP="002B6FE4">
      <w:pPr>
        <w:spacing w:line="360" w:lineRule="auto"/>
      </w:pPr>
      <w:r>
        <w:rPr>
          <w:noProof/>
          <w:lang w:eastAsia="nl-NL"/>
        </w:rPr>
        <w:lastRenderedPageBreak/>
        <w:drawing>
          <wp:inline distT="0" distB="0" distL="0" distR="0" wp14:anchorId="5E432E58" wp14:editId="5255C893">
            <wp:extent cx="2294350" cy="1066800"/>
            <wp:effectExtent l="0" t="0" r="0" b="0"/>
            <wp:docPr id="13" name="Afbeelding 13" descr="http://www.stat.yale.edu/Courses/1997-98/101/tstat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stat.yale.edu/Courses/1997-98/101/tstat2.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00941" cy="1069865"/>
                    </a:xfrm>
                    <a:prstGeom prst="rect">
                      <a:avLst/>
                    </a:prstGeom>
                    <a:noFill/>
                    <a:ln>
                      <a:noFill/>
                    </a:ln>
                  </pic:spPr>
                </pic:pic>
              </a:graphicData>
            </a:graphic>
          </wp:inline>
        </w:drawing>
      </w:r>
    </w:p>
    <w:p w:rsidR="00D57373" w:rsidRDefault="005C37C1" w:rsidP="002B6FE4">
      <w:pPr>
        <w:spacing w:line="360" w:lineRule="auto"/>
      </w:pPr>
      <w:r>
        <w:t xml:space="preserve">Hierbij geeft </w:t>
      </w:r>
      <m:oMath>
        <m:acc>
          <m:accPr>
            <m:chr m:val="̅"/>
            <m:ctrlPr>
              <w:rPr>
                <w:rFonts w:ascii="Cambria Math" w:hAnsi="Cambria Math"/>
                <w:i/>
              </w:rPr>
            </m:ctrlPr>
          </m:accPr>
          <m:e>
            <m:r>
              <w:rPr>
                <w:rFonts w:ascii="Cambria Math" w:hAnsi="Cambria Math"/>
              </w:rPr>
              <m:t>x</m:t>
            </m:r>
          </m:e>
        </m:acc>
      </m:oMath>
      <w:r>
        <w:rPr>
          <w:rFonts w:eastAsiaTheme="minorEastAsia"/>
        </w:rPr>
        <w:t xml:space="preserve"> het gemiddelde van de twee steekproeven aan, terwijl </w:t>
      </w:r>
      <m:oMath>
        <m:r>
          <w:rPr>
            <w:rFonts w:ascii="Cambria Math" w:hAnsi="Cambria Math"/>
          </w:rPr>
          <m:t>μ</m:t>
        </m:r>
      </m:oMath>
      <w:r>
        <w:rPr>
          <w:rFonts w:eastAsiaTheme="minorEastAsia"/>
        </w:rPr>
        <w:t xml:space="preserve"> iets zegt over de hypothese. Aangezien dit onderzoek zich afvraagt of er sprake is van invloed van het Akkoord van Wassenaar op de Nederlandse organisatiegraad, wordt de </w:t>
      </w:r>
      <w:r w:rsidR="00FA5F3A">
        <w:rPr>
          <w:rFonts w:eastAsiaTheme="minorEastAsia"/>
        </w:rPr>
        <w:t xml:space="preserve">term </w:t>
      </w:r>
      <m:oMath>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μ</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μ</m:t>
            </m:r>
          </m:e>
          <m:sub>
            <m:r>
              <w:rPr>
                <w:rFonts w:ascii="Cambria Math" w:eastAsiaTheme="minorEastAsia" w:hAnsi="Cambria Math"/>
              </w:rPr>
              <m:t>2</m:t>
            </m:r>
          </m:sub>
        </m:sSub>
        <m:r>
          <w:rPr>
            <w:rFonts w:ascii="Cambria Math" w:eastAsiaTheme="minorEastAsia" w:hAnsi="Cambria Math"/>
          </w:rPr>
          <m:t>)</m:t>
        </m:r>
      </m:oMath>
      <w:r w:rsidR="00FA5F3A">
        <w:rPr>
          <w:rFonts w:eastAsiaTheme="minorEastAsia"/>
        </w:rPr>
        <w:t xml:space="preserve"> </w:t>
      </w:r>
      <w:r>
        <w:rPr>
          <w:rFonts w:eastAsiaTheme="minorEastAsia"/>
        </w:rPr>
        <w:t>op nul gesteld. De opgestelde hypothese</w:t>
      </w:r>
      <w:r w:rsidR="005C1084">
        <w:rPr>
          <w:rFonts w:eastAsiaTheme="minorEastAsia"/>
        </w:rPr>
        <w:t xml:space="preserve"> geeft immers al aan dat er niet van een verschil tussen vóór en ná het akkoord wordt uitgegaan. Het symbool </w:t>
      </w:r>
      <m:oMath>
        <m:sSup>
          <m:sSupPr>
            <m:ctrlPr>
              <w:rPr>
                <w:rFonts w:ascii="Cambria Math" w:hAnsi="Cambria Math"/>
                <w:i/>
              </w:rPr>
            </m:ctrlPr>
          </m:sSupPr>
          <m:e>
            <m:r>
              <w:rPr>
                <w:rFonts w:ascii="Cambria Math" w:hAnsi="Cambria Math"/>
              </w:rPr>
              <m:t>s</m:t>
            </m:r>
          </m:e>
          <m:sup>
            <m:r>
              <w:rPr>
                <w:rFonts w:ascii="Cambria Math" w:hAnsi="Cambria Math"/>
              </w:rPr>
              <m:t xml:space="preserve">2 </m:t>
            </m:r>
          </m:sup>
        </m:sSup>
      </m:oMath>
      <w:r w:rsidR="005C1084">
        <w:rPr>
          <w:rFonts w:eastAsiaTheme="minorEastAsia"/>
        </w:rPr>
        <w:t xml:space="preserve">geeft de variantie van de steekproef aan, terwijl </w:t>
      </w:r>
      <w:r w:rsidR="00047308">
        <w:rPr>
          <w:rFonts w:eastAsiaTheme="minorEastAsia"/>
        </w:rPr>
        <w:t>‘</w:t>
      </w:r>
      <w:r w:rsidR="005C1084">
        <w:rPr>
          <w:rFonts w:eastAsiaTheme="minorEastAsia"/>
          <w:i/>
        </w:rPr>
        <w:t>n</w:t>
      </w:r>
      <w:r w:rsidR="00047308">
        <w:rPr>
          <w:rFonts w:eastAsiaTheme="minorEastAsia"/>
          <w:i/>
        </w:rPr>
        <w:t xml:space="preserve">’ </w:t>
      </w:r>
      <w:r w:rsidR="005C1084">
        <w:rPr>
          <w:rFonts w:eastAsiaTheme="minorEastAsia"/>
        </w:rPr>
        <w:t xml:space="preserve">de grootte van de steekproef </w:t>
      </w:r>
      <w:r w:rsidR="00D4066C">
        <w:rPr>
          <w:rFonts w:eastAsiaTheme="minorEastAsia"/>
        </w:rPr>
        <w:t>weergeeft</w:t>
      </w:r>
      <w:r w:rsidR="005C1084">
        <w:rPr>
          <w:rFonts w:eastAsiaTheme="minorEastAsia"/>
        </w:rPr>
        <w:t xml:space="preserve">. </w:t>
      </w:r>
      <w:r w:rsidR="00047308">
        <w:rPr>
          <w:rFonts w:eastAsiaTheme="minorEastAsia"/>
        </w:rPr>
        <w:t xml:space="preserve">De toegevoegde ‘1’tjes’ en ‘2’tjes’ tot slot, maken helder </w:t>
      </w:r>
      <w:r w:rsidR="00D4066C">
        <w:rPr>
          <w:rFonts w:eastAsiaTheme="minorEastAsia"/>
        </w:rPr>
        <w:t>welke groep wordt bedoeld</w:t>
      </w:r>
      <w:r w:rsidR="00047308">
        <w:rPr>
          <w:rFonts w:eastAsiaTheme="minorEastAsia"/>
        </w:rPr>
        <w:t xml:space="preserve">. Deze formule wordt </w:t>
      </w:r>
      <w:r w:rsidR="0072119D">
        <w:rPr>
          <w:rFonts w:eastAsiaTheme="minorEastAsia"/>
        </w:rPr>
        <w:t>ingevuld</w:t>
      </w:r>
      <w:r w:rsidR="00047308">
        <w:rPr>
          <w:rFonts w:eastAsiaTheme="minorEastAsia"/>
        </w:rPr>
        <w:t xml:space="preserve"> door steeds enerzijds de ontwikkeling van de Nederlandse organisatiegraad (groep 1), en anderzijds de ontwikkeling van de organisatiegraad van een van de drie referentielanden</w:t>
      </w:r>
      <w:r w:rsidR="00877BE2">
        <w:rPr>
          <w:rFonts w:eastAsiaTheme="minorEastAsia"/>
        </w:rPr>
        <w:t xml:space="preserve"> </w:t>
      </w:r>
      <w:r w:rsidR="009A4DC2">
        <w:rPr>
          <w:rFonts w:eastAsiaTheme="minorEastAsia"/>
        </w:rPr>
        <w:t>of</w:t>
      </w:r>
      <w:r w:rsidR="00877BE2">
        <w:rPr>
          <w:rFonts w:eastAsiaTheme="minorEastAsia"/>
        </w:rPr>
        <w:t xml:space="preserve"> de Nederlandse trendlijn</w:t>
      </w:r>
      <w:r w:rsidR="00047308" w:rsidRPr="00047308">
        <w:rPr>
          <w:rFonts w:eastAsiaTheme="minorEastAsia"/>
        </w:rPr>
        <w:t xml:space="preserve"> </w:t>
      </w:r>
      <w:r w:rsidR="00A92C4B">
        <w:rPr>
          <w:rFonts w:eastAsiaTheme="minorEastAsia"/>
        </w:rPr>
        <w:t xml:space="preserve">(groep 2) </w:t>
      </w:r>
      <w:r w:rsidR="00047308">
        <w:rPr>
          <w:rFonts w:eastAsiaTheme="minorEastAsia"/>
        </w:rPr>
        <w:t>mee te nemen.</w:t>
      </w:r>
      <w:r w:rsidR="0072119D">
        <w:rPr>
          <w:rFonts w:eastAsiaTheme="minorEastAsia"/>
        </w:rPr>
        <w:t xml:space="preserve"> Uiteindelijk zullen hieruit zekere </w:t>
      </w:r>
      <w:r w:rsidR="0034682C">
        <w:rPr>
          <w:rFonts w:eastAsiaTheme="minorEastAsia"/>
        </w:rPr>
        <w:t>t</w:t>
      </w:r>
      <w:r w:rsidR="0072119D">
        <w:rPr>
          <w:rFonts w:eastAsiaTheme="minorEastAsia"/>
        </w:rPr>
        <w:t>-waarden voortkomen, die iets zeggen over de mate van significantie.</w:t>
      </w:r>
      <w:r w:rsidR="00877BE2">
        <w:rPr>
          <w:rFonts w:eastAsiaTheme="minorEastAsia"/>
        </w:rPr>
        <w:t xml:space="preserve"> </w:t>
      </w:r>
      <w:r w:rsidR="004D50BA">
        <w:rPr>
          <w:rFonts w:eastAsiaTheme="minorEastAsia"/>
        </w:rPr>
        <w:t>Er wordt gebruik gemaakt van een significantieniveau van 5%.</w:t>
      </w:r>
      <w:r w:rsidR="00602259">
        <w:rPr>
          <w:rFonts w:eastAsiaTheme="minorEastAsia"/>
        </w:rPr>
        <w:t xml:space="preserve"> </w:t>
      </w:r>
      <w:r w:rsidR="00D4066C">
        <w:rPr>
          <w:rFonts w:eastAsiaTheme="minorEastAsia"/>
        </w:rPr>
        <w:t>Dit</w:t>
      </w:r>
      <w:r w:rsidR="00602259">
        <w:rPr>
          <w:rFonts w:eastAsiaTheme="minorEastAsia"/>
        </w:rPr>
        <w:t xml:space="preserve"> houdt in dat de kans dat de nulhypothese onterecht wo</w:t>
      </w:r>
      <w:r w:rsidR="00494834">
        <w:rPr>
          <w:rFonts w:eastAsiaTheme="minorEastAsia"/>
        </w:rPr>
        <w:t>rdt verworpen, gelijk is aan 5%:</w:t>
      </w:r>
      <w:r w:rsidR="00602259">
        <w:rPr>
          <w:rFonts w:eastAsiaTheme="minorEastAsia"/>
        </w:rPr>
        <w:t xml:space="preserve"> er is dus sprake van een 95%-betrouwbaarheidsinterval. </w:t>
      </w:r>
      <w:r w:rsidR="004D50BA">
        <w:rPr>
          <w:rFonts w:eastAsiaTheme="minorEastAsia"/>
        </w:rPr>
        <w:t xml:space="preserve">Aangezien de standaarddeviatie van de gehele populatie onbekend is, zal er een t-test moeten worden uitgevoerd, </w:t>
      </w:r>
      <w:r w:rsidR="00E24E2B">
        <w:rPr>
          <w:rFonts w:eastAsiaTheme="minorEastAsia"/>
        </w:rPr>
        <w:t>welke</w:t>
      </w:r>
      <w:r w:rsidR="004D50BA">
        <w:rPr>
          <w:rFonts w:eastAsiaTheme="minorEastAsia"/>
        </w:rPr>
        <w:t xml:space="preserve"> vrijheidsgraden met zich mee</w:t>
      </w:r>
      <w:r w:rsidR="00D4066C">
        <w:rPr>
          <w:rFonts w:eastAsiaTheme="minorEastAsia"/>
        </w:rPr>
        <w:t xml:space="preserve">brengt. Deze </w:t>
      </w:r>
      <w:r w:rsidR="00D4066C" w:rsidRPr="00D4066C">
        <w:rPr>
          <w:rFonts w:eastAsiaTheme="minorEastAsia"/>
          <w:i/>
        </w:rPr>
        <w:t>degrees of freedom</w:t>
      </w:r>
      <w:r w:rsidR="00D4066C">
        <w:rPr>
          <w:rFonts w:eastAsiaTheme="minorEastAsia"/>
        </w:rPr>
        <w:t xml:space="preserve"> </w:t>
      </w:r>
      <w:r w:rsidR="004D50BA">
        <w:rPr>
          <w:rFonts w:eastAsiaTheme="minorEastAsia"/>
        </w:rPr>
        <w:t xml:space="preserve">worden bepaald door het aantal observaties </w:t>
      </w:r>
      <w:r w:rsidR="00D4066C">
        <w:rPr>
          <w:rFonts w:eastAsiaTheme="minorEastAsia"/>
        </w:rPr>
        <w:t>met één te verminderen</w:t>
      </w:r>
      <w:r w:rsidR="004D50BA">
        <w:rPr>
          <w:rFonts w:eastAsiaTheme="minorEastAsia"/>
        </w:rPr>
        <w:t>.</w:t>
      </w:r>
      <w:r w:rsidR="00CB7884">
        <w:br/>
        <w:t xml:space="preserve"> </w:t>
      </w:r>
      <w:r w:rsidR="00CB7884">
        <w:tab/>
      </w:r>
      <w:r w:rsidR="0025732E">
        <w:t xml:space="preserve">Om een geijkte vergelijking te maken, zijn de organisatiegraden per jaar omgezet naar </w:t>
      </w:r>
      <w:r w:rsidR="00D4066C">
        <w:t xml:space="preserve">de </w:t>
      </w:r>
      <w:r w:rsidR="0025732E">
        <w:t xml:space="preserve">procentuele verandering ten opzichte van het </w:t>
      </w:r>
      <w:r w:rsidR="00D4066C">
        <w:t>voorgaande jaar</w:t>
      </w:r>
      <w:r w:rsidR="0025732E">
        <w:t xml:space="preserve">, waarbij het jaar waarin het Akkoord van Wassenaar werd gesloten (1982) als basisjaar fungeert. </w:t>
      </w:r>
      <w:r w:rsidR="0098082C">
        <w:t xml:space="preserve">De procentuele veranderingen ten opzichte van het jaar ervoor zijn voor </w:t>
      </w:r>
      <w:r w:rsidR="00E24E2B">
        <w:t>het</w:t>
      </w:r>
      <w:r w:rsidR="0098082C">
        <w:t xml:space="preserve"> gekozen tijds</w:t>
      </w:r>
      <w:r w:rsidR="00152E3A">
        <w:t>interval</w:t>
      </w:r>
      <w:r w:rsidR="0098082C">
        <w:t xml:space="preserve"> samengevoegd, waarna er een gemiddelde is genomen</w:t>
      </w:r>
      <w:r w:rsidR="003F51D4">
        <w:t xml:space="preserve"> (zie Bijlage B</w:t>
      </w:r>
      <w:r w:rsidR="006D2B65">
        <w:t>.1</w:t>
      </w:r>
      <w:r w:rsidR="003F51D4">
        <w:t>)</w:t>
      </w:r>
      <w:r w:rsidR="0098082C">
        <w:t xml:space="preserve">. Deze gemiddelde fluctuatie </w:t>
      </w:r>
      <w:r w:rsidR="00C82963">
        <w:t xml:space="preserve">wordt weergegeven door </w:t>
      </w:r>
      <m:oMath>
        <m:sSub>
          <m:sSubPr>
            <m:ctrlPr>
              <w:rPr>
                <w:rFonts w:ascii="Cambria Math" w:eastAsiaTheme="minorEastAsia" w:hAnsi="Cambria Math"/>
                <w:i/>
              </w:rPr>
            </m:ctrlPr>
          </m:sSubPr>
          <m:e>
            <m:acc>
              <m:accPr>
                <m:chr m:val="̅"/>
                <m:ctrlPr>
                  <w:rPr>
                    <w:rFonts w:ascii="Cambria Math" w:hAnsi="Cambria Math"/>
                    <w:i/>
                  </w:rPr>
                </m:ctrlPr>
              </m:accPr>
              <m:e>
                <m:r>
                  <w:rPr>
                    <w:rFonts w:ascii="Cambria Math" w:hAnsi="Cambria Math"/>
                  </w:rPr>
                  <m:t>x</m:t>
                </m:r>
              </m:e>
            </m:acc>
          </m:e>
          <m:sub>
            <m:r>
              <w:rPr>
                <w:rFonts w:ascii="Cambria Math" w:eastAsiaTheme="minorEastAsia" w:hAnsi="Cambria Math"/>
              </w:rPr>
              <m:t>1</m:t>
            </m:r>
          </m:sub>
        </m:sSub>
      </m:oMath>
      <w:r w:rsidR="00C82963">
        <w:rPr>
          <w:rFonts w:eastAsiaTheme="minorEastAsia"/>
        </w:rPr>
        <w:t xml:space="preserve"> voor Nederland en </w:t>
      </w:r>
      <m:oMath>
        <m:sSub>
          <m:sSubPr>
            <m:ctrlPr>
              <w:rPr>
                <w:rFonts w:ascii="Cambria Math" w:eastAsiaTheme="minorEastAsia" w:hAnsi="Cambria Math"/>
                <w:i/>
              </w:rPr>
            </m:ctrlPr>
          </m:sSubPr>
          <m:e>
            <m:acc>
              <m:accPr>
                <m:chr m:val="̅"/>
                <m:ctrlPr>
                  <w:rPr>
                    <w:rFonts w:ascii="Cambria Math" w:hAnsi="Cambria Math"/>
                    <w:i/>
                  </w:rPr>
                </m:ctrlPr>
              </m:accPr>
              <m:e>
                <m:r>
                  <w:rPr>
                    <w:rFonts w:ascii="Cambria Math" w:hAnsi="Cambria Math"/>
                  </w:rPr>
                  <m:t>x</m:t>
                </m:r>
              </m:e>
            </m:acc>
          </m:e>
          <m:sub>
            <m:r>
              <w:rPr>
                <w:rFonts w:ascii="Cambria Math" w:eastAsiaTheme="minorEastAsia" w:hAnsi="Cambria Math"/>
              </w:rPr>
              <m:t>2</m:t>
            </m:r>
          </m:sub>
        </m:sSub>
      </m:oMath>
      <w:r w:rsidR="00C82963">
        <w:rPr>
          <w:rFonts w:eastAsiaTheme="minorEastAsia"/>
        </w:rPr>
        <w:t xml:space="preserve"> voor een van de overige drie landen</w:t>
      </w:r>
      <w:r w:rsidR="0061033F">
        <w:rPr>
          <w:rFonts w:eastAsiaTheme="minorEastAsia"/>
        </w:rPr>
        <w:t xml:space="preserve"> </w:t>
      </w:r>
      <w:r w:rsidR="00E24E2B">
        <w:rPr>
          <w:rFonts w:eastAsiaTheme="minorEastAsia"/>
        </w:rPr>
        <w:t>of</w:t>
      </w:r>
      <w:r w:rsidR="0061033F">
        <w:rPr>
          <w:rFonts w:eastAsiaTheme="minorEastAsia"/>
        </w:rPr>
        <w:t xml:space="preserve"> de trendlijn</w:t>
      </w:r>
      <w:r w:rsidR="00C82963">
        <w:rPr>
          <w:rFonts w:eastAsiaTheme="minorEastAsia"/>
        </w:rPr>
        <w:t xml:space="preserve">. Vervolgens is voor </w:t>
      </w:r>
      <w:r w:rsidR="00E24E2B">
        <w:rPr>
          <w:rFonts w:eastAsiaTheme="minorEastAsia"/>
        </w:rPr>
        <w:t>het</w:t>
      </w:r>
      <w:r w:rsidR="00C82963">
        <w:rPr>
          <w:rFonts w:eastAsiaTheme="minorEastAsia"/>
        </w:rPr>
        <w:t xml:space="preserve"> gekozen tijds</w:t>
      </w:r>
      <w:r w:rsidR="00152E3A">
        <w:rPr>
          <w:rFonts w:eastAsiaTheme="minorEastAsia"/>
        </w:rPr>
        <w:t>interval</w:t>
      </w:r>
      <w:r w:rsidR="00C82963">
        <w:rPr>
          <w:rFonts w:eastAsiaTheme="minorEastAsia"/>
        </w:rPr>
        <w:t xml:space="preserve"> de standaarddeviatie van de procentuele veranderingen</w:t>
      </w:r>
      <w:r w:rsidR="0061033F">
        <w:rPr>
          <w:rFonts w:eastAsiaTheme="minorEastAsia"/>
        </w:rPr>
        <w:t xml:space="preserve"> berekend</w:t>
      </w:r>
      <w:r w:rsidR="00C82963">
        <w:rPr>
          <w:rFonts w:eastAsiaTheme="minorEastAsia"/>
        </w:rPr>
        <w:t>.</w:t>
      </w:r>
      <w:r w:rsidR="00D95EA1">
        <w:rPr>
          <w:rFonts w:eastAsiaTheme="minorEastAsia"/>
        </w:rPr>
        <w:t xml:space="preserve"> De effecten van het Akkoord van Wassenaar </w:t>
      </w:r>
      <w:r w:rsidR="00D4066C">
        <w:rPr>
          <w:rFonts w:eastAsiaTheme="minorEastAsia"/>
        </w:rPr>
        <w:t>zullen</w:t>
      </w:r>
      <w:r w:rsidR="00D95EA1">
        <w:rPr>
          <w:rFonts w:eastAsiaTheme="minorEastAsia"/>
        </w:rPr>
        <w:t xml:space="preserve"> verklaard worden aan de hand van </w:t>
      </w:r>
      <w:r w:rsidR="00B07BE5">
        <w:rPr>
          <w:rFonts w:eastAsiaTheme="minorEastAsia"/>
        </w:rPr>
        <w:t>drie</w:t>
      </w:r>
      <w:r w:rsidR="00D95EA1">
        <w:rPr>
          <w:rFonts w:eastAsiaTheme="minorEastAsia"/>
        </w:rPr>
        <w:t xml:space="preserve"> tijdsintervallen. Er is gekozen voor het tijdsinterval 1983-1987 dat </w:t>
      </w:r>
      <w:r w:rsidR="0061033F">
        <w:rPr>
          <w:rFonts w:eastAsiaTheme="minorEastAsia"/>
        </w:rPr>
        <w:t xml:space="preserve">de eerste </w:t>
      </w:r>
      <w:r w:rsidR="00D95EA1">
        <w:rPr>
          <w:rFonts w:eastAsiaTheme="minorEastAsia"/>
        </w:rPr>
        <w:t xml:space="preserve">vijf jaar, </w:t>
      </w:r>
      <w:r w:rsidR="00B07BE5">
        <w:rPr>
          <w:rFonts w:eastAsiaTheme="minorEastAsia"/>
        </w:rPr>
        <w:t xml:space="preserve">het tijdsinterval 1988-1992 dat de tweede vijf jaar én het tijdsinterval 1983-1992 </w:t>
      </w:r>
      <w:r w:rsidR="00D95EA1">
        <w:rPr>
          <w:rFonts w:eastAsiaTheme="minorEastAsia"/>
        </w:rPr>
        <w:t xml:space="preserve">dat </w:t>
      </w:r>
      <w:r w:rsidR="0061033F">
        <w:rPr>
          <w:rFonts w:eastAsiaTheme="minorEastAsia"/>
        </w:rPr>
        <w:t xml:space="preserve">de eerste </w:t>
      </w:r>
      <w:r w:rsidR="00D95EA1">
        <w:rPr>
          <w:rFonts w:eastAsiaTheme="minorEastAsia"/>
        </w:rPr>
        <w:t>tien jaar</w:t>
      </w:r>
      <w:r w:rsidR="0061033F">
        <w:rPr>
          <w:rFonts w:eastAsiaTheme="minorEastAsia"/>
        </w:rPr>
        <w:t xml:space="preserve"> na het akkoord </w:t>
      </w:r>
      <w:r w:rsidR="00D95EA1">
        <w:rPr>
          <w:rFonts w:eastAsiaTheme="minorEastAsia"/>
        </w:rPr>
        <w:t>beslaat</w:t>
      </w:r>
      <w:r w:rsidR="00B07BE5">
        <w:rPr>
          <w:rFonts w:eastAsiaTheme="minorEastAsia"/>
        </w:rPr>
        <w:t xml:space="preserve"> (en dus de twee intervallen samenvoegt)</w:t>
      </w:r>
      <w:r w:rsidR="00D95EA1">
        <w:rPr>
          <w:rFonts w:eastAsiaTheme="minorEastAsia"/>
        </w:rPr>
        <w:t xml:space="preserve">. Door twee verschillende periodelengtes te nemen, kan er naast het oplossen van het significantievraagstuk op zich, tevens een </w:t>
      </w:r>
      <w:r w:rsidR="001A438D">
        <w:rPr>
          <w:rFonts w:eastAsiaTheme="minorEastAsia"/>
        </w:rPr>
        <w:t>balans</w:t>
      </w:r>
      <w:r w:rsidR="00D95EA1">
        <w:rPr>
          <w:rFonts w:eastAsiaTheme="minorEastAsia"/>
        </w:rPr>
        <w:t xml:space="preserve"> worden</w:t>
      </w:r>
      <w:r w:rsidR="001A438D">
        <w:rPr>
          <w:rFonts w:eastAsiaTheme="minorEastAsia"/>
        </w:rPr>
        <w:t xml:space="preserve"> op</w:t>
      </w:r>
      <w:r w:rsidR="00D95EA1">
        <w:rPr>
          <w:rFonts w:eastAsiaTheme="minorEastAsia"/>
        </w:rPr>
        <w:t>gemaakt van de ontwikkeling van de organisatiegraad</w:t>
      </w:r>
      <w:r w:rsidR="00D4066C">
        <w:rPr>
          <w:rFonts w:eastAsiaTheme="minorEastAsia"/>
        </w:rPr>
        <w:t xml:space="preserve"> over de tijd</w:t>
      </w:r>
      <w:r w:rsidR="00D95EA1">
        <w:rPr>
          <w:rFonts w:eastAsiaTheme="minorEastAsia"/>
        </w:rPr>
        <w:t>.</w:t>
      </w:r>
      <w:r w:rsidR="00234098">
        <w:rPr>
          <w:rFonts w:eastAsiaTheme="minorEastAsia"/>
        </w:rPr>
        <w:t xml:space="preserve"> De effecten van het Akkoord van Wassenaar op de organisatiegraad zullen dus uitsluitend op de (relatief) korte termijn worden </w:t>
      </w:r>
      <w:r w:rsidR="00D4066C">
        <w:rPr>
          <w:rFonts w:eastAsiaTheme="minorEastAsia"/>
        </w:rPr>
        <w:t>bekeken</w:t>
      </w:r>
      <w:r w:rsidR="00234098">
        <w:rPr>
          <w:rFonts w:eastAsiaTheme="minorEastAsia"/>
        </w:rPr>
        <w:t xml:space="preserve">, daar de </w:t>
      </w:r>
      <w:r w:rsidR="001E28CA">
        <w:rPr>
          <w:rFonts w:eastAsiaTheme="minorEastAsia"/>
        </w:rPr>
        <w:t xml:space="preserve">ontwikkeling van de Nederlandse organisatiegraad op de </w:t>
      </w:r>
      <w:r w:rsidR="00234098">
        <w:rPr>
          <w:rFonts w:eastAsiaTheme="minorEastAsia"/>
        </w:rPr>
        <w:t xml:space="preserve">lange termijn </w:t>
      </w:r>
      <w:r w:rsidR="001E28CA">
        <w:rPr>
          <w:rFonts w:eastAsiaTheme="minorEastAsia"/>
        </w:rPr>
        <w:t xml:space="preserve">(1983-2011), </w:t>
      </w:r>
      <w:r w:rsidR="00234098">
        <w:rPr>
          <w:rFonts w:eastAsiaTheme="minorEastAsia"/>
        </w:rPr>
        <w:t xml:space="preserve">in verhouding </w:t>
      </w:r>
      <w:r w:rsidR="00234098">
        <w:rPr>
          <w:rFonts w:eastAsiaTheme="minorEastAsia"/>
        </w:rPr>
        <w:lastRenderedPageBreak/>
        <w:t>tot de drie referentielanden en de trendlijn</w:t>
      </w:r>
      <w:r w:rsidR="001E28CA">
        <w:rPr>
          <w:rFonts w:eastAsiaTheme="minorEastAsia"/>
        </w:rPr>
        <w:t xml:space="preserve">, weinig zal afwijken. Dit komt door het feit dat er gekozen is voor </w:t>
      </w:r>
      <w:r w:rsidR="00E24E2B">
        <w:rPr>
          <w:rFonts w:eastAsiaTheme="minorEastAsia"/>
        </w:rPr>
        <w:t>klankborden</w:t>
      </w:r>
      <w:r w:rsidR="001E28CA">
        <w:rPr>
          <w:rFonts w:eastAsiaTheme="minorEastAsia"/>
        </w:rPr>
        <w:t xml:space="preserve"> met een</w:t>
      </w:r>
      <w:r w:rsidR="00E24E2B">
        <w:rPr>
          <w:rFonts w:eastAsiaTheme="minorEastAsia"/>
        </w:rPr>
        <w:t xml:space="preserve"> - op de lange termijn</w:t>
      </w:r>
      <w:r w:rsidR="001E28CA">
        <w:rPr>
          <w:rFonts w:eastAsiaTheme="minorEastAsia"/>
        </w:rPr>
        <w:t xml:space="preserve"> </w:t>
      </w:r>
      <w:r w:rsidR="00E24E2B">
        <w:rPr>
          <w:rFonts w:eastAsiaTheme="minorEastAsia"/>
        </w:rPr>
        <w:t xml:space="preserve">- </w:t>
      </w:r>
      <w:r w:rsidR="001E28CA">
        <w:rPr>
          <w:rFonts w:eastAsiaTheme="minorEastAsia"/>
        </w:rPr>
        <w:t>gelijksoortige beweging van de organisatiegraad</w:t>
      </w:r>
      <w:r w:rsidR="00E24E2B">
        <w:rPr>
          <w:rFonts w:eastAsiaTheme="minorEastAsia"/>
        </w:rPr>
        <w:t xml:space="preserve">. </w:t>
      </w:r>
      <w:r w:rsidR="00CB7884">
        <w:br/>
        <w:t xml:space="preserve"> </w:t>
      </w:r>
      <w:r w:rsidR="00CB7884">
        <w:tab/>
      </w:r>
      <w:r w:rsidR="00891185">
        <w:t xml:space="preserve">De </w:t>
      </w:r>
      <w:r w:rsidR="00317DB4">
        <w:t xml:space="preserve">organisatiegraad van Nederland in de </w:t>
      </w:r>
      <w:r w:rsidR="00D4066C">
        <w:t>drie</w:t>
      </w:r>
      <w:r w:rsidR="00891185">
        <w:t xml:space="preserve"> gekozen tijdsintervallen word</w:t>
      </w:r>
      <w:r w:rsidR="00317DB4">
        <w:t>t</w:t>
      </w:r>
      <w:r w:rsidR="00891185">
        <w:t xml:space="preserve"> </w:t>
      </w:r>
      <w:r w:rsidR="00317DB4">
        <w:t xml:space="preserve">geanalyseerd op significante afwijkingen </w:t>
      </w:r>
      <w:r w:rsidR="00D4066C">
        <w:t xml:space="preserve">ten opzichte </w:t>
      </w:r>
      <w:r w:rsidR="00317DB4">
        <w:t xml:space="preserve">van de referentielanden en de trendlijn, zodat de opgestelde hypotheses kunnen worden beantwoord. Daarnaast zal de ontwikkeling van de Nederlandse organisatiegraad in de </w:t>
      </w:r>
      <w:r w:rsidR="00D4066C">
        <w:t>drie</w:t>
      </w:r>
      <w:r w:rsidR="00317DB4">
        <w:t xml:space="preserve"> tijdsintervallen parallel worden gelegd aan </w:t>
      </w:r>
      <w:r w:rsidR="00BD2676">
        <w:t>de factoren die volgens het B-E m</w:t>
      </w:r>
      <w:r w:rsidR="00317DB4">
        <w:t xml:space="preserve">odel </w:t>
      </w:r>
      <w:r w:rsidR="00455D8D">
        <w:t xml:space="preserve">hun uitwerking hebben op de organisatiegraad: </w:t>
      </w:r>
      <w:r w:rsidR="00317DB4">
        <w:t xml:space="preserve">de inflatie, </w:t>
      </w:r>
      <w:r w:rsidR="00D4066C">
        <w:t>het werkloosheidspercentage</w:t>
      </w:r>
      <w:r w:rsidR="00771C92">
        <w:t xml:space="preserve"> en de werknemerscompensatie. </w:t>
      </w:r>
      <w:r w:rsidR="00DA05A1">
        <w:t xml:space="preserve">Het </w:t>
      </w:r>
      <w:r w:rsidR="00CE7026">
        <w:t>B-E</w:t>
      </w:r>
      <w:r w:rsidR="00DA05A1">
        <w:t xml:space="preserve"> model stelt dat </w:t>
      </w:r>
      <w:r w:rsidR="00D4066C">
        <w:t>deze</w:t>
      </w:r>
      <w:r w:rsidR="00DA05A1">
        <w:t xml:space="preserve"> variabalen in de praktijk een positie</w:t>
      </w:r>
      <w:r w:rsidR="00CE7026">
        <w:t xml:space="preserve">ve </w:t>
      </w:r>
      <w:r w:rsidR="00D4066C">
        <w:t>c.q.</w:t>
      </w:r>
      <w:r w:rsidR="00CE7026">
        <w:t xml:space="preserve"> negatieve invloed op de organisatiegraad hebben. Door te kijken of er sprake is van een stijging of een daling van de B-E-variabelen tegenover een stijging of daling van de organisatiegraad, kan er een uitspraak worden gedaan over de ontwikkeling </w:t>
      </w:r>
      <w:r w:rsidR="00C55E89">
        <w:t xml:space="preserve">van de </w:t>
      </w:r>
      <w:r w:rsidR="007725D7">
        <w:t xml:space="preserve">Nederlandse </w:t>
      </w:r>
      <w:r w:rsidR="00C55E89">
        <w:t>organisatiegraad</w:t>
      </w:r>
      <w:r w:rsidR="007725D7">
        <w:t>.</w:t>
      </w:r>
      <w:r w:rsidR="00CB7884">
        <w:t xml:space="preserve"> </w:t>
      </w:r>
      <w:r w:rsidR="00CB7884">
        <w:br/>
        <w:t xml:space="preserve"> </w:t>
      </w:r>
      <w:r w:rsidR="00CB7884">
        <w:tab/>
      </w:r>
      <w:r w:rsidR="00CD3078">
        <w:t xml:space="preserve">Aansluitend hierop zal er door middel van een </w:t>
      </w:r>
      <w:r w:rsidR="00D57373">
        <w:t xml:space="preserve">zogeheten </w:t>
      </w:r>
      <w:r w:rsidR="00CD3078" w:rsidRPr="00CD3078">
        <w:rPr>
          <w:i/>
        </w:rPr>
        <w:t>panel data analysis</w:t>
      </w:r>
      <w:r w:rsidR="00CD3078">
        <w:t xml:space="preserve">, gepoogd worden om de richting en sterkte van de coëfficiënten van de inflatie, </w:t>
      </w:r>
      <w:r w:rsidR="007725D7">
        <w:t xml:space="preserve">het </w:t>
      </w:r>
      <w:r w:rsidR="00CD3078">
        <w:t>werkloosheid</w:t>
      </w:r>
      <w:r w:rsidR="007725D7">
        <w:t>spercentage</w:t>
      </w:r>
      <w:r w:rsidR="00CD3078">
        <w:t xml:space="preserve"> en </w:t>
      </w:r>
      <w:r w:rsidR="007725D7">
        <w:t xml:space="preserve">de  </w:t>
      </w:r>
      <w:r w:rsidR="00CD3078">
        <w:t xml:space="preserve">werknemerscompensatie te bepalen. </w:t>
      </w:r>
      <w:r w:rsidR="00D57373">
        <w:t>De panel data analysis kan de B-E-variabelen voor meerdere landen en periodes met elkaar kan vergelijken. Deze analyse is in feite een combinatie van een tijdreeksanalyse en een cross-sectie; hierdoor wordt het mogelijk om de coëfficiënten van verscheidene variabelen te achterhalen</w:t>
      </w:r>
      <w:sdt>
        <w:sdtPr>
          <w:id w:val="-1993169675"/>
          <w:citation/>
        </w:sdtPr>
        <w:sdtEndPr/>
        <w:sdtContent>
          <w:r w:rsidR="00BB0A5C">
            <w:fldChar w:fldCharType="begin"/>
          </w:r>
          <w:r w:rsidR="007725D7">
            <w:instrText xml:space="preserve">CITATION Chr10 \l 1043 </w:instrText>
          </w:r>
          <w:r w:rsidR="00BB0A5C">
            <w:fldChar w:fldCharType="separate"/>
          </w:r>
          <w:r w:rsidR="00D56303">
            <w:rPr>
              <w:noProof/>
            </w:rPr>
            <w:t xml:space="preserve"> (Hurlin, 2010)</w:t>
          </w:r>
          <w:r w:rsidR="00BB0A5C">
            <w:fldChar w:fldCharType="end"/>
          </w:r>
        </w:sdtContent>
      </w:sdt>
      <w:r w:rsidR="00D57373">
        <w:t xml:space="preserve">. </w:t>
      </w:r>
      <w:r w:rsidR="00CD3078">
        <w:t>Door nie</w:t>
      </w:r>
      <w:r w:rsidR="007725D7">
        <w:t>t alleen Nederland</w:t>
      </w:r>
      <w:r w:rsidR="00CD3078">
        <w:t>, maar ook de referentielanden mee te nemen in deze analyse, zal het aan</w:t>
      </w:r>
      <w:r w:rsidR="007725D7">
        <w:t>tal observaties verviervoudigen.</w:t>
      </w:r>
      <w:r w:rsidR="00CD3078">
        <w:t xml:space="preserve"> </w:t>
      </w:r>
      <w:r w:rsidR="007725D7">
        <w:t>Dit zorgt ervoor dat</w:t>
      </w:r>
      <w:r w:rsidR="00CD3078">
        <w:t xml:space="preserve"> de invloed van de B-E-variabelen op een betrouwbaardere wijze </w:t>
      </w:r>
      <w:r w:rsidR="007725D7">
        <w:t>kan worden geschat</w:t>
      </w:r>
      <w:r w:rsidR="00CD3078">
        <w:t>.</w:t>
      </w:r>
      <w:r w:rsidR="00A942A7">
        <w:t xml:space="preserve"> </w:t>
      </w:r>
      <w:r w:rsidR="007725D7">
        <w:t>Bij</w:t>
      </w:r>
      <w:r w:rsidR="00A942A7">
        <w:t xml:space="preserve"> het uitvoeren van een panel data analysis </w:t>
      </w:r>
      <w:r w:rsidR="007725D7">
        <w:t xml:space="preserve">is het mogelijk van drie verschillende modellen </w:t>
      </w:r>
      <w:r w:rsidR="00A942A7">
        <w:t xml:space="preserve">gebruik </w:t>
      </w:r>
      <w:r w:rsidR="007725D7">
        <w:t>te maken</w:t>
      </w:r>
      <w:r w:rsidR="00A942A7">
        <w:t xml:space="preserve">: </w:t>
      </w:r>
      <w:r w:rsidR="007725D7">
        <w:t xml:space="preserve">het </w:t>
      </w:r>
      <w:r w:rsidR="00A942A7">
        <w:t xml:space="preserve">pooled regression model, </w:t>
      </w:r>
      <w:r w:rsidR="007725D7">
        <w:t xml:space="preserve">het </w:t>
      </w:r>
      <w:r w:rsidR="00A942A7">
        <w:t xml:space="preserve">fixed effects model en het random effects model. Door het uitvoeren van de Hausman test, kan worden bekeken welk model het meest geschikt is om te gebruiken voor het verklaren van de invloed van de </w:t>
      </w:r>
      <w:r w:rsidR="007725D7">
        <w:t>B-E-variabelen</w:t>
      </w:r>
      <w:r w:rsidR="00A942A7">
        <w:t>. Het ‘correcte’ model wordt vervolgens geanalyseerd op basis van de coëfficiënten van de</w:t>
      </w:r>
      <w:r w:rsidR="007725D7">
        <w:t>ze</w:t>
      </w:r>
      <w:r w:rsidR="00A942A7">
        <w:t xml:space="preserve"> onafhankelijke variabelen.</w:t>
      </w:r>
      <w:r w:rsidR="00CB7884">
        <w:br/>
        <w:t xml:space="preserve"> </w:t>
      </w:r>
      <w:r w:rsidR="00CB7884">
        <w:tab/>
      </w:r>
      <w:r w:rsidR="00D57373">
        <w:t>Tot slot</w:t>
      </w:r>
      <w:r w:rsidR="0028025A">
        <w:t xml:space="preserve"> </w:t>
      </w:r>
      <w:r w:rsidR="00D57373">
        <w:t>worden</w:t>
      </w:r>
      <w:r w:rsidR="00DA05A1">
        <w:t xml:space="preserve"> de onderzochte tijdsintervallen tussen de referentielanden en Nederland </w:t>
      </w:r>
      <w:r w:rsidR="0028025A">
        <w:t>met elkaar</w:t>
      </w:r>
      <w:r w:rsidR="00DA05A1">
        <w:t xml:space="preserve"> vergeleken. </w:t>
      </w:r>
      <w:r w:rsidR="00016152">
        <w:t>Om deze analyse uit te voeren, is ervoor gekozen om enerzijds Nederland apart</w:t>
      </w:r>
      <w:r w:rsidR="00203E02">
        <w:t xml:space="preserve"> (d.m.v. least squares)</w:t>
      </w:r>
      <w:r w:rsidR="00016152">
        <w:t>, en anderzijds de drie referentielanden gezamenlijk</w:t>
      </w:r>
      <w:r w:rsidR="00203E02">
        <w:t xml:space="preserve"> (d.m.v. panel least squares)</w:t>
      </w:r>
      <w:r w:rsidR="00016152">
        <w:t xml:space="preserve"> </w:t>
      </w:r>
      <w:r w:rsidR="00203E02">
        <w:t xml:space="preserve">in beschouwing te nemen. </w:t>
      </w:r>
      <w:r w:rsidR="007725D7">
        <w:t>Aangezien</w:t>
      </w:r>
      <w:r w:rsidR="00203E02">
        <w:t xml:space="preserve"> de data van de werknemerscompensatie slechts vanaf 1970 beschikbaar </w:t>
      </w:r>
      <w:r w:rsidR="007725D7">
        <w:t>zijn</w:t>
      </w:r>
      <w:r w:rsidR="00203E02">
        <w:t xml:space="preserve">, zijn de regressies uitgevoerd over de periode 1970-2011. Er zijn in totaal tien analyses gemaakt, vijf voor Nederland en vijf voor de drie referentielanden. Dit betreft verschillende tijdsintervallen, </w:t>
      </w:r>
      <w:r w:rsidR="007725D7">
        <w:t>welteverstaan</w:t>
      </w:r>
      <w:r w:rsidR="00203E02">
        <w:t xml:space="preserve"> 1970-2011, 1</w:t>
      </w:r>
      <w:r w:rsidR="007725D7">
        <w:t xml:space="preserve">970-1982, 1983-1987, 1988-1992 en </w:t>
      </w:r>
      <w:r w:rsidR="00203E02">
        <w:t xml:space="preserve">1983-1992. Het betreft hier de gehele dataperiode, de dertien jaar voor, de eerste vijf jaar na, de tweede vijf jaar na en tot slot de eerste </w:t>
      </w:r>
      <w:r w:rsidR="007725D7">
        <w:t>tien jaar na</w:t>
      </w:r>
      <w:r w:rsidR="00203E02">
        <w:t xml:space="preserve"> het Akkoord van Wassenaar. </w:t>
      </w:r>
      <w:r w:rsidR="007D18BB">
        <w:t xml:space="preserve">Door regressies uit te voeren voor verschillende periodes, is het mogelijk om de verandering van de coëfficiënten van de </w:t>
      </w:r>
      <w:r w:rsidR="007725D7">
        <w:t>B-E-</w:t>
      </w:r>
      <w:r w:rsidR="007D18BB">
        <w:t xml:space="preserve">variabelen </w:t>
      </w:r>
      <w:r w:rsidR="007725D7">
        <w:lastRenderedPageBreak/>
        <w:t>te analyseren</w:t>
      </w:r>
      <w:r w:rsidR="007D18BB">
        <w:t xml:space="preserve">. </w:t>
      </w:r>
      <w:r w:rsidR="001A267A">
        <w:t>Dit zal niet alleen tussen de verschillende periodes gebeuren, maar ook tussen Nederland en de referentielanden.</w:t>
      </w:r>
      <w:r w:rsidR="009A0ED0">
        <w:t xml:space="preserve"> De verschillen die hier mogelijkerwijs ontstaan, kunnen een verklaring vormen voor de afwijkende Nederlandse organisatiegraad</w:t>
      </w:r>
      <w:r w:rsidR="007725D7">
        <w:t xml:space="preserve"> na het Akkoord van Wassenaar</w:t>
      </w:r>
      <w:r w:rsidR="009A0ED0">
        <w:t>.</w:t>
      </w:r>
      <w:r w:rsidR="00CB7884">
        <w:t xml:space="preserve">        </w:t>
      </w:r>
      <w:r w:rsidR="00455D8D">
        <w:t xml:space="preserve"> </w:t>
      </w:r>
      <w:r w:rsidR="00CB7884">
        <w:t xml:space="preserve">  </w:t>
      </w:r>
      <w:r w:rsidR="00CB7884">
        <w:tab/>
        <w:t xml:space="preserve">De </w:t>
      </w:r>
      <w:r w:rsidR="00455D8D">
        <w:t xml:space="preserve">beantwoording van de </w:t>
      </w:r>
      <w:r w:rsidR="00B345D7">
        <w:t xml:space="preserve">deelvragen door middel van de oplossing van de </w:t>
      </w:r>
      <w:r w:rsidR="00455D8D">
        <w:t>hypotheses</w:t>
      </w:r>
      <w:r w:rsidR="00B345D7">
        <w:t>,</w:t>
      </w:r>
      <w:r w:rsidR="00455D8D">
        <w:t xml:space="preserve"> in combinatie met een analyse van bepaalde van invloed zijnde </w:t>
      </w:r>
      <w:r w:rsidR="007725D7">
        <w:t>variabelen</w:t>
      </w:r>
      <w:r w:rsidR="00455D8D">
        <w:t>, zorg</w:t>
      </w:r>
      <w:r w:rsidR="00B345D7">
        <w:t>t</w:t>
      </w:r>
      <w:r w:rsidR="00455D8D">
        <w:t xml:space="preserve"> er</w:t>
      </w:r>
      <w:r w:rsidR="00B345D7">
        <w:t xml:space="preserve"> uiteindelijk </w:t>
      </w:r>
      <w:r w:rsidR="00455D8D">
        <w:t>voor dat in de conclusie het antwoord kan worden gegeven op de onderzoeksvraag.</w:t>
      </w:r>
      <w:r w:rsidR="00436856">
        <w:t xml:space="preserve"> Tot slot zullen de beperkingen van dit onderzoek genoemd worden, die </w:t>
      </w:r>
      <w:r w:rsidR="000748F2">
        <w:t>aanzet kunnen</w:t>
      </w:r>
      <w:r w:rsidR="00436856">
        <w:t xml:space="preserve"> geven </w:t>
      </w:r>
      <w:r w:rsidR="000748F2">
        <w:t>voor</w:t>
      </w:r>
      <w:r w:rsidR="00436856">
        <w:t xml:space="preserve"> eventueel verder (en verbeterd) onderzoek.</w:t>
      </w:r>
    </w:p>
    <w:p w:rsidR="00764CCA" w:rsidRPr="00764CCA" w:rsidRDefault="00764CCA" w:rsidP="002B6FE4">
      <w:pPr>
        <w:spacing w:line="360" w:lineRule="auto"/>
      </w:pPr>
    </w:p>
    <w:p w:rsidR="00E21E4E" w:rsidRDefault="00756E22" w:rsidP="002B6FE4">
      <w:pPr>
        <w:spacing w:line="360" w:lineRule="auto"/>
        <w:rPr>
          <w:b/>
          <w:sz w:val="24"/>
        </w:rPr>
      </w:pPr>
      <w:r w:rsidRPr="00E21E4E">
        <w:rPr>
          <w:b/>
          <w:sz w:val="24"/>
        </w:rPr>
        <w:t xml:space="preserve">IV. </w:t>
      </w:r>
      <w:r w:rsidR="00455D8D" w:rsidRPr="00E21E4E">
        <w:rPr>
          <w:b/>
          <w:sz w:val="24"/>
        </w:rPr>
        <w:t>Resultaten</w:t>
      </w:r>
    </w:p>
    <w:p w:rsidR="00455D8D" w:rsidRPr="00E21E4E" w:rsidRDefault="00B345D7" w:rsidP="002B6FE4">
      <w:pPr>
        <w:spacing w:line="360" w:lineRule="auto"/>
        <w:rPr>
          <w:b/>
          <w:sz w:val="24"/>
        </w:rPr>
      </w:pPr>
      <w:r>
        <w:t>De resultaten van dit onderzoek zullen in twee verschillende delen aan bod komen. Allereerst zullen de uitkomsten van de hypotheses die antwoord geven op de deelvragen,</w:t>
      </w:r>
      <w:r w:rsidRPr="00B345D7">
        <w:t xml:space="preserve"> </w:t>
      </w:r>
      <w:r>
        <w:t xml:space="preserve">worden behandeld. </w:t>
      </w:r>
      <w:r w:rsidR="00B91868">
        <w:t>Aa</w:t>
      </w:r>
      <w:r w:rsidR="00862D6D">
        <w:t xml:space="preserve">n de hand van tabellen zal gekeken worden of de ontwikkeling van de Nederlandse organisatiegraad afwijkt van de </w:t>
      </w:r>
      <w:r w:rsidR="00002BC6">
        <w:t xml:space="preserve">ontwikkeling van de </w:t>
      </w:r>
      <w:r w:rsidR="00862D6D">
        <w:t>organisatiegraad</w:t>
      </w:r>
      <w:r w:rsidR="00187A2A">
        <w:t xml:space="preserve"> </w:t>
      </w:r>
      <w:r w:rsidR="00862D6D">
        <w:t xml:space="preserve"> van de drie referentielanden. In </w:t>
      </w:r>
      <w:r w:rsidR="00002BC6">
        <w:t>de</w:t>
      </w:r>
      <w:r w:rsidR="00862D6D">
        <w:t xml:space="preserve"> </w:t>
      </w:r>
      <w:r w:rsidR="00002BC6">
        <w:t xml:space="preserve">onderstaande </w:t>
      </w:r>
      <w:r w:rsidR="00862D6D">
        <w:t xml:space="preserve">tabellen wordt per land aangegeven wat </w:t>
      </w:r>
      <w:r w:rsidR="007725D7">
        <w:t>-</w:t>
      </w:r>
      <w:r w:rsidR="00862D6D">
        <w:t xml:space="preserve"> achtereenvolgens </w:t>
      </w:r>
      <w:r w:rsidR="007725D7">
        <w:t>-</w:t>
      </w:r>
      <w:r w:rsidR="00862D6D">
        <w:t xml:space="preserve"> de </w:t>
      </w:r>
      <w:r w:rsidR="00002BC6">
        <w:t xml:space="preserve">waarde van de </w:t>
      </w:r>
      <w:r w:rsidR="00862D6D">
        <w:t xml:space="preserve">procentuele verandering van de organisatiegraad , </w:t>
      </w:r>
      <w:r w:rsidR="006C5681">
        <w:t>het gemiddelde van de procentuele verandering, de standaarddeviatie en het verschil tussen de gemiddelde procentuele verandering van Nederland enerzijds en het referentieland anderzijds</w:t>
      </w:r>
      <w:r w:rsidR="00002BC6">
        <w:t>, is</w:t>
      </w:r>
      <w:r w:rsidR="006C5681">
        <w:t xml:space="preserve">. Hierdoor </w:t>
      </w:r>
      <w:r w:rsidR="00617269">
        <w:t>kunnen voor de periode</w:t>
      </w:r>
      <w:r w:rsidR="000C1871">
        <w:t>s</w:t>
      </w:r>
      <w:r w:rsidR="00617269">
        <w:t xml:space="preserve"> 1983-1987</w:t>
      </w:r>
      <w:r w:rsidR="000811C3">
        <w:t>, 1988-1992</w:t>
      </w:r>
      <w:r w:rsidR="00617269">
        <w:t xml:space="preserve"> en 1983-1992</w:t>
      </w:r>
      <w:r w:rsidR="006C5681">
        <w:t xml:space="preserve"> de </w:t>
      </w:r>
      <w:r w:rsidR="006D2B65">
        <w:t>t</w:t>
      </w:r>
      <w:r w:rsidR="006C5681">
        <w:t>-toets</w:t>
      </w:r>
      <w:r w:rsidR="00617269">
        <w:t>en</w:t>
      </w:r>
      <w:r w:rsidR="000C1871">
        <w:t xml:space="preserve"> worden uitgevoerd.</w:t>
      </w:r>
      <w:r w:rsidR="006C5681">
        <w:t xml:space="preserve"> </w:t>
      </w:r>
      <w:r w:rsidR="000C1871">
        <w:t>Dit zorgt ervoor dat</w:t>
      </w:r>
      <w:r w:rsidR="006C5681">
        <w:t xml:space="preserve"> </w:t>
      </w:r>
      <w:r>
        <w:t xml:space="preserve">de </w:t>
      </w:r>
      <w:r w:rsidR="007D5781">
        <w:t xml:space="preserve">invloed van de </w:t>
      </w:r>
      <w:r w:rsidR="00EF5C8C">
        <w:t>drie</w:t>
      </w:r>
      <w:r w:rsidR="007725D7">
        <w:t xml:space="preserve"> </w:t>
      </w:r>
      <w:r w:rsidR="007D5781">
        <w:t>variabelen</w:t>
      </w:r>
      <w:r w:rsidR="007725D7">
        <w:t xml:space="preserve"> van het B-E </w:t>
      </w:r>
      <w:r>
        <w:t xml:space="preserve">model </w:t>
      </w:r>
      <w:r w:rsidR="007D5781">
        <w:t>op de Nederlandse organisatiegraad kan worden onderzocht</w:t>
      </w:r>
      <w:r w:rsidR="006D2B65">
        <w:t xml:space="preserve"> (zie Bijlage B.2).</w:t>
      </w:r>
    </w:p>
    <w:p w:rsidR="00B345D7" w:rsidRDefault="00CD7FD0" w:rsidP="002B6FE4">
      <w:pPr>
        <w:spacing w:line="360" w:lineRule="auto"/>
      </w:pPr>
      <w:r>
        <w:rPr>
          <w:b/>
        </w:rPr>
        <w:t>De eerste vijf jaar na het Akkoord van Wassenaar</w:t>
      </w:r>
      <w:r>
        <w:br/>
      </w:r>
      <w:r w:rsidR="00900100">
        <w:t>In de periode 198</w:t>
      </w:r>
      <w:r>
        <w:t>3</w:t>
      </w:r>
      <w:r w:rsidR="00900100">
        <w:t xml:space="preserve">-1987 is de organisatiegraad van Nederland </w:t>
      </w:r>
      <w:r w:rsidR="00D83408">
        <w:t xml:space="preserve">van </w:t>
      </w:r>
      <w:r w:rsidR="00F2303A">
        <w:t>30,7</w:t>
      </w:r>
      <w:r w:rsidR="00D83408">
        <w:t>% in 198</w:t>
      </w:r>
      <w:r w:rsidR="00F2303A">
        <w:t>3</w:t>
      </w:r>
      <w:r w:rsidR="00D83408">
        <w:t xml:space="preserve">, </w:t>
      </w:r>
      <w:r w:rsidR="00900100">
        <w:t xml:space="preserve">met bijna </w:t>
      </w:r>
      <w:r w:rsidR="00F2303A">
        <w:t>20</w:t>
      </w:r>
      <w:r w:rsidR="00900100">
        <w:t xml:space="preserve">% afgenomen </w:t>
      </w:r>
      <w:r w:rsidR="00D83408">
        <w:t>tot 24,</w:t>
      </w:r>
      <w:r w:rsidR="00F2303A">
        <w:t>8</w:t>
      </w:r>
      <w:r w:rsidR="00D83408">
        <w:t xml:space="preserve">% in 1987 </w:t>
      </w:r>
      <w:r w:rsidR="00900100">
        <w:t>met een jaarlijks</w:t>
      </w:r>
      <w:r w:rsidR="00D83408">
        <w:t>e</w:t>
      </w:r>
      <w:r w:rsidR="00900100">
        <w:t xml:space="preserve"> gemiddelde daling van zo’n 5,2%. </w:t>
      </w:r>
      <w:r w:rsidR="007B2C24">
        <w:t xml:space="preserve">Wanneer de organisatiegraad van de referentielanden Duitsland, Japan en Zwitserland wordt bekeken, blijkt dat de gemiddelde procentuele verandering voor die periode weliswaar overal negatief is, maar aanzienlijk minder </w:t>
      </w:r>
      <w:r w:rsidR="00D83408">
        <w:t>negatief</w:t>
      </w:r>
      <w:r w:rsidR="007B2C24">
        <w:t xml:space="preserve"> dan bij Nederland het geval is. </w:t>
      </w:r>
      <w:r w:rsidR="00D83408">
        <w:t xml:space="preserve">Dit is terug te zien in </w:t>
      </w:r>
      <w:r w:rsidR="00D83408" w:rsidRPr="00D83408">
        <w:t xml:space="preserve">de two sample </w:t>
      </w:r>
      <w:r w:rsidR="00B81D52">
        <w:t>t</w:t>
      </w:r>
      <w:r w:rsidR="00D83408" w:rsidRPr="00D83408">
        <w:t>-test for comparing two mean</w:t>
      </w:r>
      <w:r w:rsidR="00D83408">
        <w:t>s</w:t>
      </w:r>
      <w:r w:rsidR="00421772">
        <w:t xml:space="preserve"> hieronder</w:t>
      </w:r>
      <w:r w:rsidR="00F2303A">
        <w:t>, waarbij de</w:t>
      </w:r>
      <w:r w:rsidR="00421772">
        <w:t xml:space="preserve"> t-waarden zullen worden verworpen, wanneer ze buiten het interval [-2,7</w:t>
      </w:r>
      <w:r w:rsidR="00BD2676">
        <w:t>7</w:t>
      </w:r>
      <w:r w:rsidR="00421772">
        <w:t>6; 2,7</w:t>
      </w:r>
      <w:r w:rsidR="00BD2676">
        <w:t>7</w:t>
      </w:r>
      <w:r w:rsidR="00421772">
        <w:t>6] vallen.</w:t>
      </w:r>
    </w:p>
    <w:p w:rsidR="00CB7884" w:rsidRDefault="00CB7884" w:rsidP="002B6FE4">
      <w:pPr>
        <w:spacing w:line="360" w:lineRule="auto"/>
      </w:pPr>
    </w:p>
    <w:p w:rsidR="00CB7884" w:rsidRDefault="00CB7884" w:rsidP="002B6FE4">
      <w:pPr>
        <w:spacing w:line="360" w:lineRule="auto"/>
      </w:pPr>
    </w:p>
    <w:tbl>
      <w:tblPr>
        <w:tblW w:w="9840" w:type="dxa"/>
        <w:tblInd w:w="55" w:type="dxa"/>
        <w:tblBorders>
          <w:top w:val="single" w:sz="4" w:space="0" w:color="auto"/>
          <w:left w:val="single" w:sz="4" w:space="0" w:color="auto"/>
          <w:bottom w:val="single" w:sz="4" w:space="0" w:color="auto"/>
          <w:right w:val="single" w:sz="4" w:space="0" w:color="auto"/>
        </w:tblBorders>
        <w:tblCellMar>
          <w:left w:w="70" w:type="dxa"/>
          <w:right w:w="70" w:type="dxa"/>
        </w:tblCellMar>
        <w:tblLook w:val="04A0" w:firstRow="1" w:lastRow="0" w:firstColumn="1" w:lastColumn="0" w:noHBand="0" w:noVBand="1"/>
      </w:tblPr>
      <w:tblGrid>
        <w:gridCol w:w="1300"/>
        <w:gridCol w:w="1612"/>
        <w:gridCol w:w="2949"/>
        <w:gridCol w:w="1412"/>
        <w:gridCol w:w="2567"/>
      </w:tblGrid>
      <w:tr w:rsidR="00F2303A" w:rsidRPr="00F2303A" w:rsidTr="00971951">
        <w:trPr>
          <w:trHeight w:val="300"/>
        </w:trPr>
        <w:tc>
          <w:tcPr>
            <w:tcW w:w="9840" w:type="dxa"/>
            <w:gridSpan w:val="5"/>
            <w:tcBorders>
              <w:bottom w:val="single" w:sz="4" w:space="0" w:color="auto"/>
            </w:tcBorders>
            <w:shd w:val="clear" w:color="000000" w:fill="16365C"/>
            <w:noWrap/>
            <w:vAlign w:val="bottom"/>
            <w:hideMark/>
          </w:tcPr>
          <w:p w:rsidR="00F2303A" w:rsidRPr="00F2303A" w:rsidRDefault="00971951" w:rsidP="00971951">
            <w:pPr>
              <w:spacing w:after="0" w:line="360" w:lineRule="auto"/>
              <w:rPr>
                <w:rFonts w:ascii="Calibri" w:eastAsia="Times New Roman" w:hAnsi="Calibri" w:cs="Calibri"/>
                <w:b/>
                <w:bCs/>
                <w:color w:val="FFFFFF"/>
                <w:lang w:eastAsia="nl-NL"/>
              </w:rPr>
            </w:pPr>
            <w:r>
              <w:rPr>
                <w:rFonts w:ascii="Calibri" w:eastAsia="Times New Roman" w:hAnsi="Calibri" w:cs="Calibri"/>
                <w:b/>
                <w:bCs/>
                <w:color w:val="FFFFFF"/>
                <w:lang w:eastAsia="nl-NL"/>
              </w:rPr>
              <w:lastRenderedPageBreak/>
              <w:t xml:space="preserve">Tabel 1.                                          </w:t>
            </w:r>
            <w:r w:rsidR="008475F3">
              <w:rPr>
                <w:rFonts w:ascii="Calibri" w:eastAsia="Times New Roman" w:hAnsi="Calibri" w:cs="Calibri"/>
                <w:b/>
                <w:bCs/>
                <w:color w:val="FFFFFF"/>
                <w:lang w:eastAsia="nl-NL"/>
              </w:rPr>
              <w:t xml:space="preserve">  </w:t>
            </w:r>
            <w:r>
              <w:rPr>
                <w:rFonts w:ascii="Calibri" w:eastAsia="Times New Roman" w:hAnsi="Calibri" w:cs="Calibri"/>
                <w:b/>
                <w:bCs/>
                <w:color w:val="FFFFFF"/>
                <w:lang w:eastAsia="nl-NL"/>
              </w:rPr>
              <w:t>V</w:t>
            </w:r>
            <w:r w:rsidR="00301048">
              <w:rPr>
                <w:rFonts w:ascii="Calibri" w:eastAsia="Times New Roman" w:hAnsi="Calibri" w:cs="Calibri"/>
                <w:b/>
                <w:bCs/>
                <w:color w:val="FFFFFF"/>
                <w:lang w:eastAsia="nl-NL"/>
              </w:rPr>
              <w:t>er</w:t>
            </w:r>
            <w:r w:rsidR="00F2303A" w:rsidRPr="00F2303A">
              <w:rPr>
                <w:rFonts w:ascii="Calibri" w:eastAsia="Times New Roman" w:hAnsi="Calibri" w:cs="Calibri"/>
                <w:b/>
                <w:bCs/>
                <w:color w:val="FFFFFF"/>
                <w:lang w:eastAsia="nl-NL"/>
              </w:rPr>
              <w:t>andering organisatiegraden 1983-1987</w:t>
            </w:r>
          </w:p>
        </w:tc>
      </w:tr>
      <w:tr w:rsidR="00F2303A" w:rsidRPr="00F2303A" w:rsidTr="00971951">
        <w:trPr>
          <w:trHeight w:val="300"/>
        </w:trPr>
        <w:tc>
          <w:tcPr>
            <w:tcW w:w="1300" w:type="dxa"/>
            <w:tcBorders>
              <w:top w:val="single" w:sz="4" w:space="0" w:color="auto"/>
              <w:bottom w:val="single" w:sz="4" w:space="0" w:color="auto"/>
            </w:tcBorders>
            <w:shd w:val="clear" w:color="4F81BD" w:fill="4F81BD"/>
            <w:noWrap/>
            <w:vAlign w:val="bottom"/>
            <w:hideMark/>
          </w:tcPr>
          <w:p w:rsidR="00F2303A" w:rsidRPr="00F2303A" w:rsidRDefault="00F2303A" w:rsidP="002B6FE4">
            <w:pPr>
              <w:spacing w:after="0" w:line="360" w:lineRule="auto"/>
              <w:jc w:val="center"/>
              <w:rPr>
                <w:rFonts w:ascii="Calibri" w:eastAsia="Times New Roman" w:hAnsi="Calibri" w:cs="Calibri"/>
                <w:b/>
                <w:bCs/>
                <w:color w:val="FFFFFF"/>
                <w:lang w:eastAsia="nl-NL"/>
              </w:rPr>
            </w:pPr>
            <w:r w:rsidRPr="00F2303A">
              <w:rPr>
                <w:rFonts w:ascii="Calibri" w:eastAsia="Times New Roman" w:hAnsi="Calibri" w:cs="Calibri"/>
                <w:b/>
                <w:bCs/>
                <w:color w:val="FFFFFF"/>
                <w:lang w:eastAsia="nl-NL"/>
              </w:rPr>
              <w:t>Land</w:t>
            </w:r>
          </w:p>
        </w:tc>
        <w:tc>
          <w:tcPr>
            <w:tcW w:w="1612" w:type="dxa"/>
            <w:tcBorders>
              <w:top w:val="single" w:sz="4" w:space="0" w:color="auto"/>
              <w:bottom w:val="single" w:sz="4" w:space="0" w:color="auto"/>
            </w:tcBorders>
            <w:shd w:val="clear" w:color="4F81BD" w:fill="4F81BD"/>
            <w:noWrap/>
            <w:vAlign w:val="bottom"/>
            <w:hideMark/>
          </w:tcPr>
          <w:p w:rsidR="00F2303A" w:rsidRPr="00F2303A" w:rsidRDefault="00F2303A" w:rsidP="002B6FE4">
            <w:pPr>
              <w:spacing w:after="0" w:line="360" w:lineRule="auto"/>
              <w:jc w:val="center"/>
              <w:rPr>
                <w:rFonts w:ascii="Calibri" w:eastAsia="Times New Roman" w:hAnsi="Calibri" w:cs="Calibri"/>
                <w:b/>
                <w:bCs/>
                <w:color w:val="FFFFFF"/>
                <w:lang w:eastAsia="nl-NL"/>
              </w:rPr>
            </w:pPr>
            <w:r w:rsidRPr="00F2303A">
              <w:rPr>
                <w:rFonts w:ascii="Calibri" w:eastAsia="Times New Roman" w:hAnsi="Calibri" w:cs="Calibri"/>
                <w:b/>
                <w:bCs/>
                <w:color w:val="FFFFFF"/>
                <w:lang w:eastAsia="nl-NL"/>
              </w:rPr>
              <w:t>Verandering %</w:t>
            </w:r>
          </w:p>
        </w:tc>
        <w:tc>
          <w:tcPr>
            <w:tcW w:w="2949" w:type="dxa"/>
            <w:tcBorders>
              <w:top w:val="single" w:sz="4" w:space="0" w:color="auto"/>
              <w:bottom w:val="single" w:sz="4" w:space="0" w:color="auto"/>
            </w:tcBorders>
            <w:shd w:val="clear" w:color="4F81BD" w:fill="4F81BD"/>
            <w:noWrap/>
            <w:vAlign w:val="bottom"/>
            <w:hideMark/>
          </w:tcPr>
          <w:p w:rsidR="00F2303A" w:rsidRPr="00F2303A" w:rsidRDefault="00F2303A" w:rsidP="002B6FE4">
            <w:pPr>
              <w:spacing w:after="0" w:line="360" w:lineRule="auto"/>
              <w:jc w:val="center"/>
              <w:rPr>
                <w:rFonts w:ascii="Calibri" w:eastAsia="Times New Roman" w:hAnsi="Calibri" w:cs="Calibri"/>
                <w:b/>
                <w:bCs/>
                <w:color w:val="FFFFFF"/>
                <w:lang w:eastAsia="nl-NL"/>
              </w:rPr>
            </w:pPr>
            <w:r w:rsidRPr="00F2303A">
              <w:rPr>
                <w:rFonts w:ascii="Calibri" w:eastAsia="Times New Roman" w:hAnsi="Calibri" w:cs="Calibri"/>
                <w:b/>
                <w:bCs/>
                <w:color w:val="FFFFFF"/>
                <w:lang w:eastAsia="nl-NL"/>
              </w:rPr>
              <w:t>Gemiddelde verandering %</w:t>
            </w:r>
          </w:p>
        </w:tc>
        <w:tc>
          <w:tcPr>
            <w:tcW w:w="1412" w:type="dxa"/>
            <w:tcBorders>
              <w:top w:val="single" w:sz="4" w:space="0" w:color="auto"/>
              <w:bottom w:val="single" w:sz="4" w:space="0" w:color="auto"/>
            </w:tcBorders>
            <w:shd w:val="clear" w:color="4F81BD" w:fill="4F81BD"/>
            <w:noWrap/>
            <w:vAlign w:val="bottom"/>
            <w:hideMark/>
          </w:tcPr>
          <w:p w:rsidR="00F2303A" w:rsidRPr="00F2303A" w:rsidRDefault="00F2303A" w:rsidP="002B6FE4">
            <w:pPr>
              <w:spacing w:after="0" w:line="360" w:lineRule="auto"/>
              <w:jc w:val="center"/>
              <w:rPr>
                <w:rFonts w:ascii="Calibri" w:eastAsia="Times New Roman" w:hAnsi="Calibri" w:cs="Calibri"/>
                <w:b/>
                <w:bCs/>
                <w:color w:val="FFFFFF"/>
                <w:lang w:eastAsia="nl-NL"/>
              </w:rPr>
            </w:pPr>
            <w:r w:rsidRPr="00F2303A">
              <w:rPr>
                <w:rFonts w:ascii="Calibri" w:eastAsia="Times New Roman" w:hAnsi="Calibri" w:cs="Calibri"/>
                <w:b/>
                <w:bCs/>
                <w:color w:val="FFFFFF"/>
                <w:lang w:eastAsia="nl-NL"/>
              </w:rPr>
              <w:t>Std. Dev.</w:t>
            </w:r>
          </w:p>
        </w:tc>
        <w:tc>
          <w:tcPr>
            <w:tcW w:w="2567" w:type="dxa"/>
            <w:tcBorders>
              <w:top w:val="single" w:sz="4" w:space="0" w:color="auto"/>
              <w:bottom w:val="single" w:sz="4" w:space="0" w:color="auto"/>
            </w:tcBorders>
            <w:shd w:val="clear" w:color="4F81BD" w:fill="4F81BD"/>
            <w:noWrap/>
            <w:vAlign w:val="bottom"/>
            <w:hideMark/>
          </w:tcPr>
          <w:p w:rsidR="00F2303A" w:rsidRPr="00F2303A" w:rsidRDefault="00F2303A" w:rsidP="002B6FE4">
            <w:pPr>
              <w:spacing w:after="0" w:line="360" w:lineRule="auto"/>
              <w:jc w:val="center"/>
              <w:rPr>
                <w:rFonts w:ascii="Calibri" w:eastAsia="Times New Roman" w:hAnsi="Calibri" w:cs="Calibri"/>
                <w:b/>
                <w:bCs/>
                <w:color w:val="FFFFFF"/>
                <w:lang w:eastAsia="nl-NL"/>
              </w:rPr>
            </w:pPr>
            <w:r w:rsidRPr="00F2303A">
              <w:rPr>
                <w:rFonts w:ascii="Calibri" w:eastAsia="Times New Roman" w:hAnsi="Calibri" w:cs="Calibri"/>
                <w:b/>
                <w:bCs/>
                <w:color w:val="FFFFFF"/>
                <w:lang w:eastAsia="nl-NL"/>
              </w:rPr>
              <w:t>Verschil met Nederland</w:t>
            </w:r>
          </w:p>
        </w:tc>
      </w:tr>
      <w:tr w:rsidR="00F2303A" w:rsidRPr="00F2303A" w:rsidTr="00971951">
        <w:trPr>
          <w:trHeight w:val="300"/>
        </w:trPr>
        <w:tc>
          <w:tcPr>
            <w:tcW w:w="1300" w:type="dxa"/>
            <w:tcBorders>
              <w:top w:val="single" w:sz="4" w:space="0" w:color="auto"/>
            </w:tcBorders>
            <w:shd w:val="clear" w:color="DCE6F1" w:fill="DCE6F1"/>
            <w:noWrap/>
            <w:vAlign w:val="bottom"/>
            <w:hideMark/>
          </w:tcPr>
          <w:p w:rsidR="00F2303A" w:rsidRPr="00F2303A" w:rsidRDefault="00F2303A" w:rsidP="002B6FE4">
            <w:pPr>
              <w:spacing w:after="0" w:line="360" w:lineRule="auto"/>
              <w:jc w:val="center"/>
              <w:rPr>
                <w:rFonts w:ascii="Calibri" w:eastAsia="Times New Roman" w:hAnsi="Calibri" w:cs="Calibri"/>
                <w:b/>
                <w:bCs/>
                <w:color w:val="000000"/>
                <w:lang w:eastAsia="nl-NL"/>
              </w:rPr>
            </w:pPr>
            <w:r w:rsidRPr="00F2303A">
              <w:rPr>
                <w:rFonts w:ascii="Calibri" w:eastAsia="Times New Roman" w:hAnsi="Calibri" w:cs="Calibri"/>
                <w:b/>
                <w:bCs/>
                <w:color w:val="000000"/>
                <w:lang w:eastAsia="nl-NL"/>
              </w:rPr>
              <w:t>Nederland</w:t>
            </w:r>
          </w:p>
        </w:tc>
        <w:tc>
          <w:tcPr>
            <w:tcW w:w="1612" w:type="dxa"/>
            <w:tcBorders>
              <w:top w:val="single" w:sz="4" w:space="0" w:color="auto"/>
            </w:tcBorders>
            <w:shd w:val="clear" w:color="DCE6F1" w:fill="DCE6F1"/>
            <w:noWrap/>
            <w:vAlign w:val="bottom"/>
            <w:hideMark/>
          </w:tcPr>
          <w:p w:rsidR="00F2303A" w:rsidRPr="00F2303A" w:rsidRDefault="00F2303A" w:rsidP="002B6FE4">
            <w:pPr>
              <w:spacing w:after="0" w:line="360" w:lineRule="auto"/>
              <w:jc w:val="center"/>
              <w:rPr>
                <w:rFonts w:ascii="Calibri" w:eastAsia="Times New Roman" w:hAnsi="Calibri" w:cs="Calibri"/>
                <w:color w:val="000000"/>
                <w:lang w:eastAsia="nl-NL"/>
              </w:rPr>
            </w:pPr>
            <w:r w:rsidRPr="00F2303A">
              <w:rPr>
                <w:rFonts w:ascii="Calibri" w:eastAsia="Times New Roman" w:hAnsi="Calibri" w:cs="Calibri"/>
                <w:color w:val="000000"/>
                <w:lang w:eastAsia="nl-NL"/>
              </w:rPr>
              <w:t>-0,195360253</w:t>
            </w:r>
          </w:p>
        </w:tc>
        <w:tc>
          <w:tcPr>
            <w:tcW w:w="2949" w:type="dxa"/>
            <w:tcBorders>
              <w:top w:val="single" w:sz="4" w:space="0" w:color="auto"/>
            </w:tcBorders>
            <w:shd w:val="clear" w:color="DCE6F1" w:fill="DCE6F1"/>
            <w:noWrap/>
            <w:vAlign w:val="bottom"/>
            <w:hideMark/>
          </w:tcPr>
          <w:p w:rsidR="00F2303A" w:rsidRPr="00F2303A" w:rsidRDefault="00F2303A" w:rsidP="002B6FE4">
            <w:pPr>
              <w:spacing w:after="0" w:line="360" w:lineRule="auto"/>
              <w:jc w:val="center"/>
              <w:rPr>
                <w:rFonts w:ascii="Calibri" w:eastAsia="Times New Roman" w:hAnsi="Calibri" w:cs="Calibri"/>
                <w:color w:val="000000"/>
                <w:lang w:eastAsia="nl-NL"/>
              </w:rPr>
            </w:pPr>
            <w:r w:rsidRPr="00F2303A">
              <w:rPr>
                <w:rFonts w:ascii="Calibri" w:eastAsia="Times New Roman" w:hAnsi="Calibri" w:cs="Calibri"/>
                <w:color w:val="000000"/>
                <w:lang w:eastAsia="nl-NL"/>
              </w:rPr>
              <w:t>-0,051920458</w:t>
            </w:r>
          </w:p>
        </w:tc>
        <w:tc>
          <w:tcPr>
            <w:tcW w:w="1412" w:type="dxa"/>
            <w:tcBorders>
              <w:top w:val="single" w:sz="4" w:space="0" w:color="auto"/>
            </w:tcBorders>
            <w:shd w:val="clear" w:color="DCE6F1" w:fill="DCE6F1"/>
            <w:noWrap/>
            <w:vAlign w:val="bottom"/>
            <w:hideMark/>
          </w:tcPr>
          <w:p w:rsidR="00F2303A" w:rsidRPr="00F2303A" w:rsidRDefault="00F2303A" w:rsidP="002B6FE4">
            <w:pPr>
              <w:spacing w:after="0" w:line="360" w:lineRule="auto"/>
              <w:jc w:val="center"/>
              <w:rPr>
                <w:rFonts w:ascii="Calibri" w:eastAsia="Times New Roman" w:hAnsi="Calibri" w:cs="Calibri"/>
                <w:color w:val="000000"/>
                <w:lang w:eastAsia="nl-NL"/>
              </w:rPr>
            </w:pPr>
            <w:r w:rsidRPr="00F2303A">
              <w:rPr>
                <w:rFonts w:ascii="Calibri" w:eastAsia="Times New Roman" w:hAnsi="Calibri" w:cs="Calibri"/>
                <w:color w:val="000000"/>
                <w:lang w:eastAsia="nl-NL"/>
              </w:rPr>
              <w:t>0,022525503</w:t>
            </w:r>
          </w:p>
        </w:tc>
        <w:tc>
          <w:tcPr>
            <w:tcW w:w="2567" w:type="dxa"/>
            <w:tcBorders>
              <w:top w:val="single" w:sz="4" w:space="0" w:color="auto"/>
            </w:tcBorders>
            <w:shd w:val="clear" w:color="DCE6F1" w:fill="DCE6F1"/>
            <w:noWrap/>
            <w:vAlign w:val="bottom"/>
            <w:hideMark/>
          </w:tcPr>
          <w:p w:rsidR="00F2303A" w:rsidRPr="00F2303A" w:rsidRDefault="00F2303A" w:rsidP="002B6FE4">
            <w:pPr>
              <w:spacing w:after="0" w:line="360" w:lineRule="auto"/>
              <w:jc w:val="center"/>
              <w:rPr>
                <w:rFonts w:ascii="Calibri" w:eastAsia="Times New Roman" w:hAnsi="Calibri" w:cs="Calibri"/>
                <w:color w:val="000000"/>
                <w:lang w:eastAsia="nl-NL"/>
              </w:rPr>
            </w:pPr>
            <w:r w:rsidRPr="00F2303A">
              <w:rPr>
                <w:rFonts w:ascii="Calibri" w:eastAsia="Times New Roman" w:hAnsi="Calibri" w:cs="Calibri"/>
                <w:color w:val="000000"/>
                <w:lang w:eastAsia="nl-NL"/>
              </w:rPr>
              <w:t>xxx</w:t>
            </w:r>
          </w:p>
        </w:tc>
      </w:tr>
      <w:tr w:rsidR="00F2303A" w:rsidRPr="00F2303A" w:rsidTr="00971951">
        <w:trPr>
          <w:trHeight w:val="300"/>
        </w:trPr>
        <w:tc>
          <w:tcPr>
            <w:tcW w:w="1300" w:type="dxa"/>
            <w:shd w:val="clear" w:color="auto" w:fill="auto"/>
            <w:noWrap/>
            <w:vAlign w:val="center"/>
            <w:hideMark/>
          </w:tcPr>
          <w:p w:rsidR="00F2303A" w:rsidRPr="00F2303A" w:rsidRDefault="00F2303A" w:rsidP="002B6FE4">
            <w:pPr>
              <w:spacing w:after="0" w:line="360" w:lineRule="auto"/>
              <w:jc w:val="center"/>
              <w:rPr>
                <w:rFonts w:ascii="Calibri" w:eastAsia="Times New Roman" w:hAnsi="Calibri" w:cs="Calibri"/>
                <w:b/>
                <w:bCs/>
                <w:color w:val="000000"/>
                <w:lang w:eastAsia="nl-NL"/>
              </w:rPr>
            </w:pPr>
            <w:r w:rsidRPr="00F2303A">
              <w:rPr>
                <w:rFonts w:ascii="Calibri" w:eastAsia="Times New Roman" w:hAnsi="Calibri" w:cs="Calibri"/>
                <w:b/>
                <w:bCs/>
                <w:color w:val="000000"/>
                <w:lang w:eastAsia="nl-NL"/>
              </w:rPr>
              <w:t>Duitsland</w:t>
            </w:r>
          </w:p>
        </w:tc>
        <w:tc>
          <w:tcPr>
            <w:tcW w:w="1612" w:type="dxa"/>
            <w:shd w:val="clear" w:color="auto" w:fill="auto"/>
            <w:noWrap/>
            <w:vAlign w:val="bottom"/>
            <w:hideMark/>
          </w:tcPr>
          <w:p w:rsidR="00F2303A" w:rsidRPr="00F2303A" w:rsidRDefault="00F2303A" w:rsidP="002B6FE4">
            <w:pPr>
              <w:spacing w:after="0" w:line="360" w:lineRule="auto"/>
              <w:jc w:val="center"/>
              <w:rPr>
                <w:rFonts w:ascii="Calibri" w:eastAsia="Times New Roman" w:hAnsi="Calibri" w:cs="Calibri"/>
                <w:color w:val="000000"/>
                <w:lang w:eastAsia="nl-NL"/>
              </w:rPr>
            </w:pPr>
            <w:r w:rsidRPr="00F2303A">
              <w:rPr>
                <w:rFonts w:ascii="Calibri" w:eastAsia="Times New Roman" w:hAnsi="Calibri" w:cs="Calibri"/>
                <w:color w:val="000000"/>
                <w:lang w:eastAsia="nl-NL"/>
              </w:rPr>
              <w:t>-0,047684706</w:t>
            </w:r>
          </w:p>
        </w:tc>
        <w:tc>
          <w:tcPr>
            <w:tcW w:w="2949" w:type="dxa"/>
            <w:shd w:val="clear" w:color="auto" w:fill="auto"/>
            <w:noWrap/>
            <w:vAlign w:val="bottom"/>
            <w:hideMark/>
          </w:tcPr>
          <w:p w:rsidR="00F2303A" w:rsidRPr="00F2303A" w:rsidRDefault="00F2303A" w:rsidP="002B6FE4">
            <w:pPr>
              <w:spacing w:after="0" w:line="360" w:lineRule="auto"/>
              <w:jc w:val="center"/>
              <w:rPr>
                <w:rFonts w:ascii="Calibri" w:eastAsia="Times New Roman" w:hAnsi="Calibri" w:cs="Calibri"/>
                <w:color w:val="000000"/>
                <w:lang w:eastAsia="nl-NL"/>
              </w:rPr>
            </w:pPr>
            <w:r w:rsidRPr="00F2303A">
              <w:rPr>
                <w:rFonts w:ascii="Calibri" w:eastAsia="Times New Roman" w:hAnsi="Calibri" w:cs="Calibri"/>
                <w:color w:val="000000"/>
                <w:lang w:eastAsia="nl-NL"/>
              </w:rPr>
              <w:t>-0,009818193</w:t>
            </w:r>
          </w:p>
        </w:tc>
        <w:tc>
          <w:tcPr>
            <w:tcW w:w="1412" w:type="dxa"/>
            <w:shd w:val="clear" w:color="auto" w:fill="auto"/>
            <w:noWrap/>
            <w:vAlign w:val="bottom"/>
            <w:hideMark/>
          </w:tcPr>
          <w:p w:rsidR="00F2303A" w:rsidRPr="00F2303A" w:rsidRDefault="00F2303A" w:rsidP="002B6FE4">
            <w:pPr>
              <w:spacing w:after="0" w:line="360" w:lineRule="auto"/>
              <w:jc w:val="center"/>
              <w:rPr>
                <w:rFonts w:ascii="Calibri" w:eastAsia="Times New Roman" w:hAnsi="Calibri" w:cs="Calibri"/>
                <w:color w:val="000000"/>
                <w:lang w:eastAsia="nl-NL"/>
              </w:rPr>
            </w:pPr>
            <w:r w:rsidRPr="00F2303A">
              <w:rPr>
                <w:rFonts w:ascii="Calibri" w:eastAsia="Times New Roman" w:hAnsi="Calibri" w:cs="Calibri"/>
                <w:color w:val="000000"/>
                <w:lang w:eastAsia="nl-NL"/>
              </w:rPr>
              <w:t>0,009185818</w:t>
            </w:r>
          </w:p>
        </w:tc>
        <w:tc>
          <w:tcPr>
            <w:tcW w:w="2567" w:type="dxa"/>
            <w:shd w:val="clear" w:color="auto" w:fill="auto"/>
            <w:noWrap/>
            <w:vAlign w:val="bottom"/>
            <w:hideMark/>
          </w:tcPr>
          <w:p w:rsidR="00F2303A" w:rsidRPr="00F2303A" w:rsidRDefault="00F2303A" w:rsidP="002B6FE4">
            <w:pPr>
              <w:spacing w:after="0" w:line="360" w:lineRule="auto"/>
              <w:jc w:val="center"/>
              <w:rPr>
                <w:rFonts w:ascii="Calibri" w:eastAsia="Times New Roman" w:hAnsi="Calibri" w:cs="Calibri"/>
                <w:color w:val="000000"/>
                <w:lang w:eastAsia="nl-NL"/>
              </w:rPr>
            </w:pPr>
            <w:r w:rsidRPr="00F2303A">
              <w:rPr>
                <w:rFonts w:ascii="Calibri" w:eastAsia="Times New Roman" w:hAnsi="Calibri" w:cs="Calibri"/>
                <w:color w:val="000000"/>
                <w:lang w:eastAsia="nl-NL"/>
              </w:rPr>
              <w:t>-0,042102265</w:t>
            </w:r>
          </w:p>
        </w:tc>
      </w:tr>
      <w:tr w:rsidR="00F2303A" w:rsidRPr="00F2303A" w:rsidTr="00971951">
        <w:trPr>
          <w:trHeight w:val="300"/>
        </w:trPr>
        <w:tc>
          <w:tcPr>
            <w:tcW w:w="1300" w:type="dxa"/>
            <w:shd w:val="clear" w:color="DCE6F1" w:fill="DCE6F1"/>
            <w:noWrap/>
            <w:vAlign w:val="center"/>
            <w:hideMark/>
          </w:tcPr>
          <w:p w:rsidR="00F2303A" w:rsidRPr="00F2303A" w:rsidRDefault="00F2303A" w:rsidP="002B6FE4">
            <w:pPr>
              <w:spacing w:after="0" w:line="360" w:lineRule="auto"/>
              <w:jc w:val="center"/>
              <w:rPr>
                <w:rFonts w:ascii="Calibri" w:eastAsia="Times New Roman" w:hAnsi="Calibri" w:cs="Calibri"/>
                <w:b/>
                <w:bCs/>
                <w:color w:val="000000"/>
                <w:lang w:eastAsia="nl-NL"/>
              </w:rPr>
            </w:pPr>
            <w:r w:rsidRPr="00F2303A">
              <w:rPr>
                <w:rFonts w:ascii="Calibri" w:eastAsia="Times New Roman" w:hAnsi="Calibri" w:cs="Calibri"/>
                <w:b/>
                <w:bCs/>
                <w:color w:val="000000"/>
                <w:lang w:eastAsia="nl-NL"/>
              </w:rPr>
              <w:t>Japan</w:t>
            </w:r>
          </w:p>
        </w:tc>
        <w:tc>
          <w:tcPr>
            <w:tcW w:w="1612" w:type="dxa"/>
            <w:shd w:val="clear" w:color="DCE6F1" w:fill="DCE6F1"/>
            <w:noWrap/>
            <w:vAlign w:val="bottom"/>
            <w:hideMark/>
          </w:tcPr>
          <w:p w:rsidR="00F2303A" w:rsidRPr="00F2303A" w:rsidRDefault="00F2303A" w:rsidP="002B6FE4">
            <w:pPr>
              <w:spacing w:after="0" w:line="360" w:lineRule="auto"/>
              <w:jc w:val="center"/>
              <w:rPr>
                <w:rFonts w:ascii="Calibri" w:eastAsia="Times New Roman" w:hAnsi="Calibri" w:cs="Calibri"/>
                <w:color w:val="000000"/>
                <w:lang w:eastAsia="nl-NL"/>
              </w:rPr>
            </w:pPr>
            <w:r w:rsidRPr="00F2303A">
              <w:rPr>
                <w:rFonts w:ascii="Calibri" w:eastAsia="Times New Roman" w:hAnsi="Calibri" w:cs="Calibri"/>
                <w:color w:val="000000"/>
                <w:lang w:eastAsia="nl-NL"/>
              </w:rPr>
              <w:t>-0,068507984</w:t>
            </w:r>
          </w:p>
        </w:tc>
        <w:tc>
          <w:tcPr>
            <w:tcW w:w="2949" w:type="dxa"/>
            <w:shd w:val="clear" w:color="DCE6F1" w:fill="DCE6F1"/>
            <w:noWrap/>
            <w:vAlign w:val="bottom"/>
            <w:hideMark/>
          </w:tcPr>
          <w:p w:rsidR="00F2303A" w:rsidRPr="00F2303A" w:rsidRDefault="00F2303A" w:rsidP="002B6FE4">
            <w:pPr>
              <w:spacing w:after="0" w:line="360" w:lineRule="auto"/>
              <w:jc w:val="center"/>
              <w:rPr>
                <w:rFonts w:ascii="Calibri" w:eastAsia="Times New Roman" w:hAnsi="Calibri" w:cs="Calibri"/>
                <w:color w:val="000000"/>
                <w:lang w:eastAsia="nl-NL"/>
              </w:rPr>
            </w:pPr>
            <w:r w:rsidRPr="00F2303A">
              <w:rPr>
                <w:rFonts w:ascii="Calibri" w:eastAsia="Times New Roman" w:hAnsi="Calibri" w:cs="Calibri"/>
                <w:color w:val="000000"/>
                <w:lang w:eastAsia="nl-NL"/>
              </w:rPr>
              <w:t>-0,019387718</w:t>
            </w:r>
          </w:p>
        </w:tc>
        <w:tc>
          <w:tcPr>
            <w:tcW w:w="1412" w:type="dxa"/>
            <w:shd w:val="clear" w:color="DCE6F1" w:fill="DCE6F1"/>
            <w:noWrap/>
            <w:vAlign w:val="bottom"/>
            <w:hideMark/>
          </w:tcPr>
          <w:p w:rsidR="00F2303A" w:rsidRPr="00F2303A" w:rsidRDefault="00F2303A" w:rsidP="002B6FE4">
            <w:pPr>
              <w:spacing w:after="0" w:line="360" w:lineRule="auto"/>
              <w:jc w:val="center"/>
              <w:rPr>
                <w:rFonts w:ascii="Calibri" w:eastAsia="Times New Roman" w:hAnsi="Calibri" w:cs="Calibri"/>
                <w:color w:val="000000"/>
                <w:lang w:eastAsia="nl-NL"/>
              </w:rPr>
            </w:pPr>
            <w:r w:rsidRPr="00F2303A">
              <w:rPr>
                <w:rFonts w:ascii="Calibri" w:eastAsia="Times New Roman" w:hAnsi="Calibri" w:cs="Calibri"/>
                <w:color w:val="000000"/>
                <w:lang w:eastAsia="nl-NL"/>
              </w:rPr>
              <w:t>0,00462481</w:t>
            </w:r>
          </w:p>
        </w:tc>
        <w:tc>
          <w:tcPr>
            <w:tcW w:w="2567" w:type="dxa"/>
            <w:shd w:val="clear" w:color="DCE6F1" w:fill="DCE6F1"/>
            <w:noWrap/>
            <w:vAlign w:val="bottom"/>
            <w:hideMark/>
          </w:tcPr>
          <w:p w:rsidR="00F2303A" w:rsidRPr="00F2303A" w:rsidRDefault="00F2303A" w:rsidP="002B6FE4">
            <w:pPr>
              <w:spacing w:after="0" w:line="360" w:lineRule="auto"/>
              <w:jc w:val="center"/>
              <w:rPr>
                <w:rFonts w:ascii="Calibri" w:eastAsia="Times New Roman" w:hAnsi="Calibri" w:cs="Calibri"/>
                <w:color w:val="000000"/>
                <w:lang w:eastAsia="nl-NL"/>
              </w:rPr>
            </w:pPr>
            <w:r w:rsidRPr="00F2303A">
              <w:rPr>
                <w:rFonts w:ascii="Calibri" w:eastAsia="Times New Roman" w:hAnsi="Calibri" w:cs="Calibri"/>
                <w:color w:val="000000"/>
                <w:lang w:eastAsia="nl-NL"/>
              </w:rPr>
              <w:t>-0,032532739</w:t>
            </w:r>
          </w:p>
        </w:tc>
      </w:tr>
      <w:tr w:rsidR="00F2303A" w:rsidRPr="00F2303A" w:rsidTr="00971951">
        <w:trPr>
          <w:trHeight w:val="300"/>
        </w:trPr>
        <w:tc>
          <w:tcPr>
            <w:tcW w:w="1300" w:type="dxa"/>
            <w:shd w:val="clear" w:color="auto" w:fill="auto"/>
            <w:noWrap/>
            <w:vAlign w:val="center"/>
            <w:hideMark/>
          </w:tcPr>
          <w:p w:rsidR="00F2303A" w:rsidRPr="00F2303A" w:rsidRDefault="00F2303A" w:rsidP="002B6FE4">
            <w:pPr>
              <w:spacing w:after="0" w:line="360" w:lineRule="auto"/>
              <w:jc w:val="center"/>
              <w:rPr>
                <w:rFonts w:ascii="Calibri" w:eastAsia="Times New Roman" w:hAnsi="Calibri" w:cs="Calibri"/>
                <w:b/>
                <w:bCs/>
                <w:color w:val="000000"/>
                <w:lang w:eastAsia="nl-NL"/>
              </w:rPr>
            </w:pPr>
            <w:r w:rsidRPr="00F2303A">
              <w:rPr>
                <w:rFonts w:ascii="Calibri" w:eastAsia="Times New Roman" w:hAnsi="Calibri" w:cs="Calibri"/>
                <w:b/>
                <w:bCs/>
                <w:color w:val="000000"/>
                <w:lang w:eastAsia="nl-NL"/>
              </w:rPr>
              <w:t>Zwitserland</w:t>
            </w:r>
          </w:p>
        </w:tc>
        <w:tc>
          <w:tcPr>
            <w:tcW w:w="1612" w:type="dxa"/>
            <w:shd w:val="clear" w:color="auto" w:fill="auto"/>
            <w:noWrap/>
            <w:vAlign w:val="bottom"/>
            <w:hideMark/>
          </w:tcPr>
          <w:p w:rsidR="00F2303A" w:rsidRPr="00F2303A" w:rsidRDefault="00F2303A" w:rsidP="002B6FE4">
            <w:pPr>
              <w:spacing w:after="0" w:line="360" w:lineRule="auto"/>
              <w:jc w:val="center"/>
              <w:rPr>
                <w:rFonts w:ascii="Calibri" w:eastAsia="Times New Roman" w:hAnsi="Calibri" w:cs="Calibri"/>
                <w:color w:val="000000"/>
                <w:lang w:eastAsia="nl-NL"/>
              </w:rPr>
            </w:pPr>
            <w:r w:rsidRPr="00F2303A">
              <w:rPr>
                <w:rFonts w:ascii="Calibri" w:eastAsia="Times New Roman" w:hAnsi="Calibri" w:cs="Calibri"/>
                <w:color w:val="000000"/>
                <w:lang w:eastAsia="nl-NL"/>
              </w:rPr>
              <w:t>-0,108675265</w:t>
            </w:r>
          </w:p>
        </w:tc>
        <w:tc>
          <w:tcPr>
            <w:tcW w:w="2949" w:type="dxa"/>
            <w:shd w:val="clear" w:color="auto" w:fill="auto"/>
            <w:noWrap/>
            <w:vAlign w:val="bottom"/>
            <w:hideMark/>
          </w:tcPr>
          <w:p w:rsidR="00F2303A" w:rsidRPr="00F2303A" w:rsidRDefault="00F2303A" w:rsidP="002B6FE4">
            <w:pPr>
              <w:spacing w:after="0" w:line="360" w:lineRule="auto"/>
              <w:jc w:val="center"/>
              <w:rPr>
                <w:rFonts w:ascii="Calibri" w:eastAsia="Times New Roman" w:hAnsi="Calibri" w:cs="Calibri"/>
                <w:color w:val="000000"/>
                <w:lang w:eastAsia="nl-NL"/>
              </w:rPr>
            </w:pPr>
            <w:r w:rsidRPr="00F2303A">
              <w:rPr>
                <w:rFonts w:ascii="Calibri" w:eastAsia="Times New Roman" w:hAnsi="Calibri" w:cs="Calibri"/>
                <w:color w:val="000000"/>
                <w:lang w:eastAsia="nl-NL"/>
              </w:rPr>
              <w:t>-0,023568782</w:t>
            </w:r>
          </w:p>
        </w:tc>
        <w:tc>
          <w:tcPr>
            <w:tcW w:w="1412" w:type="dxa"/>
            <w:shd w:val="clear" w:color="auto" w:fill="auto"/>
            <w:noWrap/>
            <w:vAlign w:val="bottom"/>
            <w:hideMark/>
          </w:tcPr>
          <w:p w:rsidR="00F2303A" w:rsidRPr="00F2303A" w:rsidRDefault="00F2303A" w:rsidP="002B6FE4">
            <w:pPr>
              <w:spacing w:after="0" w:line="360" w:lineRule="auto"/>
              <w:jc w:val="center"/>
              <w:rPr>
                <w:rFonts w:ascii="Calibri" w:eastAsia="Times New Roman" w:hAnsi="Calibri" w:cs="Calibri"/>
                <w:color w:val="000000"/>
                <w:lang w:eastAsia="nl-NL"/>
              </w:rPr>
            </w:pPr>
            <w:r w:rsidRPr="00F2303A">
              <w:rPr>
                <w:rFonts w:ascii="Calibri" w:eastAsia="Times New Roman" w:hAnsi="Calibri" w:cs="Calibri"/>
                <w:color w:val="000000"/>
                <w:lang w:eastAsia="nl-NL"/>
              </w:rPr>
              <w:t>0,018501927</w:t>
            </w:r>
          </w:p>
        </w:tc>
        <w:tc>
          <w:tcPr>
            <w:tcW w:w="2567" w:type="dxa"/>
            <w:shd w:val="clear" w:color="auto" w:fill="auto"/>
            <w:noWrap/>
            <w:vAlign w:val="bottom"/>
            <w:hideMark/>
          </w:tcPr>
          <w:p w:rsidR="00F2303A" w:rsidRPr="00F2303A" w:rsidRDefault="00F2303A" w:rsidP="002B6FE4">
            <w:pPr>
              <w:spacing w:after="0" w:line="360" w:lineRule="auto"/>
              <w:jc w:val="center"/>
              <w:rPr>
                <w:rFonts w:ascii="Calibri" w:eastAsia="Times New Roman" w:hAnsi="Calibri" w:cs="Calibri"/>
                <w:color w:val="000000"/>
                <w:lang w:eastAsia="nl-NL"/>
              </w:rPr>
            </w:pPr>
            <w:r w:rsidRPr="00F2303A">
              <w:rPr>
                <w:rFonts w:ascii="Calibri" w:eastAsia="Times New Roman" w:hAnsi="Calibri" w:cs="Calibri"/>
                <w:color w:val="000000"/>
                <w:lang w:eastAsia="nl-NL"/>
              </w:rPr>
              <w:t>-0,028351675</w:t>
            </w:r>
          </w:p>
        </w:tc>
      </w:tr>
    </w:tbl>
    <w:p w:rsidR="00883768" w:rsidRPr="00CB7884" w:rsidRDefault="00971951" w:rsidP="002B6FE4">
      <w:pPr>
        <w:spacing w:line="360" w:lineRule="auto"/>
      </w:pPr>
      <w:r>
        <w:rPr>
          <w:i/>
          <w:sz w:val="16"/>
          <w:szCs w:val="16"/>
        </w:rPr>
        <w:t xml:space="preserve">Opmerking. </w:t>
      </w:r>
      <w:r>
        <w:rPr>
          <w:sz w:val="16"/>
          <w:szCs w:val="16"/>
        </w:rPr>
        <w:t xml:space="preserve">Gegevens afkomstig van </w:t>
      </w:r>
      <w:r w:rsidR="001A6446" w:rsidRPr="001A6446">
        <w:rPr>
          <w:noProof/>
          <w:sz w:val="16"/>
          <w:szCs w:val="16"/>
        </w:rPr>
        <w:t>(Visser, 2013)</w:t>
      </w:r>
      <w:r w:rsidR="00F2303A">
        <w:br/>
      </w:r>
      <w:r w:rsidR="0003027C">
        <w:br/>
      </w:r>
      <w:r w:rsidR="00413C26">
        <w:t xml:space="preserve">De vergelijking van de Nederlandse met de Duitse organisatiegraad, geeft een </w:t>
      </w:r>
      <w:r w:rsidR="00BA736D">
        <w:t>t</w:t>
      </w:r>
      <w:r w:rsidR="00413C26">
        <w:t xml:space="preserve">-waarde van </w:t>
      </w:r>
      <w:r w:rsidR="00413C26" w:rsidRPr="00413C26">
        <w:t>-</w:t>
      </w:r>
      <w:r w:rsidR="00F2303A">
        <w:t>3,870</w:t>
      </w:r>
      <w:r w:rsidR="00413C26">
        <w:t xml:space="preserve">, </w:t>
      </w:r>
      <w:r w:rsidR="00397DB8">
        <w:t>die</w:t>
      </w:r>
      <w:r w:rsidR="00413C26">
        <w:t xml:space="preserve"> ruim buiten het 95%-betrouwbaarheidsintervalbereik </w:t>
      </w:r>
      <w:r w:rsidR="00413C26">
        <w:rPr>
          <w:rFonts w:eastAsiaTheme="minorEastAsia"/>
        </w:rPr>
        <w:t>ligt. Dit betekent dat de nulhypothese moet worden verworpen en de alternatieve hypothese moet worden aangenomen. Wanneer de vergelijking van de ontwikkeling van de organisatiegraad tussen Nederland en Duitsland over de eerste vijf jaar na het Akkoord van Wassenaar wordt gemaakt, moet worden gesteld dat</w:t>
      </w:r>
      <w:r w:rsidR="00413C26" w:rsidRPr="00413C26">
        <w:rPr>
          <w:rFonts w:eastAsiaTheme="minorEastAsia"/>
        </w:rPr>
        <w:t xml:space="preserve"> </w:t>
      </w:r>
      <w:r w:rsidR="00413C26" w:rsidRPr="00413C26">
        <w:t xml:space="preserve">het Akkoord van Wassenaar effect heeft gehad op de ontwikkeling van de organisatiegraad </w:t>
      </w:r>
      <w:r w:rsidR="00F2303A">
        <w:t>in de periode 1983-1987</w:t>
      </w:r>
      <w:r w:rsidR="00413C26">
        <w:t xml:space="preserve"> </w:t>
      </w:r>
      <w:r w:rsidR="00413C26" w:rsidRPr="00413C26">
        <w:t xml:space="preserve">( </w:t>
      </w:r>
      <m:oMath>
        <m:sSub>
          <m:sSubPr>
            <m:ctrlPr>
              <w:rPr>
                <w:rFonts w:ascii="Cambria Math" w:eastAsiaTheme="minorEastAsia" w:hAnsi="Cambria Math"/>
              </w:rPr>
            </m:ctrlPr>
          </m:sSubPr>
          <m:e>
            <m:r>
              <m:rPr>
                <m:sty m:val="p"/>
              </m:rPr>
              <w:rPr>
                <w:rFonts w:ascii="Cambria Math" w:eastAsiaTheme="minorEastAsia" w:hAnsi="Cambria Math"/>
              </w:rPr>
              <m:t>μ</m:t>
            </m:r>
          </m:e>
          <m:sub>
            <m:r>
              <m:rPr>
                <m:sty m:val="p"/>
              </m:rPr>
              <w:rPr>
                <w:rFonts w:ascii="Cambria Math" w:eastAsiaTheme="minorEastAsia" w:hAnsi="Cambria Math"/>
              </w:rPr>
              <m:t>1</m:t>
            </m:r>
          </m:sub>
        </m:sSub>
        <m:r>
          <m:rPr>
            <m:sty m:val="p"/>
          </m:rPr>
          <w:rPr>
            <w:rFonts w:ascii="Cambria Math" w:eastAsiaTheme="minorEastAsia" w:hAnsi="Cambria Math"/>
          </w:rPr>
          <m:t>≠</m:t>
        </m:r>
        <m:sSub>
          <m:sSubPr>
            <m:ctrlPr>
              <w:rPr>
                <w:rFonts w:ascii="Cambria Math" w:eastAsiaTheme="minorEastAsia" w:hAnsi="Cambria Math"/>
              </w:rPr>
            </m:ctrlPr>
          </m:sSubPr>
          <m:e>
            <m:r>
              <m:rPr>
                <m:sty m:val="p"/>
              </m:rPr>
              <w:rPr>
                <w:rFonts w:ascii="Cambria Math" w:eastAsiaTheme="minorEastAsia" w:hAnsi="Cambria Math"/>
              </w:rPr>
              <m:t>μ</m:t>
            </m:r>
          </m:e>
          <m:sub>
            <m:r>
              <m:rPr>
                <m:sty m:val="p"/>
              </m:rPr>
              <w:rPr>
                <w:rFonts w:ascii="Cambria Math" w:eastAsiaTheme="minorEastAsia" w:hAnsi="Cambria Math"/>
              </w:rPr>
              <m:t>2</m:t>
            </m:r>
          </m:sub>
        </m:sSub>
      </m:oMath>
      <w:r w:rsidR="00413C26" w:rsidRPr="00413C26">
        <w:rPr>
          <w:rFonts w:eastAsiaTheme="minorEastAsia"/>
        </w:rPr>
        <w:t>)</w:t>
      </w:r>
      <w:r w:rsidR="00413C26">
        <w:rPr>
          <w:rFonts w:eastAsiaTheme="minorEastAsia"/>
        </w:rPr>
        <w:t>.</w:t>
      </w:r>
      <w:r w:rsidR="00B54AD7">
        <w:t xml:space="preserve"> </w:t>
      </w:r>
      <w:r w:rsidR="00413C26">
        <w:rPr>
          <w:rFonts w:eastAsiaTheme="minorEastAsia"/>
        </w:rPr>
        <w:t xml:space="preserve">Wanneer </w:t>
      </w:r>
      <w:r w:rsidR="00736DD7">
        <w:rPr>
          <w:rFonts w:eastAsiaTheme="minorEastAsia"/>
        </w:rPr>
        <w:t xml:space="preserve">vervolgens </w:t>
      </w:r>
      <w:r w:rsidR="00413C26">
        <w:rPr>
          <w:rFonts w:eastAsiaTheme="minorEastAsia"/>
        </w:rPr>
        <w:t xml:space="preserve">de Nederlandse organisatiegraad met die van Japan wordt vergeleken, </w:t>
      </w:r>
      <w:r w:rsidR="00736DD7">
        <w:rPr>
          <w:rFonts w:eastAsiaTheme="minorEastAsia"/>
        </w:rPr>
        <w:t>blijkt</w:t>
      </w:r>
      <w:r w:rsidR="00413C26">
        <w:rPr>
          <w:rFonts w:eastAsiaTheme="minorEastAsia"/>
        </w:rPr>
        <w:t xml:space="preserve"> er een </w:t>
      </w:r>
      <w:r w:rsidR="0034682C">
        <w:rPr>
          <w:rFonts w:eastAsiaTheme="minorEastAsia"/>
        </w:rPr>
        <w:t>t</w:t>
      </w:r>
      <w:r w:rsidR="00413C26">
        <w:rPr>
          <w:rFonts w:eastAsiaTheme="minorEastAsia"/>
        </w:rPr>
        <w:t>-waarde van -3,</w:t>
      </w:r>
      <w:r w:rsidR="00F2303A">
        <w:rPr>
          <w:rFonts w:eastAsiaTheme="minorEastAsia"/>
        </w:rPr>
        <w:t>163</w:t>
      </w:r>
      <w:r w:rsidR="00736DD7">
        <w:rPr>
          <w:rFonts w:eastAsiaTheme="minorEastAsia"/>
        </w:rPr>
        <w:t xml:space="preserve"> te ontstaan. Net zoals bij Duitsland, zal ook in dit geval de nulhypothese moeten </w:t>
      </w:r>
      <w:r w:rsidR="003D4891">
        <w:rPr>
          <w:rFonts w:eastAsiaTheme="minorEastAsia"/>
        </w:rPr>
        <w:t xml:space="preserve">worden </w:t>
      </w:r>
      <w:r w:rsidR="002132BE">
        <w:rPr>
          <w:rFonts w:eastAsiaTheme="minorEastAsia"/>
        </w:rPr>
        <w:t xml:space="preserve">verworpen, </w:t>
      </w:r>
      <w:r w:rsidR="00736DD7">
        <w:rPr>
          <w:rFonts w:eastAsiaTheme="minorEastAsia"/>
        </w:rPr>
        <w:t xml:space="preserve">aangezien ook deze </w:t>
      </w:r>
      <w:r w:rsidR="0034682C">
        <w:rPr>
          <w:rFonts w:eastAsiaTheme="minorEastAsia"/>
        </w:rPr>
        <w:t>t</w:t>
      </w:r>
      <w:r w:rsidR="00736DD7">
        <w:rPr>
          <w:rFonts w:eastAsiaTheme="minorEastAsia"/>
        </w:rPr>
        <w:t>-waarde zich ruim buiten de extreme waarden bevindt.</w:t>
      </w:r>
      <w:r w:rsidR="00B54AD7">
        <w:t xml:space="preserve"> </w:t>
      </w:r>
      <w:r w:rsidR="00F2303A">
        <w:rPr>
          <w:rFonts w:eastAsiaTheme="minorEastAsia"/>
        </w:rPr>
        <w:t>Eveneens</w:t>
      </w:r>
      <w:r w:rsidR="00736DD7">
        <w:rPr>
          <w:rFonts w:eastAsiaTheme="minorEastAsia"/>
        </w:rPr>
        <w:t xml:space="preserve"> wordt de vergelijking gemaakt met de Zwitserse organisatiegraad. </w:t>
      </w:r>
      <w:r w:rsidR="006747A2">
        <w:rPr>
          <w:rFonts w:eastAsiaTheme="minorEastAsia"/>
        </w:rPr>
        <w:t>In tegenstelling tot</w:t>
      </w:r>
      <w:r w:rsidR="00736DD7">
        <w:rPr>
          <w:rFonts w:eastAsiaTheme="minorEastAsia"/>
        </w:rPr>
        <w:t xml:space="preserve"> de voorgangers Duitsland en Japan, blijkt de vergelijking van de ontwikkeling van de Nederlandse met de Zwitserse organisatiegraad niet op te gaan. De </w:t>
      </w:r>
      <w:r w:rsidR="0034682C">
        <w:rPr>
          <w:rFonts w:eastAsiaTheme="minorEastAsia"/>
        </w:rPr>
        <w:t>t</w:t>
      </w:r>
      <w:r w:rsidR="00736DD7">
        <w:rPr>
          <w:rFonts w:eastAsiaTheme="minorEastAsia"/>
        </w:rPr>
        <w:t>-waarde van -2,</w:t>
      </w:r>
      <w:r w:rsidR="00F2303A">
        <w:rPr>
          <w:rFonts w:eastAsiaTheme="minorEastAsia"/>
        </w:rPr>
        <w:t>175</w:t>
      </w:r>
      <w:r w:rsidR="00736DD7">
        <w:rPr>
          <w:rFonts w:eastAsiaTheme="minorEastAsia"/>
        </w:rPr>
        <w:t xml:space="preserve"> ligt </w:t>
      </w:r>
      <w:r w:rsidR="00883768">
        <w:rPr>
          <w:rFonts w:eastAsiaTheme="minorEastAsia"/>
        </w:rPr>
        <w:t>binnen het 95%-betrouwbaarheidsinterval, waardoor de nulhypothese moet worden aangenomen.</w:t>
      </w:r>
      <w:r w:rsidR="00B54AD7">
        <w:t xml:space="preserve"> </w:t>
      </w:r>
      <w:r w:rsidR="00883768">
        <w:rPr>
          <w:rFonts w:eastAsiaTheme="minorEastAsia"/>
        </w:rPr>
        <w:t xml:space="preserve">Naast de vergelijking met de referentielanden is er </w:t>
      </w:r>
      <w:r w:rsidR="006747A2">
        <w:rPr>
          <w:rFonts w:eastAsiaTheme="minorEastAsia"/>
        </w:rPr>
        <w:t>tot slot</w:t>
      </w:r>
      <w:r w:rsidR="00883768">
        <w:rPr>
          <w:rFonts w:eastAsiaTheme="minorEastAsia"/>
        </w:rPr>
        <w:t xml:space="preserve"> een vergelijking gemaakt van de ontwikkeling van de Nederlandse organisatiegraad ten opzichte van de </w:t>
      </w:r>
      <w:r w:rsidR="002132BE">
        <w:rPr>
          <w:rFonts w:eastAsiaTheme="minorEastAsia"/>
        </w:rPr>
        <w:t xml:space="preserve">ontwikkeling van de </w:t>
      </w:r>
      <w:r w:rsidR="00883768">
        <w:rPr>
          <w:rFonts w:eastAsiaTheme="minorEastAsia"/>
        </w:rPr>
        <w:t xml:space="preserve">lineaire trendlijn </w:t>
      </w:r>
      <w:r w:rsidR="006747A2">
        <w:rPr>
          <w:rFonts w:eastAsiaTheme="minorEastAsia"/>
        </w:rPr>
        <w:t>van diezelfde organisatiegraad</w:t>
      </w:r>
      <w:r w:rsidR="00883768">
        <w:rPr>
          <w:rFonts w:eastAsiaTheme="minorEastAsia"/>
        </w:rPr>
        <w:t xml:space="preserve">. </w:t>
      </w:r>
      <w:r w:rsidR="006747A2">
        <w:rPr>
          <w:rFonts w:eastAsiaTheme="minorEastAsia"/>
        </w:rPr>
        <w:t>De t-test</w:t>
      </w:r>
      <w:r w:rsidR="00197AA0">
        <w:rPr>
          <w:rFonts w:eastAsiaTheme="minorEastAsia"/>
        </w:rPr>
        <w:t xml:space="preserve"> levert een waarde van -</w:t>
      </w:r>
      <w:r w:rsidR="006747A2">
        <w:rPr>
          <w:rFonts w:eastAsiaTheme="minorEastAsia"/>
        </w:rPr>
        <w:t>4,062</w:t>
      </w:r>
      <w:r w:rsidR="00197AA0">
        <w:rPr>
          <w:rFonts w:eastAsiaTheme="minorEastAsia"/>
        </w:rPr>
        <w:t xml:space="preserve"> op</w:t>
      </w:r>
      <w:r w:rsidR="00363A0F">
        <w:rPr>
          <w:rFonts w:eastAsiaTheme="minorEastAsia"/>
        </w:rPr>
        <w:t xml:space="preserve">, wat een sterk significante afwijking </w:t>
      </w:r>
      <w:r w:rsidR="00511548">
        <w:rPr>
          <w:rFonts w:eastAsiaTheme="minorEastAsia"/>
        </w:rPr>
        <w:t>weergeeft</w:t>
      </w:r>
      <w:r w:rsidR="00197AA0">
        <w:rPr>
          <w:rFonts w:eastAsiaTheme="minorEastAsia"/>
        </w:rPr>
        <w:t>. Dit bet</w:t>
      </w:r>
      <w:r w:rsidR="00C1704B">
        <w:rPr>
          <w:rFonts w:eastAsiaTheme="minorEastAsia"/>
        </w:rPr>
        <w:t xml:space="preserve">ekent dat </w:t>
      </w:r>
      <w:r w:rsidR="00F4031A">
        <w:rPr>
          <w:rFonts w:eastAsiaTheme="minorEastAsia"/>
        </w:rPr>
        <w:t>net zoals</w:t>
      </w:r>
      <w:r w:rsidR="006F2E76">
        <w:rPr>
          <w:rFonts w:eastAsiaTheme="minorEastAsia"/>
        </w:rPr>
        <w:t xml:space="preserve"> bij Duitsland en Japan, </w:t>
      </w:r>
      <w:r w:rsidR="00C1704B">
        <w:rPr>
          <w:rFonts w:eastAsiaTheme="minorEastAsia"/>
        </w:rPr>
        <w:t>voor de binnenlandse vergelijking de nulhypothese niet kan worden aangenomen en de alternatieve hypothese de juiste is.</w:t>
      </w:r>
      <w:r w:rsidR="00CB7884">
        <w:br/>
        <w:t xml:space="preserve"> </w:t>
      </w:r>
      <w:r w:rsidR="00CB7884">
        <w:tab/>
      </w:r>
      <w:r w:rsidR="00C1704B">
        <w:rPr>
          <w:rFonts w:eastAsiaTheme="minorEastAsia"/>
        </w:rPr>
        <w:t xml:space="preserve">Voor </w:t>
      </w:r>
      <w:r w:rsidR="006F2E76">
        <w:rPr>
          <w:rFonts w:eastAsiaTheme="minorEastAsia"/>
        </w:rPr>
        <w:t>Duitsland, Japan</w:t>
      </w:r>
      <w:r w:rsidR="00C1704B">
        <w:rPr>
          <w:rFonts w:eastAsiaTheme="minorEastAsia"/>
        </w:rPr>
        <w:t xml:space="preserve"> </w:t>
      </w:r>
      <w:r w:rsidR="006F2E76">
        <w:rPr>
          <w:rFonts w:eastAsiaTheme="minorEastAsia"/>
        </w:rPr>
        <w:t xml:space="preserve">en </w:t>
      </w:r>
      <w:r w:rsidR="00C1704B">
        <w:rPr>
          <w:rFonts w:eastAsiaTheme="minorEastAsia"/>
        </w:rPr>
        <w:t xml:space="preserve">de trendlijn, blijkt de nulhypothese te moeten worden verworpen door een duidelijk significante afwijking; dit betekent automatisch dat de alternatieve hypothese moet worden aangenomen. </w:t>
      </w:r>
      <w:r w:rsidR="006F2E76">
        <w:rPr>
          <w:rFonts w:eastAsiaTheme="minorEastAsia"/>
        </w:rPr>
        <w:t xml:space="preserve">Zwitserland daarentegen laat een niet significante afwijking zien. Als echter de t-waarde in beschouwing wordt genomen, blijkt deze wel significant voor een 90% betrouwbaarheidsinterval. </w:t>
      </w:r>
      <w:r w:rsidR="00C1704B">
        <w:rPr>
          <w:rFonts w:eastAsiaTheme="minorEastAsia"/>
        </w:rPr>
        <w:t>Al met al</w:t>
      </w:r>
      <w:r w:rsidR="002132BE">
        <w:rPr>
          <w:rFonts w:eastAsiaTheme="minorEastAsia"/>
        </w:rPr>
        <w:t xml:space="preserve"> valt te concluderen dat er in de eerste vijf jaar na het Akkoord van Wassenaar een sterke indicatie lijkt te zijn voor een significante afwijking van de Nederlandse organisatiegraad</w:t>
      </w:r>
      <w:r w:rsidR="00C1704B">
        <w:rPr>
          <w:rFonts w:eastAsiaTheme="minorEastAsia"/>
        </w:rPr>
        <w:t xml:space="preserve"> </w:t>
      </w:r>
      <w:r w:rsidR="002132BE">
        <w:rPr>
          <w:rFonts w:eastAsiaTheme="minorEastAsia"/>
        </w:rPr>
        <w:t>ten opzichte van die van de referentiekaders.</w:t>
      </w:r>
      <w:r w:rsidR="00883768">
        <w:rPr>
          <w:rFonts w:eastAsiaTheme="minorEastAsia"/>
        </w:rPr>
        <w:t xml:space="preserve"> </w:t>
      </w:r>
      <w:r w:rsidR="00C1704B">
        <w:rPr>
          <w:rFonts w:eastAsiaTheme="minorEastAsia"/>
        </w:rPr>
        <w:t xml:space="preserve"> </w:t>
      </w:r>
    </w:p>
    <w:p w:rsidR="00EF5C8C" w:rsidRPr="00EF5C8C" w:rsidRDefault="003D2114" w:rsidP="002B6FE4">
      <w:pPr>
        <w:spacing w:line="360" w:lineRule="auto"/>
      </w:pPr>
      <w:r>
        <w:rPr>
          <w:b/>
        </w:rPr>
        <w:lastRenderedPageBreak/>
        <w:t>De tweede vijf jaar na het Akkoord van Wassenaar</w:t>
      </w:r>
      <w:r w:rsidR="00EF5C8C">
        <w:rPr>
          <w:b/>
        </w:rPr>
        <w:br/>
      </w:r>
      <w:r w:rsidR="00EF5C8C">
        <w:t>De organisatiegraad van Nederland is in de tweede vijf jaar na het Akkoord van Wassenaar van 24,2</w:t>
      </w:r>
      <w:r w:rsidR="008475F3">
        <w:t>%</w:t>
      </w:r>
      <w:r w:rsidR="00EF5C8C">
        <w:t xml:space="preserve"> in 1988 naar 24,8</w:t>
      </w:r>
      <w:r w:rsidR="008475F3">
        <w:t>%</w:t>
      </w:r>
      <w:r w:rsidR="00EF5C8C">
        <w:t xml:space="preserve"> in 1992 gestegen. In tegenstelling tot de sterke daling in de voorgaande periode, is er in dit tijdsinterval sprake van een stijging, zij het slechts licht. De gemiddelde jaarlijkse procentuele verandering is </w:t>
      </w:r>
      <w:r w:rsidR="00B111F5">
        <w:t>dan</w:t>
      </w:r>
      <w:r w:rsidR="00EF5C8C">
        <w:t xml:space="preserve"> ook</w:t>
      </w:r>
      <w:r w:rsidR="00B111F5">
        <w:t xml:space="preserve"> maar</w:t>
      </w:r>
      <w:r w:rsidR="00EF5C8C">
        <w:t xml:space="preserve"> een kleine 0,1%.</w:t>
      </w:r>
      <w:r w:rsidR="008232B2">
        <w:t xml:space="preserve"> Niet alleen Nederland, maar ook Duitsland ervaarde een lichte stijging, terwijl Zwitserland en Japan nog wel te maken hadden met een dalende organisatiegraad.</w:t>
      </w:r>
    </w:p>
    <w:tbl>
      <w:tblPr>
        <w:tblW w:w="9840" w:type="dxa"/>
        <w:tblInd w:w="55" w:type="dxa"/>
        <w:tblBorders>
          <w:top w:val="single" w:sz="4" w:space="0" w:color="auto"/>
          <w:left w:val="single" w:sz="4" w:space="0" w:color="auto"/>
          <w:bottom w:val="single" w:sz="4" w:space="0" w:color="auto"/>
          <w:right w:val="single" w:sz="4" w:space="0" w:color="auto"/>
        </w:tblBorders>
        <w:tblCellMar>
          <w:left w:w="70" w:type="dxa"/>
          <w:right w:w="70" w:type="dxa"/>
        </w:tblCellMar>
        <w:tblLook w:val="04A0" w:firstRow="1" w:lastRow="0" w:firstColumn="1" w:lastColumn="0" w:noHBand="0" w:noVBand="1"/>
      </w:tblPr>
      <w:tblGrid>
        <w:gridCol w:w="1300"/>
        <w:gridCol w:w="1612"/>
        <w:gridCol w:w="2949"/>
        <w:gridCol w:w="1412"/>
        <w:gridCol w:w="2567"/>
      </w:tblGrid>
      <w:tr w:rsidR="00E52716" w:rsidRPr="00E52716" w:rsidTr="00AE2DE3">
        <w:trPr>
          <w:trHeight w:val="300"/>
        </w:trPr>
        <w:tc>
          <w:tcPr>
            <w:tcW w:w="9840" w:type="dxa"/>
            <w:gridSpan w:val="5"/>
            <w:tcBorders>
              <w:bottom w:val="single" w:sz="4" w:space="0" w:color="auto"/>
            </w:tcBorders>
            <w:shd w:val="clear" w:color="000000" w:fill="16365C"/>
            <w:noWrap/>
            <w:vAlign w:val="bottom"/>
            <w:hideMark/>
          </w:tcPr>
          <w:p w:rsidR="00E52716" w:rsidRPr="00E52716" w:rsidRDefault="008475F3" w:rsidP="008475F3">
            <w:pPr>
              <w:spacing w:after="0" w:line="360" w:lineRule="auto"/>
              <w:rPr>
                <w:rFonts w:ascii="Calibri" w:eastAsia="Times New Roman" w:hAnsi="Calibri" w:cs="Calibri"/>
                <w:b/>
                <w:bCs/>
                <w:color w:val="FFFFFF"/>
                <w:lang w:eastAsia="nl-NL"/>
              </w:rPr>
            </w:pPr>
            <w:r>
              <w:rPr>
                <w:rFonts w:ascii="Calibri" w:eastAsia="Times New Roman" w:hAnsi="Calibri" w:cs="Calibri"/>
                <w:b/>
                <w:bCs/>
                <w:color w:val="FFFFFF"/>
                <w:lang w:eastAsia="nl-NL"/>
              </w:rPr>
              <w:t xml:space="preserve">Tabel 2.                                       </w:t>
            </w:r>
            <w:r w:rsidR="00E52716" w:rsidRPr="00E52716">
              <w:rPr>
                <w:rFonts w:ascii="Calibri" w:eastAsia="Times New Roman" w:hAnsi="Calibri" w:cs="Calibri"/>
                <w:b/>
                <w:bCs/>
                <w:color w:val="FFFFFF"/>
                <w:lang w:eastAsia="nl-NL"/>
              </w:rPr>
              <w:t>Verandering organisatiegraden 1988-1992</w:t>
            </w:r>
          </w:p>
        </w:tc>
      </w:tr>
      <w:tr w:rsidR="00E52716" w:rsidRPr="00E52716" w:rsidTr="00AE2DE3">
        <w:trPr>
          <w:trHeight w:val="300"/>
        </w:trPr>
        <w:tc>
          <w:tcPr>
            <w:tcW w:w="1300" w:type="dxa"/>
            <w:tcBorders>
              <w:top w:val="single" w:sz="4" w:space="0" w:color="auto"/>
              <w:bottom w:val="single" w:sz="4" w:space="0" w:color="auto"/>
            </w:tcBorders>
            <w:shd w:val="clear" w:color="4F81BD" w:fill="4F81BD"/>
            <w:noWrap/>
            <w:vAlign w:val="bottom"/>
            <w:hideMark/>
          </w:tcPr>
          <w:p w:rsidR="00E52716" w:rsidRPr="00E52716" w:rsidRDefault="00E52716" w:rsidP="002B6FE4">
            <w:pPr>
              <w:spacing w:after="0" w:line="360" w:lineRule="auto"/>
              <w:jc w:val="center"/>
              <w:rPr>
                <w:rFonts w:ascii="Calibri" w:eastAsia="Times New Roman" w:hAnsi="Calibri" w:cs="Calibri"/>
                <w:b/>
                <w:bCs/>
                <w:color w:val="FFFFFF"/>
                <w:lang w:eastAsia="nl-NL"/>
              </w:rPr>
            </w:pPr>
            <w:r w:rsidRPr="00E52716">
              <w:rPr>
                <w:rFonts w:ascii="Calibri" w:eastAsia="Times New Roman" w:hAnsi="Calibri" w:cs="Calibri"/>
                <w:b/>
                <w:bCs/>
                <w:color w:val="FFFFFF"/>
                <w:lang w:eastAsia="nl-NL"/>
              </w:rPr>
              <w:t>Land</w:t>
            </w:r>
          </w:p>
        </w:tc>
        <w:tc>
          <w:tcPr>
            <w:tcW w:w="1612" w:type="dxa"/>
            <w:tcBorders>
              <w:top w:val="single" w:sz="4" w:space="0" w:color="auto"/>
              <w:bottom w:val="single" w:sz="4" w:space="0" w:color="auto"/>
            </w:tcBorders>
            <w:shd w:val="clear" w:color="4F81BD" w:fill="4F81BD"/>
            <w:noWrap/>
            <w:vAlign w:val="bottom"/>
            <w:hideMark/>
          </w:tcPr>
          <w:p w:rsidR="00E52716" w:rsidRPr="00E52716" w:rsidRDefault="00E52716" w:rsidP="002B6FE4">
            <w:pPr>
              <w:spacing w:after="0" w:line="360" w:lineRule="auto"/>
              <w:jc w:val="center"/>
              <w:rPr>
                <w:rFonts w:ascii="Calibri" w:eastAsia="Times New Roman" w:hAnsi="Calibri" w:cs="Calibri"/>
                <w:b/>
                <w:bCs/>
                <w:color w:val="FFFFFF"/>
                <w:lang w:eastAsia="nl-NL"/>
              </w:rPr>
            </w:pPr>
            <w:r w:rsidRPr="00E52716">
              <w:rPr>
                <w:rFonts w:ascii="Calibri" w:eastAsia="Times New Roman" w:hAnsi="Calibri" w:cs="Calibri"/>
                <w:b/>
                <w:bCs/>
                <w:color w:val="FFFFFF"/>
                <w:lang w:eastAsia="nl-NL"/>
              </w:rPr>
              <w:t>Verandering %</w:t>
            </w:r>
          </w:p>
        </w:tc>
        <w:tc>
          <w:tcPr>
            <w:tcW w:w="2949" w:type="dxa"/>
            <w:tcBorders>
              <w:top w:val="single" w:sz="4" w:space="0" w:color="auto"/>
              <w:bottom w:val="single" w:sz="4" w:space="0" w:color="auto"/>
            </w:tcBorders>
            <w:shd w:val="clear" w:color="4F81BD" w:fill="4F81BD"/>
            <w:noWrap/>
            <w:vAlign w:val="bottom"/>
            <w:hideMark/>
          </w:tcPr>
          <w:p w:rsidR="00E52716" w:rsidRPr="00E52716" w:rsidRDefault="00E52716" w:rsidP="002B6FE4">
            <w:pPr>
              <w:spacing w:after="0" w:line="360" w:lineRule="auto"/>
              <w:jc w:val="center"/>
              <w:rPr>
                <w:rFonts w:ascii="Calibri" w:eastAsia="Times New Roman" w:hAnsi="Calibri" w:cs="Calibri"/>
                <w:b/>
                <w:bCs/>
                <w:color w:val="FFFFFF"/>
                <w:lang w:eastAsia="nl-NL"/>
              </w:rPr>
            </w:pPr>
            <w:r w:rsidRPr="00E52716">
              <w:rPr>
                <w:rFonts w:ascii="Calibri" w:eastAsia="Times New Roman" w:hAnsi="Calibri" w:cs="Calibri"/>
                <w:b/>
                <w:bCs/>
                <w:color w:val="FFFFFF"/>
                <w:lang w:eastAsia="nl-NL"/>
              </w:rPr>
              <w:t>Gemiddelde verandering %</w:t>
            </w:r>
          </w:p>
        </w:tc>
        <w:tc>
          <w:tcPr>
            <w:tcW w:w="1412" w:type="dxa"/>
            <w:tcBorders>
              <w:top w:val="single" w:sz="4" w:space="0" w:color="auto"/>
              <w:bottom w:val="single" w:sz="4" w:space="0" w:color="auto"/>
            </w:tcBorders>
            <w:shd w:val="clear" w:color="4F81BD" w:fill="4F81BD"/>
            <w:noWrap/>
            <w:vAlign w:val="bottom"/>
            <w:hideMark/>
          </w:tcPr>
          <w:p w:rsidR="00E52716" w:rsidRPr="00E52716" w:rsidRDefault="00E52716" w:rsidP="002B6FE4">
            <w:pPr>
              <w:spacing w:after="0" w:line="360" w:lineRule="auto"/>
              <w:jc w:val="center"/>
              <w:rPr>
                <w:rFonts w:ascii="Calibri" w:eastAsia="Times New Roman" w:hAnsi="Calibri" w:cs="Calibri"/>
                <w:b/>
                <w:bCs/>
                <w:color w:val="FFFFFF"/>
                <w:lang w:eastAsia="nl-NL"/>
              </w:rPr>
            </w:pPr>
            <w:r w:rsidRPr="00E52716">
              <w:rPr>
                <w:rFonts w:ascii="Calibri" w:eastAsia="Times New Roman" w:hAnsi="Calibri" w:cs="Calibri"/>
                <w:b/>
                <w:bCs/>
                <w:color w:val="FFFFFF"/>
                <w:lang w:eastAsia="nl-NL"/>
              </w:rPr>
              <w:t>Std. Dev.</w:t>
            </w:r>
          </w:p>
        </w:tc>
        <w:tc>
          <w:tcPr>
            <w:tcW w:w="2567" w:type="dxa"/>
            <w:tcBorders>
              <w:top w:val="single" w:sz="4" w:space="0" w:color="auto"/>
              <w:bottom w:val="single" w:sz="4" w:space="0" w:color="auto"/>
            </w:tcBorders>
            <w:shd w:val="clear" w:color="4F81BD" w:fill="4F81BD"/>
            <w:noWrap/>
            <w:vAlign w:val="bottom"/>
            <w:hideMark/>
          </w:tcPr>
          <w:p w:rsidR="00E52716" w:rsidRPr="00E52716" w:rsidRDefault="00E52716" w:rsidP="002B6FE4">
            <w:pPr>
              <w:spacing w:after="0" w:line="360" w:lineRule="auto"/>
              <w:jc w:val="center"/>
              <w:rPr>
                <w:rFonts w:ascii="Calibri" w:eastAsia="Times New Roman" w:hAnsi="Calibri" w:cs="Calibri"/>
                <w:b/>
                <w:bCs/>
                <w:color w:val="FFFFFF"/>
                <w:lang w:eastAsia="nl-NL"/>
              </w:rPr>
            </w:pPr>
            <w:r w:rsidRPr="00E52716">
              <w:rPr>
                <w:rFonts w:ascii="Calibri" w:eastAsia="Times New Roman" w:hAnsi="Calibri" w:cs="Calibri"/>
                <w:b/>
                <w:bCs/>
                <w:color w:val="FFFFFF"/>
                <w:lang w:eastAsia="nl-NL"/>
              </w:rPr>
              <w:t>Verschil met Nederland</w:t>
            </w:r>
          </w:p>
        </w:tc>
      </w:tr>
      <w:tr w:rsidR="00E52716" w:rsidRPr="00E52716" w:rsidTr="00AE2DE3">
        <w:trPr>
          <w:trHeight w:val="300"/>
        </w:trPr>
        <w:tc>
          <w:tcPr>
            <w:tcW w:w="1300" w:type="dxa"/>
            <w:tcBorders>
              <w:top w:val="single" w:sz="4" w:space="0" w:color="auto"/>
            </w:tcBorders>
            <w:shd w:val="clear" w:color="DCE6F1" w:fill="DCE6F1"/>
            <w:noWrap/>
            <w:vAlign w:val="bottom"/>
            <w:hideMark/>
          </w:tcPr>
          <w:p w:rsidR="00E52716" w:rsidRPr="00E52716" w:rsidRDefault="00E52716" w:rsidP="002B6FE4">
            <w:pPr>
              <w:spacing w:after="0" w:line="360" w:lineRule="auto"/>
              <w:jc w:val="center"/>
              <w:rPr>
                <w:rFonts w:ascii="Calibri" w:eastAsia="Times New Roman" w:hAnsi="Calibri" w:cs="Calibri"/>
                <w:b/>
                <w:bCs/>
                <w:color w:val="000000"/>
                <w:lang w:eastAsia="nl-NL"/>
              </w:rPr>
            </w:pPr>
            <w:r w:rsidRPr="00E52716">
              <w:rPr>
                <w:rFonts w:ascii="Calibri" w:eastAsia="Times New Roman" w:hAnsi="Calibri" w:cs="Calibri"/>
                <w:b/>
                <w:bCs/>
                <w:color w:val="000000"/>
                <w:lang w:eastAsia="nl-NL"/>
              </w:rPr>
              <w:t>Nederland</w:t>
            </w:r>
          </w:p>
        </w:tc>
        <w:tc>
          <w:tcPr>
            <w:tcW w:w="1612" w:type="dxa"/>
            <w:tcBorders>
              <w:top w:val="single" w:sz="4" w:space="0" w:color="auto"/>
            </w:tcBorders>
            <w:shd w:val="clear" w:color="DCE6F1" w:fill="DCE6F1"/>
            <w:noWrap/>
            <w:vAlign w:val="bottom"/>
            <w:hideMark/>
          </w:tcPr>
          <w:p w:rsidR="00E52716" w:rsidRPr="00E52716" w:rsidRDefault="00E52716" w:rsidP="002B6FE4">
            <w:pPr>
              <w:spacing w:after="0" w:line="360" w:lineRule="auto"/>
              <w:jc w:val="center"/>
              <w:rPr>
                <w:rFonts w:ascii="Calibri" w:eastAsia="Times New Roman" w:hAnsi="Calibri" w:cs="Calibri"/>
                <w:color w:val="000000"/>
                <w:lang w:eastAsia="nl-NL"/>
              </w:rPr>
            </w:pPr>
            <w:r w:rsidRPr="00E52716">
              <w:rPr>
                <w:rFonts w:ascii="Calibri" w:eastAsia="Times New Roman" w:hAnsi="Calibri" w:cs="Calibri"/>
                <w:color w:val="000000"/>
                <w:lang w:eastAsia="nl-NL"/>
              </w:rPr>
              <w:t>0,022736928</w:t>
            </w:r>
          </w:p>
        </w:tc>
        <w:tc>
          <w:tcPr>
            <w:tcW w:w="2949" w:type="dxa"/>
            <w:tcBorders>
              <w:top w:val="single" w:sz="4" w:space="0" w:color="auto"/>
            </w:tcBorders>
            <w:shd w:val="clear" w:color="DCE6F1" w:fill="DCE6F1"/>
            <w:noWrap/>
            <w:vAlign w:val="bottom"/>
            <w:hideMark/>
          </w:tcPr>
          <w:p w:rsidR="00E52716" w:rsidRPr="00E52716" w:rsidRDefault="00E52716" w:rsidP="002B6FE4">
            <w:pPr>
              <w:spacing w:after="0" w:line="360" w:lineRule="auto"/>
              <w:jc w:val="center"/>
              <w:rPr>
                <w:rFonts w:ascii="Calibri" w:eastAsia="Times New Roman" w:hAnsi="Calibri" w:cs="Calibri"/>
                <w:color w:val="000000"/>
                <w:lang w:eastAsia="nl-NL"/>
              </w:rPr>
            </w:pPr>
            <w:r w:rsidRPr="00E52716">
              <w:rPr>
                <w:rFonts w:ascii="Calibri" w:eastAsia="Times New Roman" w:hAnsi="Calibri" w:cs="Calibri"/>
                <w:color w:val="000000"/>
                <w:lang w:eastAsia="nl-NL"/>
              </w:rPr>
              <w:t>0,000985181</w:t>
            </w:r>
          </w:p>
        </w:tc>
        <w:tc>
          <w:tcPr>
            <w:tcW w:w="1412" w:type="dxa"/>
            <w:tcBorders>
              <w:top w:val="single" w:sz="4" w:space="0" w:color="auto"/>
            </w:tcBorders>
            <w:shd w:val="clear" w:color="DCE6F1" w:fill="DCE6F1"/>
            <w:noWrap/>
            <w:vAlign w:val="bottom"/>
            <w:hideMark/>
          </w:tcPr>
          <w:p w:rsidR="00E52716" w:rsidRPr="00E52716" w:rsidRDefault="00E52716" w:rsidP="002B6FE4">
            <w:pPr>
              <w:spacing w:after="0" w:line="360" w:lineRule="auto"/>
              <w:jc w:val="center"/>
              <w:rPr>
                <w:rFonts w:ascii="Calibri" w:eastAsia="Times New Roman" w:hAnsi="Calibri" w:cs="Calibri"/>
                <w:color w:val="000000"/>
                <w:lang w:eastAsia="nl-NL"/>
              </w:rPr>
            </w:pPr>
            <w:r w:rsidRPr="00E52716">
              <w:rPr>
                <w:rFonts w:ascii="Calibri" w:eastAsia="Times New Roman" w:hAnsi="Calibri" w:cs="Calibri"/>
                <w:color w:val="000000"/>
                <w:lang w:eastAsia="nl-NL"/>
              </w:rPr>
              <w:t>0,016651966</w:t>
            </w:r>
          </w:p>
        </w:tc>
        <w:tc>
          <w:tcPr>
            <w:tcW w:w="2567" w:type="dxa"/>
            <w:tcBorders>
              <w:top w:val="single" w:sz="4" w:space="0" w:color="auto"/>
            </w:tcBorders>
            <w:shd w:val="clear" w:color="DCE6F1" w:fill="DCE6F1"/>
            <w:noWrap/>
            <w:vAlign w:val="bottom"/>
            <w:hideMark/>
          </w:tcPr>
          <w:p w:rsidR="00E52716" w:rsidRPr="00E52716" w:rsidRDefault="00E52716" w:rsidP="002B6FE4">
            <w:pPr>
              <w:spacing w:after="0" w:line="360" w:lineRule="auto"/>
              <w:jc w:val="center"/>
              <w:rPr>
                <w:rFonts w:ascii="Calibri" w:eastAsia="Times New Roman" w:hAnsi="Calibri" w:cs="Calibri"/>
                <w:color w:val="000000"/>
                <w:lang w:eastAsia="nl-NL"/>
              </w:rPr>
            </w:pPr>
            <w:r w:rsidRPr="00E52716">
              <w:rPr>
                <w:rFonts w:ascii="Calibri" w:eastAsia="Times New Roman" w:hAnsi="Calibri" w:cs="Calibri"/>
                <w:color w:val="000000"/>
                <w:lang w:eastAsia="nl-NL"/>
              </w:rPr>
              <w:t>xxx</w:t>
            </w:r>
          </w:p>
        </w:tc>
      </w:tr>
      <w:tr w:rsidR="00E52716" w:rsidRPr="00E52716" w:rsidTr="00AE2DE3">
        <w:trPr>
          <w:trHeight w:val="300"/>
        </w:trPr>
        <w:tc>
          <w:tcPr>
            <w:tcW w:w="1300" w:type="dxa"/>
            <w:shd w:val="clear" w:color="auto" w:fill="auto"/>
            <w:noWrap/>
            <w:vAlign w:val="center"/>
            <w:hideMark/>
          </w:tcPr>
          <w:p w:rsidR="00E52716" w:rsidRPr="00E52716" w:rsidRDefault="00E52716" w:rsidP="002B6FE4">
            <w:pPr>
              <w:spacing w:after="0" w:line="360" w:lineRule="auto"/>
              <w:jc w:val="center"/>
              <w:rPr>
                <w:rFonts w:ascii="Calibri" w:eastAsia="Times New Roman" w:hAnsi="Calibri" w:cs="Calibri"/>
                <w:b/>
                <w:bCs/>
                <w:color w:val="000000"/>
                <w:lang w:eastAsia="nl-NL"/>
              </w:rPr>
            </w:pPr>
            <w:r w:rsidRPr="00E52716">
              <w:rPr>
                <w:rFonts w:ascii="Calibri" w:eastAsia="Times New Roman" w:hAnsi="Calibri" w:cs="Calibri"/>
                <w:b/>
                <w:bCs/>
                <w:color w:val="000000"/>
                <w:lang w:eastAsia="nl-NL"/>
              </w:rPr>
              <w:t>Duitsland</w:t>
            </w:r>
          </w:p>
        </w:tc>
        <w:tc>
          <w:tcPr>
            <w:tcW w:w="1612" w:type="dxa"/>
            <w:shd w:val="clear" w:color="auto" w:fill="auto"/>
            <w:noWrap/>
            <w:vAlign w:val="bottom"/>
            <w:hideMark/>
          </w:tcPr>
          <w:p w:rsidR="00E52716" w:rsidRPr="00E52716" w:rsidRDefault="00E52716" w:rsidP="002B6FE4">
            <w:pPr>
              <w:spacing w:after="0" w:line="360" w:lineRule="auto"/>
              <w:jc w:val="center"/>
              <w:rPr>
                <w:rFonts w:ascii="Calibri" w:eastAsia="Times New Roman" w:hAnsi="Calibri" w:cs="Calibri"/>
                <w:color w:val="000000"/>
                <w:lang w:eastAsia="nl-NL"/>
              </w:rPr>
            </w:pPr>
            <w:r w:rsidRPr="00E52716">
              <w:rPr>
                <w:rFonts w:ascii="Calibri" w:eastAsia="Times New Roman" w:hAnsi="Calibri" w:cs="Calibri"/>
                <w:color w:val="000000"/>
                <w:lang w:eastAsia="nl-NL"/>
              </w:rPr>
              <w:t>0,022579737</w:t>
            </w:r>
          </w:p>
        </w:tc>
        <w:tc>
          <w:tcPr>
            <w:tcW w:w="2949" w:type="dxa"/>
            <w:shd w:val="clear" w:color="auto" w:fill="auto"/>
            <w:noWrap/>
            <w:vAlign w:val="bottom"/>
            <w:hideMark/>
          </w:tcPr>
          <w:p w:rsidR="00E52716" w:rsidRPr="00E52716" w:rsidRDefault="00E52716" w:rsidP="002B6FE4">
            <w:pPr>
              <w:spacing w:after="0" w:line="360" w:lineRule="auto"/>
              <w:jc w:val="center"/>
              <w:rPr>
                <w:rFonts w:ascii="Calibri" w:eastAsia="Times New Roman" w:hAnsi="Calibri" w:cs="Calibri"/>
                <w:color w:val="000000"/>
                <w:lang w:eastAsia="nl-NL"/>
              </w:rPr>
            </w:pPr>
            <w:r w:rsidRPr="00E52716">
              <w:rPr>
                <w:rFonts w:ascii="Calibri" w:eastAsia="Times New Roman" w:hAnsi="Calibri" w:cs="Calibri"/>
                <w:color w:val="000000"/>
                <w:lang w:eastAsia="nl-NL"/>
              </w:rPr>
              <w:t>0,005825975</w:t>
            </w:r>
          </w:p>
        </w:tc>
        <w:tc>
          <w:tcPr>
            <w:tcW w:w="1412" w:type="dxa"/>
            <w:shd w:val="clear" w:color="auto" w:fill="auto"/>
            <w:noWrap/>
            <w:vAlign w:val="bottom"/>
            <w:hideMark/>
          </w:tcPr>
          <w:p w:rsidR="00E52716" w:rsidRPr="00E52716" w:rsidRDefault="00E52716" w:rsidP="002B6FE4">
            <w:pPr>
              <w:spacing w:after="0" w:line="360" w:lineRule="auto"/>
              <w:jc w:val="center"/>
              <w:rPr>
                <w:rFonts w:ascii="Calibri" w:eastAsia="Times New Roman" w:hAnsi="Calibri" w:cs="Calibri"/>
                <w:color w:val="000000"/>
                <w:lang w:eastAsia="nl-NL"/>
              </w:rPr>
            </w:pPr>
            <w:r w:rsidRPr="00E52716">
              <w:rPr>
                <w:rFonts w:ascii="Calibri" w:eastAsia="Times New Roman" w:hAnsi="Calibri" w:cs="Calibri"/>
                <w:color w:val="000000"/>
                <w:lang w:eastAsia="nl-NL"/>
              </w:rPr>
              <w:t>0,084393204</w:t>
            </w:r>
          </w:p>
        </w:tc>
        <w:tc>
          <w:tcPr>
            <w:tcW w:w="2567" w:type="dxa"/>
            <w:shd w:val="clear" w:color="auto" w:fill="auto"/>
            <w:noWrap/>
            <w:vAlign w:val="bottom"/>
            <w:hideMark/>
          </w:tcPr>
          <w:p w:rsidR="00E52716" w:rsidRPr="00E52716" w:rsidRDefault="00E52716" w:rsidP="002B6FE4">
            <w:pPr>
              <w:spacing w:after="0" w:line="360" w:lineRule="auto"/>
              <w:jc w:val="center"/>
              <w:rPr>
                <w:rFonts w:ascii="Calibri" w:eastAsia="Times New Roman" w:hAnsi="Calibri" w:cs="Calibri"/>
                <w:color w:val="000000"/>
                <w:lang w:eastAsia="nl-NL"/>
              </w:rPr>
            </w:pPr>
            <w:r w:rsidRPr="00E52716">
              <w:rPr>
                <w:rFonts w:ascii="Calibri" w:eastAsia="Times New Roman" w:hAnsi="Calibri" w:cs="Calibri"/>
                <w:color w:val="000000"/>
                <w:lang w:eastAsia="nl-NL"/>
              </w:rPr>
              <w:t>-0,004840794</w:t>
            </w:r>
          </w:p>
        </w:tc>
      </w:tr>
      <w:tr w:rsidR="00E52716" w:rsidRPr="00E52716" w:rsidTr="00AE2DE3">
        <w:trPr>
          <w:trHeight w:val="300"/>
        </w:trPr>
        <w:tc>
          <w:tcPr>
            <w:tcW w:w="1300" w:type="dxa"/>
            <w:shd w:val="clear" w:color="DCE6F1" w:fill="DCE6F1"/>
            <w:noWrap/>
            <w:vAlign w:val="center"/>
            <w:hideMark/>
          </w:tcPr>
          <w:p w:rsidR="00E52716" w:rsidRPr="00E52716" w:rsidRDefault="00E52716" w:rsidP="002B6FE4">
            <w:pPr>
              <w:spacing w:after="0" w:line="360" w:lineRule="auto"/>
              <w:jc w:val="center"/>
              <w:rPr>
                <w:rFonts w:ascii="Calibri" w:eastAsia="Times New Roman" w:hAnsi="Calibri" w:cs="Calibri"/>
                <w:b/>
                <w:bCs/>
                <w:color w:val="000000"/>
                <w:lang w:eastAsia="nl-NL"/>
              </w:rPr>
            </w:pPr>
            <w:r w:rsidRPr="00E52716">
              <w:rPr>
                <w:rFonts w:ascii="Calibri" w:eastAsia="Times New Roman" w:hAnsi="Calibri" w:cs="Calibri"/>
                <w:b/>
                <w:bCs/>
                <w:color w:val="000000"/>
                <w:lang w:eastAsia="nl-NL"/>
              </w:rPr>
              <w:t>Japan</w:t>
            </w:r>
          </w:p>
        </w:tc>
        <w:tc>
          <w:tcPr>
            <w:tcW w:w="1612" w:type="dxa"/>
            <w:shd w:val="clear" w:color="DCE6F1" w:fill="DCE6F1"/>
            <w:noWrap/>
            <w:vAlign w:val="bottom"/>
            <w:hideMark/>
          </w:tcPr>
          <w:p w:rsidR="00E52716" w:rsidRPr="00E52716" w:rsidRDefault="00E52716" w:rsidP="002B6FE4">
            <w:pPr>
              <w:spacing w:after="0" w:line="360" w:lineRule="auto"/>
              <w:jc w:val="center"/>
              <w:rPr>
                <w:rFonts w:ascii="Calibri" w:eastAsia="Times New Roman" w:hAnsi="Calibri" w:cs="Calibri"/>
                <w:color w:val="000000"/>
                <w:lang w:eastAsia="nl-NL"/>
              </w:rPr>
            </w:pPr>
            <w:r w:rsidRPr="00E52716">
              <w:rPr>
                <w:rFonts w:ascii="Calibri" w:eastAsia="Times New Roman" w:hAnsi="Calibri" w:cs="Calibri"/>
                <w:color w:val="000000"/>
                <w:lang w:eastAsia="nl-NL"/>
              </w:rPr>
              <w:t>-0,072671964</w:t>
            </w:r>
          </w:p>
        </w:tc>
        <w:tc>
          <w:tcPr>
            <w:tcW w:w="2949" w:type="dxa"/>
            <w:shd w:val="clear" w:color="DCE6F1" w:fill="DCE6F1"/>
            <w:noWrap/>
            <w:vAlign w:val="bottom"/>
            <w:hideMark/>
          </w:tcPr>
          <w:p w:rsidR="00E52716" w:rsidRPr="00E52716" w:rsidRDefault="00E52716" w:rsidP="002B6FE4">
            <w:pPr>
              <w:spacing w:after="0" w:line="360" w:lineRule="auto"/>
              <w:jc w:val="center"/>
              <w:rPr>
                <w:rFonts w:ascii="Calibri" w:eastAsia="Times New Roman" w:hAnsi="Calibri" w:cs="Calibri"/>
                <w:color w:val="000000"/>
                <w:lang w:eastAsia="nl-NL"/>
              </w:rPr>
            </w:pPr>
            <w:r w:rsidRPr="00E52716">
              <w:rPr>
                <w:rFonts w:ascii="Calibri" w:eastAsia="Times New Roman" w:hAnsi="Calibri" w:cs="Calibri"/>
                <w:color w:val="000000"/>
                <w:lang w:eastAsia="nl-NL"/>
              </w:rPr>
              <w:t>-0,020431479</w:t>
            </w:r>
          </w:p>
        </w:tc>
        <w:tc>
          <w:tcPr>
            <w:tcW w:w="1412" w:type="dxa"/>
            <w:shd w:val="clear" w:color="DCE6F1" w:fill="DCE6F1"/>
            <w:noWrap/>
            <w:vAlign w:val="bottom"/>
            <w:hideMark/>
          </w:tcPr>
          <w:p w:rsidR="00E52716" w:rsidRPr="00E52716" w:rsidRDefault="00E52716" w:rsidP="002B6FE4">
            <w:pPr>
              <w:spacing w:after="0" w:line="360" w:lineRule="auto"/>
              <w:jc w:val="center"/>
              <w:rPr>
                <w:rFonts w:ascii="Calibri" w:eastAsia="Times New Roman" w:hAnsi="Calibri" w:cs="Calibri"/>
                <w:color w:val="000000"/>
                <w:lang w:eastAsia="nl-NL"/>
              </w:rPr>
            </w:pPr>
            <w:r w:rsidRPr="00E52716">
              <w:rPr>
                <w:rFonts w:ascii="Calibri" w:eastAsia="Times New Roman" w:hAnsi="Calibri" w:cs="Calibri"/>
                <w:color w:val="000000"/>
                <w:lang w:eastAsia="nl-NL"/>
              </w:rPr>
              <w:t>0,014635516</w:t>
            </w:r>
          </w:p>
        </w:tc>
        <w:tc>
          <w:tcPr>
            <w:tcW w:w="2567" w:type="dxa"/>
            <w:shd w:val="clear" w:color="DCE6F1" w:fill="DCE6F1"/>
            <w:noWrap/>
            <w:vAlign w:val="bottom"/>
            <w:hideMark/>
          </w:tcPr>
          <w:p w:rsidR="00E52716" w:rsidRPr="00E52716" w:rsidRDefault="00E52716" w:rsidP="002B6FE4">
            <w:pPr>
              <w:spacing w:after="0" w:line="360" w:lineRule="auto"/>
              <w:jc w:val="center"/>
              <w:rPr>
                <w:rFonts w:ascii="Calibri" w:eastAsia="Times New Roman" w:hAnsi="Calibri" w:cs="Calibri"/>
                <w:color w:val="000000"/>
                <w:lang w:eastAsia="nl-NL"/>
              </w:rPr>
            </w:pPr>
            <w:r w:rsidRPr="00E52716">
              <w:rPr>
                <w:rFonts w:ascii="Calibri" w:eastAsia="Times New Roman" w:hAnsi="Calibri" w:cs="Calibri"/>
                <w:color w:val="000000"/>
                <w:lang w:eastAsia="nl-NL"/>
              </w:rPr>
              <w:t>0,02141666</w:t>
            </w:r>
          </w:p>
        </w:tc>
      </w:tr>
      <w:tr w:rsidR="00E52716" w:rsidRPr="00E52716" w:rsidTr="00AE2DE3">
        <w:trPr>
          <w:trHeight w:val="300"/>
        </w:trPr>
        <w:tc>
          <w:tcPr>
            <w:tcW w:w="1300" w:type="dxa"/>
            <w:shd w:val="clear" w:color="auto" w:fill="auto"/>
            <w:noWrap/>
            <w:vAlign w:val="center"/>
            <w:hideMark/>
          </w:tcPr>
          <w:p w:rsidR="00E52716" w:rsidRPr="00E52716" w:rsidRDefault="00E52716" w:rsidP="002B6FE4">
            <w:pPr>
              <w:spacing w:after="0" w:line="360" w:lineRule="auto"/>
              <w:jc w:val="center"/>
              <w:rPr>
                <w:rFonts w:ascii="Calibri" w:eastAsia="Times New Roman" w:hAnsi="Calibri" w:cs="Calibri"/>
                <w:b/>
                <w:bCs/>
                <w:color w:val="000000"/>
                <w:lang w:eastAsia="nl-NL"/>
              </w:rPr>
            </w:pPr>
            <w:r w:rsidRPr="00E52716">
              <w:rPr>
                <w:rFonts w:ascii="Calibri" w:eastAsia="Times New Roman" w:hAnsi="Calibri" w:cs="Calibri"/>
                <w:b/>
                <w:bCs/>
                <w:color w:val="000000"/>
                <w:lang w:eastAsia="nl-NL"/>
              </w:rPr>
              <w:t>Zwitserland</w:t>
            </w:r>
          </w:p>
        </w:tc>
        <w:tc>
          <w:tcPr>
            <w:tcW w:w="1612" w:type="dxa"/>
            <w:shd w:val="clear" w:color="auto" w:fill="auto"/>
            <w:noWrap/>
            <w:vAlign w:val="bottom"/>
            <w:hideMark/>
          </w:tcPr>
          <w:p w:rsidR="00E52716" w:rsidRPr="00E52716" w:rsidRDefault="00E52716" w:rsidP="002B6FE4">
            <w:pPr>
              <w:spacing w:after="0" w:line="360" w:lineRule="auto"/>
              <w:jc w:val="center"/>
              <w:rPr>
                <w:rFonts w:ascii="Calibri" w:eastAsia="Times New Roman" w:hAnsi="Calibri" w:cs="Calibri"/>
                <w:color w:val="000000"/>
                <w:lang w:eastAsia="nl-NL"/>
              </w:rPr>
            </w:pPr>
            <w:r w:rsidRPr="00E52716">
              <w:rPr>
                <w:rFonts w:ascii="Calibri" w:eastAsia="Times New Roman" w:hAnsi="Calibri" w:cs="Calibri"/>
                <w:color w:val="000000"/>
                <w:lang w:eastAsia="nl-NL"/>
              </w:rPr>
              <w:t>-0,018887801</w:t>
            </w:r>
          </w:p>
        </w:tc>
        <w:tc>
          <w:tcPr>
            <w:tcW w:w="2949" w:type="dxa"/>
            <w:shd w:val="clear" w:color="auto" w:fill="auto"/>
            <w:noWrap/>
            <w:vAlign w:val="bottom"/>
            <w:hideMark/>
          </w:tcPr>
          <w:p w:rsidR="00E52716" w:rsidRPr="00E52716" w:rsidRDefault="00E52716" w:rsidP="002B6FE4">
            <w:pPr>
              <w:spacing w:after="0" w:line="360" w:lineRule="auto"/>
              <w:jc w:val="center"/>
              <w:rPr>
                <w:rFonts w:ascii="Calibri" w:eastAsia="Times New Roman" w:hAnsi="Calibri" w:cs="Calibri"/>
                <w:color w:val="000000"/>
                <w:lang w:eastAsia="nl-NL"/>
              </w:rPr>
            </w:pPr>
            <w:r w:rsidRPr="00E52716">
              <w:rPr>
                <w:rFonts w:ascii="Calibri" w:eastAsia="Times New Roman" w:hAnsi="Calibri" w:cs="Calibri"/>
                <w:color w:val="000000"/>
                <w:lang w:eastAsia="nl-NL"/>
              </w:rPr>
              <w:t>-0,007289782</w:t>
            </w:r>
          </w:p>
        </w:tc>
        <w:tc>
          <w:tcPr>
            <w:tcW w:w="1412" w:type="dxa"/>
            <w:shd w:val="clear" w:color="auto" w:fill="auto"/>
            <w:noWrap/>
            <w:vAlign w:val="bottom"/>
            <w:hideMark/>
          </w:tcPr>
          <w:p w:rsidR="00E52716" w:rsidRPr="00E52716" w:rsidRDefault="00E52716" w:rsidP="002B6FE4">
            <w:pPr>
              <w:spacing w:after="0" w:line="360" w:lineRule="auto"/>
              <w:jc w:val="center"/>
              <w:rPr>
                <w:rFonts w:ascii="Calibri" w:eastAsia="Times New Roman" w:hAnsi="Calibri" w:cs="Calibri"/>
                <w:color w:val="000000"/>
                <w:lang w:eastAsia="nl-NL"/>
              </w:rPr>
            </w:pPr>
            <w:r w:rsidRPr="00E52716">
              <w:rPr>
                <w:rFonts w:ascii="Calibri" w:eastAsia="Times New Roman" w:hAnsi="Calibri" w:cs="Calibri"/>
                <w:color w:val="000000"/>
                <w:lang w:eastAsia="nl-NL"/>
              </w:rPr>
              <w:t>0,013106755</w:t>
            </w:r>
          </w:p>
        </w:tc>
        <w:tc>
          <w:tcPr>
            <w:tcW w:w="2567" w:type="dxa"/>
            <w:shd w:val="clear" w:color="auto" w:fill="auto"/>
            <w:noWrap/>
            <w:vAlign w:val="bottom"/>
            <w:hideMark/>
          </w:tcPr>
          <w:p w:rsidR="00E52716" w:rsidRPr="00E52716" w:rsidRDefault="00E52716" w:rsidP="002B6FE4">
            <w:pPr>
              <w:spacing w:after="0" w:line="360" w:lineRule="auto"/>
              <w:jc w:val="center"/>
              <w:rPr>
                <w:rFonts w:ascii="Calibri" w:eastAsia="Times New Roman" w:hAnsi="Calibri" w:cs="Calibri"/>
                <w:color w:val="000000"/>
                <w:lang w:eastAsia="nl-NL"/>
              </w:rPr>
            </w:pPr>
            <w:r w:rsidRPr="00E52716">
              <w:rPr>
                <w:rFonts w:ascii="Calibri" w:eastAsia="Times New Roman" w:hAnsi="Calibri" w:cs="Calibri"/>
                <w:color w:val="000000"/>
                <w:lang w:eastAsia="nl-NL"/>
              </w:rPr>
              <w:t>0,008274963</w:t>
            </w:r>
          </w:p>
        </w:tc>
      </w:tr>
    </w:tbl>
    <w:p w:rsidR="00906C97" w:rsidRDefault="008475F3" w:rsidP="002B6FE4">
      <w:pPr>
        <w:spacing w:line="360" w:lineRule="auto"/>
      </w:pPr>
      <w:r w:rsidRPr="000B210A">
        <w:rPr>
          <w:i/>
          <w:sz w:val="16"/>
          <w:szCs w:val="16"/>
        </w:rPr>
        <w:t xml:space="preserve">Opmerking. </w:t>
      </w:r>
      <w:r w:rsidRPr="008475F3">
        <w:rPr>
          <w:sz w:val="16"/>
          <w:szCs w:val="16"/>
        </w:rPr>
        <w:t xml:space="preserve">Gegevens afkomstig van </w:t>
      </w:r>
      <w:r w:rsidR="001A6446" w:rsidRPr="001A6446">
        <w:rPr>
          <w:noProof/>
          <w:sz w:val="16"/>
          <w:szCs w:val="16"/>
        </w:rPr>
        <w:t>(Visser, 2013)</w:t>
      </w:r>
      <w:r w:rsidR="002E619A" w:rsidRPr="008475F3">
        <w:br/>
      </w:r>
      <w:r w:rsidR="00E52716" w:rsidRPr="008475F3">
        <w:br/>
      </w:r>
      <w:r w:rsidR="00906C97" w:rsidRPr="008475F3">
        <w:t>Wanneer de tweede vijf ja</w:t>
      </w:r>
      <w:r>
        <w:t>ren</w:t>
      </w:r>
      <w:r w:rsidR="00906C97" w:rsidRPr="008475F3">
        <w:t xml:space="preserve"> na het Akkoord van Was</w:t>
      </w:r>
      <w:r w:rsidR="00906C97">
        <w:t>senaar word</w:t>
      </w:r>
      <w:r>
        <w:t>en</w:t>
      </w:r>
      <w:r w:rsidR="00906C97">
        <w:t xml:space="preserve"> bekeken, blijkt dat de vergelijking van de Nederlandse met de Duitse organisatiegraad geen significant verschil meer oplevert. De gevonden </w:t>
      </w:r>
      <w:r w:rsidR="0034682C">
        <w:t>t</w:t>
      </w:r>
      <w:r w:rsidR="00906C97">
        <w:t>-waarde is ‘slechts’ -0</w:t>
      </w:r>
      <w:r w:rsidR="000C1F1D">
        <w:t>,</w:t>
      </w:r>
      <w:r w:rsidR="00906C97">
        <w:t>1</w:t>
      </w:r>
      <w:r w:rsidR="00E52716">
        <w:t>26</w:t>
      </w:r>
      <w:r w:rsidR="00906C97">
        <w:t xml:space="preserve"> en valt hiermee binnen de extreme waarden die een significantieniveau van 5% met zich </w:t>
      </w:r>
      <w:r>
        <w:t>meebrengen</w:t>
      </w:r>
      <w:r w:rsidR="00906C97">
        <w:t>. De nulhypothese kan daarom dan ook niet worden verworpen. Opvallend is de relatief sterk verhoogde standaarddeviatie van de Duitse procentuele verandering van de organisatiegraad. Dit wordt grotendeels getriggerd door de sterke stijging van de organisatiegraad door de eenwording van Duitsland in 1991. Dit heeft ertoe geleid dat de lichte daling van de o</w:t>
      </w:r>
      <w:r w:rsidR="00E52716">
        <w:t>rganisatiegraad is geremd en de</w:t>
      </w:r>
      <w:r w:rsidR="00906C97">
        <w:t xml:space="preserve"> variantie is toegenomen; dit </w:t>
      </w:r>
      <w:r>
        <w:t>vindt</w:t>
      </w:r>
      <w:r w:rsidR="00906C97">
        <w:t xml:space="preserve"> zijn uitwerking in de </w:t>
      </w:r>
      <w:r w:rsidR="00E52716">
        <w:t>t</w:t>
      </w:r>
      <w:r w:rsidR="00E10CEA">
        <w:t>-te</w:t>
      </w:r>
      <w:r w:rsidR="00906C97">
        <w:t>s</w:t>
      </w:r>
      <w:r w:rsidR="00E10CEA">
        <w:t>t</w:t>
      </w:r>
      <w:r w:rsidR="00906C97">
        <w:t xml:space="preserve"> die in dit geval geen signi</w:t>
      </w:r>
      <w:r w:rsidR="00CB7884">
        <w:t>ficant resultaat meer oplevert.</w:t>
      </w:r>
      <w:r w:rsidR="00B54AD7">
        <w:t xml:space="preserve"> </w:t>
      </w:r>
      <w:r w:rsidR="00906C97">
        <w:t xml:space="preserve">De vergelijking met Japan biedt </w:t>
      </w:r>
      <w:r w:rsidR="00E52716">
        <w:t>eveneens</w:t>
      </w:r>
      <w:r w:rsidR="00906C97">
        <w:t xml:space="preserve"> </w:t>
      </w:r>
      <w:r w:rsidR="00E52716">
        <w:t>geen</w:t>
      </w:r>
      <w:r w:rsidR="004E44D3">
        <w:t xml:space="preserve"> </w:t>
      </w:r>
      <w:r w:rsidR="00906C97">
        <w:t>significant</w:t>
      </w:r>
      <w:r w:rsidR="004E44D3">
        <w:t>e</w:t>
      </w:r>
      <w:r w:rsidR="00906C97">
        <w:t xml:space="preserve"> </w:t>
      </w:r>
      <w:r w:rsidR="0034682C">
        <w:t>t</w:t>
      </w:r>
      <w:r w:rsidR="00906C97">
        <w:t xml:space="preserve">-waarde: </w:t>
      </w:r>
      <w:r w:rsidR="004E44D3">
        <w:t>2</w:t>
      </w:r>
      <w:r w:rsidR="000C1F1D">
        <w:t>,</w:t>
      </w:r>
      <w:r w:rsidR="00E52716">
        <w:t>160</w:t>
      </w:r>
      <w:r w:rsidR="00906C97">
        <w:t xml:space="preserve">. </w:t>
      </w:r>
      <w:r w:rsidR="004E44D3">
        <w:t xml:space="preserve">De lichte stijging van de Nederlandse organisatiegraad wijkt </w:t>
      </w:r>
      <w:r w:rsidR="00E52716">
        <w:t xml:space="preserve">niet </w:t>
      </w:r>
      <w:r w:rsidR="004E44D3">
        <w:t xml:space="preserve">significant af van die van de Japanners, </w:t>
      </w:r>
      <w:r w:rsidR="00E52716">
        <w:t xml:space="preserve">ondanks dat </w:t>
      </w:r>
      <w:r w:rsidR="004E44D3">
        <w:t>di</w:t>
      </w:r>
      <w:r w:rsidR="00E52716">
        <w:t xml:space="preserve">e </w:t>
      </w:r>
      <w:r w:rsidR="004E44D3">
        <w:t xml:space="preserve">in dit tijdsinterval een relatief sterke daling blijft houden. </w:t>
      </w:r>
      <w:r w:rsidR="00B111F5">
        <w:t xml:space="preserve">De nulhypothese zal door dit resultaat </w:t>
      </w:r>
      <w:r w:rsidR="00E52716">
        <w:t xml:space="preserve">niet </w:t>
      </w:r>
      <w:r w:rsidR="00B111F5">
        <w:t xml:space="preserve">verworpen worden, waardoor gesteld kan worden dat de Nederlandse organisatiegraad </w:t>
      </w:r>
      <w:r w:rsidR="00E52716">
        <w:t xml:space="preserve">niet </w:t>
      </w:r>
      <w:r w:rsidR="00B111F5">
        <w:t xml:space="preserve">significant afwijkt van de Japanse </w:t>
      </w:r>
      <w:r w:rsidR="00E52716">
        <w:t xml:space="preserve">organisatiegraad </w:t>
      </w:r>
      <w:r w:rsidR="00B111F5">
        <w:t>in de periode 1988-1992.</w:t>
      </w:r>
      <w:r w:rsidR="00B54AD7">
        <w:t xml:space="preserve"> </w:t>
      </w:r>
      <w:r w:rsidR="00906C97">
        <w:t>Zwitserland laat net als Duitsland</w:t>
      </w:r>
      <w:r w:rsidR="00E52716">
        <w:t xml:space="preserve"> en Japan</w:t>
      </w:r>
      <w:r w:rsidR="00906C97">
        <w:t xml:space="preserve"> een </w:t>
      </w:r>
      <w:r w:rsidR="0034682C">
        <w:t>t</w:t>
      </w:r>
      <w:r w:rsidR="00906C97">
        <w:t xml:space="preserve">-waarde zien, die met </w:t>
      </w:r>
      <w:r w:rsidR="000C1F1D">
        <w:t>0,</w:t>
      </w:r>
      <w:r w:rsidR="00E52716">
        <w:t>873</w:t>
      </w:r>
      <w:r w:rsidR="00906C97">
        <w:t xml:space="preserve"> </w:t>
      </w:r>
      <w:r>
        <w:t xml:space="preserve">niet in de buurt van de </w:t>
      </w:r>
      <w:r w:rsidR="00906C97">
        <w:t xml:space="preserve"> kritieke waarde</w:t>
      </w:r>
      <w:r w:rsidR="002064A1">
        <w:t xml:space="preserve"> komt</w:t>
      </w:r>
      <w:r w:rsidR="00906C97">
        <w:t>.</w:t>
      </w:r>
      <w:r w:rsidR="002064A1">
        <w:t xml:space="preserve"> Ondanks </w:t>
      </w:r>
      <w:r w:rsidR="00CD2784">
        <w:t xml:space="preserve">het feit </w:t>
      </w:r>
      <w:r w:rsidR="002064A1">
        <w:t xml:space="preserve">dat Zwitserland geen significante uitkomst toont, heeft het wel een overeenkomst met Japan op het gebied van het </w:t>
      </w:r>
      <w:r w:rsidR="002064A1">
        <w:rPr>
          <w:i/>
        </w:rPr>
        <w:t xml:space="preserve">teken </w:t>
      </w:r>
      <w:r w:rsidR="002064A1">
        <w:t xml:space="preserve">van de </w:t>
      </w:r>
      <w:r w:rsidR="0034682C">
        <w:t>t</w:t>
      </w:r>
      <w:r w:rsidR="002064A1">
        <w:t>-waarde.</w:t>
      </w:r>
      <w:r w:rsidR="00906C97">
        <w:t xml:space="preserve"> </w:t>
      </w:r>
      <w:r w:rsidR="00B111F5">
        <w:t>Ook de Zwitserse organisatiegraad bleef dalen</w:t>
      </w:r>
      <w:r w:rsidR="00CD2784">
        <w:t xml:space="preserve"> in de tweede vijf jaar na het akkoord</w:t>
      </w:r>
      <w:r w:rsidR="00D61985">
        <w:t xml:space="preserve">, zij het minder sterk dan in de </w:t>
      </w:r>
      <w:r w:rsidR="000C1871">
        <w:t>vijf jaren ervoor</w:t>
      </w:r>
      <w:r w:rsidR="00D61985">
        <w:t>.</w:t>
      </w:r>
    </w:p>
    <w:p w:rsidR="00906C97" w:rsidRDefault="006F5432" w:rsidP="002B6FE4">
      <w:pPr>
        <w:spacing w:line="360" w:lineRule="auto"/>
      </w:pPr>
      <w:r>
        <w:lastRenderedPageBreak/>
        <w:t>De verge</w:t>
      </w:r>
      <w:r w:rsidR="00EF0470">
        <w:t xml:space="preserve">lijking met de eigen </w:t>
      </w:r>
      <w:r w:rsidR="00BE5DDE">
        <w:t xml:space="preserve">lineaire </w:t>
      </w:r>
      <w:r w:rsidR="00EF0470">
        <w:t xml:space="preserve">trendlijn levert een </w:t>
      </w:r>
      <w:r w:rsidR="0034682C">
        <w:t>t</w:t>
      </w:r>
      <w:r w:rsidR="00E52716">
        <w:t>-score van 1,609</w:t>
      </w:r>
      <w:r w:rsidR="00EF0470">
        <w:t xml:space="preserve">, wat eveneens geen significante uitkomst is. </w:t>
      </w:r>
      <w:r w:rsidR="00C644C2">
        <w:t>Geen enkele</w:t>
      </w:r>
      <w:r w:rsidR="00EF0470">
        <w:t xml:space="preserve"> vergelijking biedt </w:t>
      </w:r>
      <w:r w:rsidR="00C644C2">
        <w:t xml:space="preserve">dus </w:t>
      </w:r>
      <w:r w:rsidR="00EF0470">
        <w:t xml:space="preserve">een significant afwijkend resultaat, waardoor gesteld kan worden dat de periode 1988-1992 </w:t>
      </w:r>
      <w:r w:rsidR="00C644C2">
        <w:t>in tegenstelling tot</w:t>
      </w:r>
      <w:r w:rsidR="00EF0470">
        <w:t xml:space="preserve"> de periode 1983-1987 </w:t>
      </w:r>
      <w:r w:rsidR="00C644C2">
        <w:t xml:space="preserve">geen </w:t>
      </w:r>
      <w:r w:rsidR="008475F3">
        <w:t>significante aanwijzing geeft voor een afwijking van de Nederlandse organisatiegraad ten opzichte van die van de referentiekaders.</w:t>
      </w:r>
      <w:r w:rsidR="00333454">
        <w:t xml:space="preserve"> </w:t>
      </w:r>
    </w:p>
    <w:p w:rsidR="00682524" w:rsidRDefault="00CD7FD0" w:rsidP="002B6FE4">
      <w:pPr>
        <w:spacing w:line="360" w:lineRule="auto"/>
      </w:pPr>
      <w:r>
        <w:rPr>
          <w:b/>
        </w:rPr>
        <w:t>De eerste tien jaar na het Akkoord van Wassenaar</w:t>
      </w:r>
      <w:r>
        <w:br/>
      </w:r>
      <w:r w:rsidR="00682524">
        <w:t xml:space="preserve">Wanneer </w:t>
      </w:r>
      <w:r w:rsidR="00E70F16">
        <w:t xml:space="preserve">tot slot de gehele </w:t>
      </w:r>
      <w:r w:rsidR="00682524">
        <w:t xml:space="preserve">periode van 1983 tot en met 1992 wordt bekeken, blijkt dat de organisatiegraad in tien jaar tijd in zijn totaliteit met ruim een kwart is afgenomen. De gemiddelde daling is </w:t>
      </w:r>
      <w:r w:rsidR="008232B2">
        <w:t xml:space="preserve">door de lichte stijging in de periode 1988-1992 </w:t>
      </w:r>
      <w:r w:rsidR="00682524">
        <w:t xml:space="preserve">in </w:t>
      </w:r>
      <w:r w:rsidR="008232B2">
        <w:t>de</w:t>
      </w:r>
      <w:r w:rsidR="00682524">
        <w:t xml:space="preserve"> eerste tien jaar na het akkoord</w:t>
      </w:r>
      <w:r w:rsidR="008232B2">
        <w:t xml:space="preserve"> aanzienlijk</w:t>
      </w:r>
      <w:r w:rsidR="00682524">
        <w:t xml:space="preserve"> lager dan in de eerste 5 jaar na het akkoord: 5,2% om 2,5%. Met betrekking tot de referentielanden schuift Nederland hierdoor wat meer in hun richting</w:t>
      </w:r>
      <w:r w:rsidR="000C1871">
        <w:t>:</w:t>
      </w:r>
      <w:r w:rsidR="00682524">
        <w:t xml:space="preserve"> de verschillen worden</w:t>
      </w:r>
      <w:r w:rsidR="000C1871">
        <w:t xml:space="preserve"> kleiner</w:t>
      </w:r>
      <w:r w:rsidR="00682524">
        <w:t>.</w:t>
      </w:r>
      <w:r w:rsidR="00F062B0">
        <w:t xml:space="preserve"> Bij het beantwoorden van de significantievraag hoort in het geval van de periode 1983-1992 een vrijheidsgraad van negen met een betrouwbaarheidsinterval [-2,262; 2,262]</w:t>
      </w:r>
      <w:r w:rsidR="008475F3">
        <w:t>.</w:t>
      </w:r>
    </w:p>
    <w:tbl>
      <w:tblPr>
        <w:tblW w:w="9840" w:type="dxa"/>
        <w:tblInd w:w="55" w:type="dxa"/>
        <w:tblBorders>
          <w:top w:val="single" w:sz="4" w:space="0" w:color="auto"/>
          <w:left w:val="single" w:sz="4" w:space="0" w:color="auto"/>
          <w:bottom w:val="single" w:sz="4" w:space="0" w:color="auto"/>
          <w:right w:val="single" w:sz="4" w:space="0" w:color="auto"/>
        </w:tblBorders>
        <w:tblCellMar>
          <w:left w:w="70" w:type="dxa"/>
          <w:right w:w="70" w:type="dxa"/>
        </w:tblCellMar>
        <w:tblLook w:val="04A0" w:firstRow="1" w:lastRow="0" w:firstColumn="1" w:lastColumn="0" w:noHBand="0" w:noVBand="1"/>
      </w:tblPr>
      <w:tblGrid>
        <w:gridCol w:w="1300"/>
        <w:gridCol w:w="1612"/>
        <w:gridCol w:w="2949"/>
        <w:gridCol w:w="1412"/>
        <w:gridCol w:w="2567"/>
      </w:tblGrid>
      <w:tr w:rsidR="00F062B0" w:rsidRPr="00F062B0" w:rsidTr="008475F3">
        <w:trPr>
          <w:trHeight w:val="300"/>
        </w:trPr>
        <w:tc>
          <w:tcPr>
            <w:tcW w:w="9840" w:type="dxa"/>
            <w:gridSpan w:val="5"/>
            <w:tcBorders>
              <w:top w:val="single" w:sz="4" w:space="0" w:color="auto"/>
              <w:bottom w:val="single" w:sz="4" w:space="0" w:color="auto"/>
            </w:tcBorders>
            <w:shd w:val="clear" w:color="000000" w:fill="16365C"/>
            <w:noWrap/>
            <w:vAlign w:val="bottom"/>
            <w:hideMark/>
          </w:tcPr>
          <w:p w:rsidR="00F062B0" w:rsidRPr="00F062B0" w:rsidRDefault="008475F3" w:rsidP="008475F3">
            <w:pPr>
              <w:spacing w:after="0" w:line="360" w:lineRule="auto"/>
              <w:rPr>
                <w:rFonts w:ascii="Calibri" w:eastAsia="Times New Roman" w:hAnsi="Calibri" w:cs="Calibri"/>
                <w:b/>
                <w:bCs/>
                <w:color w:val="FFFFFF"/>
                <w:lang w:eastAsia="nl-NL"/>
              </w:rPr>
            </w:pPr>
            <w:r>
              <w:rPr>
                <w:rFonts w:ascii="Calibri" w:eastAsia="Times New Roman" w:hAnsi="Calibri" w:cs="Calibri"/>
                <w:b/>
                <w:bCs/>
                <w:color w:val="FFFFFF"/>
                <w:lang w:eastAsia="nl-NL"/>
              </w:rPr>
              <w:t xml:space="preserve">Tabel 3.                                         </w:t>
            </w:r>
            <w:r w:rsidR="00F062B0" w:rsidRPr="00F062B0">
              <w:rPr>
                <w:rFonts w:ascii="Calibri" w:eastAsia="Times New Roman" w:hAnsi="Calibri" w:cs="Calibri"/>
                <w:b/>
                <w:bCs/>
                <w:color w:val="FFFFFF"/>
                <w:lang w:eastAsia="nl-NL"/>
              </w:rPr>
              <w:t>Verandering organisatiegraden 1983-1992</w:t>
            </w:r>
          </w:p>
        </w:tc>
      </w:tr>
      <w:tr w:rsidR="00F062B0" w:rsidRPr="00F062B0" w:rsidTr="008475F3">
        <w:trPr>
          <w:trHeight w:val="300"/>
        </w:trPr>
        <w:tc>
          <w:tcPr>
            <w:tcW w:w="1300" w:type="dxa"/>
            <w:tcBorders>
              <w:top w:val="single" w:sz="4" w:space="0" w:color="auto"/>
              <w:bottom w:val="single" w:sz="4" w:space="0" w:color="auto"/>
            </w:tcBorders>
            <w:shd w:val="clear" w:color="4F81BD" w:fill="4F81BD"/>
            <w:noWrap/>
            <w:vAlign w:val="bottom"/>
            <w:hideMark/>
          </w:tcPr>
          <w:p w:rsidR="00F062B0" w:rsidRPr="00F062B0" w:rsidRDefault="00F062B0" w:rsidP="002B6FE4">
            <w:pPr>
              <w:spacing w:after="0" w:line="360" w:lineRule="auto"/>
              <w:jc w:val="center"/>
              <w:rPr>
                <w:rFonts w:ascii="Calibri" w:eastAsia="Times New Roman" w:hAnsi="Calibri" w:cs="Calibri"/>
                <w:b/>
                <w:bCs/>
                <w:color w:val="FFFFFF"/>
                <w:lang w:eastAsia="nl-NL"/>
              </w:rPr>
            </w:pPr>
            <w:r w:rsidRPr="00F062B0">
              <w:rPr>
                <w:rFonts w:ascii="Calibri" w:eastAsia="Times New Roman" w:hAnsi="Calibri" w:cs="Calibri"/>
                <w:b/>
                <w:bCs/>
                <w:color w:val="FFFFFF"/>
                <w:lang w:eastAsia="nl-NL"/>
              </w:rPr>
              <w:t>Land</w:t>
            </w:r>
          </w:p>
        </w:tc>
        <w:tc>
          <w:tcPr>
            <w:tcW w:w="1612" w:type="dxa"/>
            <w:tcBorders>
              <w:top w:val="single" w:sz="4" w:space="0" w:color="auto"/>
              <w:bottom w:val="single" w:sz="4" w:space="0" w:color="auto"/>
            </w:tcBorders>
            <w:shd w:val="clear" w:color="4F81BD" w:fill="4F81BD"/>
            <w:noWrap/>
            <w:vAlign w:val="bottom"/>
            <w:hideMark/>
          </w:tcPr>
          <w:p w:rsidR="00F062B0" w:rsidRPr="00F062B0" w:rsidRDefault="00F062B0" w:rsidP="002B6FE4">
            <w:pPr>
              <w:spacing w:after="0" w:line="360" w:lineRule="auto"/>
              <w:jc w:val="center"/>
              <w:rPr>
                <w:rFonts w:ascii="Calibri" w:eastAsia="Times New Roman" w:hAnsi="Calibri" w:cs="Calibri"/>
                <w:b/>
                <w:bCs/>
                <w:color w:val="FFFFFF"/>
                <w:lang w:eastAsia="nl-NL"/>
              </w:rPr>
            </w:pPr>
            <w:r w:rsidRPr="00F062B0">
              <w:rPr>
                <w:rFonts w:ascii="Calibri" w:eastAsia="Times New Roman" w:hAnsi="Calibri" w:cs="Calibri"/>
                <w:b/>
                <w:bCs/>
                <w:color w:val="FFFFFF"/>
                <w:lang w:eastAsia="nl-NL"/>
              </w:rPr>
              <w:t>Verandering %</w:t>
            </w:r>
          </w:p>
        </w:tc>
        <w:tc>
          <w:tcPr>
            <w:tcW w:w="2949" w:type="dxa"/>
            <w:tcBorders>
              <w:top w:val="single" w:sz="4" w:space="0" w:color="auto"/>
              <w:bottom w:val="single" w:sz="4" w:space="0" w:color="auto"/>
            </w:tcBorders>
            <w:shd w:val="clear" w:color="4F81BD" w:fill="4F81BD"/>
            <w:noWrap/>
            <w:vAlign w:val="bottom"/>
            <w:hideMark/>
          </w:tcPr>
          <w:p w:rsidR="00F062B0" w:rsidRPr="00F062B0" w:rsidRDefault="00F062B0" w:rsidP="002B6FE4">
            <w:pPr>
              <w:spacing w:after="0" w:line="360" w:lineRule="auto"/>
              <w:jc w:val="center"/>
              <w:rPr>
                <w:rFonts w:ascii="Calibri" w:eastAsia="Times New Roman" w:hAnsi="Calibri" w:cs="Calibri"/>
                <w:b/>
                <w:bCs/>
                <w:color w:val="FFFFFF"/>
                <w:lang w:eastAsia="nl-NL"/>
              </w:rPr>
            </w:pPr>
            <w:r w:rsidRPr="00F062B0">
              <w:rPr>
                <w:rFonts w:ascii="Calibri" w:eastAsia="Times New Roman" w:hAnsi="Calibri" w:cs="Calibri"/>
                <w:b/>
                <w:bCs/>
                <w:color w:val="FFFFFF"/>
                <w:lang w:eastAsia="nl-NL"/>
              </w:rPr>
              <w:t>Gemiddelde verandering %</w:t>
            </w:r>
          </w:p>
        </w:tc>
        <w:tc>
          <w:tcPr>
            <w:tcW w:w="1412" w:type="dxa"/>
            <w:tcBorders>
              <w:top w:val="single" w:sz="4" w:space="0" w:color="auto"/>
              <w:bottom w:val="single" w:sz="4" w:space="0" w:color="auto"/>
            </w:tcBorders>
            <w:shd w:val="clear" w:color="4F81BD" w:fill="4F81BD"/>
            <w:noWrap/>
            <w:vAlign w:val="bottom"/>
            <w:hideMark/>
          </w:tcPr>
          <w:p w:rsidR="00F062B0" w:rsidRPr="00F062B0" w:rsidRDefault="00F062B0" w:rsidP="002B6FE4">
            <w:pPr>
              <w:spacing w:after="0" w:line="360" w:lineRule="auto"/>
              <w:jc w:val="center"/>
              <w:rPr>
                <w:rFonts w:ascii="Calibri" w:eastAsia="Times New Roman" w:hAnsi="Calibri" w:cs="Calibri"/>
                <w:b/>
                <w:bCs/>
                <w:color w:val="FFFFFF"/>
                <w:lang w:eastAsia="nl-NL"/>
              </w:rPr>
            </w:pPr>
            <w:r w:rsidRPr="00F062B0">
              <w:rPr>
                <w:rFonts w:ascii="Calibri" w:eastAsia="Times New Roman" w:hAnsi="Calibri" w:cs="Calibri"/>
                <w:b/>
                <w:bCs/>
                <w:color w:val="FFFFFF"/>
                <w:lang w:eastAsia="nl-NL"/>
              </w:rPr>
              <w:t>Std. Dev.</w:t>
            </w:r>
          </w:p>
        </w:tc>
        <w:tc>
          <w:tcPr>
            <w:tcW w:w="2567" w:type="dxa"/>
            <w:tcBorders>
              <w:top w:val="single" w:sz="4" w:space="0" w:color="auto"/>
              <w:bottom w:val="single" w:sz="4" w:space="0" w:color="auto"/>
            </w:tcBorders>
            <w:shd w:val="clear" w:color="4F81BD" w:fill="4F81BD"/>
            <w:noWrap/>
            <w:vAlign w:val="bottom"/>
            <w:hideMark/>
          </w:tcPr>
          <w:p w:rsidR="00F062B0" w:rsidRPr="00F062B0" w:rsidRDefault="00F062B0" w:rsidP="002B6FE4">
            <w:pPr>
              <w:spacing w:after="0" w:line="360" w:lineRule="auto"/>
              <w:jc w:val="center"/>
              <w:rPr>
                <w:rFonts w:ascii="Calibri" w:eastAsia="Times New Roman" w:hAnsi="Calibri" w:cs="Calibri"/>
                <w:b/>
                <w:bCs/>
                <w:color w:val="FFFFFF"/>
                <w:lang w:eastAsia="nl-NL"/>
              </w:rPr>
            </w:pPr>
            <w:r w:rsidRPr="00F062B0">
              <w:rPr>
                <w:rFonts w:ascii="Calibri" w:eastAsia="Times New Roman" w:hAnsi="Calibri" w:cs="Calibri"/>
                <w:b/>
                <w:bCs/>
                <w:color w:val="FFFFFF"/>
                <w:lang w:eastAsia="nl-NL"/>
              </w:rPr>
              <w:t>Verschil met Nederland</w:t>
            </w:r>
          </w:p>
        </w:tc>
      </w:tr>
      <w:tr w:rsidR="00F062B0" w:rsidRPr="00F062B0" w:rsidTr="008475F3">
        <w:trPr>
          <w:trHeight w:val="300"/>
        </w:trPr>
        <w:tc>
          <w:tcPr>
            <w:tcW w:w="1300" w:type="dxa"/>
            <w:tcBorders>
              <w:top w:val="single" w:sz="4" w:space="0" w:color="auto"/>
            </w:tcBorders>
            <w:shd w:val="clear" w:color="DCE6F1" w:fill="DCE6F1"/>
            <w:noWrap/>
            <w:vAlign w:val="bottom"/>
            <w:hideMark/>
          </w:tcPr>
          <w:p w:rsidR="00F062B0" w:rsidRPr="00F062B0" w:rsidRDefault="00F062B0" w:rsidP="002B6FE4">
            <w:pPr>
              <w:spacing w:after="0" w:line="360" w:lineRule="auto"/>
              <w:jc w:val="center"/>
              <w:rPr>
                <w:rFonts w:ascii="Calibri" w:eastAsia="Times New Roman" w:hAnsi="Calibri" w:cs="Calibri"/>
                <w:b/>
                <w:bCs/>
                <w:color w:val="000000"/>
                <w:lang w:eastAsia="nl-NL"/>
              </w:rPr>
            </w:pPr>
            <w:r w:rsidRPr="00F062B0">
              <w:rPr>
                <w:rFonts w:ascii="Calibri" w:eastAsia="Times New Roman" w:hAnsi="Calibri" w:cs="Calibri"/>
                <w:b/>
                <w:bCs/>
                <w:color w:val="000000"/>
                <w:lang w:eastAsia="nl-NL"/>
              </w:rPr>
              <w:t>Nederland</w:t>
            </w:r>
          </w:p>
        </w:tc>
        <w:tc>
          <w:tcPr>
            <w:tcW w:w="1612" w:type="dxa"/>
            <w:tcBorders>
              <w:top w:val="single" w:sz="4" w:space="0" w:color="auto"/>
            </w:tcBorders>
            <w:shd w:val="clear" w:color="DCE6F1" w:fill="DCE6F1"/>
            <w:noWrap/>
            <w:vAlign w:val="bottom"/>
            <w:hideMark/>
          </w:tcPr>
          <w:p w:rsidR="00F062B0" w:rsidRPr="00F062B0" w:rsidRDefault="00F062B0" w:rsidP="002B6FE4">
            <w:pPr>
              <w:spacing w:after="0" w:line="360" w:lineRule="auto"/>
              <w:jc w:val="center"/>
              <w:rPr>
                <w:rFonts w:ascii="Calibri" w:eastAsia="Times New Roman" w:hAnsi="Calibri" w:cs="Calibri"/>
                <w:color w:val="000000"/>
                <w:lang w:eastAsia="nl-NL"/>
              </w:rPr>
            </w:pPr>
            <w:r w:rsidRPr="00F062B0">
              <w:rPr>
                <w:rFonts w:ascii="Calibri" w:eastAsia="Times New Roman" w:hAnsi="Calibri" w:cs="Calibri"/>
                <w:color w:val="000000"/>
                <w:lang w:eastAsia="nl-NL"/>
              </w:rPr>
              <w:t>-0,191833841</w:t>
            </w:r>
          </w:p>
        </w:tc>
        <w:tc>
          <w:tcPr>
            <w:tcW w:w="2949" w:type="dxa"/>
            <w:tcBorders>
              <w:top w:val="single" w:sz="4" w:space="0" w:color="auto"/>
            </w:tcBorders>
            <w:shd w:val="clear" w:color="DCE6F1" w:fill="DCE6F1"/>
            <w:noWrap/>
            <w:vAlign w:val="bottom"/>
            <w:hideMark/>
          </w:tcPr>
          <w:p w:rsidR="00F062B0" w:rsidRPr="00F062B0" w:rsidRDefault="00F062B0" w:rsidP="002B6FE4">
            <w:pPr>
              <w:spacing w:after="0" w:line="360" w:lineRule="auto"/>
              <w:jc w:val="center"/>
              <w:rPr>
                <w:rFonts w:ascii="Calibri" w:eastAsia="Times New Roman" w:hAnsi="Calibri" w:cs="Calibri"/>
                <w:color w:val="000000"/>
                <w:lang w:eastAsia="nl-NL"/>
              </w:rPr>
            </w:pPr>
            <w:r w:rsidRPr="00F062B0">
              <w:rPr>
                <w:rFonts w:ascii="Calibri" w:eastAsia="Times New Roman" w:hAnsi="Calibri" w:cs="Calibri"/>
                <w:color w:val="000000"/>
                <w:lang w:eastAsia="nl-NL"/>
              </w:rPr>
              <w:t>-0,025467639</w:t>
            </w:r>
          </w:p>
        </w:tc>
        <w:tc>
          <w:tcPr>
            <w:tcW w:w="1412" w:type="dxa"/>
            <w:tcBorders>
              <w:top w:val="single" w:sz="4" w:space="0" w:color="auto"/>
            </w:tcBorders>
            <w:shd w:val="clear" w:color="DCE6F1" w:fill="DCE6F1"/>
            <w:noWrap/>
            <w:vAlign w:val="bottom"/>
            <w:hideMark/>
          </w:tcPr>
          <w:p w:rsidR="00F062B0" w:rsidRPr="00F062B0" w:rsidRDefault="00F062B0" w:rsidP="002B6FE4">
            <w:pPr>
              <w:spacing w:after="0" w:line="360" w:lineRule="auto"/>
              <w:jc w:val="center"/>
              <w:rPr>
                <w:rFonts w:ascii="Calibri" w:eastAsia="Times New Roman" w:hAnsi="Calibri" w:cs="Calibri"/>
                <w:color w:val="000000"/>
                <w:lang w:eastAsia="nl-NL"/>
              </w:rPr>
            </w:pPr>
            <w:r w:rsidRPr="00F062B0">
              <w:rPr>
                <w:rFonts w:ascii="Calibri" w:eastAsia="Times New Roman" w:hAnsi="Calibri" w:cs="Calibri"/>
                <w:color w:val="000000"/>
                <w:lang w:eastAsia="nl-NL"/>
              </w:rPr>
              <w:t>0,033559667</w:t>
            </w:r>
          </w:p>
        </w:tc>
        <w:tc>
          <w:tcPr>
            <w:tcW w:w="2567" w:type="dxa"/>
            <w:tcBorders>
              <w:top w:val="single" w:sz="4" w:space="0" w:color="auto"/>
            </w:tcBorders>
            <w:shd w:val="clear" w:color="DCE6F1" w:fill="DCE6F1"/>
            <w:noWrap/>
            <w:vAlign w:val="bottom"/>
            <w:hideMark/>
          </w:tcPr>
          <w:p w:rsidR="00F062B0" w:rsidRPr="00F062B0" w:rsidRDefault="00F062B0" w:rsidP="002B6FE4">
            <w:pPr>
              <w:spacing w:after="0" w:line="360" w:lineRule="auto"/>
              <w:jc w:val="center"/>
              <w:rPr>
                <w:rFonts w:ascii="Calibri" w:eastAsia="Times New Roman" w:hAnsi="Calibri" w:cs="Calibri"/>
                <w:color w:val="000000"/>
                <w:lang w:eastAsia="nl-NL"/>
              </w:rPr>
            </w:pPr>
            <w:r w:rsidRPr="00F062B0">
              <w:rPr>
                <w:rFonts w:ascii="Calibri" w:eastAsia="Times New Roman" w:hAnsi="Calibri" w:cs="Calibri"/>
                <w:color w:val="000000"/>
                <w:lang w:eastAsia="nl-NL"/>
              </w:rPr>
              <w:t>xxx</w:t>
            </w:r>
          </w:p>
        </w:tc>
      </w:tr>
      <w:tr w:rsidR="00F062B0" w:rsidRPr="00F062B0" w:rsidTr="008475F3">
        <w:trPr>
          <w:trHeight w:val="300"/>
        </w:trPr>
        <w:tc>
          <w:tcPr>
            <w:tcW w:w="1300" w:type="dxa"/>
            <w:shd w:val="clear" w:color="auto" w:fill="auto"/>
            <w:noWrap/>
            <w:vAlign w:val="center"/>
            <w:hideMark/>
          </w:tcPr>
          <w:p w:rsidR="00F062B0" w:rsidRPr="00F062B0" w:rsidRDefault="00F062B0" w:rsidP="002B6FE4">
            <w:pPr>
              <w:spacing w:after="0" w:line="360" w:lineRule="auto"/>
              <w:jc w:val="center"/>
              <w:rPr>
                <w:rFonts w:ascii="Calibri" w:eastAsia="Times New Roman" w:hAnsi="Calibri" w:cs="Calibri"/>
                <w:b/>
                <w:bCs/>
                <w:color w:val="000000"/>
                <w:lang w:eastAsia="nl-NL"/>
              </w:rPr>
            </w:pPr>
            <w:r w:rsidRPr="00F062B0">
              <w:rPr>
                <w:rFonts w:ascii="Calibri" w:eastAsia="Times New Roman" w:hAnsi="Calibri" w:cs="Calibri"/>
                <w:b/>
                <w:bCs/>
                <w:color w:val="000000"/>
                <w:lang w:eastAsia="nl-NL"/>
              </w:rPr>
              <w:t>Duitsland</w:t>
            </w:r>
          </w:p>
        </w:tc>
        <w:tc>
          <w:tcPr>
            <w:tcW w:w="1612" w:type="dxa"/>
            <w:shd w:val="clear" w:color="auto" w:fill="auto"/>
            <w:noWrap/>
            <w:vAlign w:val="bottom"/>
            <w:hideMark/>
          </w:tcPr>
          <w:p w:rsidR="00F062B0" w:rsidRPr="00F062B0" w:rsidRDefault="00F062B0" w:rsidP="002B6FE4">
            <w:pPr>
              <w:spacing w:after="0" w:line="360" w:lineRule="auto"/>
              <w:jc w:val="center"/>
              <w:rPr>
                <w:rFonts w:ascii="Calibri" w:eastAsia="Times New Roman" w:hAnsi="Calibri" w:cs="Calibri"/>
                <w:color w:val="000000"/>
                <w:lang w:eastAsia="nl-NL"/>
              </w:rPr>
            </w:pPr>
            <w:r w:rsidRPr="00F062B0">
              <w:rPr>
                <w:rFonts w:ascii="Calibri" w:eastAsia="Times New Roman" w:hAnsi="Calibri" w:cs="Calibri"/>
                <w:color w:val="000000"/>
                <w:lang w:eastAsia="nl-NL"/>
              </w:rPr>
              <w:t>-0,032543561</w:t>
            </w:r>
          </w:p>
        </w:tc>
        <w:tc>
          <w:tcPr>
            <w:tcW w:w="2949" w:type="dxa"/>
            <w:shd w:val="clear" w:color="auto" w:fill="auto"/>
            <w:noWrap/>
            <w:vAlign w:val="bottom"/>
            <w:hideMark/>
          </w:tcPr>
          <w:p w:rsidR="00F062B0" w:rsidRPr="00F062B0" w:rsidRDefault="00F062B0" w:rsidP="002B6FE4">
            <w:pPr>
              <w:spacing w:after="0" w:line="360" w:lineRule="auto"/>
              <w:jc w:val="center"/>
              <w:rPr>
                <w:rFonts w:ascii="Calibri" w:eastAsia="Times New Roman" w:hAnsi="Calibri" w:cs="Calibri"/>
                <w:color w:val="000000"/>
                <w:lang w:eastAsia="nl-NL"/>
              </w:rPr>
            </w:pPr>
            <w:r w:rsidRPr="00F062B0">
              <w:rPr>
                <w:rFonts w:ascii="Calibri" w:eastAsia="Times New Roman" w:hAnsi="Calibri" w:cs="Calibri"/>
                <w:color w:val="000000"/>
                <w:lang w:eastAsia="nl-NL"/>
              </w:rPr>
              <w:t>-0,001996109</w:t>
            </w:r>
          </w:p>
        </w:tc>
        <w:tc>
          <w:tcPr>
            <w:tcW w:w="1412" w:type="dxa"/>
            <w:shd w:val="clear" w:color="auto" w:fill="auto"/>
            <w:noWrap/>
            <w:vAlign w:val="bottom"/>
            <w:hideMark/>
          </w:tcPr>
          <w:p w:rsidR="00F062B0" w:rsidRPr="00F062B0" w:rsidRDefault="00F062B0" w:rsidP="002B6FE4">
            <w:pPr>
              <w:spacing w:after="0" w:line="360" w:lineRule="auto"/>
              <w:jc w:val="center"/>
              <w:rPr>
                <w:rFonts w:ascii="Calibri" w:eastAsia="Times New Roman" w:hAnsi="Calibri" w:cs="Calibri"/>
                <w:color w:val="000000"/>
                <w:lang w:eastAsia="nl-NL"/>
              </w:rPr>
            </w:pPr>
            <w:r w:rsidRPr="00F062B0">
              <w:rPr>
                <w:rFonts w:ascii="Calibri" w:eastAsia="Times New Roman" w:hAnsi="Calibri" w:cs="Calibri"/>
                <w:color w:val="000000"/>
                <w:lang w:eastAsia="nl-NL"/>
              </w:rPr>
              <w:t>0,057191898</w:t>
            </w:r>
          </w:p>
        </w:tc>
        <w:tc>
          <w:tcPr>
            <w:tcW w:w="2567" w:type="dxa"/>
            <w:shd w:val="clear" w:color="auto" w:fill="auto"/>
            <w:noWrap/>
            <w:vAlign w:val="bottom"/>
            <w:hideMark/>
          </w:tcPr>
          <w:p w:rsidR="00F062B0" w:rsidRPr="00F062B0" w:rsidRDefault="00F062B0" w:rsidP="002B6FE4">
            <w:pPr>
              <w:spacing w:after="0" w:line="360" w:lineRule="auto"/>
              <w:jc w:val="center"/>
              <w:rPr>
                <w:rFonts w:ascii="Calibri" w:eastAsia="Times New Roman" w:hAnsi="Calibri" w:cs="Calibri"/>
                <w:color w:val="000000"/>
                <w:lang w:eastAsia="nl-NL"/>
              </w:rPr>
            </w:pPr>
            <w:r w:rsidRPr="00F062B0">
              <w:rPr>
                <w:rFonts w:ascii="Calibri" w:eastAsia="Times New Roman" w:hAnsi="Calibri" w:cs="Calibri"/>
                <w:color w:val="000000"/>
                <w:lang w:eastAsia="nl-NL"/>
              </w:rPr>
              <w:t>-0,02347153</w:t>
            </w:r>
          </w:p>
        </w:tc>
      </w:tr>
      <w:tr w:rsidR="00F062B0" w:rsidRPr="00F062B0" w:rsidTr="008475F3">
        <w:trPr>
          <w:trHeight w:val="300"/>
        </w:trPr>
        <w:tc>
          <w:tcPr>
            <w:tcW w:w="1300" w:type="dxa"/>
            <w:shd w:val="clear" w:color="DCE6F1" w:fill="DCE6F1"/>
            <w:noWrap/>
            <w:vAlign w:val="center"/>
            <w:hideMark/>
          </w:tcPr>
          <w:p w:rsidR="00F062B0" w:rsidRPr="00F062B0" w:rsidRDefault="00F062B0" w:rsidP="002B6FE4">
            <w:pPr>
              <w:spacing w:after="0" w:line="360" w:lineRule="auto"/>
              <w:jc w:val="center"/>
              <w:rPr>
                <w:rFonts w:ascii="Calibri" w:eastAsia="Times New Roman" w:hAnsi="Calibri" w:cs="Calibri"/>
                <w:b/>
                <w:bCs/>
                <w:color w:val="000000"/>
                <w:lang w:eastAsia="nl-NL"/>
              </w:rPr>
            </w:pPr>
            <w:r w:rsidRPr="00F062B0">
              <w:rPr>
                <w:rFonts w:ascii="Calibri" w:eastAsia="Times New Roman" w:hAnsi="Calibri" w:cs="Calibri"/>
                <w:b/>
                <w:bCs/>
                <w:color w:val="000000"/>
                <w:lang w:eastAsia="nl-NL"/>
              </w:rPr>
              <w:t>Japan</w:t>
            </w:r>
          </w:p>
        </w:tc>
        <w:tc>
          <w:tcPr>
            <w:tcW w:w="1612" w:type="dxa"/>
            <w:shd w:val="clear" w:color="DCE6F1" w:fill="DCE6F1"/>
            <w:noWrap/>
            <w:vAlign w:val="bottom"/>
            <w:hideMark/>
          </w:tcPr>
          <w:p w:rsidR="00F062B0" w:rsidRPr="00F062B0" w:rsidRDefault="00F062B0" w:rsidP="002B6FE4">
            <w:pPr>
              <w:spacing w:after="0" w:line="360" w:lineRule="auto"/>
              <w:jc w:val="center"/>
              <w:rPr>
                <w:rFonts w:ascii="Calibri" w:eastAsia="Times New Roman" w:hAnsi="Calibri" w:cs="Calibri"/>
                <w:color w:val="000000"/>
                <w:lang w:eastAsia="nl-NL"/>
              </w:rPr>
            </w:pPr>
            <w:r w:rsidRPr="00F062B0">
              <w:rPr>
                <w:rFonts w:ascii="Calibri" w:eastAsia="Times New Roman" w:hAnsi="Calibri" w:cs="Calibri"/>
                <w:color w:val="000000"/>
                <w:lang w:eastAsia="nl-NL"/>
              </w:rPr>
              <w:t>-0,160230277</w:t>
            </w:r>
          </w:p>
        </w:tc>
        <w:tc>
          <w:tcPr>
            <w:tcW w:w="2949" w:type="dxa"/>
            <w:shd w:val="clear" w:color="DCE6F1" w:fill="DCE6F1"/>
            <w:noWrap/>
            <w:vAlign w:val="bottom"/>
            <w:hideMark/>
          </w:tcPr>
          <w:p w:rsidR="00F062B0" w:rsidRPr="00F062B0" w:rsidRDefault="00F062B0" w:rsidP="002B6FE4">
            <w:pPr>
              <w:spacing w:after="0" w:line="360" w:lineRule="auto"/>
              <w:jc w:val="center"/>
              <w:rPr>
                <w:rFonts w:ascii="Calibri" w:eastAsia="Times New Roman" w:hAnsi="Calibri" w:cs="Calibri"/>
                <w:color w:val="000000"/>
                <w:lang w:eastAsia="nl-NL"/>
              </w:rPr>
            </w:pPr>
            <w:r w:rsidRPr="00F062B0">
              <w:rPr>
                <w:rFonts w:ascii="Calibri" w:eastAsia="Times New Roman" w:hAnsi="Calibri" w:cs="Calibri"/>
                <w:color w:val="000000"/>
                <w:lang w:eastAsia="nl-NL"/>
              </w:rPr>
              <w:t>-0,019909599</w:t>
            </w:r>
          </w:p>
        </w:tc>
        <w:tc>
          <w:tcPr>
            <w:tcW w:w="1412" w:type="dxa"/>
            <w:shd w:val="clear" w:color="DCE6F1" w:fill="DCE6F1"/>
            <w:noWrap/>
            <w:vAlign w:val="bottom"/>
            <w:hideMark/>
          </w:tcPr>
          <w:p w:rsidR="00F062B0" w:rsidRPr="00F062B0" w:rsidRDefault="00F062B0" w:rsidP="002B6FE4">
            <w:pPr>
              <w:spacing w:after="0" w:line="360" w:lineRule="auto"/>
              <w:jc w:val="center"/>
              <w:rPr>
                <w:rFonts w:ascii="Calibri" w:eastAsia="Times New Roman" w:hAnsi="Calibri" w:cs="Calibri"/>
                <w:color w:val="000000"/>
                <w:lang w:eastAsia="nl-NL"/>
              </w:rPr>
            </w:pPr>
            <w:r w:rsidRPr="00F062B0">
              <w:rPr>
                <w:rFonts w:ascii="Calibri" w:eastAsia="Times New Roman" w:hAnsi="Calibri" w:cs="Calibri"/>
                <w:color w:val="000000"/>
                <w:lang w:eastAsia="nl-NL"/>
              </w:rPr>
              <w:t>0,010247343</w:t>
            </w:r>
          </w:p>
        </w:tc>
        <w:tc>
          <w:tcPr>
            <w:tcW w:w="2567" w:type="dxa"/>
            <w:shd w:val="clear" w:color="DCE6F1" w:fill="DCE6F1"/>
            <w:noWrap/>
            <w:vAlign w:val="bottom"/>
            <w:hideMark/>
          </w:tcPr>
          <w:p w:rsidR="00F062B0" w:rsidRPr="00F062B0" w:rsidRDefault="00F062B0" w:rsidP="002B6FE4">
            <w:pPr>
              <w:spacing w:after="0" w:line="360" w:lineRule="auto"/>
              <w:jc w:val="center"/>
              <w:rPr>
                <w:rFonts w:ascii="Calibri" w:eastAsia="Times New Roman" w:hAnsi="Calibri" w:cs="Calibri"/>
                <w:color w:val="000000"/>
                <w:lang w:eastAsia="nl-NL"/>
              </w:rPr>
            </w:pPr>
            <w:r w:rsidRPr="00F062B0">
              <w:rPr>
                <w:rFonts w:ascii="Calibri" w:eastAsia="Times New Roman" w:hAnsi="Calibri" w:cs="Calibri"/>
                <w:color w:val="000000"/>
                <w:lang w:eastAsia="nl-NL"/>
              </w:rPr>
              <w:t>-0,00555804</w:t>
            </w:r>
          </w:p>
        </w:tc>
      </w:tr>
      <w:tr w:rsidR="00F062B0" w:rsidRPr="00F062B0" w:rsidTr="008475F3">
        <w:trPr>
          <w:trHeight w:val="300"/>
        </w:trPr>
        <w:tc>
          <w:tcPr>
            <w:tcW w:w="1300" w:type="dxa"/>
            <w:shd w:val="clear" w:color="auto" w:fill="auto"/>
            <w:noWrap/>
            <w:vAlign w:val="center"/>
            <w:hideMark/>
          </w:tcPr>
          <w:p w:rsidR="00F062B0" w:rsidRPr="00F062B0" w:rsidRDefault="00F062B0" w:rsidP="002B6FE4">
            <w:pPr>
              <w:spacing w:after="0" w:line="360" w:lineRule="auto"/>
              <w:jc w:val="center"/>
              <w:rPr>
                <w:rFonts w:ascii="Calibri" w:eastAsia="Times New Roman" w:hAnsi="Calibri" w:cs="Calibri"/>
                <w:b/>
                <w:bCs/>
                <w:color w:val="000000"/>
                <w:lang w:eastAsia="nl-NL"/>
              </w:rPr>
            </w:pPr>
            <w:r w:rsidRPr="00F062B0">
              <w:rPr>
                <w:rFonts w:ascii="Calibri" w:eastAsia="Times New Roman" w:hAnsi="Calibri" w:cs="Calibri"/>
                <w:b/>
                <w:bCs/>
                <w:color w:val="000000"/>
                <w:lang w:eastAsia="nl-NL"/>
              </w:rPr>
              <w:t>Zwitserland</w:t>
            </w:r>
          </w:p>
        </w:tc>
        <w:tc>
          <w:tcPr>
            <w:tcW w:w="1612" w:type="dxa"/>
            <w:shd w:val="clear" w:color="auto" w:fill="auto"/>
            <w:noWrap/>
            <w:vAlign w:val="bottom"/>
            <w:hideMark/>
          </w:tcPr>
          <w:p w:rsidR="00F062B0" w:rsidRPr="00F062B0" w:rsidRDefault="00F062B0" w:rsidP="002B6FE4">
            <w:pPr>
              <w:spacing w:after="0" w:line="360" w:lineRule="auto"/>
              <w:jc w:val="center"/>
              <w:rPr>
                <w:rFonts w:ascii="Calibri" w:eastAsia="Times New Roman" w:hAnsi="Calibri" w:cs="Calibri"/>
                <w:color w:val="000000"/>
                <w:lang w:eastAsia="nl-NL"/>
              </w:rPr>
            </w:pPr>
            <w:r w:rsidRPr="00F062B0">
              <w:rPr>
                <w:rFonts w:ascii="Calibri" w:eastAsia="Times New Roman" w:hAnsi="Calibri" w:cs="Calibri"/>
                <w:color w:val="000000"/>
                <w:lang w:eastAsia="nl-NL"/>
              </w:rPr>
              <w:t>-0,140989899</w:t>
            </w:r>
          </w:p>
        </w:tc>
        <w:tc>
          <w:tcPr>
            <w:tcW w:w="2949" w:type="dxa"/>
            <w:shd w:val="clear" w:color="auto" w:fill="auto"/>
            <w:noWrap/>
            <w:vAlign w:val="bottom"/>
            <w:hideMark/>
          </w:tcPr>
          <w:p w:rsidR="00F062B0" w:rsidRPr="00F062B0" w:rsidRDefault="00F062B0" w:rsidP="002B6FE4">
            <w:pPr>
              <w:spacing w:after="0" w:line="360" w:lineRule="auto"/>
              <w:jc w:val="center"/>
              <w:rPr>
                <w:rFonts w:ascii="Calibri" w:eastAsia="Times New Roman" w:hAnsi="Calibri" w:cs="Calibri"/>
                <w:color w:val="000000"/>
                <w:lang w:eastAsia="nl-NL"/>
              </w:rPr>
            </w:pPr>
            <w:r w:rsidRPr="00F062B0">
              <w:rPr>
                <w:rFonts w:ascii="Calibri" w:eastAsia="Times New Roman" w:hAnsi="Calibri" w:cs="Calibri"/>
                <w:color w:val="000000"/>
                <w:lang w:eastAsia="nl-NL"/>
              </w:rPr>
              <w:t>-0,015429282</w:t>
            </w:r>
          </w:p>
        </w:tc>
        <w:tc>
          <w:tcPr>
            <w:tcW w:w="1412" w:type="dxa"/>
            <w:shd w:val="clear" w:color="auto" w:fill="auto"/>
            <w:noWrap/>
            <w:vAlign w:val="bottom"/>
            <w:hideMark/>
          </w:tcPr>
          <w:p w:rsidR="00F062B0" w:rsidRPr="00F062B0" w:rsidRDefault="00F062B0" w:rsidP="002B6FE4">
            <w:pPr>
              <w:spacing w:after="0" w:line="360" w:lineRule="auto"/>
              <w:jc w:val="center"/>
              <w:rPr>
                <w:rFonts w:ascii="Calibri" w:eastAsia="Times New Roman" w:hAnsi="Calibri" w:cs="Calibri"/>
                <w:color w:val="000000"/>
                <w:lang w:eastAsia="nl-NL"/>
              </w:rPr>
            </w:pPr>
            <w:r w:rsidRPr="00F062B0">
              <w:rPr>
                <w:rFonts w:ascii="Calibri" w:eastAsia="Times New Roman" w:hAnsi="Calibri" w:cs="Calibri"/>
                <w:color w:val="000000"/>
                <w:lang w:eastAsia="nl-NL"/>
              </w:rPr>
              <w:t>0,017381177</w:t>
            </w:r>
          </w:p>
        </w:tc>
        <w:tc>
          <w:tcPr>
            <w:tcW w:w="2567" w:type="dxa"/>
            <w:shd w:val="clear" w:color="auto" w:fill="auto"/>
            <w:noWrap/>
            <w:vAlign w:val="bottom"/>
            <w:hideMark/>
          </w:tcPr>
          <w:p w:rsidR="00F062B0" w:rsidRPr="00F062B0" w:rsidRDefault="00F062B0" w:rsidP="002B6FE4">
            <w:pPr>
              <w:spacing w:after="0" w:line="360" w:lineRule="auto"/>
              <w:jc w:val="center"/>
              <w:rPr>
                <w:rFonts w:ascii="Calibri" w:eastAsia="Times New Roman" w:hAnsi="Calibri" w:cs="Calibri"/>
                <w:color w:val="000000"/>
                <w:lang w:eastAsia="nl-NL"/>
              </w:rPr>
            </w:pPr>
            <w:r w:rsidRPr="00F062B0">
              <w:rPr>
                <w:rFonts w:ascii="Calibri" w:eastAsia="Times New Roman" w:hAnsi="Calibri" w:cs="Calibri"/>
                <w:color w:val="000000"/>
                <w:lang w:eastAsia="nl-NL"/>
              </w:rPr>
              <w:t>-0,010038356</w:t>
            </w:r>
          </w:p>
        </w:tc>
      </w:tr>
    </w:tbl>
    <w:p w:rsidR="00436856" w:rsidRDefault="008475F3" w:rsidP="002B6FE4">
      <w:pPr>
        <w:spacing w:line="360" w:lineRule="auto"/>
      </w:pPr>
      <w:r w:rsidRPr="000B210A">
        <w:rPr>
          <w:i/>
          <w:sz w:val="16"/>
          <w:szCs w:val="16"/>
        </w:rPr>
        <w:t xml:space="preserve">Opmerking. </w:t>
      </w:r>
      <w:r w:rsidRPr="008475F3">
        <w:rPr>
          <w:sz w:val="16"/>
          <w:szCs w:val="16"/>
        </w:rPr>
        <w:t xml:space="preserve">Gegevens afkomstig van </w:t>
      </w:r>
      <w:r w:rsidR="001A6446" w:rsidRPr="001A6446">
        <w:rPr>
          <w:noProof/>
          <w:sz w:val="16"/>
          <w:szCs w:val="16"/>
        </w:rPr>
        <w:t>(Visser, 2013)</w:t>
      </w:r>
      <w:r w:rsidR="002E619A" w:rsidRPr="008475F3">
        <w:br/>
      </w:r>
      <w:r w:rsidR="00F062B0" w:rsidRPr="008475F3">
        <w:br/>
      </w:r>
      <w:r w:rsidR="009A1614" w:rsidRPr="008475F3">
        <w:t>Wanneer het eerste decennium na het Akkoord van Wa</w:t>
      </w:r>
      <w:r w:rsidR="009A1614">
        <w:t xml:space="preserve">ssenaar </w:t>
      </w:r>
      <w:r w:rsidR="00BE5DDE">
        <w:t>in zijn totaliteit in ogenschouw wordt genomen</w:t>
      </w:r>
      <w:r w:rsidR="009A1614">
        <w:t xml:space="preserve">, blijkt dat de vergelijking van de Nederlandse met de Duitse organisatiegraad geen significant verschil meer oplevert. </w:t>
      </w:r>
      <w:r w:rsidR="00BE5DDE">
        <w:t xml:space="preserve">Met een </w:t>
      </w:r>
      <w:r w:rsidR="0034682C">
        <w:t>t</w:t>
      </w:r>
      <w:r w:rsidR="00BE5DDE">
        <w:t>-waarde van</w:t>
      </w:r>
      <w:r w:rsidR="009A1614">
        <w:t xml:space="preserve"> -1</w:t>
      </w:r>
      <w:r w:rsidR="000C1F1D">
        <w:t>,</w:t>
      </w:r>
      <w:r w:rsidR="009A1614">
        <w:t>1</w:t>
      </w:r>
      <w:r w:rsidR="00F062B0">
        <w:t>19</w:t>
      </w:r>
      <w:r w:rsidR="009A1614">
        <w:t xml:space="preserve"> </w:t>
      </w:r>
      <w:r w:rsidR="00BE5DDE">
        <w:t>kan de nulhypothese niet worden verworpen; de Nederlandse organisatiegraad wijkt dus niet significant af van de Duitse organisatiegraad voor de periode 1983-1992.</w:t>
      </w:r>
      <w:r w:rsidR="00B54AD7">
        <w:t xml:space="preserve"> </w:t>
      </w:r>
      <w:r w:rsidR="009A1614">
        <w:t>De vergelijking met Japan biedt even</w:t>
      </w:r>
      <w:r w:rsidR="000C5C55">
        <w:t xml:space="preserve">als </w:t>
      </w:r>
      <w:r w:rsidR="00F062B0">
        <w:t xml:space="preserve">de vergelijking met </w:t>
      </w:r>
      <w:r w:rsidR="000C5C55">
        <w:t>Duitsland</w:t>
      </w:r>
      <w:r w:rsidR="009A1614">
        <w:t xml:space="preserve"> een </w:t>
      </w:r>
      <w:r w:rsidR="000C5C55">
        <w:t>niet-</w:t>
      </w:r>
      <w:r w:rsidR="009A1614">
        <w:t xml:space="preserve">significant </w:t>
      </w:r>
      <w:r w:rsidR="0034682C">
        <w:t>t</w:t>
      </w:r>
      <w:r w:rsidR="009A1614">
        <w:t>-waarde: -0,5</w:t>
      </w:r>
      <w:r w:rsidR="00F062B0">
        <w:t>01</w:t>
      </w:r>
      <w:r w:rsidR="009A1614">
        <w:t xml:space="preserve">. Ook </w:t>
      </w:r>
      <w:r w:rsidR="00A60AB6">
        <w:t xml:space="preserve">Zwitserland laat net als Duitsland en Japan een </w:t>
      </w:r>
      <w:r w:rsidR="0034682C">
        <w:t>t</w:t>
      </w:r>
      <w:r w:rsidR="00A60AB6">
        <w:t>-waarde zien, die met -0,8</w:t>
      </w:r>
      <w:r w:rsidR="00F062B0">
        <w:t>40</w:t>
      </w:r>
      <w:r w:rsidR="00A60AB6">
        <w:t xml:space="preserve"> </w:t>
      </w:r>
      <w:r w:rsidR="00FE5683">
        <w:t>niet</w:t>
      </w:r>
      <w:r w:rsidR="00A60AB6">
        <w:t xml:space="preserve"> </w:t>
      </w:r>
      <w:r>
        <w:t xml:space="preserve">aan </w:t>
      </w:r>
      <w:r w:rsidR="000C5C55">
        <w:t>de kritieke waarde van -</w:t>
      </w:r>
      <w:r w:rsidR="00333454">
        <w:t>2,262</w:t>
      </w:r>
      <w:r w:rsidR="000C5C55">
        <w:t xml:space="preserve"> komt. Dit betekent dat Nederland ten opzichte van alle drie de referentielanden een niet significant afwijkende organisatiegraad heeft.</w:t>
      </w:r>
      <w:r w:rsidR="00BE5DDE">
        <w:t xml:space="preserve"> </w:t>
      </w:r>
      <w:r w:rsidR="000C5C55">
        <w:t xml:space="preserve">De vergelijking met de eigen lineaire trendlijn </w:t>
      </w:r>
      <w:r w:rsidR="00511548">
        <w:t xml:space="preserve">geeft wederom geen significante afwijking weer: de </w:t>
      </w:r>
      <w:r w:rsidR="0034682C">
        <w:t>t</w:t>
      </w:r>
      <w:r w:rsidR="00511548">
        <w:t>-waarde is in het geval van de binnenlandse vergelijking -1,</w:t>
      </w:r>
      <w:r w:rsidR="00333454">
        <w:t>363</w:t>
      </w:r>
      <w:r w:rsidR="00511548">
        <w:t>.</w:t>
      </w:r>
      <w:r w:rsidR="00B54AD7">
        <w:br/>
        <w:t xml:space="preserve"> </w:t>
      </w:r>
      <w:r w:rsidR="00B54AD7">
        <w:tab/>
      </w:r>
      <w:r w:rsidR="009A1614">
        <w:t>Daar waar de eerste vijf ja</w:t>
      </w:r>
      <w:r w:rsidR="009543FB">
        <w:t>ren</w:t>
      </w:r>
      <w:r w:rsidR="009A1614">
        <w:t xml:space="preserve"> na het Akkoord van Wassenaar nog een </w:t>
      </w:r>
      <w:r w:rsidR="00333454">
        <w:t>sterke indicatie</w:t>
      </w:r>
      <w:r w:rsidR="009A1614">
        <w:t xml:space="preserve"> </w:t>
      </w:r>
      <w:r w:rsidR="007D0248">
        <w:t>voor</w:t>
      </w:r>
      <w:r w:rsidR="00333454">
        <w:t xml:space="preserve"> een afwijkende organisatiegraad </w:t>
      </w:r>
      <w:r w:rsidR="00FE5683">
        <w:t>ga</w:t>
      </w:r>
      <w:r w:rsidR="009543FB">
        <w:t>ven</w:t>
      </w:r>
      <w:r w:rsidR="009A1614">
        <w:t xml:space="preserve">, blijkt de overgang van de eerste vijf naar de eerste tien jaar, een stap </w:t>
      </w:r>
      <w:r w:rsidR="00FE5683">
        <w:t xml:space="preserve">te zijn </w:t>
      </w:r>
      <w:r w:rsidR="009A1614">
        <w:t xml:space="preserve">die de significantie </w:t>
      </w:r>
      <w:r w:rsidR="000C5C55">
        <w:t xml:space="preserve">volkomen </w:t>
      </w:r>
      <w:r w:rsidR="009A1614">
        <w:t>teniet doet.</w:t>
      </w:r>
      <w:r w:rsidR="00511548">
        <w:t xml:space="preserve"> Bij de organisatiegraad van alle </w:t>
      </w:r>
      <w:r w:rsidR="00511548">
        <w:lastRenderedPageBreak/>
        <w:t xml:space="preserve">referentielanden en de trendlijn, blijkt er geen sprake meer te zijn van een significante afwijking van </w:t>
      </w:r>
      <w:r w:rsidR="00CF6F77">
        <w:t>de Nederlandse organisatiegraad.</w:t>
      </w:r>
      <w:r w:rsidR="00380B75">
        <w:t xml:space="preserve"> De verklaring hiervoor moet gezocht worden in de ontwikkeling van de Nederlandse organisatiegraad. Daar waar </w:t>
      </w:r>
      <w:r w:rsidR="00BE5DDE">
        <w:t xml:space="preserve">er in de eerste vijf jaar </w:t>
      </w:r>
      <w:r w:rsidR="00380B75">
        <w:t>nog sprake is van een zichtbaar sterke daling, blijkt de hoogte van de verhouding vakbondsleden/beroepsbevolking, min of meer te stabiliseren rond de 24%</w:t>
      </w:r>
      <w:r w:rsidR="00BE5DDE">
        <w:t xml:space="preserve"> in de tweede vijf ja</w:t>
      </w:r>
      <w:r w:rsidR="009543FB">
        <w:t>ren</w:t>
      </w:r>
      <w:r w:rsidR="00BE5DDE">
        <w:t xml:space="preserve"> na het akkoord</w:t>
      </w:r>
      <w:r w:rsidR="00380B75">
        <w:t xml:space="preserve">. Terwijl de Nederlandse daling een halt is toegeroepen, blijkt de organisatiegraad van de referentielanden ook na 1987 </w:t>
      </w:r>
      <w:r w:rsidR="009B6548">
        <w:t xml:space="preserve">nog </w:t>
      </w:r>
      <w:r w:rsidR="00380B75">
        <w:t xml:space="preserve">gestaag af te nemen. De trendlijn blijft </w:t>
      </w:r>
      <w:r w:rsidR="009543FB">
        <w:t xml:space="preserve">eveneens </w:t>
      </w:r>
      <w:r w:rsidR="00380B75">
        <w:t xml:space="preserve">als vanzelfsprekend een dalend karakter houden, waardoor de verschillen die Nederland in de eerste vijf </w:t>
      </w:r>
      <w:r w:rsidR="009543FB">
        <w:t>jaren</w:t>
      </w:r>
      <w:r w:rsidR="00380B75">
        <w:t xml:space="preserve"> na het akkoord had opgebouwd, langzaam afbrokkelen. Duitsland is hierbij een uitzondering, daar het samensmelten van Oost- en West-Duitsland een verstorende factor is, die een dermate hoge standaarddeviatie oplevert, dat er geen sprake meer van significantie is.  </w:t>
      </w:r>
      <w:r w:rsidR="00CB7884">
        <w:br/>
        <w:t xml:space="preserve"> </w:t>
      </w:r>
      <w:r w:rsidR="00CB7884">
        <w:tab/>
      </w:r>
      <w:r w:rsidR="001C1F24">
        <w:t xml:space="preserve">Concluderend kan dus gesteld worden dat door het verkrijgen van niet-significante resultaten in het geval van de referentielanden en de trendlijn, de nulhypothese niet mag worden verworpen. Dit betekent dat er geen sprake is van een significant verschil </w:t>
      </w:r>
      <w:r w:rsidR="0088751A">
        <w:t>tussen</w:t>
      </w:r>
      <w:r w:rsidR="001C1F24">
        <w:t xml:space="preserve"> de organisatiegraad van Nederland</w:t>
      </w:r>
      <w:r w:rsidR="0088751A">
        <w:t xml:space="preserve"> enerzijds</w:t>
      </w:r>
      <w:r w:rsidR="001C1F24">
        <w:t xml:space="preserve"> </w:t>
      </w:r>
      <w:r w:rsidR="0088751A">
        <w:t>en de organisatiegraad van de referentielanden en de trendlijn anderzijds, gedurende de eerste tien jaar na het Akkoord van Wassenaar van 1983 tot en met 1992.</w:t>
      </w:r>
    </w:p>
    <w:p w:rsidR="00BE5DDE" w:rsidRDefault="009F08EF" w:rsidP="002B6FE4">
      <w:pPr>
        <w:spacing w:line="360" w:lineRule="auto"/>
      </w:pPr>
      <w:r>
        <w:rPr>
          <w:b/>
        </w:rPr>
        <w:t>Verklaringen vanuit het B-E model</w:t>
      </w:r>
      <w:r>
        <w:rPr>
          <w:b/>
        </w:rPr>
        <w:br/>
      </w:r>
      <w:r w:rsidR="00870FF3">
        <w:t>Het B-E model stelt dat een stijging van de inflatie en/of het loonniveau zorgt voor een stijging van het aantal vakbondsleden. Een stijging van de werkloosheid heeft juist een negatief effect, terwijl de hoogte van de organisatiegraad via twee verschillende effecten, voor een stijging</w:t>
      </w:r>
      <w:r w:rsidR="00AA6B5C">
        <w:t xml:space="preserve"> c.q.</w:t>
      </w:r>
      <w:r w:rsidR="00870FF3">
        <w:t xml:space="preserve"> daling van het aantal vakbondsleden kan zorgen. Deze empirische bevindingen van </w:t>
      </w:r>
      <w:r w:rsidR="003B0464">
        <w:t>Bains</w:t>
      </w:r>
      <w:r w:rsidR="00870FF3">
        <w:t xml:space="preserve"> en Elsheikh worden hieronder naast de ontwikkeling van de organisatiegraad enerzijds en de ontwikkeling va</w:t>
      </w:r>
      <w:r w:rsidR="0047416A">
        <w:t xml:space="preserve">n de inflatie, </w:t>
      </w:r>
      <w:r w:rsidR="00FE5683">
        <w:t>het</w:t>
      </w:r>
      <w:r w:rsidR="0047416A">
        <w:t xml:space="preserve"> werkloosheid</w:t>
      </w:r>
      <w:r w:rsidR="00FE5683">
        <w:t>spercentage</w:t>
      </w:r>
      <w:r w:rsidR="0047416A">
        <w:t xml:space="preserve"> </w:t>
      </w:r>
      <w:r w:rsidR="00870FF3">
        <w:t xml:space="preserve">en </w:t>
      </w:r>
      <w:r w:rsidR="0047416A">
        <w:t xml:space="preserve">de werknemerscompensatie </w:t>
      </w:r>
      <w:r w:rsidR="00870FF3">
        <w:t>anderzijds, gelegd.</w:t>
      </w:r>
      <w:r w:rsidR="00AF74C8" w:rsidRPr="00AF74C8">
        <w:t xml:space="preserve"> </w:t>
      </w:r>
      <w:r w:rsidR="00AF74C8">
        <w:t>Onderstaande tabellen tonen de verandering van de drie variabelen en de organisatiegraad ten opzichte van het voorgaande jaar. Wanneer het ‘+’-teken staat genoteerd, betekent dit dat het cijfer ten opzichte van het voorgaande jaar is gestegen, terwijl het ‘-’-teken exact het tegenovergestelde betekent. Wanneer het cijfer ‘0’ wordt weergegeven, houdt dit in dat er geen verschil is met het voorgaande jaar.</w:t>
      </w:r>
      <w:r w:rsidR="00E22373">
        <w:t xml:space="preserve"> Voor de gebruikte data wordt verwezen naar Bijlage C.</w:t>
      </w:r>
    </w:p>
    <w:p w:rsidR="00B54AD7" w:rsidRDefault="00B54AD7" w:rsidP="002B6FE4">
      <w:pPr>
        <w:spacing w:line="360" w:lineRule="auto"/>
        <w:rPr>
          <w:b/>
        </w:rPr>
      </w:pPr>
    </w:p>
    <w:p w:rsidR="00B54AD7" w:rsidRDefault="00B54AD7" w:rsidP="002B6FE4">
      <w:pPr>
        <w:spacing w:line="360" w:lineRule="auto"/>
        <w:rPr>
          <w:b/>
        </w:rPr>
      </w:pPr>
    </w:p>
    <w:p w:rsidR="00B54AD7" w:rsidRDefault="00B54AD7" w:rsidP="002B6FE4">
      <w:pPr>
        <w:spacing w:line="360" w:lineRule="auto"/>
        <w:rPr>
          <w:b/>
        </w:rPr>
      </w:pPr>
    </w:p>
    <w:p w:rsidR="00B54AD7" w:rsidRDefault="00B54AD7" w:rsidP="002B6FE4">
      <w:pPr>
        <w:spacing w:line="360" w:lineRule="auto"/>
        <w:rPr>
          <w:b/>
        </w:rPr>
      </w:pPr>
    </w:p>
    <w:p w:rsidR="00AA6B5C" w:rsidRPr="00AA6B5C" w:rsidRDefault="00AA6B5C" w:rsidP="002B6FE4">
      <w:pPr>
        <w:spacing w:line="360" w:lineRule="auto"/>
        <w:rPr>
          <w:b/>
        </w:rPr>
      </w:pPr>
      <w:r>
        <w:rPr>
          <w:b/>
        </w:rPr>
        <w:lastRenderedPageBreak/>
        <w:t xml:space="preserve">Tabel 4. </w:t>
      </w:r>
      <w:r>
        <w:rPr>
          <w:b/>
        </w:rPr>
        <w:tab/>
      </w:r>
      <w:r>
        <w:rPr>
          <w:b/>
        </w:rPr>
        <w:tab/>
      </w:r>
      <w:r>
        <w:rPr>
          <w:b/>
        </w:rPr>
        <w:tab/>
        <w:t xml:space="preserve">          Verandering inflatie en organisatiegraad 1983-1992</w:t>
      </w:r>
    </w:p>
    <w:tbl>
      <w:tblPr>
        <w:tblW w:w="9100" w:type="dxa"/>
        <w:tblInd w:w="55" w:type="dxa"/>
        <w:tblCellMar>
          <w:left w:w="70" w:type="dxa"/>
          <w:right w:w="70" w:type="dxa"/>
        </w:tblCellMar>
        <w:tblLook w:val="04A0" w:firstRow="1" w:lastRow="0" w:firstColumn="1" w:lastColumn="0" w:noHBand="0" w:noVBand="1"/>
      </w:tblPr>
      <w:tblGrid>
        <w:gridCol w:w="2600"/>
        <w:gridCol w:w="740"/>
        <w:gridCol w:w="640"/>
        <w:gridCol w:w="640"/>
        <w:gridCol w:w="640"/>
        <w:gridCol w:w="640"/>
        <w:gridCol w:w="640"/>
        <w:gridCol w:w="640"/>
        <w:gridCol w:w="640"/>
        <w:gridCol w:w="640"/>
        <w:gridCol w:w="640"/>
      </w:tblGrid>
      <w:tr w:rsidR="008B0F5E" w:rsidRPr="008B0F5E" w:rsidTr="008B0F5E">
        <w:trPr>
          <w:trHeight w:val="300"/>
        </w:trPr>
        <w:tc>
          <w:tcPr>
            <w:tcW w:w="2600" w:type="dxa"/>
            <w:tcBorders>
              <w:top w:val="nil"/>
              <w:left w:val="nil"/>
              <w:bottom w:val="nil"/>
              <w:right w:val="nil"/>
            </w:tcBorders>
            <w:shd w:val="clear" w:color="auto" w:fill="auto"/>
            <w:noWrap/>
            <w:vAlign w:val="center"/>
            <w:hideMark/>
          </w:tcPr>
          <w:p w:rsidR="008B0F5E" w:rsidRPr="008B0F5E" w:rsidRDefault="008B0F5E" w:rsidP="002B6FE4">
            <w:pPr>
              <w:spacing w:after="0" w:line="360" w:lineRule="auto"/>
              <w:jc w:val="center"/>
              <w:rPr>
                <w:rFonts w:ascii="Calibri" w:eastAsia="Times New Roman" w:hAnsi="Calibri" w:cs="Calibri"/>
                <w:b/>
                <w:bCs/>
                <w:color w:val="000000"/>
                <w:lang w:eastAsia="nl-NL"/>
              </w:rPr>
            </w:pPr>
          </w:p>
        </w:tc>
        <w:tc>
          <w:tcPr>
            <w:tcW w:w="740" w:type="dxa"/>
            <w:tcBorders>
              <w:top w:val="single" w:sz="4" w:space="0" w:color="auto"/>
              <w:left w:val="single" w:sz="4" w:space="0" w:color="auto"/>
              <w:bottom w:val="single" w:sz="4" w:space="0" w:color="auto"/>
              <w:right w:val="single" w:sz="4" w:space="0" w:color="auto"/>
            </w:tcBorders>
            <w:shd w:val="clear" w:color="000000" w:fill="974706"/>
            <w:noWrap/>
            <w:vAlign w:val="center"/>
            <w:hideMark/>
          </w:tcPr>
          <w:p w:rsidR="008B0F5E" w:rsidRPr="008B0F5E" w:rsidRDefault="008B0F5E" w:rsidP="002B6FE4">
            <w:pPr>
              <w:spacing w:after="0" w:line="360" w:lineRule="auto"/>
              <w:jc w:val="center"/>
              <w:rPr>
                <w:rFonts w:ascii="Calibri" w:eastAsia="Times New Roman" w:hAnsi="Calibri" w:cs="Calibri"/>
                <w:b/>
                <w:bCs/>
                <w:color w:val="FFFFFF"/>
                <w:lang w:eastAsia="nl-NL"/>
              </w:rPr>
            </w:pPr>
            <w:r w:rsidRPr="008B0F5E">
              <w:rPr>
                <w:rFonts w:ascii="Calibri" w:eastAsia="Times New Roman" w:hAnsi="Calibri" w:cs="Calibri"/>
                <w:b/>
                <w:bCs/>
                <w:color w:val="FFFFFF"/>
                <w:lang w:eastAsia="nl-NL"/>
              </w:rPr>
              <w:t>1983</w:t>
            </w:r>
          </w:p>
        </w:tc>
        <w:tc>
          <w:tcPr>
            <w:tcW w:w="640" w:type="dxa"/>
            <w:tcBorders>
              <w:top w:val="single" w:sz="4" w:space="0" w:color="auto"/>
              <w:left w:val="nil"/>
              <w:bottom w:val="nil"/>
              <w:right w:val="single" w:sz="4" w:space="0" w:color="auto"/>
            </w:tcBorders>
            <w:shd w:val="clear" w:color="000000" w:fill="974706"/>
            <w:noWrap/>
            <w:vAlign w:val="center"/>
            <w:hideMark/>
          </w:tcPr>
          <w:p w:rsidR="008B0F5E" w:rsidRPr="008B0F5E" w:rsidRDefault="008B0F5E" w:rsidP="002B6FE4">
            <w:pPr>
              <w:spacing w:after="0" w:line="360" w:lineRule="auto"/>
              <w:jc w:val="center"/>
              <w:rPr>
                <w:rFonts w:ascii="Calibri" w:eastAsia="Times New Roman" w:hAnsi="Calibri" w:cs="Calibri"/>
                <w:b/>
                <w:bCs/>
                <w:color w:val="FFFFFF"/>
                <w:lang w:eastAsia="nl-NL"/>
              </w:rPr>
            </w:pPr>
            <w:r w:rsidRPr="008B0F5E">
              <w:rPr>
                <w:rFonts w:ascii="Calibri" w:eastAsia="Times New Roman" w:hAnsi="Calibri" w:cs="Calibri"/>
                <w:b/>
                <w:bCs/>
                <w:color w:val="FFFFFF"/>
                <w:lang w:eastAsia="nl-NL"/>
              </w:rPr>
              <w:t>1984</w:t>
            </w:r>
          </w:p>
        </w:tc>
        <w:tc>
          <w:tcPr>
            <w:tcW w:w="640" w:type="dxa"/>
            <w:tcBorders>
              <w:top w:val="single" w:sz="4" w:space="0" w:color="auto"/>
              <w:left w:val="nil"/>
              <w:bottom w:val="nil"/>
              <w:right w:val="single" w:sz="4" w:space="0" w:color="auto"/>
            </w:tcBorders>
            <w:shd w:val="clear" w:color="000000" w:fill="974706"/>
            <w:noWrap/>
            <w:vAlign w:val="center"/>
            <w:hideMark/>
          </w:tcPr>
          <w:p w:rsidR="008B0F5E" w:rsidRPr="008B0F5E" w:rsidRDefault="008B0F5E" w:rsidP="002B6FE4">
            <w:pPr>
              <w:spacing w:after="0" w:line="360" w:lineRule="auto"/>
              <w:jc w:val="center"/>
              <w:rPr>
                <w:rFonts w:ascii="Calibri" w:eastAsia="Times New Roman" w:hAnsi="Calibri" w:cs="Calibri"/>
                <w:b/>
                <w:bCs/>
                <w:color w:val="FFFFFF"/>
                <w:lang w:eastAsia="nl-NL"/>
              </w:rPr>
            </w:pPr>
            <w:r w:rsidRPr="008B0F5E">
              <w:rPr>
                <w:rFonts w:ascii="Calibri" w:eastAsia="Times New Roman" w:hAnsi="Calibri" w:cs="Calibri"/>
                <w:b/>
                <w:bCs/>
                <w:color w:val="FFFFFF"/>
                <w:lang w:eastAsia="nl-NL"/>
              </w:rPr>
              <w:t>1985</w:t>
            </w:r>
          </w:p>
        </w:tc>
        <w:tc>
          <w:tcPr>
            <w:tcW w:w="640" w:type="dxa"/>
            <w:tcBorders>
              <w:top w:val="single" w:sz="4" w:space="0" w:color="auto"/>
              <w:left w:val="nil"/>
              <w:bottom w:val="nil"/>
              <w:right w:val="single" w:sz="4" w:space="0" w:color="auto"/>
            </w:tcBorders>
            <w:shd w:val="clear" w:color="000000" w:fill="974706"/>
            <w:noWrap/>
            <w:vAlign w:val="center"/>
            <w:hideMark/>
          </w:tcPr>
          <w:p w:rsidR="008B0F5E" w:rsidRPr="008B0F5E" w:rsidRDefault="008B0F5E" w:rsidP="002B6FE4">
            <w:pPr>
              <w:spacing w:after="0" w:line="360" w:lineRule="auto"/>
              <w:jc w:val="center"/>
              <w:rPr>
                <w:rFonts w:ascii="Calibri" w:eastAsia="Times New Roman" w:hAnsi="Calibri" w:cs="Calibri"/>
                <w:b/>
                <w:bCs/>
                <w:color w:val="FFFFFF"/>
                <w:lang w:eastAsia="nl-NL"/>
              </w:rPr>
            </w:pPr>
            <w:r w:rsidRPr="008B0F5E">
              <w:rPr>
                <w:rFonts w:ascii="Calibri" w:eastAsia="Times New Roman" w:hAnsi="Calibri" w:cs="Calibri"/>
                <w:b/>
                <w:bCs/>
                <w:color w:val="FFFFFF"/>
                <w:lang w:eastAsia="nl-NL"/>
              </w:rPr>
              <w:t>1986</w:t>
            </w:r>
          </w:p>
        </w:tc>
        <w:tc>
          <w:tcPr>
            <w:tcW w:w="640" w:type="dxa"/>
            <w:tcBorders>
              <w:top w:val="single" w:sz="4" w:space="0" w:color="auto"/>
              <w:left w:val="nil"/>
              <w:bottom w:val="nil"/>
              <w:right w:val="single" w:sz="4" w:space="0" w:color="auto"/>
            </w:tcBorders>
            <w:shd w:val="clear" w:color="000000" w:fill="974706"/>
            <w:noWrap/>
            <w:vAlign w:val="center"/>
            <w:hideMark/>
          </w:tcPr>
          <w:p w:rsidR="008B0F5E" w:rsidRPr="008B0F5E" w:rsidRDefault="008B0F5E" w:rsidP="002B6FE4">
            <w:pPr>
              <w:spacing w:after="0" w:line="360" w:lineRule="auto"/>
              <w:jc w:val="center"/>
              <w:rPr>
                <w:rFonts w:ascii="Calibri" w:eastAsia="Times New Roman" w:hAnsi="Calibri" w:cs="Calibri"/>
                <w:b/>
                <w:bCs/>
                <w:color w:val="FFFFFF"/>
                <w:lang w:eastAsia="nl-NL"/>
              </w:rPr>
            </w:pPr>
            <w:r w:rsidRPr="008B0F5E">
              <w:rPr>
                <w:rFonts w:ascii="Calibri" w:eastAsia="Times New Roman" w:hAnsi="Calibri" w:cs="Calibri"/>
                <w:b/>
                <w:bCs/>
                <w:color w:val="FFFFFF"/>
                <w:lang w:eastAsia="nl-NL"/>
              </w:rPr>
              <w:t>1987</w:t>
            </w:r>
          </w:p>
        </w:tc>
        <w:tc>
          <w:tcPr>
            <w:tcW w:w="640" w:type="dxa"/>
            <w:tcBorders>
              <w:top w:val="single" w:sz="4" w:space="0" w:color="auto"/>
              <w:left w:val="nil"/>
              <w:bottom w:val="nil"/>
              <w:right w:val="single" w:sz="4" w:space="0" w:color="auto"/>
            </w:tcBorders>
            <w:shd w:val="clear" w:color="000000" w:fill="974706"/>
            <w:noWrap/>
            <w:vAlign w:val="center"/>
            <w:hideMark/>
          </w:tcPr>
          <w:p w:rsidR="008B0F5E" w:rsidRPr="008B0F5E" w:rsidRDefault="008B0F5E" w:rsidP="002B6FE4">
            <w:pPr>
              <w:spacing w:after="0" w:line="360" w:lineRule="auto"/>
              <w:jc w:val="center"/>
              <w:rPr>
                <w:rFonts w:ascii="Calibri" w:eastAsia="Times New Roman" w:hAnsi="Calibri" w:cs="Calibri"/>
                <w:b/>
                <w:bCs/>
                <w:color w:val="FFFFFF"/>
                <w:lang w:eastAsia="nl-NL"/>
              </w:rPr>
            </w:pPr>
            <w:r w:rsidRPr="008B0F5E">
              <w:rPr>
                <w:rFonts w:ascii="Calibri" w:eastAsia="Times New Roman" w:hAnsi="Calibri" w:cs="Calibri"/>
                <w:b/>
                <w:bCs/>
                <w:color w:val="FFFFFF"/>
                <w:lang w:eastAsia="nl-NL"/>
              </w:rPr>
              <w:t>1988</w:t>
            </w:r>
          </w:p>
        </w:tc>
        <w:tc>
          <w:tcPr>
            <w:tcW w:w="640" w:type="dxa"/>
            <w:tcBorders>
              <w:top w:val="single" w:sz="4" w:space="0" w:color="auto"/>
              <w:left w:val="nil"/>
              <w:bottom w:val="nil"/>
              <w:right w:val="single" w:sz="4" w:space="0" w:color="auto"/>
            </w:tcBorders>
            <w:shd w:val="clear" w:color="000000" w:fill="974706"/>
            <w:noWrap/>
            <w:vAlign w:val="center"/>
            <w:hideMark/>
          </w:tcPr>
          <w:p w:rsidR="008B0F5E" w:rsidRPr="008B0F5E" w:rsidRDefault="008B0F5E" w:rsidP="002B6FE4">
            <w:pPr>
              <w:spacing w:after="0" w:line="360" w:lineRule="auto"/>
              <w:jc w:val="center"/>
              <w:rPr>
                <w:rFonts w:ascii="Calibri" w:eastAsia="Times New Roman" w:hAnsi="Calibri" w:cs="Calibri"/>
                <w:b/>
                <w:bCs/>
                <w:color w:val="FFFFFF"/>
                <w:lang w:eastAsia="nl-NL"/>
              </w:rPr>
            </w:pPr>
            <w:r w:rsidRPr="008B0F5E">
              <w:rPr>
                <w:rFonts w:ascii="Calibri" w:eastAsia="Times New Roman" w:hAnsi="Calibri" w:cs="Calibri"/>
                <w:b/>
                <w:bCs/>
                <w:color w:val="FFFFFF"/>
                <w:lang w:eastAsia="nl-NL"/>
              </w:rPr>
              <w:t>1989</w:t>
            </w:r>
          </w:p>
        </w:tc>
        <w:tc>
          <w:tcPr>
            <w:tcW w:w="640" w:type="dxa"/>
            <w:tcBorders>
              <w:top w:val="single" w:sz="4" w:space="0" w:color="auto"/>
              <w:left w:val="nil"/>
              <w:bottom w:val="nil"/>
              <w:right w:val="single" w:sz="4" w:space="0" w:color="auto"/>
            </w:tcBorders>
            <w:shd w:val="clear" w:color="000000" w:fill="974706"/>
            <w:noWrap/>
            <w:vAlign w:val="center"/>
            <w:hideMark/>
          </w:tcPr>
          <w:p w:rsidR="008B0F5E" w:rsidRPr="008B0F5E" w:rsidRDefault="008B0F5E" w:rsidP="002B6FE4">
            <w:pPr>
              <w:spacing w:after="0" w:line="360" w:lineRule="auto"/>
              <w:jc w:val="center"/>
              <w:rPr>
                <w:rFonts w:ascii="Calibri" w:eastAsia="Times New Roman" w:hAnsi="Calibri" w:cs="Calibri"/>
                <w:b/>
                <w:bCs/>
                <w:color w:val="FFFFFF"/>
                <w:lang w:eastAsia="nl-NL"/>
              </w:rPr>
            </w:pPr>
            <w:r w:rsidRPr="008B0F5E">
              <w:rPr>
                <w:rFonts w:ascii="Calibri" w:eastAsia="Times New Roman" w:hAnsi="Calibri" w:cs="Calibri"/>
                <w:b/>
                <w:bCs/>
                <w:color w:val="FFFFFF"/>
                <w:lang w:eastAsia="nl-NL"/>
              </w:rPr>
              <w:t>1990</w:t>
            </w:r>
          </w:p>
        </w:tc>
        <w:tc>
          <w:tcPr>
            <w:tcW w:w="640" w:type="dxa"/>
            <w:tcBorders>
              <w:top w:val="single" w:sz="4" w:space="0" w:color="auto"/>
              <w:left w:val="nil"/>
              <w:bottom w:val="nil"/>
              <w:right w:val="single" w:sz="4" w:space="0" w:color="auto"/>
            </w:tcBorders>
            <w:shd w:val="clear" w:color="000000" w:fill="974706"/>
            <w:noWrap/>
            <w:vAlign w:val="center"/>
            <w:hideMark/>
          </w:tcPr>
          <w:p w:rsidR="008B0F5E" w:rsidRPr="008B0F5E" w:rsidRDefault="008B0F5E" w:rsidP="002B6FE4">
            <w:pPr>
              <w:spacing w:after="0" w:line="360" w:lineRule="auto"/>
              <w:jc w:val="center"/>
              <w:rPr>
                <w:rFonts w:ascii="Calibri" w:eastAsia="Times New Roman" w:hAnsi="Calibri" w:cs="Calibri"/>
                <w:b/>
                <w:bCs/>
                <w:color w:val="FFFFFF"/>
                <w:lang w:eastAsia="nl-NL"/>
              </w:rPr>
            </w:pPr>
            <w:r w:rsidRPr="008B0F5E">
              <w:rPr>
                <w:rFonts w:ascii="Calibri" w:eastAsia="Times New Roman" w:hAnsi="Calibri" w:cs="Calibri"/>
                <w:b/>
                <w:bCs/>
                <w:color w:val="FFFFFF"/>
                <w:lang w:eastAsia="nl-NL"/>
              </w:rPr>
              <w:t>1991</w:t>
            </w:r>
          </w:p>
        </w:tc>
        <w:tc>
          <w:tcPr>
            <w:tcW w:w="640" w:type="dxa"/>
            <w:tcBorders>
              <w:top w:val="single" w:sz="4" w:space="0" w:color="auto"/>
              <w:left w:val="nil"/>
              <w:bottom w:val="nil"/>
              <w:right w:val="single" w:sz="4" w:space="0" w:color="auto"/>
            </w:tcBorders>
            <w:shd w:val="clear" w:color="000000" w:fill="974706"/>
            <w:noWrap/>
            <w:vAlign w:val="center"/>
            <w:hideMark/>
          </w:tcPr>
          <w:p w:rsidR="008B0F5E" w:rsidRPr="008B0F5E" w:rsidRDefault="008B0F5E" w:rsidP="002B6FE4">
            <w:pPr>
              <w:spacing w:after="0" w:line="360" w:lineRule="auto"/>
              <w:jc w:val="center"/>
              <w:rPr>
                <w:rFonts w:ascii="Calibri" w:eastAsia="Times New Roman" w:hAnsi="Calibri" w:cs="Calibri"/>
                <w:b/>
                <w:bCs/>
                <w:color w:val="FFFFFF"/>
                <w:lang w:eastAsia="nl-NL"/>
              </w:rPr>
            </w:pPr>
            <w:r w:rsidRPr="008B0F5E">
              <w:rPr>
                <w:rFonts w:ascii="Calibri" w:eastAsia="Times New Roman" w:hAnsi="Calibri" w:cs="Calibri"/>
                <w:b/>
                <w:bCs/>
                <w:color w:val="FFFFFF"/>
                <w:lang w:eastAsia="nl-NL"/>
              </w:rPr>
              <w:t>1992</w:t>
            </w:r>
          </w:p>
        </w:tc>
      </w:tr>
      <w:tr w:rsidR="008B0F5E" w:rsidRPr="008B0F5E" w:rsidTr="008B0F5E">
        <w:trPr>
          <w:trHeight w:val="300"/>
        </w:trPr>
        <w:tc>
          <w:tcPr>
            <w:tcW w:w="2600" w:type="dxa"/>
            <w:tcBorders>
              <w:top w:val="single" w:sz="4" w:space="0" w:color="auto"/>
              <w:left w:val="single" w:sz="4" w:space="0" w:color="auto"/>
              <w:bottom w:val="single" w:sz="4" w:space="0" w:color="auto"/>
              <w:right w:val="single" w:sz="4" w:space="0" w:color="auto"/>
            </w:tcBorders>
            <w:shd w:val="clear" w:color="000000" w:fill="FCD5B4"/>
            <w:noWrap/>
            <w:vAlign w:val="center"/>
            <w:hideMark/>
          </w:tcPr>
          <w:p w:rsidR="008B0F5E" w:rsidRPr="008B0F5E" w:rsidRDefault="008B0F5E" w:rsidP="002B6FE4">
            <w:pPr>
              <w:spacing w:after="0" w:line="360" w:lineRule="auto"/>
              <w:jc w:val="center"/>
              <w:rPr>
                <w:rFonts w:ascii="Calibri" w:eastAsia="Times New Roman" w:hAnsi="Calibri" w:cs="Calibri"/>
                <w:b/>
                <w:bCs/>
                <w:color w:val="000000"/>
                <w:lang w:eastAsia="nl-NL"/>
              </w:rPr>
            </w:pPr>
            <w:r w:rsidRPr="008B0F5E">
              <w:rPr>
                <w:rFonts w:ascii="Calibri" w:eastAsia="Times New Roman" w:hAnsi="Calibri" w:cs="Calibri"/>
                <w:b/>
                <w:bCs/>
                <w:color w:val="000000"/>
                <w:lang w:eastAsia="nl-NL"/>
              </w:rPr>
              <w:t>Inflatie</w:t>
            </w:r>
          </w:p>
        </w:tc>
        <w:tc>
          <w:tcPr>
            <w:tcW w:w="740" w:type="dxa"/>
            <w:tcBorders>
              <w:top w:val="nil"/>
              <w:left w:val="nil"/>
              <w:bottom w:val="single" w:sz="4" w:space="0" w:color="auto"/>
              <w:right w:val="single" w:sz="4" w:space="0" w:color="auto"/>
            </w:tcBorders>
            <w:shd w:val="clear" w:color="DCE6F1" w:fill="FCD5B4"/>
            <w:noWrap/>
            <w:vAlign w:val="center"/>
            <w:hideMark/>
          </w:tcPr>
          <w:p w:rsidR="008B0F5E" w:rsidRPr="008B0F5E" w:rsidRDefault="008B0F5E" w:rsidP="002B6FE4">
            <w:pPr>
              <w:spacing w:after="0" w:line="360" w:lineRule="auto"/>
              <w:jc w:val="center"/>
              <w:rPr>
                <w:rFonts w:ascii="Calibri" w:eastAsia="Times New Roman" w:hAnsi="Calibri" w:cs="Calibri"/>
                <w:b/>
                <w:bCs/>
                <w:color w:val="000000"/>
                <w:lang w:eastAsia="nl-NL"/>
              </w:rPr>
            </w:pPr>
            <w:r w:rsidRPr="008B0F5E">
              <w:rPr>
                <w:rFonts w:ascii="Calibri" w:eastAsia="Times New Roman" w:hAnsi="Calibri" w:cs="Calibri"/>
                <w:b/>
                <w:bCs/>
                <w:color w:val="000000"/>
                <w:lang w:eastAsia="nl-NL"/>
              </w:rPr>
              <w:t>-</w:t>
            </w:r>
          </w:p>
        </w:tc>
        <w:tc>
          <w:tcPr>
            <w:tcW w:w="640" w:type="dxa"/>
            <w:tcBorders>
              <w:top w:val="single" w:sz="4" w:space="0" w:color="auto"/>
              <w:left w:val="nil"/>
              <w:bottom w:val="single" w:sz="4" w:space="0" w:color="auto"/>
              <w:right w:val="single" w:sz="4" w:space="0" w:color="auto"/>
            </w:tcBorders>
            <w:shd w:val="clear" w:color="DCE6F1" w:fill="FCD5B4"/>
            <w:noWrap/>
            <w:vAlign w:val="center"/>
            <w:hideMark/>
          </w:tcPr>
          <w:p w:rsidR="008B0F5E" w:rsidRPr="008B0F5E" w:rsidRDefault="008B0F5E" w:rsidP="002B6FE4">
            <w:pPr>
              <w:spacing w:after="0" w:line="360" w:lineRule="auto"/>
              <w:jc w:val="center"/>
              <w:rPr>
                <w:rFonts w:ascii="Calibri" w:eastAsia="Times New Roman" w:hAnsi="Calibri" w:cs="Calibri"/>
                <w:b/>
                <w:bCs/>
                <w:color w:val="000000"/>
                <w:lang w:eastAsia="nl-NL"/>
              </w:rPr>
            </w:pPr>
            <w:r w:rsidRPr="008B0F5E">
              <w:rPr>
                <w:rFonts w:ascii="Calibri" w:eastAsia="Times New Roman" w:hAnsi="Calibri" w:cs="Calibri"/>
                <w:b/>
                <w:bCs/>
                <w:color w:val="000000"/>
                <w:lang w:eastAsia="nl-NL"/>
              </w:rPr>
              <w:t>+</w:t>
            </w:r>
          </w:p>
        </w:tc>
        <w:tc>
          <w:tcPr>
            <w:tcW w:w="640" w:type="dxa"/>
            <w:tcBorders>
              <w:top w:val="single" w:sz="4" w:space="0" w:color="auto"/>
              <w:left w:val="nil"/>
              <w:bottom w:val="single" w:sz="4" w:space="0" w:color="auto"/>
              <w:right w:val="single" w:sz="4" w:space="0" w:color="auto"/>
            </w:tcBorders>
            <w:shd w:val="clear" w:color="DCE6F1" w:fill="FCD5B4"/>
            <w:noWrap/>
            <w:vAlign w:val="center"/>
            <w:hideMark/>
          </w:tcPr>
          <w:p w:rsidR="008B0F5E" w:rsidRPr="008B0F5E" w:rsidRDefault="008B0F5E" w:rsidP="002B6FE4">
            <w:pPr>
              <w:spacing w:after="0" w:line="360" w:lineRule="auto"/>
              <w:jc w:val="center"/>
              <w:rPr>
                <w:rFonts w:ascii="Calibri" w:eastAsia="Times New Roman" w:hAnsi="Calibri" w:cs="Calibri"/>
                <w:b/>
                <w:bCs/>
                <w:color w:val="000000"/>
                <w:lang w:eastAsia="nl-NL"/>
              </w:rPr>
            </w:pPr>
            <w:r w:rsidRPr="008B0F5E">
              <w:rPr>
                <w:rFonts w:ascii="Calibri" w:eastAsia="Times New Roman" w:hAnsi="Calibri" w:cs="Calibri"/>
                <w:b/>
                <w:bCs/>
                <w:color w:val="000000"/>
                <w:lang w:eastAsia="nl-NL"/>
              </w:rPr>
              <w:t>-</w:t>
            </w:r>
          </w:p>
        </w:tc>
        <w:tc>
          <w:tcPr>
            <w:tcW w:w="640" w:type="dxa"/>
            <w:tcBorders>
              <w:top w:val="single" w:sz="4" w:space="0" w:color="auto"/>
              <w:left w:val="nil"/>
              <w:bottom w:val="single" w:sz="4" w:space="0" w:color="auto"/>
              <w:right w:val="single" w:sz="4" w:space="0" w:color="auto"/>
            </w:tcBorders>
            <w:shd w:val="clear" w:color="DCE6F1" w:fill="FCD5B4"/>
            <w:noWrap/>
            <w:vAlign w:val="center"/>
            <w:hideMark/>
          </w:tcPr>
          <w:p w:rsidR="008B0F5E" w:rsidRPr="008B0F5E" w:rsidRDefault="008B0F5E" w:rsidP="002B6FE4">
            <w:pPr>
              <w:spacing w:after="0" w:line="360" w:lineRule="auto"/>
              <w:jc w:val="center"/>
              <w:rPr>
                <w:rFonts w:ascii="Calibri" w:eastAsia="Times New Roman" w:hAnsi="Calibri" w:cs="Calibri"/>
                <w:b/>
                <w:bCs/>
                <w:color w:val="000000"/>
                <w:lang w:eastAsia="nl-NL"/>
              </w:rPr>
            </w:pPr>
            <w:r w:rsidRPr="008B0F5E">
              <w:rPr>
                <w:rFonts w:ascii="Calibri" w:eastAsia="Times New Roman" w:hAnsi="Calibri" w:cs="Calibri"/>
                <w:b/>
                <w:bCs/>
                <w:color w:val="000000"/>
                <w:lang w:eastAsia="nl-NL"/>
              </w:rPr>
              <w:t>-</w:t>
            </w:r>
          </w:p>
        </w:tc>
        <w:tc>
          <w:tcPr>
            <w:tcW w:w="640" w:type="dxa"/>
            <w:tcBorders>
              <w:top w:val="single" w:sz="4" w:space="0" w:color="auto"/>
              <w:left w:val="nil"/>
              <w:bottom w:val="single" w:sz="4" w:space="0" w:color="auto"/>
              <w:right w:val="single" w:sz="4" w:space="0" w:color="auto"/>
            </w:tcBorders>
            <w:shd w:val="clear" w:color="DCE6F1" w:fill="FCD5B4"/>
            <w:noWrap/>
            <w:vAlign w:val="center"/>
            <w:hideMark/>
          </w:tcPr>
          <w:p w:rsidR="008B0F5E" w:rsidRPr="008B0F5E" w:rsidRDefault="008B0F5E" w:rsidP="002B6FE4">
            <w:pPr>
              <w:spacing w:after="0" w:line="360" w:lineRule="auto"/>
              <w:jc w:val="center"/>
              <w:rPr>
                <w:rFonts w:ascii="Calibri" w:eastAsia="Times New Roman" w:hAnsi="Calibri" w:cs="Calibri"/>
                <w:b/>
                <w:bCs/>
                <w:color w:val="000000"/>
                <w:lang w:eastAsia="nl-NL"/>
              </w:rPr>
            </w:pPr>
            <w:r w:rsidRPr="008B0F5E">
              <w:rPr>
                <w:rFonts w:ascii="Calibri" w:eastAsia="Times New Roman" w:hAnsi="Calibri" w:cs="Calibri"/>
                <w:b/>
                <w:bCs/>
                <w:color w:val="000000"/>
                <w:lang w:eastAsia="nl-NL"/>
              </w:rPr>
              <w:t>-</w:t>
            </w:r>
          </w:p>
        </w:tc>
        <w:tc>
          <w:tcPr>
            <w:tcW w:w="640" w:type="dxa"/>
            <w:tcBorders>
              <w:top w:val="single" w:sz="4" w:space="0" w:color="auto"/>
              <w:left w:val="nil"/>
              <w:bottom w:val="single" w:sz="4" w:space="0" w:color="auto"/>
              <w:right w:val="single" w:sz="4" w:space="0" w:color="auto"/>
            </w:tcBorders>
            <w:shd w:val="clear" w:color="DCE6F1" w:fill="FCD5B4"/>
            <w:noWrap/>
            <w:vAlign w:val="center"/>
            <w:hideMark/>
          </w:tcPr>
          <w:p w:rsidR="008B0F5E" w:rsidRPr="008B0F5E" w:rsidRDefault="008B0F5E" w:rsidP="002B6FE4">
            <w:pPr>
              <w:spacing w:after="0" w:line="360" w:lineRule="auto"/>
              <w:jc w:val="center"/>
              <w:rPr>
                <w:rFonts w:ascii="Calibri" w:eastAsia="Times New Roman" w:hAnsi="Calibri" w:cs="Calibri"/>
                <w:b/>
                <w:bCs/>
                <w:color w:val="000000"/>
                <w:lang w:eastAsia="nl-NL"/>
              </w:rPr>
            </w:pPr>
            <w:r w:rsidRPr="008B0F5E">
              <w:rPr>
                <w:rFonts w:ascii="Calibri" w:eastAsia="Times New Roman" w:hAnsi="Calibri" w:cs="Calibri"/>
                <w:b/>
                <w:bCs/>
                <w:color w:val="000000"/>
                <w:lang w:eastAsia="nl-NL"/>
              </w:rPr>
              <w:t>+</w:t>
            </w:r>
          </w:p>
        </w:tc>
        <w:tc>
          <w:tcPr>
            <w:tcW w:w="640" w:type="dxa"/>
            <w:tcBorders>
              <w:top w:val="single" w:sz="4" w:space="0" w:color="auto"/>
              <w:left w:val="nil"/>
              <w:bottom w:val="single" w:sz="4" w:space="0" w:color="auto"/>
              <w:right w:val="single" w:sz="4" w:space="0" w:color="auto"/>
            </w:tcBorders>
            <w:shd w:val="clear" w:color="DCE6F1" w:fill="FCD5B4"/>
            <w:noWrap/>
            <w:vAlign w:val="center"/>
            <w:hideMark/>
          </w:tcPr>
          <w:p w:rsidR="008B0F5E" w:rsidRPr="008B0F5E" w:rsidRDefault="008B0F5E" w:rsidP="002B6FE4">
            <w:pPr>
              <w:spacing w:after="0" w:line="360" w:lineRule="auto"/>
              <w:jc w:val="center"/>
              <w:rPr>
                <w:rFonts w:ascii="Calibri" w:eastAsia="Times New Roman" w:hAnsi="Calibri" w:cs="Calibri"/>
                <w:b/>
                <w:bCs/>
                <w:color w:val="000000"/>
                <w:lang w:eastAsia="nl-NL"/>
              </w:rPr>
            </w:pPr>
            <w:r w:rsidRPr="008B0F5E">
              <w:rPr>
                <w:rFonts w:ascii="Calibri" w:eastAsia="Times New Roman" w:hAnsi="Calibri" w:cs="Calibri"/>
                <w:b/>
                <w:bCs/>
                <w:color w:val="000000"/>
                <w:lang w:eastAsia="nl-NL"/>
              </w:rPr>
              <w:t>+</w:t>
            </w:r>
          </w:p>
        </w:tc>
        <w:tc>
          <w:tcPr>
            <w:tcW w:w="640" w:type="dxa"/>
            <w:tcBorders>
              <w:top w:val="single" w:sz="4" w:space="0" w:color="auto"/>
              <w:left w:val="nil"/>
              <w:bottom w:val="single" w:sz="4" w:space="0" w:color="auto"/>
              <w:right w:val="single" w:sz="4" w:space="0" w:color="auto"/>
            </w:tcBorders>
            <w:shd w:val="clear" w:color="DCE6F1" w:fill="FCD5B4"/>
            <w:noWrap/>
            <w:vAlign w:val="center"/>
            <w:hideMark/>
          </w:tcPr>
          <w:p w:rsidR="008B0F5E" w:rsidRPr="008B0F5E" w:rsidRDefault="008B0F5E" w:rsidP="002B6FE4">
            <w:pPr>
              <w:spacing w:after="0" w:line="360" w:lineRule="auto"/>
              <w:jc w:val="center"/>
              <w:rPr>
                <w:rFonts w:ascii="Calibri" w:eastAsia="Times New Roman" w:hAnsi="Calibri" w:cs="Calibri"/>
                <w:b/>
                <w:bCs/>
                <w:color w:val="000000"/>
                <w:lang w:eastAsia="nl-NL"/>
              </w:rPr>
            </w:pPr>
            <w:r w:rsidRPr="008B0F5E">
              <w:rPr>
                <w:rFonts w:ascii="Calibri" w:eastAsia="Times New Roman" w:hAnsi="Calibri" w:cs="Calibri"/>
                <w:b/>
                <w:bCs/>
                <w:color w:val="000000"/>
                <w:lang w:eastAsia="nl-NL"/>
              </w:rPr>
              <w:t>+</w:t>
            </w:r>
          </w:p>
        </w:tc>
        <w:tc>
          <w:tcPr>
            <w:tcW w:w="640" w:type="dxa"/>
            <w:tcBorders>
              <w:top w:val="single" w:sz="4" w:space="0" w:color="auto"/>
              <w:left w:val="nil"/>
              <w:bottom w:val="single" w:sz="4" w:space="0" w:color="auto"/>
              <w:right w:val="single" w:sz="4" w:space="0" w:color="auto"/>
            </w:tcBorders>
            <w:shd w:val="clear" w:color="DCE6F1" w:fill="FCD5B4"/>
            <w:noWrap/>
            <w:vAlign w:val="center"/>
            <w:hideMark/>
          </w:tcPr>
          <w:p w:rsidR="008B0F5E" w:rsidRPr="008B0F5E" w:rsidRDefault="008B0F5E" w:rsidP="002B6FE4">
            <w:pPr>
              <w:spacing w:after="0" w:line="360" w:lineRule="auto"/>
              <w:jc w:val="center"/>
              <w:rPr>
                <w:rFonts w:ascii="Calibri" w:eastAsia="Times New Roman" w:hAnsi="Calibri" w:cs="Calibri"/>
                <w:b/>
                <w:bCs/>
                <w:color w:val="000000"/>
                <w:lang w:eastAsia="nl-NL"/>
              </w:rPr>
            </w:pPr>
            <w:r w:rsidRPr="008B0F5E">
              <w:rPr>
                <w:rFonts w:ascii="Calibri" w:eastAsia="Times New Roman" w:hAnsi="Calibri" w:cs="Calibri"/>
                <w:b/>
                <w:bCs/>
                <w:color w:val="000000"/>
                <w:lang w:eastAsia="nl-NL"/>
              </w:rPr>
              <w:t>+</w:t>
            </w:r>
          </w:p>
        </w:tc>
        <w:tc>
          <w:tcPr>
            <w:tcW w:w="640" w:type="dxa"/>
            <w:tcBorders>
              <w:top w:val="single" w:sz="4" w:space="0" w:color="auto"/>
              <w:left w:val="nil"/>
              <w:bottom w:val="single" w:sz="4" w:space="0" w:color="auto"/>
              <w:right w:val="single" w:sz="4" w:space="0" w:color="auto"/>
            </w:tcBorders>
            <w:shd w:val="clear" w:color="DCE6F1" w:fill="FCD5B4"/>
            <w:noWrap/>
            <w:vAlign w:val="center"/>
            <w:hideMark/>
          </w:tcPr>
          <w:p w:rsidR="008B0F5E" w:rsidRPr="008B0F5E" w:rsidRDefault="00E22373" w:rsidP="002B6FE4">
            <w:pPr>
              <w:spacing w:after="0" w:line="360" w:lineRule="auto"/>
              <w:jc w:val="center"/>
              <w:rPr>
                <w:rFonts w:ascii="Calibri" w:eastAsia="Times New Roman" w:hAnsi="Calibri" w:cs="Calibri"/>
                <w:b/>
                <w:bCs/>
                <w:color w:val="000000"/>
                <w:lang w:eastAsia="nl-NL"/>
              </w:rPr>
            </w:pPr>
            <w:r>
              <w:rPr>
                <w:rFonts w:ascii="Calibri" w:eastAsia="Times New Roman" w:hAnsi="Calibri" w:cs="Calibri"/>
                <w:b/>
                <w:bCs/>
                <w:color w:val="000000"/>
                <w:lang w:eastAsia="nl-NL"/>
              </w:rPr>
              <w:t>+</w:t>
            </w:r>
          </w:p>
        </w:tc>
      </w:tr>
      <w:tr w:rsidR="008B0F5E" w:rsidRPr="008B0F5E" w:rsidTr="008B0F5E">
        <w:trPr>
          <w:trHeight w:val="300"/>
        </w:trPr>
        <w:tc>
          <w:tcPr>
            <w:tcW w:w="2600" w:type="dxa"/>
            <w:tcBorders>
              <w:top w:val="nil"/>
              <w:left w:val="single" w:sz="4" w:space="0" w:color="auto"/>
              <w:bottom w:val="single" w:sz="4" w:space="0" w:color="auto"/>
              <w:right w:val="single" w:sz="4" w:space="0" w:color="auto"/>
            </w:tcBorders>
            <w:shd w:val="clear" w:color="000000" w:fill="E26B0A"/>
            <w:noWrap/>
            <w:vAlign w:val="center"/>
            <w:hideMark/>
          </w:tcPr>
          <w:p w:rsidR="008B0F5E" w:rsidRPr="008B0F5E" w:rsidRDefault="008B0F5E" w:rsidP="002B6FE4">
            <w:pPr>
              <w:spacing w:after="0" w:line="360" w:lineRule="auto"/>
              <w:jc w:val="center"/>
              <w:rPr>
                <w:rFonts w:ascii="Calibri" w:eastAsia="Times New Roman" w:hAnsi="Calibri" w:cs="Calibri"/>
                <w:b/>
                <w:bCs/>
                <w:color w:val="000000"/>
                <w:lang w:eastAsia="nl-NL"/>
              </w:rPr>
            </w:pPr>
            <w:r w:rsidRPr="008B0F5E">
              <w:rPr>
                <w:rFonts w:ascii="Calibri" w:eastAsia="Times New Roman" w:hAnsi="Calibri" w:cs="Calibri"/>
                <w:b/>
                <w:bCs/>
                <w:color w:val="000000"/>
                <w:lang w:eastAsia="nl-NL"/>
              </w:rPr>
              <w:t>Organisatiegraad</w:t>
            </w:r>
          </w:p>
        </w:tc>
        <w:tc>
          <w:tcPr>
            <w:tcW w:w="740" w:type="dxa"/>
            <w:tcBorders>
              <w:top w:val="nil"/>
              <w:left w:val="nil"/>
              <w:bottom w:val="single" w:sz="4" w:space="0" w:color="auto"/>
              <w:right w:val="single" w:sz="4" w:space="0" w:color="auto"/>
            </w:tcBorders>
            <w:shd w:val="clear" w:color="000000" w:fill="E26B0A"/>
            <w:noWrap/>
            <w:vAlign w:val="center"/>
            <w:hideMark/>
          </w:tcPr>
          <w:p w:rsidR="008B0F5E" w:rsidRPr="008B0F5E" w:rsidRDefault="008B0F5E" w:rsidP="002B6FE4">
            <w:pPr>
              <w:spacing w:after="0" w:line="360" w:lineRule="auto"/>
              <w:jc w:val="center"/>
              <w:rPr>
                <w:rFonts w:ascii="Arial" w:eastAsia="Times New Roman" w:hAnsi="Arial" w:cs="Arial"/>
                <w:b/>
                <w:bCs/>
                <w:color w:val="000000"/>
                <w:sz w:val="20"/>
                <w:szCs w:val="20"/>
                <w:lang w:eastAsia="nl-NL"/>
              </w:rPr>
            </w:pPr>
            <w:r w:rsidRPr="008B0F5E">
              <w:rPr>
                <w:rFonts w:ascii="Arial" w:eastAsia="Times New Roman" w:hAnsi="Arial" w:cs="Arial"/>
                <w:b/>
                <w:bCs/>
                <w:color w:val="000000"/>
                <w:sz w:val="20"/>
                <w:szCs w:val="20"/>
                <w:lang w:eastAsia="nl-NL"/>
              </w:rPr>
              <w:t>-</w:t>
            </w:r>
          </w:p>
        </w:tc>
        <w:tc>
          <w:tcPr>
            <w:tcW w:w="640" w:type="dxa"/>
            <w:tcBorders>
              <w:top w:val="nil"/>
              <w:left w:val="nil"/>
              <w:bottom w:val="single" w:sz="4" w:space="0" w:color="auto"/>
              <w:right w:val="single" w:sz="4" w:space="0" w:color="auto"/>
            </w:tcBorders>
            <w:shd w:val="clear" w:color="000000" w:fill="E26B0A"/>
            <w:noWrap/>
            <w:vAlign w:val="center"/>
            <w:hideMark/>
          </w:tcPr>
          <w:p w:rsidR="008B0F5E" w:rsidRPr="008B0F5E" w:rsidRDefault="008B0F5E" w:rsidP="002B6FE4">
            <w:pPr>
              <w:spacing w:after="0" w:line="360" w:lineRule="auto"/>
              <w:jc w:val="center"/>
              <w:rPr>
                <w:rFonts w:ascii="Arial" w:eastAsia="Times New Roman" w:hAnsi="Arial" w:cs="Arial"/>
                <w:b/>
                <w:bCs/>
                <w:color w:val="000000"/>
                <w:sz w:val="20"/>
                <w:szCs w:val="20"/>
                <w:lang w:eastAsia="nl-NL"/>
              </w:rPr>
            </w:pPr>
            <w:r w:rsidRPr="008B0F5E">
              <w:rPr>
                <w:rFonts w:ascii="Arial" w:eastAsia="Times New Roman" w:hAnsi="Arial" w:cs="Arial"/>
                <w:b/>
                <w:bCs/>
                <w:color w:val="000000"/>
                <w:sz w:val="20"/>
                <w:szCs w:val="20"/>
                <w:lang w:eastAsia="nl-NL"/>
              </w:rPr>
              <w:t>-</w:t>
            </w:r>
          </w:p>
        </w:tc>
        <w:tc>
          <w:tcPr>
            <w:tcW w:w="640" w:type="dxa"/>
            <w:tcBorders>
              <w:top w:val="nil"/>
              <w:left w:val="nil"/>
              <w:bottom w:val="single" w:sz="4" w:space="0" w:color="auto"/>
              <w:right w:val="single" w:sz="4" w:space="0" w:color="auto"/>
            </w:tcBorders>
            <w:shd w:val="clear" w:color="000000" w:fill="E26B0A"/>
            <w:noWrap/>
            <w:vAlign w:val="center"/>
            <w:hideMark/>
          </w:tcPr>
          <w:p w:rsidR="008B0F5E" w:rsidRPr="008B0F5E" w:rsidRDefault="008B0F5E" w:rsidP="002B6FE4">
            <w:pPr>
              <w:spacing w:after="0" w:line="360" w:lineRule="auto"/>
              <w:jc w:val="center"/>
              <w:rPr>
                <w:rFonts w:ascii="Arial" w:eastAsia="Times New Roman" w:hAnsi="Arial" w:cs="Arial"/>
                <w:b/>
                <w:bCs/>
                <w:color w:val="000000"/>
                <w:sz w:val="20"/>
                <w:szCs w:val="20"/>
                <w:lang w:eastAsia="nl-NL"/>
              </w:rPr>
            </w:pPr>
            <w:r w:rsidRPr="008B0F5E">
              <w:rPr>
                <w:rFonts w:ascii="Arial" w:eastAsia="Times New Roman" w:hAnsi="Arial" w:cs="Arial"/>
                <w:b/>
                <w:bCs/>
                <w:color w:val="000000"/>
                <w:sz w:val="20"/>
                <w:szCs w:val="20"/>
                <w:lang w:eastAsia="nl-NL"/>
              </w:rPr>
              <w:t>-</w:t>
            </w:r>
          </w:p>
        </w:tc>
        <w:tc>
          <w:tcPr>
            <w:tcW w:w="640" w:type="dxa"/>
            <w:tcBorders>
              <w:top w:val="nil"/>
              <w:left w:val="nil"/>
              <w:bottom w:val="single" w:sz="4" w:space="0" w:color="auto"/>
              <w:right w:val="single" w:sz="4" w:space="0" w:color="auto"/>
            </w:tcBorders>
            <w:shd w:val="clear" w:color="000000" w:fill="E26B0A"/>
            <w:noWrap/>
            <w:vAlign w:val="center"/>
            <w:hideMark/>
          </w:tcPr>
          <w:p w:rsidR="008B0F5E" w:rsidRPr="008B0F5E" w:rsidRDefault="008B0F5E" w:rsidP="002B6FE4">
            <w:pPr>
              <w:spacing w:after="0" w:line="360" w:lineRule="auto"/>
              <w:jc w:val="center"/>
              <w:rPr>
                <w:rFonts w:ascii="Arial" w:eastAsia="Times New Roman" w:hAnsi="Arial" w:cs="Arial"/>
                <w:b/>
                <w:bCs/>
                <w:color w:val="000000"/>
                <w:sz w:val="20"/>
                <w:szCs w:val="20"/>
                <w:lang w:eastAsia="nl-NL"/>
              </w:rPr>
            </w:pPr>
            <w:r w:rsidRPr="008B0F5E">
              <w:rPr>
                <w:rFonts w:ascii="Arial" w:eastAsia="Times New Roman" w:hAnsi="Arial" w:cs="Arial"/>
                <w:b/>
                <w:bCs/>
                <w:color w:val="000000"/>
                <w:sz w:val="20"/>
                <w:szCs w:val="20"/>
                <w:lang w:eastAsia="nl-NL"/>
              </w:rPr>
              <w:t>-</w:t>
            </w:r>
          </w:p>
        </w:tc>
        <w:tc>
          <w:tcPr>
            <w:tcW w:w="640" w:type="dxa"/>
            <w:tcBorders>
              <w:top w:val="nil"/>
              <w:left w:val="nil"/>
              <w:bottom w:val="single" w:sz="4" w:space="0" w:color="auto"/>
              <w:right w:val="single" w:sz="4" w:space="0" w:color="auto"/>
            </w:tcBorders>
            <w:shd w:val="clear" w:color="000000" w:fill="E26B0A"/>
            <w:noWrap/>
            <w:vAlign w:val="center"/>
            <w:hideMark/>
          </w:tcPr>
          <w:p w:rsidR="008B0F5E" w:rsidRPr="008B0F5E" w:rsidRDefault="008B0F5E" w:rsidP="002B6FE4">
            <w:pPr>
              <w:spacing w:after="0" w:line="360" w:lineRule="auto"/>
              <w:jc w:val="center"/>
              <w:rPr>
                <w:rFonts w:ascii="Arial" w:eastAsia="Times New Roman" w:hAnsi="Arial" w:cs="Arial"/>
                <w:b/>
                <w:bCs/>
                <w:color w:val="000000"/>
                <w:sz w:val="20"/>
                <w:szCs w:val="20"/>
                <w:lang w:eastAsia="nl-NL"/>
              </w:rPr>
            </w:pPr>
            <w:r w:rsidRPr="008B0F5E">
              <w:rPr>
                <w:rFonts w:ascii="Arial" w:eastAsia="Times New Roman" w:hAnsi="Arial" w:cs="Arial"/>
                <w:b/>
                <w:bCs/>
                <w:color w:val="000000"/>
                <w:sz w:val="20"/>
                <w:szCs w:val="20"/>
                <w:lang w:eastAsia="nl-NL"/>
              </w:rPr>
              <w:t>-</w:t>
            </w:r>
          </w:p>
        </w:tc>
        <w:tc>
          <w:tcPr>
            <w:tcW w:w="640" w:type="dxa"/>
            <w:tcBorders>
              <w:top w:val="nil"/>
              <w:left w:val="nil"/>
              <w:bottom w:val="single" w:sz="4" w:space="0" w:color="auto"/>
              <w:right w:val="single" w:sz="4" w:space="0" w:color="auto"/>
            </w:tcBorders>
            <w:shd w:val="clear" w:color="000000" w:fill="E26B0A"/>
            <w:noWrap/>
            <w:vAlign w:val="center"/>
            <w:hideMark/>
          </w:tcPr>
          <w:p w:rsidR="008B0F5E" w:rsidRPr="008B0F5E" w:rsidRDefault="008B0F5E" w:rsidP="002B6FE4">
            <w:pPr>
              <w:spacing w:after="0" w:line="360" w:lineRule="auto"/>
              <w:jc w:val="center"/>
              <w:rPr>
                <w:rFonts w:ascii="Arial" w:eastAsia="Times New Roman" w:hAnsi="Arial" w:cs="Arial"/>
                <w:b/>
                <w:bCs/>
                <w:color w:val="000000"/>
                <w:sz w:val="20"/>
                <w:szCs w:val="20"/>
                <w:lang w:eastAsia="nl-NL"/>
              </w:rPr>
            </w:pPr>
            <w:r w:rsidRPr="008B0F5E">
              <w:rPr>
                <w:rFonts w:ascii="Arial" w:eastAsia="Times New Roman" w:hAnsi="Arial" w:cs="Arial"/>
                <w:b/>
                <w:bCs/>
                <w:color w:val="000000"/>
                <w:sz w:val="20"/>
                <w:szCs w:val="20"/>
                <w:lang w:eastAsia="nl-NL"/>
              </w:rPr>
              <w:t>-</w:t>
            </w:r>
          </w:p>
        </w:tc>
        <w:tc>
          <w:tcPr>
            <w:tcW w:w="640" w:type="dxa"/>
            <w:tcBorders>
              <w:top w:val="nil"/>
              <w:left w:val="nil"/>
              <w:bottom w:val="single" w:sz="4" w:space="0" w:color="auto"/>
              <w:right w:val="single" w:sz="4" w:space="0" w:color="auto"/>
            </w:tcBorders>
            <w:shd w:val="clear" w:color="000000" w:fill="E26B0A"/>
            <w:noWrap/>
            <w:vAlign w:val="center"/>
            <w:hideMark/>
          </w:tcPr>
          <w:p w:rsidR="008B0F5E" w:rsidRPr="008B0F5E" w:rsidRDefault="008B0F5E" w:rsidP="002B6FE4">
            <w:pPr>
              <w:spacing w:after="0" w:line="360" w:lineRule="auto"/>
              <w:jc w:val="center"/>
              <w:rPr>
                <w:rFonts w:ascii="Arial" w:eastAsia="Times New Roman" w:hAnsi="Arial" w:cs="Arial"/>
                <w:b/>
                <w:bCs/>
                <w:color w:val="000000"/>
                <w:sz w:val="20"/>
                <w:szCs w:val="20"/>
                <w:lang w:eastAsia="nl-NL"/>
              </w:rPr>
            </w:pPr>
            <w:r w:rsidRPr="008B0F5E">
              <w:rPr>
                <w:rFonts w:ascii="Arial" w:eastAsia="Times New Roman" w:hAnsi="Arial" w:cs="Arial"/>
                <w:b/>
                <w:bCs/>
                <w:color w:val="000000"/>
                <w:sz w:val="20"/>
                <w:szCs w:val="20"/>
                <w:lang w:eastAsia="nl-NL"/>
              </w:rPr>
              <w:t>+</w:t>
            </w:r>
          </w:p>
        </w:tc>
        <w:tc>
          <w:tcPr>
            <w:tcW w:w="640" w:type="dxa"/>
            <w:tcBorders>
              <w:top w:val="nil"/>
              <w:left w:val="nil"/>
              <w:bottom w:val="single" w:sz="4" w:space="0" w:color="auto"/>
              <w:right w:val="single" w:sz="4" w:space="0" w:color="auto"/>
            </w:tcBorders>
            <w:shd w:val="clear" w:color="000000" w:fill="E26B0A"/>
            <w:noWrap/>
            <w:vAlign w:val="center"/>
            <w:hideMark/>
          </w:tcPr>
          <w:p w:rsidR="008B0F5E" w:rsidRPr="008B0F5E" w:rsidRDefault="00E22373" w:rsidP="002B6FE4">
            <w:pPr>
              <w:spacing w:after="0" w:line="360" w:lineRule="auto"/>
              <w:jc w:val="center"/>
              <w:rPr>
                <w:rFonts w:ascii="Arial" w:eastAsia="Times New Roman" w:hAnsi="Arial" w:cs="Arial"/>
                <w:b/>
                <w:bCs/>
                <w:color w:val="000000"/>
                <w:sz w:val="20"/>
                <w:szCs w:val="20"/>
                <w:lang w:eastAsia="nl-NL"/>
              </w:rPr>
            </w:pPr>
            <w:r>
              <w:rPr>
                <w:rFonts w:ascii="Arial" w:eastAsia="Times New Roman" w:hAnsi="Arial" w:cs="Arial"/>
                <w:b/>
                <w:bCs/>
                <w:color w:val="000000"/>
                <w:sz w:val="20"/>
                <w:szCs w:val="20"/>
                <w:lang w:eastAsia="nl-NL"/>
              </w:rPr>
              <w:t>+</w:t>
            </w:r>
          </w:p>
        </w:tc>
        <w:tc>
          <w:tcPr>
            <w:tcW w:w="640" w:type="dxa"/>
            <w:tcBorders>
              <w:top w:val="nil"/>
              <w:left w:val="nil"/>
              <w:bottom w:val="single" w:sz="4" w:space="0" w:color="auto"/>
              <w:right w:val="single" w:sz="4" w:space="0" w:color="auto"/>
            </w:tcBorders>
            <w:shd w:val="clear" w:color="000000" w:fill="E26B0A"/>
            <w:noWrap/>
            <w:vAlign w:val="center"/>
            <w:hideMark/>
          </w:tcPr>
          <w:p w:rsidR="008B0F5E" w:rsidRPr="008B0F5E" w:rsidRDefault="008B0F5E" w:rsidP="002B6FE4">
            <w:pPr>
              <w:spacing w:after="0" w:line="360" w:lineRule="auto"/>
              <w:jc w:val="center"/>
              <w:rPr>
                <w:rFonts w:ascii="Arial" w:eastAsia="Times New Roman" w:hAnsi="Arial" w:cs="Arial"/>
                <w:b/>
                <w:bCs/>
                <w:color w:val="000000"/>
                <w:sz w:val="20"/>
                <w:szCs w:val="20"/>
                <w:lang w:eastAsia="nl-NL"/>
              </w:rPr>
            </w:pPr>
            <w:r w:rsidRPr="008B0F5E">
              <w:rPr>
                <w:rFonts w:ascii="Arial" w:eastAsia="Times New Roman" w:hAnsi="Arial" w:cs="Arial"/>
                <w:b/>
                <w:bCs/>
                <w:color w:val="000000"/>
                <w:sz w:val="20"/>
                <w:szCs w:val="20"/>
                <w:lang w:eastAsia="nl-NL"/>
              </w:rPr>
              <w:t>-</w:t>
            </w:r>
          </w:p>
        </w:tc>
        <w:tc>
          <w:tcPr>
            <w:tcW w:w="640" w:type="dxa"/>
            <w:tcBorders>
              <w:top w:val="nil"/>
              <w:left w:val="nil"/>
              <w:bottom w:val="single" w:sz="4" w:space="0" w:color="auto"/>
              <w:right w:val="single" w:sz="4" w:space="0" w:color="auto"/>
            </w:tcBorders>
            <w:shd w:val="clear" w:color="000000" w:fill="E26B0A"/>
            <w:noWrap/>
            <w:vAlign w:val="center"/>
            <w:hideMark/>
          </w:tcPr>
          <w:p w:rsidR="008B0F5E" w:rsidRPr="008B0F5E" w:rsidRDefault="00E22373" w:rsidP="002B6FE4">
            <w:pPr>
              <w:spacing w:after="0" w:line="360" w:lineRule="auto"/>
              <w:jc w:val="center"/>
              <w:rPr>
                <w:rFonts w:ascii="Arial" w:eastAsia="Times New Roman" w:hAnsi="Arial" w:cs="Arial"/>
                <w:b/>
                <w:bCs/>
                <w:color w:val="000000"/>
                <w:sz w:val="20"/>
                <w:szCs w:val="20"/>
                <w:lang w:eastAsia="nl-NL"/>
              </w:rPr>
            </w:pPr>
            <w:r>
              <w:rPr>
                <w:rFonts w:ascii="Arial" w:eastAsia="Times New Roman" w:hAnsi="Arial" w:cs="Arial"/>
                <w:b/>
                <w:bCs/>
                <w:color w:val="000000"/>
                <w:sz w:val="20"/>
                <w:szCs w:val="20"/>
                <w:lang w:eastAsia="nl-NL"/>
              </w:rPr>
              <w:t>+</w:t>
            </w:r>
          </w:p>
        </w:tc>
      </w:tr>
    </w:tbl>
    <w:p w:rsidR="00C372C1" w:rsidRDefault="00AA6B5C" w:rsidP="002B6FE4">
      <w:pPr>
        <w:spacing w:line="360" w:lineRule="auto"/>
      </w:pPr>
      <w:r>
        <w:rPr>
          <w:i/>
          <w:sz w:val="16"/>
        </w:rPr>
        <w:t xml:space="preserve">Opmerking. Gegevens afkomstig van </w:t>
      </w:r>
      <w:sdt>
        <w:sdtPr>
          <w:rPr>
            <w:sz w:val="16"/>
          </w:rPr>
          <w:id w:val="-520934170"/>
          <w:citation/>
        </w:sdtPr>
        <w:sdtEndPr/>
        <w:sdtContent>
          <w:r w:rsidR="002E619A" w:rsidRPr="002E619A">
            <w:rPr>
              <w:sz w:val="16"/>
            </w:rPr>
            <w:fldChar w:fldCharType="begin"/>
          </w:r>
          <w:r w:rsidR="004557EA">
            <w:rPr>
              <w:sz w:val="16"/>
            </w:rPr>
            <w:instrText xml:space="preserve">CITATION OEC151 \l 1043 </w:instrText>
          </w:r>
          <w:r w:rsidR="002E619A" w:rsidRPr="002E619A">
            <w:rPr>
              <w:sz w:val="16"/>
            </w:rPr>
            <w:fldChar w:fldCharType="separate"/>
          </w:r>
          <w:r w:rsidR="00D56303" w:rsidRPr="00D56303">
            <w:rPr>
              <w:noProof/>
              <w:sz w:val="16"/>
            </w:rPr>
            <w:t>(OECD, 2015)</w:t>
          </w:r>
          <w:r w:rsidR="002E619A" w:rsidRPr="002E619A">
            <w:rPr>
              <w:sz w:val="16"/>
            </w:rPr>
            <w:fldChar w:fldCharType="end"/>
          </w:r>
        </w:sdtContent>
      </w:sdt>
      <w:r>
        <w:rPr>
          <w:sz w:val="16"/>
        </w:rPr>
        <w:br/>
      </w:r>
      <w:r w:rsidR="008B0F5E">
        <w:br/>
        <w:t xml:space="preserve">Volgens het B-E model zou een stijging van de inflatie, een stijging van de organisatiegraad met zich meebrengen. Tegelijkertijd zou aan de andere kant </w:t>
      </w:r>
      <w:r w:rsidR="00E22373">
        <w:t xml:space="preserve">van het spectrum </w:t>
      </w:r>
      <w:r w:rsidR="008B0F5E">
        <w:t xml:space="preserve">een daling van de inflatie resulteren in een daling van de organisatiegraad. De veranderingen in </w:t>
      </w:r>
      <w:r>
        <w:t>bovenstaande</w:t>
      </w:r>
      <w:r w:rsidR="008B0F5E">
        <w:t xml:space="preserve"> tabel weergegeven, tonen in </w:t>
      </w:r>
      <w:r w:rsidR="00864B45">
        <w:t>zeven</w:t>
      </w:r>
      <w:r w:rsidR="008B0F5E">
        <w:t xml:space="preserve"> jaren </w:t>
      </w:r>
      <w:r>
        <w:t xml:space="preserve">precies </w:t>
      </w:r>
      <w:r w:rsidR="008B0F5E">
        <w:t xml:space="preserve">dát verband, dat het B-E model empirisch heeft </w:t>
      </w:r>
      <w:r w:rsidR="00FE5683">
        <w:t>bewezen</w:t>
      </w:r>
      <w:r w:rsidR="008B0F5E">
        <w:t xml:space="preserve">. Vier van die </w:t>
      </w:r>
      <w:r w:rsidR="00FE5683">
        <w:t>zeven</w:t>
      </w:r>
      <w:r w:rsidR="008B0F5E">
        <w:t xml:space="preserve"> jaren vinden plaats in de eerste vijf jaar na het Akkoord van Wassenaar. Van 1983 tot en met 1987 daalt de organisatiegraad, terwijl de inflatie in vier van die vijf jaren datzelfde patroon volgt. In de vijf daarop volgende jaren blijkt het beschreven verband in </w:t>
      </w:r>
      <w:r w:rsidR="00864B45">
        <w:t>iets</w:t>
      </w:r>
      <w:r w:rsidR="008B0F5E">
        <w:t xml:space="preserve"> mindere mate aanwezig. </w:t>
      </w:r>
      <w:r w:rsidR="00864B45">
        <w:t>Alleen in 1989, 1990 en 1992</w:t>
      </w:r>
      <w:r w:rsidR="008B0F5E">
        <w:t xml:space="preserve"> wordt een stijging van de inflatie geaccompagneerd met een stijging van de organisatiegraad</w:t>
      </w:r>
      <w:r w:rsidR="00864B45">
        <w:t>,</w:t>
      </w:r>
      <w:r w:rsidR="008B0F5E">
        <w:t xml:space="preserve"> terwijl in 1988 en 1991 de organisatiegraad daalt, terwijl de inflatie ten opzichte van het voorgaande jaar, juist stijgt.</w:t>
      </w:r>
      <w:r w:rsidR="00CC542F">
        <w:t xml:space="preserve"> </w:t>
      </w:r>
    </w:p>
    <w:p w:rsidR="00AA6B5C" w:rsidRPr="00AA6B5C" w:rsidRDefault="00AA6B5C" w:rsidP="002B6FE4">
      <w:pPr>
        <w:spacing w:line="360" w:lineRule="auto"/>
        <w:rPr>
          <w:b/>
        </w:rPr>
      </w:pPr>
      <w:r>
        <w:rPr>
          <w:b/>
        </w:rPr>
        <w:t xml:space="preserve">Tabel 5. </w:t>
      </w:r>
      <w:r>
        <w:rPr>
          <w:b/>
        </w:rPr>
        <w:tab/>
      </w:r>
      <w:r>
        <w:rPr>
          <w:b/>
        </w:rPr>
        <w:tab/>
        <w:t xml:space="preserve">           Verandering werknemerscompensatie en organisatiegraad 1983-1992</w:t>
      </w:r>
    </w:p>
    <w:tbl>
      <w:tblPr>
        <w:tblW w:w="9100" w:type="dxa"/>
        <w:tblInd w:w="55" w:type="dxa"/>
        <w:tblCellMar>
          <w:left w:w="70" w:type="dxa"/>
          <w:right w:w="70" w:type="dxa"/>
        </w:tblCellMar>
        <w:tblLook w:val="04A0" w:firstRow="1" w:lastRow="0" w:firstColumn="1" w:lastColumn="0" w:noHBand="0" w:noVBand="1"/>
      </w:tblPr>
      <w:tblGrid>
        <w:gridCol w:w="2600"/>
        <w:gridCol w:w="740"/>
        <w:gridCol w:w="640"/>
        <w:gridCol w:w="640"/>
        <w:gridCol w:w="640"/>
        <w:gridCol w:w="640"/>
        <w:gridCol w:w="640"/>
        <w:gridCol w:w="640"/>
        <w:gridCol w:w="640"/>
        <w:gridCol w:w="640"/>
        <w:gridCol w:w="640"/>
      </w:tblGrid>
      <w:tr w:rsidR="008D1951" w:rsidRPr="008D1951" w:rsidTr="008D1951">
        <w:trPr>
          <w:trHeight w:val="300"/>
        </w:trPr>
        <w:tc>
          <w:tcPr>
            <w:tcW w:w="2600" w:type="dxa"/>
            <w:tcBorders>
              <w:top w:val="nil"/>
              <w:left w:val="nil"/>
              <w:bottom w:val="nil"/>
              <w:right w:val="nil"/>
            </w:tcBorders>
            <w:shd w:val="clear" w:color="auto" w:fill="auto"/>
            <w:noWrap/>
            <w:vAlign w:val="center"/>
            <w:hideMark/>
          </w:tcPr>
          <w:p w:rsidR="008D1951" w:rsidRPr="008D1951" w:rsidRDefault="008D1951" w:rsidP="002B6FE4">
            <w:pPr>
              <w:spacing w:after="0" w:line="360" w:lineRule="auto"/>
              <w:jc w:val="center"/>
              <w:rPr>
                <w:rFonts w:ascii="Calibri" w:eastAsia="Times New Roman" w:hAnsi="Calibri" w:cs="Calibri"/>
                <w:b/>
                <w:bCs/>
                <w:color w:val="000000"/>
                <w:lang w:eastAsia="nl-NL"/>
              </w:rPr>
            </w:pPr>
          </w:p>
        </w:tc>
        <w:tc>
          <w:tcPr>
            <w:tcW w:w="740" w:type="dxa"/>
            <w:tcBorders>
              <w:top w:val="single" w:sz="4" w:space="0" w:color="auto"/>
              <w:left w:val="single" w:sz="4" w:space="0" w:color="auto"/>
              <w:bottom w:val="single" w:sz="4" w:space="0" w:color="auto"/>
              <w:right w:val="single" w:sz="4" w:space="0" w:color="auto"/>
            </w:tcBorders>
            <w:shd w:val="clear" w:color="000000" w:fill="974706"/>
            <w:noWrap/>
            <w:vAlign w:val="center"/>
            <w:hideMark/>
          </w:tcPr>
          <w:p w:rsidR="008D1951" w:rsidRPr="008D1951" w:rsidRDefault="008D1951" w:rsidP="002B6FE4">
            <w:pPr>
              <w:spacing w:after="0" w:line="360" w:lineRule="auto"/>
              <w:jc w:val="center"/>
              <w:rPr>
                <w:rFonts w:ascii="Calibri" w:eastAsia="Times New Roman" w:hAnsi="Calibri" w:cs="Calibri"/>
                <w:b/>
                <w:bCs/>
                <w:color w:val="FFFFFF"/>
                <w:lang w:eastAsia="nl-NL"/>
              </w:rPr>
            </w:pPr>
            <w:r w:rsidRPr="008D1951">
              <w:rPr>
                <w:rFonts w:ascii="Calibri" w:eastAsia="Times New Roman" w:hAnsi="Calibri" w:cs="Calibri"/>
                <w:b/>
                <w:bCs/>
                <w:color w:val="FFFFFF"/>
                <w:lang w:eastAsia="nl-NL"/>
              </w:rPr>
              <w:t>1983</w:t>
            </w:r>
          </w:p>
        </w:tc>
        <w:tc>
          <w:tcPr>
            <w:tcW w:w="640" w:type="dxa"/>
            <w:tcBorders>
              <w:top w:val="single" w:sz="4" w:space="0" w:color="auto"/>
              <w:left w:val="nil"/>
              <w:bottom w:val="single" w:sz="4" w:space="0" w:color="auto"/>
              <w:right w:val="single" w:sz="4" w:space="0" w:color="auto"/>
            </w:tcBorders>
            <w:shd w:val="clear" w:color="000000" w:fill="974706"/>
            <w:noWrap/>
            <w:vAlign w:val="center"/>
            <w:hideMark/>
          </w:tcPr>
          <w:p w:rsidR="008D1951" w:rsidRPr="008D1951" w:rsidRDefault="008D1951" w:rsidP="002B6FE4">
            <w:pPr>
              <w:spacing w:after="0" w:line="360" w:lineRule="auto"/>
              <w:jc w:val="center"/>
              <w:rPr>
                <w:rFonts w:ascii="Calibri" w:eastAsia="Times New Roman" w:hAnsi="Calibri" w:cs="Calibri"/>
                <w:b/>
                <w:bCs/>
                <w:color w:val="FFFFFF"/>
                <w:lang w:eastAsia="nl-NL"/>
              </w:rPr>
            </w:pPr>
            <w:r w:rsidRPr="008D1951">
              <w:rPr>
                <w:rFonts w:ascii="Calibri" w:eastAsia="Times New Roman" w:hAnsi="Calibri" w:cs="Calibri"/>
                <w:b/>
                <w:bCs/>
                <w:color w:val="FFFFFF"/>
                <w:lang w:eastAsia="nl-NL"/>
              </w:rPr>
              <w:t>1984</w:t>
            </w:r>
          </w:p>
        </w:tc>
        <w:tc>
          <w:tcPr>
            <w:tcW w:w="640" w:type="dxa"/>
            <w:tcBorders>
              <w:top w:val="single" w:sz="4" w:space="0" w:color="auto"/>
              <w:left w:val="nil"/>
              <w:bottom w:val="single" w:sz="4" w:space="0" w:color="auto"/>
              <w:right w:val="single" w:sz="4" w:space="0" w:color="auto"/>
            </w:tcBorders>
            <w:shd w:val="clear" w:color="000000" w:fill="974706"/>
            <w:noWrap/>
            <w:vAlign w:val="center"/>
            <w:hideMark/>
          </w:tcPr>
          <w:p w:rsidR="008D1951" w:rsidRPr="008D1951" w:rsidRDefault="008D1951" w:rsidP="002B6FE4">
            <w:pPr>
              <w:spacing w:after="0" w:line="360" w:lineRule="auto"/>
              <w:jc w:val="center"/>
              <w:rPr>
                <w:rFonts w:ascii="Calibri" w:eastAsia="Times New Roman" w:hAnsi="Calibri" w:cs="Calibri"/>
                <w:b/>
                <w:bCs/>
                <w:color w:val="FFFFFF"/>
                <w:lang w:eastAsia="nl-NL"/>
              </w:rPr>
            </w:pPr>
            <w:r w:rsidRPr="008D1951">
              <w:rPr>
                <w:rFonts w:ascii="Calibri" w:eastAsia="Times New Roman" w:hAnsi="Calibri" w:cs="Calibri"/>
                <w:b/>
                <w:bCs/>
                <w:color w:val="FFFFFF"/>
                <w:lang w:eastAsia="nl-NL"/>
              </w:rPr>
              <w:t>1985</w:t>
            </w:r>
          </w:p>
        </w:tc>
        <w:tc>
          <w:tcPr>
            <w:tcW w:w="640" w:type="dxa"/>
            <w:tcBorders>
              <w:top w:val="single" w:sz="4" w:space="0" w:color="auto"/>
              <w:left w:val="nil"/>
              <w:bottom w:val="single" w:sz="4" w:space="0" w:color="auto"/>
              <w:right w:val="single" w:sz="4" w:space="0" w:color="auto"/>
            </w:tcBorders>
            <w:shd w:val="clear" w:color="000000" w:fill="974706"/>
            <w:noWrap/>
            <w:vAlign w:val="center"/>
            <w:hideMark/>
          </w:tcPr>
          <w:p w:rsidR="008D1951" w:rsidRPr="008D1951" w:rsidRDefault="008D1951" w:rsidP="002B6FE4">
            <w:pPr>
              <w:spacing w:after="0" w:line="360" w:lineRule="auto"/>
              <w:jc w:val="center"/>
              <w:rPr>
                <w:rFonts w:ascii="Calibri" w:eastAsia="Times New Roman" w:hAnsi="Calibri" w:cs="Calibri"/>
                <w:b/>
                <w:bCs/>
                <w:color w:val="FFFFFF"/>
                <w:lang w:eastAsia="nl-NL"/>
              </w:rPr>
            </w:pPr>
            <w:r w:rsidRPr="008D1951">
              <w:rPr>
                <w:rFonts w:ascii="Calibri" w:eastAsia="Times New Roman" w:hAnsi="Calibri" w:cs="Calibri"/>
                <w:b/>
                <w:bCs/>
                <w:color w:val="FFFFFF"/>
                <w:lang w:eastAsia="nl-NL"/>
              </w:rPr>
              <w:t>1986</w:t>
            </w:r>
          </w:p>
        </w:tc>
        <w:tc>
          <w:tcPr>
            <w:tcW w:w="640" w:type="dxa"/>
            <w:tcBorders>
              <w:top w:val="single" w:sz="4" w:space="0" w:color="auto"/>
              <w:left w:val="nil"/>
              <w:bottom w:val="single" w:sz="4" w:space="0" w:color="auto"/>
              <w:right w:val="single" w:sz="4" w:space="0" w:color="auto"/>
            </w:tcBorders>
            <w:shd w:val="clear" w:color="000000" w:fill="974706"/>
            <w:noWrap/>
            <w:vAlign w:val="center"/>
            <w:hideMark/>
          </w:tcPr>
          <w:p w:rsidR="008D1951" w:rsidRPr="008D1951" w:rsidRDefault="008D1951" w:rsidP="002B6FE4">
            <w:pPr>
              <w:spacing w:after="0" w:line="360" w:lineRule="auto"/>
              <w:jc w:val="center"/>
              <w:rPr>
                <w:rFonts w:ascii="Calibri" w:eastAsia="Times New Roman" w:hAnsi="Calibri" w:cs="Calibri"/>
                <w:b/>
                <w:bCs/>
                <w:color w:val="FFFFFF"/>
                <w:lang w:eastAsia="nl-NL"/>
              </w:rPr>
            </w:pPr>
            <w:r w:rsidRPr="008D1951">
              <w:rPr>
                <w:rFonts w:ascii="Calibri" w:eastAsia="Times New Roman" w:hAnsi="Calibri" w:cs="Calibri"/>
                <w:b/>
                <w:bCs/>
                <w:color w:val="FFFFFF"/>
                <w:lang w:eastAsia="nl-NL"/>
              </w:rPr>
              <w:t>1987</w:t>
            </w:r>
          </w:p>
        </w:tc>
        <w:tc>
          <w:tcPr>
            <w:tcW w:w="640" w:type="dxa"/>
            <w:tcBorders>
              <w:top w:val="single" w:sz="4" w:space="0" w:color="auto"/>
              <w:left w:val="nil"/>
              <w:bottom w:val="single" w:sz="4" w:space="0" w:color="auto"/>
              <w:right w:val="single" w:sz="4" w:space="0" w:color="auto"/>
            </w:tcBorders>
            <w:shd w:val="clear" w:color="000000" w:fill="974706"/>
            <w:noWrap/>
            <w:vAlign w:val="center"/>
            <w:hideMark/>
          </w:tcPr>
          <w:p w:rsidR="008D1951" w:rsidRPr="008D1951" w:rsidRDefault="008D1951" w:rsidP="002B6FE4">
            <w:pPr>
              <w:spacing w:after="0" w:line="360" w:lineRule="auto"/>
              <w:jc w:val="center"/>
              <w:rPr>
                <w:rFonts w:ascii="Calibri" w:eastAsia="Times New Roman" w:hAnsi="Calibri" w:cs="Calibri"/>
                <w:b/>
                <w:bCs/>
                <w:color w:val="FFFFFF"/>
                <w:lang w:eastAsia="nl-NL"/>
              </w:rPr>
            </w:pPr>
            <w:r w:rsidRPr="008D1951">
              <w:rPr>
                <w:rFonts w:ascii="Calibri" w:eastAsia="Times New Roman" w:hAnsi="Calibri" w:cs="Calibri"/>
                <w:b/>
                <w:bCs/>
                <w:color w:val="FFFFFF"/>
                <w:lang w:eastAsia="nl-NL"/>
              </w:rPr>
              <w:t>1988</w:t>
            </w:r>
          </w:p>
        </w:tc>
        <w:tc>
          <w:tcPr>
            <w:tcW w:w="640" w:type="dxa"/>
            <w:tcBorders>
              <w:top w:val="single" w:sz="4" w:space="0" w:color="auto"/>
              <w:left w:val="nil"/>
              <w:bottom w:val="single" w:sz="4" w:space="0" w:color="auto"/>
              <w:right w:val="single" w:sz="4" w:space="0" w:color="auto"/>
            </w:tcBorders>
            <w:shd w:val="clear" w:color="000000" w:fill="974706"/>
            <w:noWrap/>
            <w:vAlign w:val="center"/>
            <w:hideMark/>
          </w:tcPr>
          <w:p w:rsidR="008D1951" w:rsidRPr="008D1951" w:rsidRDefault="008D1951" w:rsidP="002B6FE4">
            <w:pPr>
              <w:spacing w:after="0" w:line="360" w:lineRule="auto"/>
              <w:jc w:val="center"/>
              <w:rPr>
                <w:rFonts w:ascii="Calibri" w:eastAsia="Times New Roman" w:hAnsi="Calibri" w:cs="Calibri"/>
                <w:b/>
                <w:bCs/>
                <w:color w:val="FFFFFF"/>
                <w:lang w:eastAsia="nl-NL"/>
              </w:rPr>
            </w:pPr>
            <w:r w:rsidRPr="008D1951">
              <w:rPr>
                <w:rFonts w:ascii="Calibri" w:eastAsia="Times New Roman" w:hAnsi="Calibri" w:cs="Calibri"/>
                <w:b/>
                <w:bCs/>
                <w:color w:val="FFFFFF"/>
                <w:lang w:eastAsia="nl-NL"/>
              </w:rPr>
              <w:t>1989</w:t>
            </w:r>
          </w:p>
        </w:tc>
        <w:tc>
          <w:tcPr>
            <w:tcW w:w="640" w:type="dxa"/>
            <w:tcBorders>
              <w:top w:val="single" w:sz="4" w:space="0" w:color="auto"/>
              <w:left w:val="nil"/>
              <w:bottom w:val="single" w:sz="4" w:space="0" w:color="auto"/>
              <w:right w:val="single" w:sz="4" w:space="0" w:color="auto"/>
            </w:tcBorders>
            <w:shd w:val="clear" w:color="000000" w:fill="974706"/>
            <w:noWrap/>
            <w:vAlign w:val="center"/>
            <w:hideMark/>
          </w:tcPr>
          <w:p w:rsidR="008D1951" w:rsidRPr="008D1951" w:rsidRDefault="008D1951" w:rsidP="002B6FE4">
            <w:pPr>
              <w:spacing w:after="0" w:line="360" w:lineRule="auto"/>
              <w:jc w:val="center"/>
              <w:rPr>
                <w:rFonts w:ascii="Calibri" w:eastAsia="Times New Roman" w:hAnsi="Calibri" w:cs="Calibri"/>
                <w:b/>
                <w:bCs/>
                <w:color w:val="FFFFFF"/>
                <w:lang w:eastAsia="nl-NL"/>
              </w:rPr>
            </w:pPr>
            <w:r w:rsidRPr="008D1951">
              <w:rPr>
                <w:rFonts w:ascii="Calibri" w:eastAsia="Times New Roman" w:hAnsi="Calibri" w:cs="Calibri"/>
                <w:b/>
                <w:bCs/>
                <w:color w:val="FFFFFF"/>
                <w:lang w:eastAsia="nl-NL"/>
              </w:rPr>
              <w:t>1990</w:t>
            </w:r>
          </w:p>
        </w:tc>
        <w:tc>
          <w:tcPr>
            <w:tcW w:w="640" w:type="dxa"/>
            <w:tcBorders>
              <w:top w:val="single" w:sz="4" w:space="0" w:color="auto"/>
              <w:left w:val="nil"/>
              <w:bottom w:val="single" w:sz="4" w:space="0" w:color="auto"/>
              <w:right w:val="single" w:sz="4" w:space="0" w:color="auto"/>
            </w:tcBorders>
            <w:shd w:val="clear" w:color="000000" w:fill="974706"/>
            <w:noWrap/>
            <w:vAlign w:val="center"/>
            <w:hideMark/>
          </w:tcPr>
          <w:p w:rsidR="008D1951" w:rsidRPr="008D1951" w:rsidRDefault="008D1951" w:rsidP="002B6FE4">
            <w:pPr>
              <w:spacing w:after="0" w:line="360" w:lineRule="auto"/>
              <w:jc w:val="center"/>
              <w:rPr>
                <w:rFonts w:ascii="Calibri" w:eastAsia="Times New Roman" w:hAnsi="Calibri" w:cs="Calibri"/>
                <w:b/>
                <w:bCs/>
                <w:color w:val="FFFFFF"/>
                <w:lang w:eastAsia="nl-NL"/>
              </w:rPr>
            </w:pPr>
            <w:r w:rsidRPr="008D1951">
              <w:rPr>
                <w:rFonts w:ascii="Calibri" w:eastAsia="Times New Roman" w:hAnsi="Calibri" w:cs="Calibri"/>
                <w:b/>
                <w:bCs/>
                <w:color w:val="FFFFFF"/>
                <w:lang w:eastAsia="nl-NL"/>
              </w:rPr>
              <w:t>1991</w:t>
            </w:r>
          </w:p>
        </w:tc>
        <w:tc>
          <w:tcPr>
            <w:tcW w:w="640" w:type="dxa"/>
            <w:tcBorders>
              <w:top w:val="single" w:sz="4" w:space="0" w:color="auto"/>
              <w:left w:val="nil"/>
              <w:bottom w:val="single" w:sz="4" w:space="0" w:color="auto"/>
              <w:right w:val="single" w:sz="4" w:space="0" w:color="auto"/>
            </w:tcBorders>
            <w:shd w:val="clear" w:color="000000" w:fill="974706"/>
            <w:noWrap/>
            <w:vAlign w:val="center"/>
            <w:hideMark/>
          </w:tcPr>
          <w:p w:rsidR="008D1951" w:rsidRPr="008D1951" w:rsidRDefault="008D1951" w:rsidP="002B6FE4">
            <w:pPr>
              <w:spacing w:after="0" w:line="360" w:lineRule="auto"/>
              <w:jc w:val="center"/>
              <w:rPr>
                <w:rFonts w:ascii="Calibri" w:eastAsia="Times New Roman" w:hAnsi="Calibri" w:cs="Calibri"/>
                <w:b/>
                <w:bCs/>
                <w:color w:val="FFFFFF"/>
                <w:lang w:eastAsia="nl-NL"/>
              </w:rPr>
            </w:pPr>
            <w:r w:rsidRPr="008D1951">
              <w:rPr>
                <w:rFonts w:ascii="Calibri" w:eastAsia="Times New Roman" w:hAnsi="Calibri" w:cs="Calibri"/>
                <w:b/>
                <w:bCs/>
                <w:color w:val="FFFFFF"/>
                <w:lang w:eastAsia="nl-NL"/>
              </w:rPr>
              <w:t>1992</w:t>
            </w:r>
          </w:p>
        </w:tc>
      </w:tr>
      <w:tr w:rsidR="008D1951" w:rsidRPr="008D1951" w:rsidTr="008D1951">
        <w:trPr>
          <w:trHeight w:val="300"/>
        </w:trPr>
        <w:tc>
          <w:tcPr>
            <w:tcW w:w="2600" w:type="dxa"/>
            <w:tcBorders>
              <w:top w:val="single" w:sz="4" w:space="0" w:color="auto"/>
              <w:left w:val="single" w:sz="4" w:space="0" w:color="auto"/>
              <w:bottom w:val="single" w:sz="4" w:space="0" w:color="auto"/>
              <w:right w:val="single" w:sz="4" w:space="0" w:color="auto"/>
            </w:tcBorders>
            <w:shd w:val="clear" w:color="000000" w:fill="FCD5B4"/>
            <w:noWrap/>
            <w:vAlign w:val="center"/>
            <w:hideMark/>
          </w:tcPr>
          <w:p w:rsidR="008D1951" w:rsidRPr="008D1951" w:rsidRDefault="008D1951" w:rsidP="002B6FE4">
            <w:pPr>
              <w:spacing w:after="0" w:line="360" w:lineRule="auto"/>
              <w:jc w:val="center"/>
              <w:rPr>
                <w:rFonts w:ascii="Calibri" w:eastAsia="Times New Roman" w:hAnsi="Calibri" w:cs="Calibri"/>
                <w:b/>
                <w:bCs/>
                <w:color w:val="000000"/>
                <w:lang w:eastAsia="nl-NL"/>
              </w:rPr>
            </w:pPr>
            <w:r w:rsidRPr="008D1951">
              <w:rPr>
                <w:rFonts w:ascii="Calibri" w:eastAsia="Times New Roman" w:hAnsi="Calibri" w:cs="Calibri"/>
                <w:b/>
                <w:bCs/>
                <w:color w:val="000000"/>
                <w:lang w:eastAsia="nl-NL"/>
              </w:rPr>
              <w:t>werknemerscompensatie</w:t>
            </w:r>
          </w:p>
        </w:tc>
        <w:tc>
          <w:tcPr>
            <w:tcW w:w="740" w:type="dxa"/>
            <w:tcBorders>
              <w:top w:val="nil"/>
              <w:left w:val="nil"/>
              <w:bottom w:val="single" w:sz="4" w:space="0" w:color="auto"/>
              <w:right w:val="single" w:sz="4" w:space="0" w:color="auto"/>
            </w:tcBorders>
            <w:shd w:val="clear" w:color="DCE6F1" w:fill="FCD5B4"/>
            <w:noWrap/>
            <w:vAlign w:val="center"/>
            <w:hideMark/>
          </w:tcPr>
          <w:p w:rsidR="008D1951" w:rsidRPr="008D1951" w:rsidRDefault="008D1951" w:rsidP="002B6FE4">
            <w:pPr>
              <w:spacing w:after="0" w:line="360" w:lineRule="auto"/>
              <w:jc w:val="center"/>
              <w:rPr>
                <w:rFonts w:ascii="Calibri" w:eastAsia="Times New Roman" w:hAnsi="Calibri" w:cs="Calibri"/>
                <w:b/>
                <w:bCs/>
                <w:color w:val="000000"/>
                <w:lang w:eastAsia="nl-NL"/>
              </w:rPr>
            </w:pPr>
            <w:r w:rsidRPr="008D1951">
              <w:rPr>
                <w:rFonts w:ascii="Calibri" w:eastAsia="Times New Roman" w:hAnsi="Calibri" w:cs="Calibri"/>
                <w:b/>
                <w:bCs/>
                <w:color w:val="000000"/>
                <w:lang w:eastAsia="nl-NL"/>
              </w:rPr>
              <w:t>-</w:t>
            </w:r>
          </w:p>
        </w:tc>
        <w:tc>
          <w:tcPr>
            <w:tcW w:w="640" w:type="dxa"/>
            <w:tcBorders>
              <w:top w:val="nil"/>
              <w:left w:val="nil"/>
              <w:bottom w:val="single" w:sz="4" w:space="0" w:color="auto"/>
              <w:right w:val="single" w:sz="4" w:space="0" w:color="auto"/>
            </w:tcBorders>
            <w:shd w:val="clear" w:color="DCE6F1" w:fill="FCD5B4"/>
            <w:noWrap/>
            <w:vAlign w:val="center"/>
            <w:hideMark/>
          </w:tcPr>
          <w:p w:rsidR="008D1951" w:rsidRPr="008D1951" w:rsidRDefault="008D1951" w:rsidP="002B6FE4">
            <w:pPr>
              <w:spacing w:after="0" w:line="360" w:lineRule="auto"/>
              <w:jc w:val="center"/>
              <w:rPr>
                <w:rFonts w:ascii="Calibri" w:eastAsia="Times New Roman" w:hAnsi="Calibri" w:cs="Calibri"/>
                <w:b/>
                <w:bCs/>
                <w:color w:val="000000"/>
                <w:lang w:eastAsia="nl-NL"/>
              </w:rPr>
            </w:pPr>
            <w:r w:rsidRPr="008D1951">
              <w:rPr>
                <w:rFonts w:ascii="Calibri" w:eastAsia="Times New Roman" w:hAnsi="Calibri" w:cs="Calibri"/>
                <w:b/>
                <w:bCs/>
                <w:color w:val="000000"/>
                <w:lang w:eastAsia="nl-NL"/>
              </w:rPr>
              <w:t>-</w:t>
            </w:r>
          </w:p>
        </w:tc>
        <w:tc>
          <w:tcPr>
            <w:tcW w:w="640" w:type="dxa"/>
            <w:tcBorders>
              <w:top w:val="nil"/>
              <w:left w:val="nil"/>
              <w:bottom w:val="single" w:sz="4" w:space="0" w:color="auto"/>
              <w:right w:val="single" w:sz="4" w:space="0" w:color="auto"/>
            </w:tcBorders>
            <w:shd w:val="clear" w:color="DCE6F1" w:fill="FCD5B4"/>
            <w:noWrap/>
            <w:vAlign w:val="center"/>
            <w:hideMark/>
          </w:tcPr>
          <w:p w:rsidR="008D1951" w:rsidRPr="008D1951" w:rsidRDefault="008D1951" w:rsidP="002B6FE4">
            <w:pPr>
              <w:spacing w:after="0" w:line="360" w:lineRule="auto"/>
              <w:jc w:val="center"/>
              <w:rPr>
                <w:rFonts w:ascii="Calibri" w:eastAsia="Times New Roman" w:hAnsi="Calibri" w:cs="Calibri"/>
                <w:b/>
                <w:bCs/>
                <w:color w:val="000000"/>
                <w:lang w:eastAsia="nl-NL"/>
              </w:rPr>
            </w:pPr>
            <w:r w:rsidRPr="008D1951">
              <w:rPr>
                <w:rFonts w:ascii="Calibri" w:eastAsia="Times New Roman" w:hAnsi="Calibri" w:cs="Calibri"/>
                <w:b/>
                <w:bCs/>
                <w:color w:val="000000"/>
                <w:lang w:eastAsia="nl-NL"/>
              </w:rPr>
              <w:t>+</w:t>
            </w:r>
          </w:p>
        </w:tc>
        <w:tc>
          <w:tcPr>
            <w:tcW w:w="640" w:type="dxa"/>
            <w:tcBorders>
              <w:top w:val="nil"/>
              <w:left w:val="nil"/>
              <w:bottom w:val="single" w:sz="4" w:space="0" w:color="auto"/>
              <w:right w:val="single" w:sz="4" w:space="0" w:color="auto"/>
            </w:tcBorders>
            <w:shd w:val="clear" w:color="DCE6F1" w:fill="FCD5B4"/>
            <w:noWrap/>
            <w:vAlign w:val="center"/>
            <w:hideMark/>
          </w:tcPr>
          <w:p w:rsidR="008D1951" w:rsidRPr="008D1951" w:rsidRDefault="008D1951" w:rsidP="002B6FE4">
            <w:pPr>
              <w:spacing w:after="0" w:line="360" w:lineRule="auto"/>
              <w:jc w:val="center"/>
              <w:rPr>
                <w:rFonts w:ascii="Calibri" w:eastAsia="Times New Roman" w:hAnsi="Calibri" w:cs="Calibri"/>
                <w:b/>
                <w:bCs/>
                <w:color w:val="000000"/>
                <w:lang w:eastAsia="nl-NL"/>
              </w:rPr>
            </w:pPr>
            <w:r w:rsidRPr="008D1951">
              <w:rPr>
                <w:rFonts w:ascii="Calibri" w:eastAsia="Times New Roman" w:hAnsi="Calibri" w:cs="Calibri"/>
                <w:b/>
                <w:bCs/>
                <w:color w:val="000000"/>
                <w:lang w:eastAsia="nl-NL"/>
              </w:rPr>
              <w:t>+</w:t>
            </w:r>
          </w:p>
        </w:tc>
        <w:tc>
          <w:tcPr>
            <w:tcW w:w="640" w:type="dxa"/>
            <w:tcBorders>
              <w:top w:val="nil"/>
              <w:left w:val="nil"/>
              <w:bottom w:val="single" w:sz="4" w:space="0" w:color="auto"/>
              <w:right w:val="single" w:sz="4" w:space="0" w:color="auto"/>
            </w:tcBorders>
            <w:shd w:val="clear" w:color="DCE6F1" w:fill="FCD5B4"/>
            <w:noWrap/>
            <w:vAlign w:val="center"/>
            <w:hideMark/>
          </w:tcPr>
          <w:p w:rsidR="008D1951" w:rsidRPr="008D1951" w:rsidRDefault="008D1951" w:rsidP="002B6FE4">
            <w:pPr>
              <w:spacing w:after="0" w:line="360" w:lineRule="auto"/>
              <w:jc w:val="center"/>
              <w:rPr>
                <w:rFonts w:ascii="Calibri" w:eastAsia="Times New Roman" w:hAnsi="Calibri" w:cs="Calibri"/>
                <w:b/>
                <w:bCs/>
                <w:color w:val="000000"/>
                <w:lang w:eastAsia="nl-NL"/>
              </w:rPr>
            </w:pPr>
            <w:r w:rsidRPr="008D1951">
              <w:rPr>
                <w:rFonts w:ascii="Calibri" w:eastAsia="Times New Roman" w:hAnsi="Calibri" w:cs="Calibri"/>
                <w:b/>
                <w:bCs/>
                <w:color w:val="000000"/>
                <w:lang w:eastAsia="nl-NL"/>
              </w:rPr>
              <w:t>+</w:t>
            </w:r>
          </w:p>
        </w:tc>
        <w:tc>
          <w:tcPr>
            <w:tcW w:w="640" w:type="dxa"/>
            <w:tcBorders>
              <w:top w:val="nil"/>
              <w:left w:val="nil"/>
              <w:bottom w:val="single" w:sz="4" w:space="0" w:color="auto"/>
              <w:right w:val="single" w:sz="4" w:space="0" w:color="auto"/>
            </w:tcBorders>
            <w:shd w:val="clear" w:color="DCE6F1" w:fill="FCD5B4"/>
            <w:noWrap/>
            <w:vAlign w:val="center"/>
            <w:hideMark/>
          </w:tcPr>
          <w:p w:rsidR="008D1951" w:rsidRPr="008D1951" w:rsidRDefault="008D1951" w:rsidP="002B6FE4">
            <w:pPr>
              <w:spacing w:after="0" w:line="360" w:lineRule="auto"/>
              <w:jc w:val="center"/>
              <w:rPr>
                <w:rFonts w:ascii="Calibri" w:eastAsia="Times New Roman" w:hAnsi="Calibri" w:cs="Calibri"/>
                <w:b/>
                <w:bCs/>
                <w:color w:val="000000"/>
                <w:lang w:eastAsia="nl-NL"/>
              </w:rPr>
            </w:pPr>
            <w:r w:rsidRPr="008D1951">
              <w:rPr>
                <w:rFonts w:ascii="Calibri" w:eastAsia="Times New Roman" w:hAnsi="Calibri" w:cs="Calibri"/>
                <w:b/>
                <w:bCs/>
                <w:color w:val="000000"/>
                <w:lang w:eastAsia="nl-NL"/>
              </w:rPr>
              <w:t>-</w:t>
            </w:r>
          </w:p>
        </w:tc>
        <w:tc>
          <w:tcPr>
            <w:tcW w:w="640" w:type="dxa"/>
            <w:tcBorders>
              <w:top w:val="nil"/>
              <w:left w:val="nil"/>
              <w:bottom w:val="single" w:sz="4" w:space="0" w:color="auto"/>
              <w:right w:val="single" w:sz="4" w:space="0" w:color="auto"/>
            </w:tcBorders>
            <w:shd w:val="clear" w:color="DCE6F1" w:fill="FCD5B4"/>
            <w:noWrap/>
            <w:vAlign w:val="center"/>
            <w:hideMark/>
          </w:tcPr>
          <w:p w:rsidR="008D1951" w:rsidRPr="008D1951" w:rsidRDefault="008D1951" w:rsidP="002B6FE4">
            <w:pPr>
              <w:spacing w:after="0" w:line="360" w:lineRule="auto"/>
              <w:jc w:val="center"/>
              <w:rPr>
                <w:rFonts w:ascii="Calibri" w:eastAsia="Times New Roman" w:hAnsi="Calibri" w:cs="Calibri"/>
                <w:b/>
                <w:bCs/>
                <w:color w:val="000000"/>
                <w:lang w:eastAsia="nl-NL"/>
              </w:rPr>
            </w:pPr>
            <w:r w:rsidRPr="008D1951">
              <w:rPr>
                <w:rFonts w:ascii="Calibri" w:eastAsia="Times New Roman" w:hAnsi="Calibri" w:cs="Calibri"/>
                <w:b/>
                <w:bCs/>
                <w:color w:val="000000"/>
                <w:lang w:eastAsia="nl-NL"/>
              </w:rPr>
              <w:t>-</w:t>
            </w:r>
          </w:p>
        </w:tc>
        <w:tc>
          <w:tcPr>
            <w:tcW w:w="640" w:type="dxa"/>
            <w:tcBorders>
              <w:top w:val="nil"/>
              <w:left w:val="nil"/>
              <w:bottom w:val="single" w:sz="4" w:space="0" w:color="auto"/>
              <w:right w:val="single" w:sz="4" w:space="0" w:color="auto"/>
            </w:tcBorders>
            <w:shd w:val="clear" w:color="DCE6F1" w:fill="FCD5B4"/>
            <w:noWrap/>
            <w:vAlign w:val="center"/>
            <w:hideMark/>
          </w:tcPr>
          <w:p w:rsidR="008D1951" w:rsidRPr="008D1951" w:rsidRDefault="008D1951" w:rsidP="002B6FE4">
            <w:pPr>
              <w:spacing w:after="0" w:line="360" w:lineRule="auto"/>
              <w:jc w:val="center"/>
              <w:rPr>
                <w:rFonts w:ascii="Calibri" w:eastAsia="Times New Roman" w:hAnsi="Calibri" w:cs="Calibri"/>
                <w:b/>
                <w:bCs/>
                <w:color w:val="000000"/>
                <w:lang w:eastAsia="nl-NL"/>
              </w:rPr>
            </w:pPr>
            <w:r w:rsidRPr="008D1951">
              <w:rPr>
                <w:rFonts w:ascii="Calibri" w:eastAsia="Times New Roman" w:hAnsi="Calibri" w:cs="Calibri"/>
                <w:b/>
                <w:bCs/>
                <w:color w:val="000000"/>
                <w:lang w:eastAsia="nl-NL"/>
              </w:rPr>
              <w:t>+</w:t>
            </w:r>
          </w:p>
        </w:tc>
        <w:tc>
          <w:tcPr>
            <w:tcW w:w="640" w:type="dxa"/>
            <w:tcBorders>
              <w:top w:val="nil"/>
              <w:left w:val="nil"/>
              <w:bottom w:val="single" w:sz="4" w:space="0" w:color="auto"/>
              <w:right w:val="single" w:sz="4" w:space="0" w:color="auto"/>
            </w:tcBorders>
            <w:shd w:val="clear" w:color="DCE6F1" w:fill="FCD5B4"/>
            <w:noWrap/>
            <w:vAlign w:val="center"/>
            <w:hideMark/>
          </w:tcPr>
          <w:p w:rsidR="008D1951" w:rsidRPr="008D1951" w:rsidRDefault="008D1951" w:rsidP="002B6FE4">
            <w:pPr>
              <w:spacing w:after="0" w:line="360" w:lineRule="auto"/>
              <w:jc w:val="center"/>
              <w:rPr>
                <w:rFonts w:ascii="Calibri" w:eastAsia="Times New Roman" w:hAnsi="Calibri" w:cs="Calibri"/>
                <w:b/>
                <w:bCs/>
                <w:color w:val="000000"/>
                <w:lang w:eastAsia="nl-NL"/>
              </w:rPr>
            </w:pPr>
            <w:r w:rsidRPr="008D1951">
              <w:rPr>
                <w:rFonts w:ascii="Calibri" w:eastAsia="Times New Roman" w:hAnsi="Calibri" w:cs="Calibri"/>
                <w:b/>
                <w:bCs/>
                <w:color w:val="000000"/>
                <w:lang w:eastAsia="nl-NL"/>
              </w:rPr>
              <w:t>+</w:t>
            </w:r>
          </w:p>
        </w:tc>
        <w:tc>
          <w:tcPr>
            <w:tcW w:w="640" w:type="dxa"/>
            <w:tcBorders>
              <w:top w:val="nil"/>
              <w:left w:val="nil"/>
              <w:bottom w:val="single" w:sz="4" w:space="0" w:color="auto"/>
              <w:right w:val="single" w:sz="4" w:space="0" w:color="auto"/>
            </w:tcBorders>
            <w:shd w:val="clear" w:color="DCE6F1" w:fill="FCD5B4"/>
            <w:noWrap/>
            <w:vAlign w:val="center"/>
            <w:hideMark/>
          </w:tcPr>
          <w:p w:rsidR="008D1951" w:rsidRPr="008D1951" w:rsidRDefault="008D1951" w:rsidP="002B6FE4">
            <w:pPr>
              <w:spacing w:after="0" w:line="360" w:lineRule="auto"/>
              <w:jc w:val="center"/>
              <w:rPr>
                <w:rFonts w:ascii="Calibri" w:eastAsia="Times New Roman" w:hAnsi="Calibri" w:cs="Calibri"/>
                <w:b/>
                <w:bCs/>
                <w:color w:val="000000"/>
                <w:lang w:eastAsia="nl-NL"/>
              </w:rPr>
            </w:pPr>
            <w:r w:rsidRPr="008D1951">
              <w:rPr>
                <w:rFonts w:ascii="Calibri" w:eastAsia="Times New Roman" w:hAnsi="Calibri" w:cs="Calibri"/>
                <w:b/>
                <w:bCs/>
                <w:color w:val="000000"/>
                <w:lang w:eastAsia="nl-NL"/>
              </w:rPr>
              <w:t>+</w:t>
            </w:r>
          </w:p>
        </w:tc>
      </w:tr>
      <w:tr w:rsidR="00E22373" w:rsidRPr="008D1951" w:rsidTr="008D1951">
        <w:trPr>
          <w:trHeight w:val="300"/>
        </w:trPr>
        <w:tc>
          <w:tcPr>
            <w:tcW w:w="2600" w:type="dxa"/>
            <w:tcBorders>
              <w:top w:val="nil"/>
              <w:left w:val="single" w:sz="4" w:space="0" w:color="auto"/>
              <w:bottom w:val="single" w:sz="4" w:space="0" w:color="auto"/>
              <w:right w:val="single" w:sz="4" w:space="0" w:color="auto"/>
            </w:tcBorders>
            <w:shd w:val="clear" w:color="000000" w:fill="E26B0A"/>
            <w:noWrap/>
            <w:vAlign w:val="center"/>
            <w:hideMark/>
          </w:tcPr>
          <w:p w:rsidR="00E22373" w:rsidRPr="008D1951" w:rsidRDefault="00E22373" w:rsidP="002B6FE4">
            <w:pPr>
              <w:spacing w:after="0" w:line="360" w:lineRule="auto"/>
              <w:jc w:val="center"/>
              <w:rPr>
                <w:rFonts w:ascii="Calibri" w:eastAsia="Times New Roman" w:hAnsi="Calibri" w:cs="Calibri"/>
                <w:b/>
                <w:bCs/>
                <w:color w:val="000000"/>
                <w:lang w:eastAsia="nl-NL"/>
              </w:rPr>
            </w:pPr>
            <w:r w:rsidRPr="008D1951">
              <w:rPr>
                <w:rFonts w:ascii="Calibri" w:eastAsia="Times New Roman" w:hAnsi="Calibri" w:cs="Calibri"/>
                <w:b/>
                <w:bCs/>
                <w:color w:val="000000"/>
                <w:lang w:eastAsia="nl-NL"/>
              </w:rPr>
              <w:t>Organisatiegraad</w:t>
            </w:r>
          </w:p>
        </w:tc>
        <w:tc>
          <w:tcPr>
            <w:tcW w:w="740" w:type="dxa"/>
            <w:tcBorders>
              <w:top w:val="nil"/>
              <w:left w:val="nil"/>
              <w:bottom w:val="single" w:sz="4" w:space="0" w:color="auto"/>
              <w:right w:val="single" w:sz="4" w:space="0" w:color="auto"/>
            </w:tcBorders>
            <w:shd w:val="clear" w:color="000000" w:fill="E26B0A"/>
            <w:noWrap/>
            <w:vAlign w:val="center"/>
            <w:hideMark/>
          </w:tcPr>
          <w:p w:rsidR="00E22373" w:rsidRPr="008B0F5E" w:rsidRDefault="00E22373" w:rsidP="00CE3832">
            <w:pPr>
              <w:spacing w:after="0" w:line="360" w:lineRule="auto"/>
              <w:jc w:val="center"/>
              <w:rPr>
                <w:rFonts w:ascii="Arial" w:eastAsia="Times New Roman" w:hAnsi="Arial" w:cs="Arial"/>
                <w:b/>
                <w:bCs/>
                <w:color w:val="000000"/>
                <w:sz w:val="20"/>
                <w:szCs w:val="20"/>
                <w:lang w:eastAsia="nl-NL"/>
              </w:rPr>
            </w:pPr>
            <w:r w:rsidRPr="008B0F5E">
              <w:rPr>
                <w:rFonts w:ascii="Arial" w:eastAsia="Times New Roman" w:hAnsi="Arial" w:cs="Arial"/>
                <w:b/>
                <w:bCs/>
                <w:color w:val="000000"/>
                <w:sz w:val="20"/>
                <w:szCs w:val="20"/>
                <w:lang w:eastAsia="nl-NL"/>
              </w:rPr>
              <w:t>-</w:t>
            </w:r>
          </w:p>
        </w:tc>
        <w:tc>
          <w:tcPr>
            <w:tcW w:w="640" w:type="dxa"/>
            <w:tcBorders>
              <w:top w:val="nil"/>
              <w:left w:val="nil"/>
              <w:bottom w:val="single" w:sz="4" w:space="0" w:color="auto"/>
              <w:right w:val="single" w:sz="4" w:space="0" w:color="auto"/>
            </w:tcBorders>
            <w:shd w:val="clear" w:color="000000" w:fill="E26B0A"/>
            <w:noWrap/>
            <w:vAlign w:val="center"/>
            <w:hideMark/>
          </w:tcPr>
          <w:p w:rsidR="00E22373" w:rsidRPr="008B0F5E" w:rsidRDefault="00E22373" w:rsidP="00CE3832">
            <w:pPr>
              <w:spacing w:after="0" w:line="360" w:lineRule="auto"/>
              <w:jc w:val="center"/>
              <w:rPr>
                <w:rFonts w:ascii="Arial" w:eastAsia="Times New Roman" w:hAnsi="Arial" w:cs="Arial"/>
                <w:b/>
                <w:bCs/>
                <w:color w:val="000000"/>
                <w:sz w:val="20"/>
                <w:szCs w:val="20"/>
                <w:lang w:eastAsia="nl-NL"/>
              </w:rPr>
            </w:pPr>
            <w:r w:rsidRPr="008B0F5E">
              <w:rPr>
                <w:rFonts w:ascii="Arial" w:eastAsia="Times New Roman" w:hAnsi="Arial" w:cs="Arial"/>
                <w:b/>
                <w:bCs/>
                <w:color w:val="000000"/>
                <w:sz w:val="20"/>
                <w:szCs w:val="20"/>
                <w:lang w:eastAsia="nl-NL"/>
              </w:rPr>
              <w:t>-</w:t>
            </w:r>
          </w:p>
        </w:tc>
        <w:tc>
          <w:tcPr>
            <w:tcW w:w="640" w:type="dxa"/>
            <w:tcBorders>
              <w:top w:val="nil"/>
              <w:left w:val="nil"/>
              <w:bottom w:val="single" w:sz="4" w:space="0" w:color="auto"/>
              <w:right w:val="single" w:sz="4" w:space="0" w:color="auto"/>
            </w:tcBorders>
            <w:shd w:val="clear" w:color="000000" w:fill="E26B0A"/>
            <w:noWrap/>
            <w:vAlign w:val="center"/>
            <w:hideMark/>
          </w:tcPr>
          <w:p w:rsidR="00E22373" w:rsidRPr="008B0F5E" w:rsidRDefault="00E22373" w:rsidP="00CE3832">
            <w:pPr>
              <w:spacing w:after="0" w:line="360" w:lineRule="auto"/>
              <w:jc w:val="center"/>
              <w:rPr>
                <w:rFonts w:ascii="Arial" w:eastAsia="Times New Roman" w:hAnsi="Arial" w:cs="Arial"/>
                <w:b/>
                <w:bCs/>
                <w:color w:val="000000"/>
                <w:sz w:val="20"/>
                <w:szCs w:val="20"/>
                <w:lang w:eastAsia="nl-NL"/>
              </w:rPr>
            </w:pPr>
            <w:r w:rsidRPr="008B0F5E">
              <w:rPr>
                <w:rFonts w:ascii="Arial" w:eastAsia="Times New Roman" w:hAnsi="Arial" w:cs="Arial"/>
                <w:b/>
                <w:bCs/>
                <w:color w:val="000000"/>
                <w:sz w:val="20"/>
                <w:szCs w:val="20"/>
                <w:lang w:eastAsia="nl-NL"/>
              </w:rPr>
              <w:t>-</w:t>
            </w:r>
          </w:p>
        </w:tc>
        <w:tc>
          <w:tcPr>
            <w:tcW w:w="640" w:type="dxa"/>
            <w:tcBorders>
              <w:top w:val="nil"/>
              <w:left w:val="nil"/>
              <w:bottom w:val="single" w:sz="4" w:space="0" w:color="auto"/>
              <w:right w:val="single" w:sz="4" w:space="0" w:color="auto"/>
            </w:tcBorders>
            <w:shd w:val="clear" w:color="000000" w:fill="E26B0A"/>
            <w:noWrap/>
            <w:vAlign w:val="center"/>
            <w:hideMark/>
          </w:tcPr>
          <w:p w:rsidR="00E22373" w:rsidRPr="008B0F5E" w:rsidRDefault="00E22373" w:rsidP="00CE3832">
            <w:pPr>
              <w:spacing w:after="0" w:line="360" w:lineRule="auto"/>
              <w:jc w:val="center"/>
              <w:rPr>
                <w:rFonts w:ascii="Arial" w:eastAsia="Times New Roman" w:hAnsi="Arial" w:cs="Arial"/>
                <w:b/>
                <w:bCs/>
                <w:color w:val="000000"/>
                <w:sz w:val="20"/>
                <w:szCs w:val="20"/>
                <w:lang w:eastAsia="nl-NL"/>
              </w:rPr>
            </w:pPr>
            <w:r w:rsidRPr="008B0F5E">
              <w:rPr>
                <w:rFonts w:ascii="Arial" w:eastAsia="Times New Roman" w:hAnsi="Arial" w:cs="Arial"/>
                <w:b/>
                <w:bCs/>
                <w:color w:val="000000"/>
                <w:sz w:val="20"/>
                <w:szCs w:val="20"/>
                <w:lang w:eastAsia="nl-NL"/>
              </w:rPr>
              <w:t>-</w:t>
            </w:r>
          </w:p>
        </w:tc>
        <w:tc>
          <w:tcPr>
            <w:tcW w:w="640" w:type="dxa"/>
            <w:tcBorders>
              <w:top w:val="nil"/>
              <w:left w:val="nil"/>
              <w:bottom w:val="single" w:sz="4" w:space="0" w:color="auto"/>
              <w:right w:val="single" w:sz="4" w:space="0" w:color="auto"/>
            </w:tcBorders>
            <w:shd w:val="clear" w:color="000000" w:fill="E26B0A"/>
            <w:noWrap/>
            <w:vAlign w:val="center"/>
            <w:hideMark/>
          </w:tcPr>
          <w:p w:rsidR="00E22373" w:rsidRPr="008B0F5E" w:rsidRDefault="00E22373" w:rsidP="00CE3832">
            <w:pPr>
              <w:spacing w:after="0" w:line="360" w:lineRule="auto"/>
              <w:jc w:val="center"/>
              <w:rPr>
                <w:rFonts w:ascii="Arial" w:eastAsia="Times New Roman" w:hAnsi="Arial" w:cs="Arial"/>
                <w:b/>
                <w:bCs/>
                <w:color w:val="000000"/>
                <w:sz w:val="20"/>
                <w:szCs w:val="20"/>
                <w:lang w:eastAsia="nl-NL"/>
              </w:rPr>
            </w:pPr>
            <w:r w:rsidRPr="008B0F5E">
              <w:rPr>
                <w:rFonts w:ascii="Arial" w:eastAsia="Times New Roman" w:hAnsi="Arial" w:cs="Arial"/>
                <w:b/>
                <w:bCs/>
                <w:color w:val="000000"/>
                <w:sz w:val="20"/>
                <w:szCs w:val="20"/>
                <w:lang w:eastAsia="nl-NL"/>
              </w:rPr>
              <w:t>-</w:t>
            </w:r>
          </w:p>
        </w:tc>
        <w:tc>
          <w:tcPr>
            <w:tcW w:w="640" w:type="dxa"/>
            <w:tcBorders>
              <w:top w:val="nil"/>
              <w:left w:val="nil"/>
              <w:bottom w:val="single" w:sz="4" w:space="0" w:color="auto"/>
              <w:right w:val="single" w:sz="4" w:space="0" w:color="auto"/>
            </w:tcBorders>
            <w:shd w:val="clear" w:color="000000" w:fill="E26B0A"/>
            <w:noWrap/>
            <w:vAlign w:val="center"/>
            <w:hideMark/>
          </w:tcPr>
          <w:p w:rsidR="00E22373" w:rsidRPr="008B0F5E" w:rsidRDefault="00E22373" w:rsidP="00CE3832">
            <w:pPr>
              <w:spacing w:after="0" w:line="360" w:lineRule="auto"/>
              <w:jc w:val="center"/>
              <w:rPr>
                <w:rFonts w:ascii="Arial" w:eastAsia="Times New Roman" w:hAnsi="Arial" w:cs="Arial"/>
                <w:b/>
                <w:bCs/>
                <w:color w:val="000000"/>
                <w:sz w:val="20"/>
                <w:szCs w:val="20"/>
                <w:lang w:eastAsia="nl-NL"/>
              </w:rPr>
            </w:pPr>
            <w:r w:rsidRPr="008B0F5E">
              <w:rPr>
                <w:rFonts w:ascii="Arial" w:eastAsia="Times New Roman" w:hAnsi="Arial" w:cs="Arial"/>
                <w:b/>
                <w:bCs/>
                <w:color w:val="000000"/>
                <w:sz w:val="20"/>
                <w:szCs w:val="20"/>
                <w:lang w:eastAsia="nl-NL"/>
              </w:rPr>
              <w:t>-</w:t>
            </w:r>
          </w:p>
        </w:tc>
        <w:tc>
          <w:tcPr>
            <w:tcW w:w="640" w:type="dxa"/>
            <w:tcBorders>
              <w:top w:val="nil"/>
              <w:left w:val="nil"/>
              <w:bottom w:val="single" w:sz="4" w:space="0" w:color="auto"/>
              <w:right w:val="single" w:sz="4" w:space="0" w:color="auto"/>
            </w:tcBorders>
            <w:shd w:val="clear" w:color="000000" w:fill="E26B0A"/>
            <w:noWrap/>
            <w:vAlign w:val="center"/>
            <w:hideMark/>
          </w:tcPr>
          <w:p w:rsidR="00E22373" w:rsidRPr="008B0F5E" w:rsidRDefault="00E22373" w:rsidP="00CE3832">
            <w:pPr>
              <w:spacing w:after="0" w:line="360" w:lineRule="auto"/>
              <w:jc w:val="center"/>
              <w:rPr>
                <w:rFonts w:ascii="Arial" w:eastAsia="Times New Roman" w:hAnsi="Arial" w:cs="Arial"/>
                <w:b/>
                <w:bCs/>
                <w:color w:val="000000"/>
                <w:sz w:val="20"/>
                <w:szCs w:val="20"/>
                <w:lang w:eastAsia="nl-NL"/>
              </w:rPr>
            </w:pPr>
            <w:r w:rsidRPr="008B0F5E">
              <w:rPr>
                <w:rFonts w:ascii="Arial" w:eastAsia="Times New Roman" w:hAnsi="Arial" w:cs="Arial"/>
                <w:b/>
                <w:bCs/>
                <w:color w:val="000000"/>
                <w:sz w:val="20"/>
                <w:szCs w:val="20"/>
                <w:lang w:eastAsia="nl-NL"/>
              </w:rPr>
              <w:t>+</w:t>
            </w:r>
          </w:p>
        </w:tc>
        <w:tc>
          <w:tcPr>
            <w:tcW w:w="640" w:type="dxa"/>
            <w:tcBorders>
              <w:top w:val="nil"/>
              <w:left w:val="nil"/>
              <w:bottom w:val="single" w:sz="4" w:space="0" w:color="auto"/>
              <w:right w:val="single" w:sz="4" w:space="0" w:color="auto"/>
            </w:tcBorders>
            <w:shd w:val="clear" w:color="000000" w:fill="E26B0A"/>
            <w:noWrap/>
            <w:vAlign w:val="center"/>
            <w:hideMark/>
          </w:tcPr>
          <w:p w:rsidR="00E22373" w:rsidRPr="008B0F5E" w:rsidRDefault="00E22373" w:rsidP="00CE3832">
            <w:pPr>
              <w:spacing w:after="0" w:line="360" w:lineRule="auto"/>
              <w:jc w:val="center"/>
              <w:rPr>
                <w:rFonts w:ascii="Arial" w:eastAsia="Times New Roman" w:hAnsi="Arial" w:cs="Arial"/>
                <w:b/>
                <w:bCs/>
                <w:color w:val="000000"/>
                <w:sz w:val="20"/>
                <w:szCs w:val="20"/>
                <w:lang w:eastAsia="nl-NL"/>
              </w:rPr>
            </w:pPr>
            <w:r>
              <w:rPr>
                <w:rFonts w:ascii="Arial" w:eastAsia="Times New Roman" w:hAnsi="Arial" w:cs="Arial"/>
                <w:b/>
                <w:bCs/>
                <w:color w:val="000000"/>
                <w:sz w:val="20"/>
                <w:szCs w:val="20"/>
                <w:lang w:eastAsia="nl-NL"/>
              </w:rPr>
              <w:t>+</w:t>
            </w:r>
          </w:p>
        </w:tc>
        <w:tc>
          <w:tcPr>
            <w:tcW w:w="640" w:type="dxa"/>
            <w:tcBorders>
              <w:top w:val="nil"/>
              <w:left w:val="nil"/>
              <w:bottom w:val="single" w:sz="4" w:space="0" w:color="auto"/>
              <w:right w:val="single" w:sz="4" w:space="0" w:color="auto"/>
            </w:tcBorders>
            <w:shd w:val="clear" w:color="000000" w:fill="E26B0A"/>
            <w:noWrap/>
            <w:vAlign w:val="center"/>
            <w:hideMark/>
          </w:tcPr>
          <w:p w:rsidR="00E22373" w:rsidRPr="008B0F5E" w:rsidRDefault="00E22373" w:rsidP="00CE3832">
            <w:pPr>
              <w:spacing w:after="0" w:line="360" w:lineRule="auto"/>
              <w:jc w:val="center"/>
              <w:rPr>
                <w:rFonts w:ascii="Arial" w:eastAsia="Times New Roman" w:hAnsi="Arial" w:cs="Arial"/>
                <w:b/>
                <w:bCs/>
                <w:color w:val="000000"/>
                <w:sz w:val="20"/>
                <w:szCs w:val="20"/>
                <w:lang w:eastAsia="nl-NL"/>
              </w:rPr>
            </w:pPr>
            <w:r w:rsidRPr="008B0F5E">
              <w:rPr>
                <w:rFonts w:ascii="Arial" w:eastAsia="Times New Roman" w:hAnsi="Arial" w:cs="Arial"/>
                <w:b/>
                <w:bCs/>
                <w:color w:val="000000"/>
                <w:sz w:val="20"/>
                <w:szCs w:val="20"/>
                <w:lang w:eastAsia="nl-NL"/>
              </w:rPr>
              <w:t>-</w:t>
            </w:r>
          </w:p>
        </w:tc>
        <w:tc>
          <w:tcPr>
            <w:tcW w:w="640" w:type="dxa"/>
            <w:tcBorders>
              <w:top w:val="nil"/>
              <w:left w:val="nil"/>
              <w:bottom w:val="single" w:sz="4" w:space="0" w:color="auto"/>
              <w:right w:val="single" w:sz="4" w:space="0" w:color="auto"/>
            </w:tcBorders>
            <w:shd w:val="clear" w:color="000000" w:fill="E26B0A"/>
            <w:noWrap/>
            <w:vAlign w:val="center"/>
            <w:hideMark/>
          </w:tcPr>
          <w:p w:rsidR="00E22373" w:rsidRPr="008B0F5E" w:rsidRDefault="00E22373" w:rsidP="00CE3832">
            <w:pPr>
              <w:spacing w:after="0" w:line="360" w:lineRule="auto"/>
              <w:jc w:val="center"/>
              <w:rPr>
                <w:rFonts w:ascii="Arial" w:eastAsia="Times New Roman" w:hAnsi="Arial" w:cs="Arial"/>
                <w:b/>
                <w:bCs/>
                <w:color w:val="000000"/>
                <w:sz w:val="20"/>
                <w:szCs w:val="20"/>
                <w:lang w:eastAsia="nl-NL"/>
              </w:rPr>
            </w:pPr>
            <w:r>
              <w:rPr>
                <w:rFonts w:ascii="Arial" w:eastAsia="Times New Roman" w:hAnsi="Arial" w:cs="Arial"/>
                <w:b/>
                <w:bCs/>
                <w:color w:val="000000"/>
                <w:sz w:val="20"/>
                <w:szCs w:val="20"/>
                <w:lang w:eastAsia="nl-NL"/>
              </w:rPr>
              <w:t>+</w:t>
            </w:r>
          </w:p>
        </w:tc>
      </w:tr>
    </w:tbl>
    <w:p w:rsidR="008B0F5E" w:rsidRDefault="00056A87" w:rsidP="002B6FE4">
      <w:pPr>
        <w:spacing w:line="360" w:lineRule="auto"/>
      </w:pPr>
      <w:r w:rsidRPr="00056A87">
        <w:rPr>
          <w:i/>
          <w:sz w:val="16"/>
          <w:szCs w:val="16"/>
        </w:rPr>
        <w:t xml:space="preserve">Opmerking. </w:t>
      </w:r>
      <w:r w:rsidRPr="00056A87">
        <w:rPr>
          <w:sz w:val="16"/>
          <w:szCs w:val="16"/>
        </w:rPr>
        <w:t>Gegevens afkomstig van</w:t>
      </w:r>
      <w:r w:rsidR="008B0F5E" w:rsidRPr="00056A87">
        <w:rPr>
          <w:sz w:val="16"/>
          <w:szCs w:val="16"/>
        </w:rPr>
        <w:t xml:space="preserve"> </w:t>
      </w:r>
      <w:sdt>
        <w:sdtPr>
          <w:rPr>
            <w:sz w:val="16"/>
            <w:szCs w:val="16"/>
          </w:rPr>
          <w:id w:val="-462045455"/>
          <w:citation/>
        </w:sdtPr>
        <w:sdtEndPr/>
        <w:sdtContent>
          <w:r w:rsidR="000172A6">
            <w:rPr>
              <w:sz w:val="16"/>
              <w:szCs w:val="16"/>
            </w:rPr>
            <w:fldChar w:fldCharType="begin"/>
          </w:r>
          <w:r w:rsidR="000172A6">
            <w:rPr>
              <w:sz w:val="16"/>
              <w:szCs w:val="16"/>
            </w:rPr>
            <w:instrText xml:space="preserve"> CITATION OEC152 \l 1043 </w:instrText>
          </w:r>
          <w:r w:rsidR="000172A6">
            <w:rPr>
              <w:sz w:val="16"/>
              <w:szCs w:val="16"/>
            </w:rPr>
            <w:fldChar w:fldCharType="separate"/>
          </w:r>
          <w:r w:rsidR="000172A6" w:rsidRPr="000172A6">
            <w:rPr>
              <w:noProof/>
              <w:sz w:val="16"/>
              <w:szCs w:val="16"/>
            </w:rPr>
            <w:t>(OECD, 2015)</w:t>
          </w:r>
          <w:r w:rsidR="000172A6">
            <w:rPr>
              <w:sz w:val="16"/>
              <w:szCs w:val="16"/>
            </w:rPr>
            <w:fldChar w:fldCharType="end"/>
          </w:r>
        </w:sdtContent>
      </w:sdt>
      <w:r w:rsidR="00661D88">
        <w:br/>
      </w:r>
      <w:r w:rsidR="008D1951">
        <w:br/>
        <w:t xml:space="preserve">Over een stijging van de werknemerscompensatie (het loon volgens het B-E model) wordt gezegd dat deze zou moeten resulteren in een hogere organisatiegraad, terwijl een lagere werknemerscompensatie een lagere organisatiegraad met zich mee zou brengen. In het geval van deze variabele blijken er nog maar </w:t>
      </w:r>
      <w:r w:rsidR="00864B45">
        <w:t>vijf jaren te zijn, waarvoor dit verband opgaat.</w:t>
      </w:r>
      <w:r w:rsidR="008D1951">
        <w:t xml:space="preserve"> </w:t>
      </w:r>
      <w:r w:rsidR="00BD0888">
        <w:t xml:space="preserve">Kanttekening is hierbij dat in 1985 en 1991 de stijging van de werknemerscompensatie slechts zeer gering is, waardoor er een vertekend effect ontstaat. In de jaren </w:t>
      </w:r>
      <w:r w:rsidR="00864B45">
        <w:t xml:space="preserve">1985 tot en met </w:t>
      </w:r>
      <w:r w:rsidR="00BD0888">
        <w:t xml:space="preserve">1987 en 1989 </w:t>
      </w:r>
      <w:r w:rsidR="00864B45">
        <w:t>en 1991</w:t>
      </w:r>
      <w:r w:rsidR="00FE5683">
        <w:t xml:space="preserve"> </w:t>
      </w:r>
      <w:r w:rsidR="00BD0888">
        <w:t>blijkt de positieve invloed van de werknemerscompensatie op de organisatiegraad volledig afwezig te zijn.</w:t>
      </w:r>
      <w:r w:rsidR="001E6383">
        <w:t xml:space="preserve"> </w:t>
      </w:r>
    </w:p>
    <w:p w:rsidR="00B54AD7" w:rsidRDefault="00B54AD7" w:rsidP="002B6FE4">
      <w:pPr>
        <w:spacing w:line="360" w:lineRule="auto"/>
        <w:rPr>
          <w:b/>
        </w:rPr>
      </w:pPr>
    </w:p>
    <w:p w:rsidR="00B54AD7" w:rsidRDefault="00B54AD7" w:rsidP="002B6FE4">
      <w:pPr>
        <w:spacing w:line="360" w:lineRule="auto"/>
        <w:rPr>
          <w:b/>
        </w:rPr>
      </w:pPr>
    </w:p>
    <w:p w:rsidR="00B54AD7" w:rsidRDefault="00B54AD7" w:rsidP="002B6FE4">
      <w:pPr>
        <w:spacing w:line="360" w:lineRule="auto"/>
        <w:rPr>
          <w:b/>
        </w:rPr>
      </w:pPr>
    </w:p>
    <w:p w:rsidR="00661D88" w:rsidRPr="00661D88" w:rsidRDefault="00661D88" w:rsidP="002B6FE4">
      <w:pPr>
        <w:spacing w:line="360" w:lineRule="auto"/>
        <w:rPr>
          <w:b/>
        </w:rPr>
      </w:pPr>
      <w:r>
        <w:rPr>
          <w:b/>
        </w:rPr>
        <w:lastRenderedPageBreak/>
        <w:t xml:space="preserve">Tabel 5. </w:t>
      </w:r>
      <w:r>
        <w:rPr>
          <w:b/>
        </w:rPr>
        <w:tab/>
      </w:r>
      <w:r>
        <w:rPr>
          <w:b/>
        </w:rPr>
        <w:tab/>
        <w:t xml:space="preserve">          Verandering werkloosheidspercentage en organisatiegraad 1983-1992</w:t>
      </w:r>
    </w:p>
    <w:tbl>
      <w:tblPr>
        <w:tblW w:w="9100" w:type="dxa"/>
        <w:tblInd w:w="55" w:type="dxa"/>
        <w:tblCellMar>
          <w:left w:w="70" w:type="dxa"/>
          <w:right w:w="70" w:type="dxa"/>
        </w:tblCellMar>
        <w:tblLook w:val="04A0" w:firstRow="1" w:lastRow="0" w:firstColumn="1" w:lastColumn="0" w:noHBand="0" w:noVBand="1"/>
      </w:tblPr>
      <w:tblGrid>
        <w:gridCol w:w="2600"/>
        <w:gridCol w:w="740"/>
        <w:gridCol w:w="640"/>
        <w:gridCol w:w="640"/>
        <w:gridCol w:w="640"/>
        <w:gridCol w:w="640"/>
        <w:gridCol w:w="640"/>
        <w:gridCol w:w="640"/>
        <w:gridCol w:w="640"/>
        <w:gridCol w:w="640"/>
        <w:gridCol w:w="640"/>
      </w:tblGrid>
      <w:tr w:rsidR="00AF74C8" w:rsidRPr="00AF74C8" w:rsidTr="00AF74C8">
        <w:trPr>
          <w:trHeight w:val="300"/>
        </w:trPr>
        <w:tc>
          <w:tcPr>
            <w:tcW w:w="2600" w:type="dxa"/>
            <w:tcBorders>
              <w:top w:val="nil"/>
              <w:left w:val="nil"/>
              <w:bottom w:val="nil"/>
              <w:right w:val="nil"/>
            </w:tcBorders>
            <w:shd w:val="clear" w:color="auto" w:fill="auto"/>
            <w:noWrap/>
            <w:vAlign w:val="center"/>
            <w:hideMark/>
          </w:tcPr>
          <w:p w:rsidR="00AF74C8" w:rsidRPr="00AF74C8" w:rsidRDefault="00AF74C8" w:rsidP="002B6FE4">
            <w:pPr>
              <w:spacing w:after="0" w:line="360" w:lineRule="auto"/>
              <w:jc w:val="center"/>
              <w:rPr>
                <w:rFonts w:ascii="Calibri" w:eastAsia="Times New Roman" w:hAnsi="Calibri" w:cs="Calibri"/>
                <w:b/>
                <w:bCs/>
                <w:color w:val="000000"/>
                <w:lang w:eastAsia="nl-NL"/>
              </w:rPr>
            </w:pPr>
          </w:p>
        </w:tc>
        <w:tc>
          <w:tcPr>
            <w:tcW w:w="740" w:type="dxa"/>
            <w:tcBorders>
              <w:top w:val="single" w:sz="4" w:space="0" w:color="auto"/>
              <w:left w:val="single" w:sz="4" w:space="0" w:color="auto"/>
              <w:bottom w:val="single" w:sz="4" w:space="0" w:color="auto"/>
              <w:right w:val="single" w:sz="4" w:space="0" w:color="auto"/>
            </w:tcBorders>
            <w:shd w:val="clear" w:color="000000" w:fill="974706"/>
            <w:noWrap/>
            <w:vAlign w:val="center"/>
            <w:hideMark/>
          </w:tcPr>
          <w:p w:rsidR="00AF74C8" w:rsidRPr="00AF74C8" w:rsidRDefault="00AF74C8" w:rsidP="002B6FE4">
            <w:pPr>
              <w:spacing w:after="0" w:line="360" w:lineRule="auto"/>
              <w:jc w:val="center"/>
              <w:rPr>
                <w:rFonts w:ascii="Calibri" w:eastAsia="Times New Roman" w:hAnsi="Calibri" w:cs="Calibri"/>
                <w:b/>
                <w:bCs/>
                <w:color w:val="FFFFFF"/>
                <w:lang w:eastAsia="nl-NL"/>
              </w:rPr>
            </w:pPr>
            <w:r w:rsidRPr="00AF74C8">
              <w:rPr>
                <w:rFonts w:ascii="Calibri" w:eastAsia="Times New Roman" w:hAnsi="Calibri" w:cs="Calibri"/>
                <w:b/>
                <w:bCs/>
                <w:color w:val="FFFFFF"/>
                <w:lang w:eastAsia="nl-NL"/>
              </w:rPr>
              <w:t>1983</w:t>
            </w:r>
          </w:p>
        </w:tc>
        <w:tc>
          <w:tcPr>
            <w:tcW w:w="640" w:type="dxa"/>
            <w:tcBorders>
              <w:top w:val="single" w:sz="4" w:space="0" w:color="auto"/>
              <w:left w:val="nil"/>
              <w:bottom w:val="single" w:sz="4" w:space="0" w:color="auto"/>
              <w:right w:val="single" w:sz="4" w:space="0" w:color="auto"/>
            </w:tcBorders>
            <w:shd w:val="clear" w:color="000000" w:fill="974706"/>
            <w:noWrap/>
            <w:vAlign w:val="center"/>
            <w:hideMark/>
          </w:tcPr>
          <w:p w:rsidR="00AF74C8" w:rsidRPr="00AF74C8" w:rsidRDefault="00AF74C8" w:rsidP="002B6FE4">
            <w:pPr>
              <w:spacing w:after="0" w:line="360" w:lineRule="auto"/>
              <w:jc w:val="center"/>
              <w:rPr>
                <w:rFonts w:ascii="Calibri" w:eastAsia="Times New Roman" w:hAnsi="Calibri" w:cs="Calibri"/>
                <w:b/>
                <w:bCs/>
                <w:color w:val="FFFFFF"/>
                <w:lang w:eastAsia="nl-NL"/>
              </w:rPr>
            </w:pPr>
            <w:r w:rsidRPr="00AF74C8">
              <w:rPr>
                <w:rFonts w:ascii="Calibri" w:eastAsia="Times New Roman" w:hAnsi="Calibri" w:cs="Calibri"/>
                <w:b/>
                <w:bCs/>
                <w:color w:val="FFFFFF"/>
                <w:lang w:eastAsia="nl-NL"/>
              </w:rPr>
              <w:t>1984</w:t>
            </w:r>
          </w:p>
        </w:tc>
        <w:tc>
          <w:tcPr>
            <w:tcW w:w="640" w:type="dxa"/>
            <w:tcBorders>
              <w:top w:val="single" w:sz="4" w:space="0" w:color="auto"/>
              <w:left w:val="nil"/>
              <w:bottom w:val="single" w:sz="4" w:space="0" w:color="auto"/>
              <w:right w:val="single" w:sz="4" w:space="0" w:color="auto"/>
            </w:tcBorders>
            <w:shd w:val="clear" w:color="000000" w:fill="974706"/>
            <w:noWrap/>
            <w:vAlign w:val="center"/>
            <w:hideMark/>
          </w:tcPr>
          <w:p w:rsidR="00AF74C8" w:rsidRPr="00AF74C8" w:rsidRDefault="00AF74C8" w:rsidP="002B6FE4">
            <w:pPr>
              <w:spacing w:after="0" w:line="360" w:lineRule="auto"/>
              <w:jc w:val="center"/>
              <w:rPr>
                <w:rFonts w:ascii="Calibri" w:eastAsia="Times New Roman" w:hAnsi="Calibri" w:cs="Calibri"/>
                <w:b/>
                <w:bCs/>
                <w:color w:val="FFFFFF"/>
                <w:lang w:eastAsia="nl-NL"/>
              </w:rPr>
            </w:pPr>
            <w:r w:rsidRPr="00AF74C8">
              <w:rPr>
                <w:rFonts w:ascii="Calibri" w:eastAsia="Times New Roman" w:hAnsi="Calibri" w:cs="Calibri"/>
                <w:b/>
                <w:bCs/>
                <w:color w:val="FFFFFF"/>
                <w:lang w:eastAsia="nl-NL"/>
              </w:rPr>
              <w:t>1985</w:t>
            </w:r>
          </w:p>
        </w:tc>
        <w:tc>
          <w:tcPr>
            <w:tcW w:w="640" w:type="dxa"/>
            <w:tcBorders>
              <w:top w:val="single" w:sz="4" w:space="0" w:color="auto"/>
              <w:left w:val="nil"/>
              <w:bottom w:val="single" w:sz="4" w:space="0" w:color="auto"/>
              <w:right w:val="single" w:sz="4" w:space="0" w:color="auto"/>
            </w:tcBorders>
            <w:shd w:val="clear" w:color="000000" w:fill="974706"/>
            <w:noWrap/>
            <w:vAlign w:val="center"/>
            <w:hideMark/>
          </w:tcPr>
          <w:p w:rsidR="00AF74C8" w:rsidRPr="00AF74C8" w:rsidRDefault="00AF74C8" w:rsidP="002B6FE4">
            <w:pPr>
              <w:spacing w:after="0" w:line="360" w:lineRule="auto"/>
              <w:jc w:val="center"/>
              <w:rPr>
                <w:rFonts w:ascii="Calibri" w:eastAsia="Times New Roman" w:hAnsi="Calibri" w:cs="Calibri"/>
                <w:b/>
                <w:bCs/>
                <w:color w:val="FFFFFF"/>
                <w:lang w:eastAsia="nl-NL"/>
              </w:rPr>
            </w:pPr>
            <w:r w:rsidRPr="00AF74C8">
              <w:rPr>
                <w:rFonts w:ascii="Calibri" w:eastAsia="Times New Roman" w:hAnsi="Calibri" w:cs="Calibri"/>
                <w:b/>
                <w:bCs/>
                <w:color w:val="FFFFFF"/>
                <w:lang w:eastAsia="nl-NL"/>
              </w:rPr>
              <w:t>1986</w:t>
            </w:r>
          </w:p>
        </w:tc>
        <w:tc>
          <w:tcPr>
            <w:tcW w:w="640" w:type="dxa"/>
            <w:tcBorders>
              <w:top w:val="single" w:sz="4" w:space="0" w:color="auto"/>
              <w:left w:val="nil"/>
              <w:bottom w:val="single" w:sz="4" w:space="0" w:color="auto"/>
              <w:right w:val="single" w:sz="4" w:space="0" w:color="auto"/>
            </w:tcBorders>
            <w:shd w:val="clear" w:color="000000" w:fill="974706"/>
            <w:noWrap/>
            <w:vAlign w:val="center"/>
            <w:hideMark/>
          </w:tcPr>
          <w:p w:rsidR="00AF74C8" w:rsidRPr="00AF74C8" w:rsidRDefault="00AF74C8" w:rsidP="002B6FE4">
            <w:pPr>
              <w:spacing w:after="0" w:line="360" w:lineRule="auto"/>
              <w:jc w:val="center"/>
              <w:rPr>
                <w:rFonts w:ascii="Calibri" w:eastAsia="Times New Roman" w:hAnsi="Calibri" w:cs="Calibri"/>
                <w:b/>
                <w:bCs/>
                <w:color w:val="FFFFFF"/>
                <w:lang w:eastAsia="nl-NL"/>
              </w:rPr>
            </w:pPr>
            <w:r w:rsidRPr="00AF74C8">
              <w:rPr>
                <w:rFonts w:ascii="Calibri" w:eastAsia="Times New Roman" w:hAnsi="Calibri" w:cs="Calibri"/>
                <w:b/>
                <w:bCs/>
                <w:color w:val="FFFFFF"/>
                <w:lang w:eastAsia="nl-NL"/>
              </w:rPr>
              <w:t>1987</w:t>
            </w:r>
          </w:p>
        </w:tc>
        <w:tc>
          <w:tcPr>
            <w:tcW w:w="640" w:type="dxa"/>
            <w:tcBorders>
              <w:top w:val="single" w:sz="4" w:space="0" w:color="auto"/>
              <w:left w:val="nil"/>
              <w:bottom w:val="single" w:sz="4" w:space="0" w:color="auto"/>
              <w:right w:val="single" w:sz="4" w:space="0" w:color="auto"/>
            </w:tcBorders>
            <w:shd w:val="clear" w:color="000000" w:fill="974706"/>
            <w:noWrap/>
            <w:vAlign w:val="center"/>
            <w:hideMark/>
          </w:tcPr>
          <w:p w:rsidR="00AF74C8" w:rsidRPr="00AF74C8" w:rsidRDefault="00AF74C8" w:rsidP="002B6FE4">
            <w:pPr>
              <w:spacing w:after="0" w:line="360" w:lineRule="auto"/>
              <w:jc w:val="center"/>
              <w:rPr>
                <w:rFonts w:ascii="Calibri" w:eastAsia="Times New Roman" w:hAnsi="Calibri" w:cs="Calibri"/>
                <w:b/>
                <w:bCs/>
                <w:color w:val="FFFFFF"/>
                <w:lang w:eastAsia="nl-NL"/>
              </w:rPr>
            </w:pPr>
            <w:r w:rsidRPr="00AF74C8">
              <w:rPr>
                <w:rFonts w:ascii="Calibri" w:eastAsia="Times New Roman" w:hAnsi="Calibri" w:cs="Calibri"/>
                <w:b/>
                <w:bCs/>
                <w:color w:val="FFFFFF"/>
                <w:lang w:eastAsia="nl-NL"/>
              </w:rPr>
              <w:t>1988</w:t>
            </w:r>
          </w:p>
        </w:tc>
        <w:tc>
          <w:tcPr>
            <w:tcW w:w="640" w:type="dxa"/>
            <w:tcBorders>
              <w:top w:val="single" w:sz="4" w:space="0" w:color="auto"/>
              <w:left w:val="nil"/>
              <w:bottom w:val="single" w:sz="4" w:space="0" w:color="auto"/>
              <w:right w:val="single" w:sz="4" w:space="0" w:color="auto"/>
            </w:tcBorders>
            <w:shd w:val="clear" w:color="000000" w:fill="974706"/>
            <w:noWrap/>
            <w:vAlign w:val="center"/>
            <w:hideMark/>
          </w:tcPr>
          <w:p w:rsidR="00AF74C8" w:rsidRPr="00AF74C8" w:rsidRDefault="00AF74C8" w:rsidP="002B6FE4">
            <w:pPr>
              <w:spacing w:after="0" w:line="360" w:lineRule="auto"/>
              <w:jc w:val="center"/>
              <w:rPr>
                <w:rFonts w:ascii="Calibri" w:eastAsia="Times New Roman" w:hAnsi="Calibri" w:cs="Calibri"/>
                <w:b/>
                <w:bCs/>
                <w:color w:val="FFFFFF"/>
                <w:lang w:eastAsia="nl-NL"/>
              </w:rPr>
            </w:pPr>
            <w:r w:rsidRPr="00AF74C8">
              <w:rPr>
                <w:rFonts w:ascii="Calibri" w:eastAsia="Times New Roman" w:hAnsi="Calibri" w:cs="Calibri"/>
                <w:b/>
                <w:bCs/>
                <w:color w:val="FFFFFF"/>
                <w:lang w:eastAsia="nl-NL"/>
              </w:rPr>
              <w:t>1989</w:t>
            </w:r>
          </w:p>
        </w:tc>
        <w:tc>
          <w:tcPr>
            <w:tcW w:w="640" w:type="dxa"/>
            <w:tcBorders>
              <w:top w:val="single" w:sz="4" w:space="0" w:color="auto"/>
              <w:left w:val="nil"/>
              <w:bottom w:val="single" w:sz="4" w:space="0" w:color="auto"/>
              <w:right w:val="single" w:sz="4" w:space="0" w:color="auto"/>
            </w:tcBorders>
            <w:shd w:val="clear" w:color="000000" w:fill="974706"/>
            <w:noWrap/>
            <w:vAlign w:val="center"/>
            <w:hideMark/>
          </w:tcPr>
          <w:p w:rsidR="00AF74C8" w:rsidRPr="00AF74C8" w:rsidRDefault="00AF74C8" w:rsidP="002B6FE4">
            <w:pPr>
              <w:spacing w:after="0" w:line="360" w:lineRule="auto"/>
              <w:jc w:val="center"/>
              <w:rPr>
                <w:rFonts w:ascii="Calibri" w:eastAsia="Times New Roman" w:hAnsi="Calibri" w:cs="Calibri"/>
                <w:b/>
                <w:bCs/>
                <w:color w:val="FFFFFF"/>
                <w:lang w:eastAsia="nl-NL"/>
              </w:rPr>
            </w:pPr>
            <w:r w:rsidRPr="00AF74C8">
              <w:rPr>
                <w:rFonts w:ascii="Calibri" w:eastAsia="Times New Roman" w:hAnsi="Calibri" w:cs="Calibri"/>
                <w:b/>
                <w:bCs/>
                <w:color w:val="FFFFFF"/>
                <w:lang w:eastAsia="nl-NL"/>
              </w:rPr>
              <w:t>1990</w:t>
            </w:r>
          </w:p>
        </w:tc>
        <w:tc>
          <w:tcPr>
            <w:tcW w:w="640" w:type="dxa"/>
            <w:tcBorders>
              <w:top w:val="single" w:sz="4" w:space="0" w:color="auto"/>
              <w:left w:val="nil"/>
              <w:bottom w:val="single" w:sz="4" w:space="0" w:color="auto"/>
              <w:right w:val="single" w:sz="4" w:space="0" w:color="auto"/>
            </w:tcBorders>
            <w:shd w:val="clear" w:color="000000" w:fill="974706"/>
            <w:noWrap/>
            <w:vAlign w:val="center"/>
            <w:hideMark/>
          </w:tcPr>
          <w:p w:rsidR="00AF74C8" w:rsidRPr="00AF74C8" w:rsidRDefault="00AF74C8" w:rsidP="002B6FE4">
            <w:pPr>
              <w:spacing w:after="0" w:line="360" w:lineRule="auto"/>
              <w:jc w:val="center"/>
              <w:rPr>
                <w:rFonts w:ascii="Calibri" w:eastAsia="Times New Roman" w:hAnsi="Calibri" w:cs="Calibri"/>
                <w:b/>
                <w:bCs/>
                <w:color w:val="FFFFFF"/>
                <w:lang w:eastAsia="nl-NL"/>
              </w:rPr>
            </w:pPr>
            <w:r w:rsidRPr="00AF74C8">
              <w:rPr>
                <w:rFonts w:ascii="Calibri" w:eastAsia="Times New Roman" w:hAnsi="Calibri" w:cs="Calibri"/>
                <w:b/>
                <w:bCs/>
                <w:color w:val="FFFFFF"/>
                <w:lang w:eastAsia="nl-NL"/>
              </w:rPr>
              <w:t>1991</w:t>
            </w:r>
          </w:p>
        </w:tc>
        <w:tc>
          <w:tcPr>
            <w:tcW w:w="640" w:type="dxa"/>
            <w:tcBorders>
              <w:top w:val="single" w:sz="4" w:space="0" w:color="auto"/>
              <w:left w:val="nil"/>
              <w:bottom w:val="single" w:sz="4" w:space="0" w:color="auto"/>
              <w:right w:val="single" w:sz="4" w:space="0" w:color="auto"/>
            </w:tcBorders>
            <w:shd w:val="clear" w:color="000000" w:fill="974706"/>
            <w:noWrap/>
            <w:vAlign w:val="center"/>
            <w:hideMark/>
          </w:tcPr>
          <w:p w:rsidR="00AF74C8" w:rsidRPr="00AF74C8" w:rsidRDefault="00AF74C8" w:rsidP="002B6FE4">
            <w:pPr>
              <w:spacing w:after="0" w:line="360" w:lineRule="auto"/>
              <w:jc w:val="center"/>
              <w:rPr>
                <w:rFonts w:ascii="Calibri" w:eastAsia="Times New Roman" w:hAnsi="Calibri" w:cs="Calibri"/>
                <w:b/>
                <w:bCs/>
                <w:color w:val="FFFFFF"/>
                <w:lang w:eastAsia="nl-NL"/>
              </w:rPr>
            </w:pPr>
            <w:r w:rsidRPr="00AF74C8">
              <w:rPr>
                <w:rFonts w:ascii="Calibri" w:eastAsia="Times New Roman" w:hAnsi="Calibri" w:cs="Calibri"/>
                <w:b/>
                <w:bCs/>
                <w:color w:val="FFFFFF"/>
                <w:lang w:eastAsia="nl-NL"/>
              </w:rPr>
              <w:t>1992</w:t>
            </w:r>
          </w:p>
        </w:tc>
      </w:tr>
      <w:tr w:rsidR="00AF74C8" w:rsidRPr="00AF74C8" w:rsidTr="00AF74C8">
        <w:trPr>
          <w:trHeight w:val="300"/>
        </w:trPr>
        <w:tc>
          <w:tcPr>
            <w:tcW w:w="2600" w:type="dxa"/>
            <w:tcBorders>
              <w:top w:val="single" w:sz="4" w:space="0" w:color="auto"/>
              <w:left w:val="single" w:sz="4" w:space="0" w:color="auto"/>
              <w:bottom w:val="single" w:sz="4" w:space="0" w:color="auto"/>
              <w:right w:val="nil"/>
            </w:tcBorders>
            <w:shd w:val="clear" w:color="000000" w:fill="FCD5B4"/>
            <w:noWrap/>
            <w:vAlign w:val="center"/>
            <w:hideMark/>
          </w:tcPr>
          <w:p w:rsidR="00AF74C8" w:rsidRPr="00AF74C8" w:rsidRDefault="00AF74C8" w:rsidP="002B6FE4">
            <w:pPr>
              <w:spacing w:after="0" w:line="360" w:lineRule="auto"/>
              <w:jc w:val="center"/>
              <w:rPr>
                <w:rFonts w:ascii="Calibri" w:eastAsia="Times New Roman" w:hAnsi="Calibri" w:cs="Calibri"/>
                <w:b/>
                <w:bCs/>
                <w:color w:val="000000"/>
                <w:lang w:eastAsia="nl-NL"/>
              </w:rPr>
            </w:pPr>
            <w:r w:rsidRPr="00AF74C8">
              <w:rPr>
                <w:rFonts w:ascii="Calibri" w:eastAsia="Times New Roman" w:hAnsi="Calibri" w:cs="Calibri"/>
                <w:b/>
                <w:bCs/>
                <w:color w:val="000000"/>
                <w:lang w:eastAsia="nl-NL"/>
              </w:rPr>
              <w:t>Werkloosheidspercentage</w:t>
            </w:r>
          </w:p>
        </w:tc>
        <w:tc>
          <w:tcPr>
            <w:tcW w:w="740" w:type="dxa"/>
            <w:tcBorders>
              <w:top w:val="nil"/>
              <w:left w:val="single" w:sz="4" w:space="0" w:color="auto"/>
              <w:bottom w:val="single" w:sz="4" w:space="0" w:color="auto"/>
              <w:right w:val="single" w:sz="4" w:space="0" w:color="auto"/>
            </w:tcBorders>
            <w:shd w:val="clear" w:color="000000" w:fill="FCD5B4"/>
            <w:noWrap/>
            <w:vAlign w:val="center"/>
            <w:hideMark/>
          </w:tcPr>
          <w:p w:rsidR="00AF74C8" w:rsidRPr="00AF74C8" w:rsidRDefault="00AF74C8" w:rsidP="002B6FE4">
            <w:pPr>
              <w:spacing w:after="0" w:line="360" w:lineRule="auto"/>
              <w:jc w:val="center"/>
              <w:rPr>
                <w:rFonts w:ascii="Calibri" w:eastAsia="Times New Roman" w:hAnsi="Calibri" w:cs="Calibri"/>
                <w:b/>
                <w:bCs/>
                <w:color w:val="000000"/>
                <w:lang w:eastAsia="nl-NL"/>
              </w:rPr>
            </w:pPr>
            <w:r w:rsidRPr="00AF74C8">
              <w:rPr>
                <w:rFonts w:ascii="Calibri" w:eastAsia="Times New Roman" w:hAnsi="Calibri" w:cs="Calibri"/>
                <w:b/>
                <w:bCs/>
                <w:color w:val="000000"/>
                <w:lang w:eastAsia="nl-NL"/>
              </w:rPr>
              <w:t>-</w:t>
            </w:r>
          </w:p>
        </w:tc>
        <w:tc>
          <w:tcPr>
            <w:tcW w:w="640" w:type="dxa"/>
            <w:tcBorders>
              <w:top w:val="nil"/>
              <w:left w:val="nil"/>
              <w:bottom w:val="single" w:sz="4" w:space="0" w:color="auto"/>
              <w:right w:val="single" w:sz="4" w:space="0" w:color="auto"/>
            </w:tcBorders>
            <w:shd w:val="clear" w:color="000000" w:fill="FCD5B4"/>
            <w:noWrap/>
            <w:vAlign w:val="center"/>
            <w:hideMark/>
          </w:tcPr>
          <w:p w:rsidR="00AF74C8" w:rsidRPr="00AF74C8" w:rsidRDefault="00AF74C8" w:rsidP="002B6FE4">
            <w:pPr>
              <w:spacing w:after="0" w:line="360" w:lineRule="auto"/>
              <w:jc w:val="center"/>
              <w:rPr>
                <w:rFonts w:ascii="Calibri" w:eastAsia="Times New Roman" w:hAnsi="Calibri" w:cs="Calibri"/>
                <w:b/>
                <w:bCs/>
                <w:color w:val="000000"/>
                <w:lang w:eastAsia="nl-NL"/>
              </w:rPr>
            </w:pPr>
            <w:r w:rsidRPr="00AF74C8">
              <w:rPr>
                <w:rFonts w:ascii="Calibri" w:eastAsia="Times New Roman" w:hAnsi="Calibri" w:cs="Calibri"/>
                <w:b/>
                <w:bCs/>
                <w:color w:val="000000"/>
                <w:lang w:eastAsia="nl-NL"/>
              </w:rPr>
              <w:t>-</w:t>
            </w:r>
          </w:p>
        </w:tc>
        <w:tc>
          <w:tcPr>
            <w:tcW w:w="640" w:type="dxa"/>
            <w:tcBorders>
              <w:top w:val="nil"/>
              <w:left w:val="nil"/>
              <w:bottom w:val="single" w:sz="4" w:space="0" w:color="auto"/>
              <w:right w:val="single" w:sz="4" w:space="0" w:color="auto"/>
            </w:tcBorders>
            <w:shd w:val="clear" w:color="000000" w:fill="FCD5B4"/>
            <w:noWrap/>
            <w:vAlign w:val="center"/>
            <w:hideMark/>
          </w:tcPr>
          <w:p w:rsidR="00AF74C8" w:rsidRPr="00AF74C8" w:rsidRDefault="00AF74C8" w:rsidP="002B6FE4">
            <w:pPr>
              <w:spacing w:after="0" w:line="360" w:lineRule="auto"/>
              <w:jc w:val="center"/>
              <w:rPr>
                <w:rFonts w:ascii="Calibri" w:eastAsia="Times New Roman" w:hAnsi="Calibri" w:cs="Calibri"/>
                <w:b/>
                <w:bCs/>
                <w:color w:val="000000"/>
                <w:lang w:eastAsia="nl-NL"/>
              </w:rPr>
            </w:pPr>
            <w:r w:rsidRPr="00AF74C8">
              <w:rPr>
                <w:rFonts w:ascii="Calibri" w:eastAsia="Times New Roman" w:hAnsi="Calibri" w:cs="Calibri"/>
                <w:b/>
                <w:bCs/>
                <w:color w:val="000000"/>
                <w:lang w:eastAsia="nl-NL"/>
              </w:rPr>
              <w:t>-</w:t>
            </w:r>
          </w:p>
        </w:tc>
        <w:tc>
          <w:tcPr>
            <w:tcW w:w="640" w:type="dxa"/>
            <w:tcBorders>
              <w:top w:val="nil"/>
              <w:left w:val="nil"/>
              <w:bottom w:val="single" w:sz="4" w:space="0" w:color="auto"/>
              <w:right w:val="single" w:sz="4" w:space="0" w:color="auto"/>
            </w:tcBorders>
            <w:shd w:val="clear" w:color="000000" w:fill="FCD5B4"/>
            <w:noWrap/>
            <w:vAlign w:val="center"/>
            <w:hideMark/>
          </w:tcPr>
          <w:p w:rsidR="00AF74C8" w:rsidRPr="00AF74C8" w:rsidRDefault="00AF74C8" w:rsidP="002B6FE4">
            <w:pPr>
              <w:spacing w:after="0" w:line="360" w:lineRule="auto"/>
              <w:jc w:val="center"/>
              <w:rPr>
                <w:rFonts w:ascii="Calibri" w:eastAsia="Times New Roman" w:hAnsi="Calibri" w:cs="Calibri"/>
                <w:b/>
                <w:bCs/>
                <w:color w:val="000000"/>
                <w:lang w:eastAsia="nl-NL"/>
              </w:rPr>
            </w:pPr>
            <w:r w:rsidRPr="00AF74C8">
              <w:rPr>
                <w:rFonts w:ascii="Calibri" w:eastAsia="Times New Roman" w:hAnsi="Calibri" w:cs="Calibri"/>
                <w:b/>
                <w:bCs/>
                <w:color w:val="000000"/>
                <w:lang w:eastAsia="nl-NL"/>
              </w:rPr>
              <w:t>-</w:t>
            </w:r>
          </w:p>
        </w:tc>
        <w:tc>
          <w:tcPr>
            <w:tcW w:w="640" w:type="dxa"/>
            <w:tcBorders>
              <w:top w:val="nil"/>
              <w:left w:val="nil"/>
              <w:bottom w:val="single" w:sz="4" w:space="0" w:color="auto"/>
              <w:right w:val="single" w:sz="4" w:space="0" w:color="auto"/>
            </w:tcBorders>
            <w:shd w:val="clear" w:color="000000" w:fill="FCD5B4"/>
            <w:noWrap/>
            <w:vAlign w:val="center"/>
            <w:hideMark/>
          </w:tcPr>
          <w:p w:rsidR="00AF74C8" w:rsidRPr="00AF74C8" w:rsidRDefault="00AF74C8" w:rsidP="002B6FE4">
            <w:pPr>
              <w:spacing w:after="0" w:line="360" w:lineRule="auto"/>
              <w:jc w:val="center"/>
              <w:rPr>
                <w:rFonts w:ascii="Calibri" w:eastAsia="Times New Roman" w:hAnsi="Calibri" w:cs="Calibri"/>
                <w:b/>
                <w:bCs/>
                <w:color w:val="000000"/>
                <w:lang w:eastAsia="nl-NL"/>
              </w:rPr>
            </w:pPr>
            <w:r w:rsidRPr="00AF74C8">
              <w:rPr>
                <w:rFonts w:ascii="Calibri" w:eastAsia="Times New Roman" w:hAnsi="Calibri" w:cs="Calibri"/>
                <w:b/>
                <w:bCs/>
                <w:color w:val="000000"/>
                <w:lang w:eastAsia="nl-NL"/>
              </w:rPr>
              <w:t>-</w:t>
            </w:r>
          </w:p>
        </w:tc>
        <w:tc>
          <w:tcPr>
            <w:tcW w:w="640" w:type="dxa"/>
            <w:tcBorders>
              <w:top w:val="nil"/>
              <w:left w:val="nil"/>
              <w:bottom w:val="single" w:sz="4" w:space="0" w:color="auto"/>
              <w:right w:val="single" w:sz="4" w:space="0" w:color="auto"/>
            </w:tcBorders>
            <w:shd w:val="clear" w:color="000000" w:fill="FCD5B4"/>
            <w:noWrap/>
            <w:vAlign w:val="center"/>
            <w:hideMark/>
          </w:tcPr>
          <w:p w:rsidR="00AF74C8" w:rsidRPr="00AF74C8" w:rsidRDefault="00AF74C8" w:rsidP="002B6FE4">
            <w:pPr>
              <w:spacing w:after="0" w:line="360" w:lineRule="auto"/>
              <w:jc w:val="center"/>
              <w:rPr>
                <w:rFonts w:ascii="Calibri" w:eastAsia="Times New Roman" w:hAnsi="Calibri" w:cs="Calibri"/>
                <w:b/>
                <w:bCs/>
                <w:color w:val="000000"/>
                <w:lang w:eastAsia="nl-NL"/>
              </w:rPr>
            </w:pPr>
            <w:r w:rsidRPr="00AF74C8">
              <w:rPr>
                <w:rFonts w:ascii="Calibri" w:eastAsia="Times New Roman" w:hAnsi="Calibri" w:cs="Calibri"/>
                <w:b/>
                <w:bCs/>
                <w:color w:val="000000"/>
                <w:lang w:eastAsia="nl-NL"/>
              </w:rPr>
              <w:t>-</w:t>
            </w:r>
          </w:p>
        </w:tc>
        <w:tc>
          <w:tcPr>
            <w:tcW w:w="640" w:type="dxa"/>
            <w:tcBorders>
              <w:top w:val="nil"/>
              <w:left w:val="nil"/>
              <w:bottom w:val="single" w:sz="4" w:space="0" w:color="auto"/>
              <w:right w:val="single" w:sz="4" w:space="0" w:color="auto"/>
            </w:tcBorders>
            <w:shd w:val="clear" w:color="000000" w:fill="FCD5B4"/>
            <w:noWrap/>
            <w:vAlign w:val="center"/>
            <w:hideMark/>
          </w:tcPr>
          <w:p w:rsidR="00AF74C8" w:rsidRPr="00AF74C8" w:rsidRDefault="00AF74C8" w:rsidP="002B6FE4">
            <w:pPr>
              <w:spacing w:after="0" w:line="360" w:lineRule="auto"/>
              <w:jc w:val="center"/>
              <w:rPr>
                <w:rFonts w:ascii="Calibri" w:eastAsia="Times New Roman" w:hAnsi="Calibri" w:cs="Calibri"/>
                <w:b/>
                <w:bCs/>
                <w:color w:val="000000"/>
                <w:lang w:eastAsia="nl-NL"/>
              </w:rPr>
            </w:pPr>
            <w:r w:rsidRPr="00AF74C8">
              <w:rPr>
                <w:rFonts w:ascii="Calibri" w:eastAsia="Times New Roman" w:hAnsi="Calibri" w:cs="Calibri"/>
                <w:b/>
                <w:bCs/>
                <w:color w:val="000000"/>
                <w:lang w:eastAsia="nl-NL"/>
              </w:rPr>
              <w:t>-</w:t>
            </w:r>
          </w:p>
        </w:tc>
        <w:tc>
          <w:tcPr>
            <w:tcW w:w="640" w:type="dxa"/>
            <w:tcBorders>
              <w:top w:val="nil"/>
              <w:left w:val="nil"/>
              <w:bottom w:val="single" w:sz="4" w:space="0" w:color="auto"/>
              <w:right w:val="single" w:sz="4" w:space="0" w:color="auto"/>
            </w:tcBorders>
            <w:shd w:val="clear" w:color="000000" w:fill="FCD5B4"/>
            <w:noWrap/>
            <w:vAlign w:val="center"/>
            <w:hideMark/>
          </w:tcPr>
          <w:p w:rsidR="00AF74C8" w:rsidRPr="00AF74C8" w:rsidRDefault="00AF74C8" w:rsidP="002B6FE4">
            <w:pPr>
              <w:spacing w:after="0" w:line="360" w:lineRule="auto"/>
              <w:jc w:val="center"/>
              <w:rPr>
                <w:rFonts w:ascii="Calibri" w:eastAsia="Times New Roman" w:hAnsi="Calibri" w:cs="Calibri"/>
                <w:b/>
                <w:bCs/>
                <w:color w:val="000000"/>
                <w:lang w:eastAsia="nl-NL"/>
              </w:rPr>
            </w:pPr>
            <w:r w:rsidRPr="00AF74C8">
              <w:rPr>
                <w:rFonts w:ascii="Calibri" w:eastAsia="Times New Roman" w:hAnsi="Calibri" w:cs="Calibri"/>
                <w:b/>
                <w:bCs/>
                <w:color w:val="000000"/>
                <w:lang w:eastAsia="nl-NL"/>
              </w:rPr>
              <w:t>-</w:t>
            </w:r>
          </w:p>
        </w:tc>
        <w:tc>
          <w:tcPr>
            <w:tcW w:w="640" w:type="dxa"/>
            <w:tcBorders>
              <w:top w:val="nil"/>
              <w:left w:val="nil"/>
              <w:bottom w:val="single" w:sz="4" w:space="0" w:color="auto"/>
              <w:right w:val="single" w:sz="4" w:space="0" w:color="auto"/>
            </w:tcBorders>
            <w:shd w:val="clear" w:color="000000" w:fill="FCD5B4"/>
            <w:noWrap/>
            <w:vAlign w:val="center"/>
            <w:hideMark/>
          </w:tcPr>
          <w:p w:rsidR="00AF74C8" w:rsidRPr="00AF74C8" w:rsidRDefault="00AF74C8" w:rsidP="002B6FE4">
            <w:pPr>
              <w:spacing w:after="0" w:line="360" w:lineRule="auto"/>
              <w:jc w:val="center"/>
              <w:rPr>
                <w:rFonts w:ascii="Calibri" w:eastAsia="Times New Roman" w:hAnsi="Calibri" w:cs="Calibri"/>
                <w:b/>
                <w:bCs/>
                <w:color w:val="000000"/>
                <w:lang w:eastAsia="nl-NL"/>
              </w:rPr>
            </w:pPr>
            <w:r w:rsidRPr="00AF74C8">
              <w:rPr>
                <w:rFonts w:ascii="Calibri" w:eastAsia="Times New Roman" w:hAnsi="Calibri" w:cs="Calibri"/>
                <w:b/>
                <w:bCs/>
                <w:color w:val="000000"/>
                <w:lang w:eastAsia="nl-NL"/>
              </w:rPr>
              <w:t>-</w:t>
            </w:r>
          </w:p>
        </w:tc>
        <w:tc>
          <w:tcPr>
            <w:tcW w:w="640" w:type="dxa"/>
            <w:tcBorders>
              <w:top w:val="nil"/>
              <w:left w:val="nil"/>
              <w:bottom w:val="single" w:sz="4" w:space="0" w:color="auto"/>
              <w:right w:val="single" w:sz="4" w:space="0" w:color="auto"/>
            </w:tcBorders>
            <w:shd w:val="clear" w:color="000000" w:fill="FCD5B4"/>
            <w:noWrap/>
            <w:vAlign w:val="center"/>
            <w:hideMark/>
          </w:tcPr>
          <w:p w:rsidR="00AF74C8" w:rsidRPr="00AF74C8" w:rsidRDefault="00E22373" w:rsidP="002B6FE4">
            <w:pPr>
              <w:spacing w:after="0" w:line="360" w:lineRule="auto"/>
              <w:jc w:val="center"/>
              <w:rPr>
                <w:rFonts w:ascii="Calibri" w:eastAsia="Times New Roman" w:hAnsi="Calibri" w:cs="Calibri"/>
                <w:b/>
                <w:bCs/>
                <w:color w:val="000000"/>
                <w:lang w:eastAsia="nl-NL"/>
              </w:rPr>
            </w:pPr>
            <w:r>
              <w:rPr>
                <w:rFonts w:ascii="Calibri" w:eastAsia="Times New Roman" w:hAnsi="Calibri" w:cs="Calibri"/>
                <w:b/>
                <w:bCs/>
                <w:color w:val="000000"/>
                <w:lang w:eastAsia="nl-NL"/>
              </w:rPr>
              <w:t>0</w:t>
            </w:r>
          </w:p>
        </w:tc>
      </w:tr>
      <w:tr w:rsidR="00E22373" w:rsidRPr="00AF74C8" w:rsidTr="00AF74C8">
        <w:trPr>
          <w:trHeight w:val="300"/>
        </w:trPr>
        <w:tc>
          <w:tcPr>
            <w:tcW w:w="2600" w:type="dxa"/>
            <w:tcBorders>
              <w:top w:val="nil"/>
              <w:left w:val="single" w:sz="4" w:space="0" w:color="auto"/>
              <w:bottom w:val="single" w:sz="4" w:space="0" w:color="auto"/>
              <w:right w:val="single" w:sz="4" w:space="0" w:color="auto"/>
            </w:tcBorders>
            <w:shd w:val="clear" w:color="000000" w:fill="E26B0A"/>
            <w:noWrap/>
            <w:vAlign w:val="center"/>
            <w:hideMark/>
          </w:tcPr>
          <w:p w:rsidR="00E22373" w:rsidRPr="00AF74C8" w:rsidRDefault="00E22373" w:rsidP="002B6FE4">
            <w:pPr>
              <w:spacing w:after="0" w:line="360" w:lineRule="auto"/>
              <w:jc w:val="center"/>
              <w:rPr>
                <w:rFonts w:ascii="Calibri" w:eastAsia="Times New Roman" w:hAnsi="Calibri" w:cs="Calibri"/>
                <w:b/>
                <w:bCs/>
                <w:color w:val="000000"/>
                <w:lang w:eastAsia="nl-NL"/>
              </w:rPr>
            </w:pPr>
            <w:r w:rsidRPr="00AF74C8">
              <w:rPr>
                <w:rFonts w:ascii="Calibri" w:eastAsia="Times New Roman" w:hAnsi="Calibri" w:cs="Calibri"/>
                <w:b/>
                <w:bCs/>
                <w:color w:val="000000"/>
                <w:lang w:eastAsia="nl-NL"/>
              </w:rPr>
              <w:t>Organisatiegraad</w:t>
            </w:r>
          </w:p>
        </w:tc>
        <w:tc>
          <w:tcPr>
            <w:tcW w:w="740" w:type="dxa"/>
            <w:tcBorders>
              <w:top w:val="nil"/>
              <w:left w:val="nil"/>
              <w:bottom w:val="single" w:sz="4" w:space="0" w:color="auto"/>
              <w:right w:val="single" w:sz="4" w:space="0" w:color="auto"/>
            </w:tcBorders>
            <w:shd w:val="clear" w:color="000000" w:fill="E26B0A"/>
            <w:noWrap/>
            <w:vAlign w:val="center"/>
            <w:hideMark/>
          </w:tcPr>
          <w:p w:rsidR="00E22373" w:rsidRPr="008B0F5E" w:rsidRDefault="00E22373" w:rsidP="00CE3832">
            <w:pPr>
              <w:spacing w:after="0" w:line="360" w:lineRule="auto"/>
              <w:jc w:val="center"/>
              <w:rPr>
                <w:rFonts w:ascii="Arial" w:eastAsia="Times New Roman" w:hAnsi="Arial" w:cs="Arial"/>
                <w:b/>
                <w:bCs/>
                <w:color w:val="000000"/>
                <w:sz w:val="20"/>
                <w:szCs w:val="20"/>
                <w:lang w:eastAsia="nl-NL"/>
              </w:rPr>
            </w:pPr>
            <w:r w:rsidRPr="008B0F5E">
              <w:rPr>
                <w:rFonts w:ascii="Arial" w:eastAsia="Times New Roman" w:hAnsi="Arial" w:cs="Arial"/>
                <w:b/>
                <w:bCs/>
                <w:color w:val="000000"/>
                <w:sz w:val="20"/>
                <w:szCs w:val="20"/>
                <w:lang w:eastAsia="nl-NL"/>
              </w:rPr>
              <w:t>-</w:t>
            </w:r>
          </w:p>
        </w:tc>
        <w:tc>
          <w:tcPr>
            <w:tcW w:w="640" w:type="dxa"/>
            <w:tcBorders>
              <w:top w:val="nil"/>
              <w:left w:val="nil"/>
              <w:bottom w:val="single" w:sz="4" w:space="0" w:color="auto"/>
              <w:right w:val="single" w:sz="4" w:space="0" w:color="auto"/>
            </w:tcBorders>
            <w:shd w:val="clear" w:color="000000" w:fill="E26B0A"/>
            <w:noWrap/>
            <w:vAlign w:val="center"/>
            <w:hideMark/>
          </w:tcPr>
          <w:p w:rsidR="00E22373" w:rsidRPr="008B0F5E" w:rsidRDefault="00E22373" w:rsidP="00CE3832">
            <w:pPr>
              <w:spacing w:after="0" w:line="360" w:lineRule="auto"/>
              <w:jc w:val="center"/>
              <w:rPr>
                <w:rFonts w:ascii="Arial" w:eastAsia="Times New Roman" w:hAnsi="Arial" w:cs="Arial"/>
                <w:b/>
                <w:bCs/>
                <w:color w:val="000000"/>
                <w:sz w:val="20"/>
                <w:szCs w:val="20"/>
                <w:lang w:eastAsia="nl-NL"/>
              </w:rPr>
            </w:pPr>
            <w:r w:rsidRPr="008B0F5E">
              <w:rPr>
                <w:rFonts w:ascii="Arial" w:eastAsia="Times New Roman" w:hAnsi="Arial" w:cs="Arial"/>
                <w:b/>
                <w:bCs/>
                <w:color w:val="000000"/>
                <w:sz w:val="20"/>
                <w:szCs w:val="20"/>
                <w:lang w:eastAsia="nl-NL"/>
              </w:rPr>
              <w:t>-</w:t>
            </w:r>
          </w:p>
        </w:tc>
        <w:tc>
          <w:tcPr>
            <w:tcW w:w="640" w:type="dxa"/>
            <w:tcBorders>
              <w:top w:val="nil"/>
              <w:left w:val="nil"/>
              <w:bottom w:val="single" w:sz="4" w:space="0" w:color="auto"/>
              <w:right w:val="single" w:sz="4" w:space="0" w:color="auto"/>
            </w:tcBorders>
            <w:shd w:val="clear" w:color="000000" w:fill="E26B0A"/>
            <w:noWrap/>
            <w:vAlign w:val="center"/>
            <w:hideMark/>
          </w:tcPr>
          <w:p w:rsidR="00E22373" w:rsidRPr="008B0F5E" w:rsidRDefault="00E22373" w:rsidP="00CE3832">
            <w:pPr>
              <w:spacing w:after="0" w:line="360" w:lineRule="auto"/>
              <w:jc w:val="center"/>
              <w:rPr>
                <w:rFonts w:ascii="Arial" w:eastAsia="Times New Roman" w:hAnsi="Arial" w:cs="Arial"/>
                <w:b/>
                <w:bCs/>
                <w:color w:val="000000"/>
                <w:sz w:val="20"/>
                <w:szCs w:val="20"/>
                <w:lang w:eastAsia="nl-NL"/>
              </w:rPr>
            </w:pPr>
            <w:r w:rsidRPr="008B0F5E">
              <w:rPr>
                <w:rFonts w:ascii="Arial" w:eastAsia="Times New Roman" w:hAnsi="Arial" w:cs="Arial"/>
                <w:b/>
                <w:bCs/>
                <w:color w:val="000000"/>
                <w:sz w:val="20"/>
                <w:szCs w:val="20"/>
                <w:lang w:eastAsia="nl-NL"/>
              </w:rPr>
              <w:t>-</w:t>
            </w:r>
          </w:p>
        </w:tc>
        <w:tc>
          <w:tcPr>
            <w:tcW w:w="640" w:type="dxa"/>
            <w:tcBorders>
              <w:top w:val="nil"/>
              <w:left w:val="nil"/>
              <w:bottom w:val="single" w:sz="4" w:space="0" w:color="auto"/>
              <w:right w:val="single" w:sz="4" w:space="0" w:color="auto"/>
            </w:tcBorders>
            <w:shd w:val="clear" w:color="000000" w:fill="E26B0A"/>
            <w:noWrap/>
            <w:vAlign w:val="center"/>
            <w:hideMark/>
          </w:tcPr>
          <w:p w:rsidR="00E22373" w:rsidRPr="008B0F5E" w:rsidRDefault="00E22373" w:rsidP="00CE3832">
            <w:pPr>
              <w:spacing w:after="0" w:line="360" w:lineRule="auto"/>
              <w:jc w:val="center"/>
              <w:rPr>
                <w:rFonts w:ascii="Arial" w:eastAsia="Times New Roman" w:hAnsi="Arial" w:cs="Arial"/>
                <w:b/>
                <w:bCs/>
                <w:color w:val="000000"/>
                <w:sz w:val="20"/>
                <w:szCs w:val="20"/>
                <w:lang w:eastAsia="nl-NL"/>
              </w:rPr>
            </w:pPr>
            <w:r w:rsidRPr="008B0F5E">
              <w:rPr>
                <w:rFonts w:ascii="Arial" w:eastAsia="Times New Roman" w:hAnsi="Arial" w:cs="Arial"/>
                <w:b/>
                <w:bCs/>
                <w:color w:val="000000"/>
                <w:sz w:val="20"/>
                <w:szCs w:val="20"/>
                <w:lang w:eastAsia="nl-NL"/>
              </w:rPr>
              <w:t>-</w:t>
            </w:r>
          </w:p>
        </w:tc>
        <w:tc>
          <w:tcPr>
            <w:tcW w:w="640" w:type="dxa"/>
            <w:tcBorders>
              <w:top w:val="nil"/>
              <w:left w:val="nil"/>
              <w:bottom w:val="single" w:sz="4" w:space="0" w:color="auto"/>
              <w:right w:val="single" w:sz="4" w:space="0" w:color="auto"/>
            </w:tcBorders>
            <w:shd w:val="clear" w:color="000000" w:fill="E26B0A"/>
            <w:noWrap/>
            <w:vAlign w:val="center"/>
            <w:hideMark/>
          </w:tcPr>
          <w:p w:rsidR="00E22373" w:rsidRPr="008B0F5E" w:rsidRDefault="00E22373" w:rsidP="00CE3832">
            <w:pPr>
              <w:spacing w:after="0" w:line="360" w:lineRule="auto"/>
              <w:jc w:val="center"/>
              <w:rPr>
                <w:rFonts w:ascii="Arial" w:eastAsia="Times New Roman" w:hAnsi="Arial" w:cs="Arial"/>
                <w:b/>
                <w:bCs/>
                <w:color w:val="000000"/>
                <w:sz w:val="20"/>
                <w:szCs w:val="20"/>
                <w:lang w:eastAsia="nl-NL"/>
              </w:rPr>
            </w:pPr>
            <w:r w:rsidRPr="008B0F5E">
              <w:rPr>
                <w:rFonts w:ascii="Arial" w:eastAsia="Times New Roman" w:hAnsi="Arial" w:cs="Arial"/>
                <w:b/>
                <w:bCs/>
                <w:color w:val="000000"/>
                <w:sz w:val="20"/>
                <w:szCs w:val="20"/>
                <w:lang w:eastAsia="nl-NL"/>
              </w:rPr>
              <w:t>-</w:t>
            </w:r>
          </w:p>
        </w:tc>
        <w:tc>
          <w:tcPr>
            <w:tcW w:w="640" w:type="dxa"/>
            <w:tcBorders>
              <w:top w:val="nil"/>
              <w:left w:val="nil"/>
              <w:bottom w:val="single" w:sz="4" w:space="0" w:color="auto"/>
              <w:right w:val="single" w:sz="4" w:space="0" w:color="auto"/>
            </w:tcBorders>
            <w:shd w:val="clear" w:color="000000" w:fill="E26B0A"/>
            <w:noWrap/>
            <w:vAlign w:val="center"/>
            <w:hideMark/>
          </w:tcPr>
          <w:p w:rsidR="00E22373" w:rsidRPr="008B0F5E" w:rsidRDefault="00E22373" w:rsidP="00CE3832">
            <w:pPr>
              <w:spacing w:after="0" w:line="360" w:lineRule="auto"/>
              <w:jc w:val="center"/>
              <w:rPr>
                <w:rFonts w:ascii="Arial" w:eastAsia="Times New Roman" w:hAnsi="Arial" w:cs="Arial"/>
                <w:b/>
                <w:bCs/>
                <w:color w:val="000000"/>
                <w:sz w:val="20"/>
                <w:szCs w:val="20"/>
                <w:lang w:eastAsia="nl-NL"/>
              </w:rPr>
            </w:pPr>
            <w:r w:rsidRPr="008B0F5E">
              <w:rPr>
                <w:rFonts w:ascii="Arial" w:eastAsia="Times New Roman" w:hAnsi="Arial" w:cs="Arial"/>
                <w:b/>
                <w:bCs/>
                <w:color w:val="000000"/>
                <w:sz w:val="20"/>
                <w:szCs w:val="20"/>
                <w:lang w:eastAsia="nl-NL"/>
              </w:rPr>
              <w:t>-</w:t>
            </w:r>
          </w:p>
        </w:tc>
        <w:tc>
          <w:tcPr>
            <w:tcW w:w="640" w:type="dxa"/>
            <w:tcBorders>
              <w:top w:val="nil"/>
              <w:left w:val="nil"/>
              <w:bottom w:val="single" w:sz="4" w:space="0" w:color="auto"/>
              <w:right w:val="single" w:sz="4" w:space="0" w:color="auto"/>
            </w:tcBorders>
            <w:shd w:val="clear" w:color="000000" w:fill="E26B0A"/>
            <w:noWrap/>
            <w:vAlign w:val="center"/>
            <w:hideMark/>
          </w:tcPr>
          <w:p w:rsidR="00E22373" w:rsidRPr="008B0F5E" w:rsidRDefault="00E22373" w:rsidP="00CE3832">
            <w:pPr>
              <w:spacing w:after="0" w:line="360" w:lineRule="auto"/>
              <w:jc w:val="center"/>
              <w:rPr>
                <w:rFonts w:ascii="Arial" w:eastAsia="Times New Roman" w:hAnsi="Arial" w:cs="Arial"/>
                <w:b/>
                <w:bCs/>
                <w:color w:val="000000"/>
                <w:sz w:val="20"/>
                <w:szCs w:val="20"/>
                <w:lang w:eastAsia="nl-NL"/>
              </w:rPr>
            </w:pPr>
            <w:r w:rsidRPr="008B0F5E">
              <w:rPr>
                <w:rFonts w:ascii="Arial" w:eastAsia="Times New Roman" w:hAnsi="Arial" w:cs="Arial"/>
                <w:b/>
                <w:bCs/>
                <w:color w:val="000000"/>
                <w:sz w:val="20"/>
                <w:szCs w:val="20"/>
                <w:lang w:eastAsia="nl-NL"/>
              </w:rPr>
              <w:t>+</w:t>
            </w:r>
          </w:p>
        </w:tc>
        <w:tc>
          <w:tcPr>
            <w:tcW w:w="640" w:type="dxa"/>
            <w:tcBorders>
              <w:top w:val="nil"/>
              <w:left w:val="nil"/>
              <w:bottom w:val="single" w:sz="4" w:space="0" w:color="auto"/>
              <w:right w:val="single" w:sz="4" w:space="0" w:color="auto"/>
            </w:tcBorders>
            <w:shd w:val="clear" w:color="000000" w:fill="E26B0A"/>
            <w:noWrap/>
            <w:vAlign w:val="center"/>
            <w:hideMark/>
          </w:tcPr>
          <w:p w:rsidR="00E22373" w:rsidRPr="008B0F5E" w:rsidRDefault="00E22373" w:rsidP="00CE3832">
            <w:pPr>
              <w:spacing w:after="0" w:line="360" w:lineRule="auto"/>
              <w:jc w:val="center"/>
              <w:rPr>
                <w:rFonts w:ascii="Arial" w:eastAsia="Times New Roman" w:hAnsi="Arial" w:cs="Arial"/>
                <w:b/>
                <w:bCs/>
                <w:color w:val="000000"/>
                <w:sz w:val="20"/>
                <w:szCs w:val="20"/>
                <w:lang w:eastAsia="nl-NL"/>
              </w:rPr>
            </w:pPr>
            <w:r>
              <w:rPr>
                <w:rFonts w:ascii="Arial" w:eastAsia="Times New Roman" w:hAnsi="Arial" w:cs="Arial"/>
                <w:b/>
                <w:bCs/>
                <w:color w:val="000000"/>
                <w:sz w:val="20"/>
                <w:szCs w:val="20"/>
                <w:lang w:eastAsia="nl-NL"/>
              </w:rPr>
              <w:t>+</w:t>
            </w:r>
          </w:p>
        </w:tc>
        <w:tc>
          <w:tcPr>
            <w:tcW w:w="640" w:type="dxa"/>
            <w:tcBorders>
              <w:top w:val="nil"/>
              <w:left w:val="nil"/>
              <w:bottom w:val="single" w:sz="4" w:space="0" w:color="auto"/>
              <w:right w:val="single" w:sz="4" w:space="0" w:color="auto"/>
            </w:tcBorders>
            <w:shd w:val="clear" w:color="000000" w:fill="E26B0A"/>
            <w:noWrap/>
            <w:vAlign w:val="center"/>
            <w:hideMark/>
          </w:tcPr>
          <w:p w:rsidR="00E22373" w:rsidRPr="008B0F5E" w:rsidRDefault="00E22373" w:rsidP="00CE3832">
            <w:pPr>
              <w:spacing w:after="0" w:line="360" w:lineRule="auto"/>
              <w:jc w:val="center"/>
              <w:rPr>
                <w:rFonts w:ascii="Arial" w:eastAsia="Times New Roman" w:hAnsi="Arial" w:cs="Arial"/>
                <w:b/>
                <w:bCs/>
                <w:color w:val="000000"/>
                <w:sz w:val="20"/>
                <w:szCs w:val="20"/>
                <w:lang w:eastAsia="nl-NL"/>
              </w:rPr>
            </w:pPr>
            <w:r w:rsidRPr="008B0F5E">
              <w:rPr>
                <w:rFonts w:ascii="Arial" w:eastAsia="Times New Roman" w:hAnsi="Arial" w:cs="Arial"/>
                <w:b/>
                <w:bCs/>
                <w:color w:val="000000"/>
                <w:sz w:val="20"/>
                <w:szCs w:val="20"/>
                <w:lang w:eastAsia="nl-NL"/>
              </w:rPr>
              <w:t>-</w:t>
            </w:r>
          </w:p>
        </w:tc>
        <w:tc>
          <w:tcPr>
            <w:tcW w:w="640" w:type="dxa"/>
            <w:tcBorders>
              <w:top w:val="nil"/>
              <w:left w:val="nil"/>
              <w:bottom w:val="single" w:sz="4" w:space="0" w:color="auto"/>
              <w:right w:val="single" w:sz="4" w:space="0" w:color="auto"/>
            </w:tcBorders>
            <w:shd w:val="clear" w:color="000000" w:fill="E26B0A"/>
            <w:noWrap/>
            <w:vAlign w:val="center"/>
            <w:hideMark/>
          </w:tcPr>
          <w:p w:rsidR="00E22373" w:rsidRPr="008B0F5E" w:rsidRDefault="00E22373" w:rsidP="00CE3832">
            <w:pPr>
              <w:spacing w:after="0" w:line="360" w:lineRule="auto"/>
              <w:jc w:val="center"/>
              <w:rPr>
                <w:rFonts w:ascii="Arial" w:eastAsia="Times New Roman" w:hAnsi="Arial" w:cs="Arial"/>
                <w:b/>
                <w:bCs/>
                <w:color w:val="000000"/>
                <w:sz w:val="20"/>
                <w:szCs w:val="20"/>
                <w:lang w:eastAsia="nl-NL"/>
              </w:rPr>
            </w:pPr>
            <w:r>
              <w:rPr>
                <w:rFonts w:ascii="Arial" w:eastAsia="Times New Roman" w:hAnsi="Arial" w:cs="Arial"/>
                <w:b/>
                <w:bCs/>
                <w:color w:val="000000"/>
                <w:sz w:val="20"/>
                <w:szCs w:val="20"/>
                <w:lang w:eastAsia="nl-NL"/>
              </w:rPr>
              <w:t>+</w:t>
            </w:r>
          </w:p>
        </w:tc>
      </w:tr>
    </w:tbl>
    <w:p w:rsidR="004F60B7" w:rsidRDefault="00056A87" w:rsidP="002B6FE4">
      <w:pPr>
        <w:spacing w:line="360" w:lineRule="auto"/>
      </w:pPr>
      <w:r w:rsidRPr="00056A87">
        <w:rPr>
          <w:i/>
          <w:noProof/>
          <w:sz w:val="16"/>
          <w:szCs w:val="16"/>
          <w:lang w:eastAsia="nl-NL"/>
        </w:rPr>
        <w:t xml:space="preserve">Opmerking. </w:t>
      </w:r>
      <w:r w:rsidRPr="00056A87">
        <w:rPr>
          <w:noProof/>
          <w:sz w:val="16"/>
          <w:szCs w:val="16"/>
          <w:lang w:eastAsia="nl-NL"/>
        </w:rPr>
        <w:t xml:space="preserve">Gegevens afkomstig van </w:t>
      </w:r>
      <w:sdt>
        <w:sdtPr>
          <w:rPr>
            <w:noProof/>
            <w:sz w:val="16"/>
            <w:szCs w:val="16"/>
            <w:lang w:eastAsia="nl-NL"/>
          </w:rPr>
          <w:id w:val="-973597309"/>
          <w:citation/>
        </w:sdtPr>
        <w:sdtEndPr/>
        <w:sdtContent>
          <w:r w:rsidR="002E619A" w:rsidRPr="00056A87">
            <w:rPr>
              <w:noProof/>
              <w:sz w:val="16"/>
              <w:szCs w:val="16"/>
              <w:lang w:eastAsia="nl-NL"/>
            </w:rPr>
            <w:fldChar w:fldCharType="begin"/>
          </w:r>
          <w:r w:rsidR="00405F05" w:rsidRPr="00056A87">
            <w:rPr>
              <w:noProof/>
              <w:sz w:val="16"/>
              <w:szCs w:val="16"/>
              <w:lang w:eastAsia="nl-NL"/>
            </w:rPr>
            <w:instrText xml:space="preserve">CITATION CBS142 \l 1043 </w:instrText>
          </w:r>
          <w:r w:rsidR="002E619A" w:rsidRPr="00056A87">
            <w:rPr>
              <w:noProof/>
              <w:sz w:val="16"/>
              <w:szCs w:val="16"/>
              <w:lang w:eastAsia="nl-NL"/>
            </w:rPr>
            <w:fldChar w:fldCharType="separate"/>
          </w:r>
          <w:r w:rsidR="00D56303" w:rsidRPr="00D56303">
            <w:rPr>
              <w:noProof/>
              <w:sz w:val="16"/>
              <w:szCs w:val="16"/>
              <w:lang w:eastAsia="nl-NL"/>
            </w:rPr>
            <w:t>(CBS, 2014)</w:t>
          </w:r>
          <w:r w:rsidR="002E619A" w:rsidRPr="00056A87">
            <w:rPr>
              <w:noProof/>
              <w:sz w:val="16"/>
              <w:szCs w:val="16"/>
              <w:lang w:eastAsia="nl-NL"/>
            </w:rPr>
            <w:fldChar w:fldCharType="end"/>
          </w:r>
        </w:sdtContent>
      </w:sdt>
      <w:r w:rsidR="002E619A" w:rsidRPr="00DC10B4">
        <w:rPr>
          <w:b/>
          <w:noProof/>
          <w:sz w:val="16"/>
          <w:szCs w:val="16"/>
          <w:lang w:eastAsia="nl-NL"/>
        </w:rPr>
        <w:t xml:space="preserve"> </w:t>
      </w:r>
      <w:r>
        <w:rPr>
          <w:b/>
          <w:noProof/>
          <w:sz w:val="16"/>
          <w:szCs w:val="16"/>
          <w:lang w:eastAsia="nl-NL"/>
        </w:rPr>
        <w:br/>
      </w:r>
      <w:r w:rsidR="00CC542F">
        <w:br/>
        <w:t xml:space="preserve">Tot slot zou een stijgend werkloosheidspercentage eraan moeten bijdragen dat de organisatiegraad afneemt. Wanneer de tabel hierboven in ogenschouw wordt genomen, valt op dat in maar liefst zeven van de tien jaren na het Akkoord van Wassenaar, dit verband opgaat. Zeker in de eerste vijf jaar blijkt het empirisch onderzochte verband aanwezig te zijn, daar in ieder jaar de </w:t>
      </w:r>
      <w:r w:rsidR="002F111D">
        <w:rPr>
          <w:i/>
        </w:rPr>
        <w:t>gewenste</w:t>
      </w:r>
      <w:r w:rsidR="00CC542F">
        <w:t xml:space="preserve"> resultaten zich voordoen. </w:t>
      </w:r>
      <w:r w:rsidR="00361D93">
        <w:t xml:space="preserve">Vanaf 1990 tot en met 1992 daalt het werkloosheidspercentage weliswaar, maar de daling blijkt slechts van geringe aard te zijn, waardoor de tegenstrijdigheden ten opzichte van het B-E model kunnen worden afgezwakt. </w:t>
      </w:r>
      <w:r w:rsidR="00B54AD7">
        <w:br/>
        <w:t xml:space="preserve"> </w:t>
      </w:r>
      <w:r w:rsidR="00B54AD7">
        <w:tab/>
      </w:r>
      <w:r w:rsidR="00361D93">
        <w:t xml:space="preserve">Naast het feit dat de drie </w:t>
      </w:r>
      <w:r w:rsidR="00864B45">
        <w:t>B-E-</w:t>
      </w:r>
      <w:r w:rsidR="00361D93">
        <w:t>variabelen (die tegen de organisatiegraad zijn afgezet) in sommige jaren slechts geringe fluctuaties ondervinden, vindt ditzelfde plaats bij de organisatiegraad</w:t>
      </w:r>
      <w:r w:rsidR="002F111D">
        <w:t xml:space="preserve"> zelf</w:t>
      </w:r>
      <w:r w:rsidR="00361D93">
        <w:t xml:space="preserve">. Vanaf 1988 stagneert de daling die in de eerste vijf jaar na het Akkoord van Wassenaar plaatsvindt, waardoor de verschillen ten opzichte van het voorgaande jaar relatief klein worden. Hierdoor wordt de kans groter dat de verbanden uit het B-E model niet altijd opgaan. Dit is goed zichtbaar in het feit dat vanaf 1988 in de vijftien gevallen die zijn onderzocht, slechts </w:t>
      </w:r>
      <w:r w:rsidR="00864B45">
        <w:t>acht</w:t>
      </w:r>
      <w:r w:rsidR="00361D93">
        <w:t xml:space="preserve"> het verband tonen zoals </w:t>
      </w:r>
      <w:r w:rsidR="009F1B92">
        <w:t>Bains</w:t>
      </w:r>
      <w:r w:rsidR="00912888">
        <w:t xml:space="preserve"> en Elsheikh in hun model beschrijven.</w:t>
      </w:r>
      <w:r w:rsidR="004F60B7">
        <w:t xml:space="preserve"> Wanneer dit in het achterhoofd wordt gehouden, kan geconcludeerd worden dat de inflatie en</w:t>
      </w:r>
      <w:r w:rsidR="001E6383">
        <w:t xml:space="preserve"> vooral</w:t>
      </w:r>
      <w:r w:rsidR="004F60B7">
        <w:t xml:space="preserve"> het werkloosheidspercentage </w:t>
      </w:r>
      <w:r w:rsidR="00B54AD7">
        <w:t xml:space="preserve">correcte </w:t>
      </w:r>
      <w:r w:rsidR="004F60B7">
        <w:t>indicatoren zijn voor de ontwikkeling van de organisatiegraad in Nederland.</w:t>
      </w:r>
      <w:r w:rsidR="00864B45">
        <w:t xml:space="preserve"> De werknemerscompensatie vormt een minder sterke verklarende variabele.</w:t>
      </w:r>
    </w:p>
    <w:p w:rsidR="002F111D" w:rsidRDefault="00771C92" w:rsidP="002B6FE4">
      <w:pPr>
        <w:spacing w:line="360" w:lineRule="auto"/>
      </w:pPr>
      <w:r>
        <w:rPr>
          <w:b/>
        </w:rPr>
        <w:t>Panel</w:t>
      </w:r>
      <w:r w:rsidR="0021116E">
        <w:rPr>
          <w:b/>
        </w:rPr>
        <w:t xml:space="preserve"> data analysis</w:t>
      </w:r>
      <w:r w:rsidR="0021116E">
        <w:rPr>
          <w:b/>
        </w:rPr>
        <w:br/>
      </w:r>
      <w:r w:rsidR="00A942A7">
        <w:t xml:space="preserve">Hierboven zijn uitsluitend de variabelen van Nederland meegenomen. Door het uitvoeren van een panel data analysis, is het mogelijk geworden om eveneens de referentielanden Duitsland, Japan en Zwitserland mee te nemen. </w:t>
      </w:r>
      <w:r w:rsidR="00206334">
        <w:t>Voordat de coëfficiënten geanalyseerd kunnen worden, moet eerst het juiste model worden gekozen met behulp van de Hausman test</w:t>
      </w:r>
      <w:sdt>
        <w:sdtPr>
          <w:id w:val="458073894"/>
          <w:citation/>
        </w:sdtPr>
        <w:sdtEndPr/>
        <w:sdtContent>
          <w:r w:rsidR="00981E52">
            <w:fldChar w:fldCharType="begin"/>
          </w:r>
          <w:r w:rsidR="00981E52">
            <w:instrText xml:space="preserve"> CITATION Osc07 \l 1043 </w:instrText>
          </w:r>
          <w:r w:rsidR="00981E52">
            <w:fldChar w:fldCharType="separate"/>
          </w:r>
          <w:r w:rsidR="00D56303">
            <w:rPr>
              <w:noProof/>
            </w:rPr>
            <w:t xml:space="preserve"> (Torres-Reyna, 2007)</w:t>
          </w:r>
          <w:r w:rsidR="00981E52">
            <w:fldChar w:fldCharType="end"/>
          </w:r>
        </w:sdtContent>
      </w:sdt>
      <w:r w:rsidR="00206334">
        <w:t>.</w:t>
      </w:r>
      <w:r w:rsidR="00F032FD">
        <w:t xml:space="preserve"> Deze geeft de volgende nul- en alternatieve hypot</w:t>
      </w:r>
      <w:r w:rsidR="00B54AD7">
        <w:t>hese:</w:t>
      </w:r>
    </w:p>
    <w:p w:rsidR="00B54AD7" w:rsidRDefault="00804374" w:rsidP="002B6FE4">
      <w:pPr>
        <w:spacing w:line="360" w:lineRule="auto"/>
      </w:pPr>
      <m:oMath>
        <m:sSub>
          <m:sSubPr>
            <m:ctrlPr>
              <w:rPr>
                <w:rFonts w:ascii="Cambria Math" w:hAnsi="Cambria Math"/>
                <w:b/>
                <w:i/>
              </w:rPr>
            </m:ctrlPr>
          </m:sSubPr>
          <m:e>
            <m:r>
              <m:rPr>
                <m:sty m:val="bi"/>
              </m:rPr>
              <w:rPr>
                <w:rFonts w:ascii="Cambria Math" w:hAnsi="Cambria Math"/>
              </w:rPr>
              <m:t>H</m:t>
            </m:r>
          </m:e>
          <m:sub>
            <m:r>
              <m:rPr>
                <m:sty m:val="bi"/>
              </m:rPr>
              <w:rPr>
                <w:rFonts w:ascii="Cambria Math" w:hAnsi="Cambria Math"/>
              </w:rPr>
              <m:t>0</m:t>
            </m:r>
          </m:sub>
        </m:sSub>
      </m:oMath>
      <w:r w:rsidR="00206334" w:rsidRPr="00206334">
        <w:rPr>
          <w:b/>
        </w:rPr>
        <w:t xml:space="preserve">: </w:t>
      </w:r>
      <w:r w:rsidR="00206334">
        <w:rPr>
          <w:b/>
        </w:rPr>
        <w:tab/>
      </w:r>
      <w:r w:rsidR="00206334" w:rsidRPr="00206334">
        <w:rPr>
          <w:b/>
        </w:rPr>
        <w:t>Ran</w:t>
      </w:r>
      <w:r w:rsidR="00206334">
        <w:rPr>
          <w:b/>
        </w:rPr>
        <w:t>dom-effects model is correct</w:t>
      </w:r>
      <w:r w:rsidR="00206334">
        <w:rPr>
          <w:b/>
        </w:rPr>
        <w:br/>
      </w:r>
      <m:oMath>
        <m:sSub>
          <m:sSubPr>
            <m:ctrlPr>
              <w:rPr>
                <w:rFonts w:ascii="Cambria Math" w:hAnsi="Cambria Math"/>
                <w:b/>
                <w:i/>
              </w:rPr>
            </m:ctrlPr>
          </m:sSubPr>
          <m:e>
            <m:r>
              <m:rPr>
                <m:sty m:val="bi"/>
              </m:rPr>
              <w:rPr>
                <w:rFonts w:ascii="Cambria Math" w:hAnsi="Cambria Math"/>
              </w:rPr>
              <m:t>H</m:t>
            </m:r>
          </m:e>
          <m:sub>
            <m:r>
              <m:rPr>
                <m:sty m:val="bi"/>
              </m:rPr>
              <w:rPr>
                <w:rFonts w:ascii="Cambria Math" w:hAnsi="Cambria Math"/>
              </w:rPr>
              <m:t>a</m:t>
            </m:r>
          </m:sub>
        </m:sSub>
      </m:oMath>
      <w:r w:rsidR="00206334" w:rsidRPr="00206334">
        <w:rPr>
          <w:b/>
        </w:rPr>
        <w:t xml:space="preserve">: </w:t>
      </w:r>
      <w:r w:rsidR="00206334">
        <w:rPr>
          <w:b/>
        </w:rPr>
        <w:tab/>
      </w:r>
      <w:r w:rsidR="00206334" w:rsidRPr="00206334">
        <w:rPr>
          <w:b/>
        </w:rPr>
        <w:t>Fixed-effects model is correct</w:t>
      </w:r>
      <w:r w:rsidR="00206334">
        <w:br/>
      </w:r>
      <w:r w:rsidR="00206334">
        <w:br/>
      </w:r>
    </w:p>
    <w:p w:rsidR="00FE5683" w:rsidRDefault="00206334" w:rsidP="002B6FE4">
      <w:pPr>
        <w:spacing w:line="360" w:lineRule="auto"/>
      </w:pPr>
      <w:r>
        <w:lastRenderedPageBreak/>
        <w:t>Aangezien de Hausman test zeer significant is</w:t>
      </w:r>
      <w:r w:rsidR="00293327">
        <w:t xml:space="preserve"> (zie Bijlage D</w:t>
      </w:r>
      <w:r w:rsidR="00E23A11">
        <w:t>.1</w:t>
      </w:r>
      <w:r w:rsidR="00293327">
        <w:t>)</w:t>
      </w:r>
      <w:r>
        <w:t xml:space="preserve">, moet </w:t>
      </w:r>
      <w:r w:rsidR="00F032FD">
        <w:t>de nulhypothese worden verworpen en de alternatieve hypothese worden aangenomen: het juiste mo</w:t>
      </w:r>
      <w:r w:rsidR="004117FD">
        <w:t>del is het fixed-effects model.</w:t>
      </w:r>
      <w:r w:rsidR="00885FAB">
        <w:t xml:space="preserve"> </w:t>
      </w:r>
      <w:r w:rsidR="00293327">
        <w:t xml:space="preserve">De totale regressieresultaten zijn weergegeven in Bijlage </w:t>
      </w:r>
      <w:r w:rsidR="00E23A11">
        <w:t>D.2</w:t>
      </w:r>
      <w:r w:rsidR="00293327">
        <w:t>, terwijl h</w:t>
      </w:r>
      <w:r w:rsidR="00885FAB">
        <w:t xml:space="preserve">ieronder een samenvatting </w:t>
      </w:r>
      <w:r w:rsidR="00293327">
        <w:t xml:space="preserve">is </w:t>
      </w:r>
      <w:r w:rsidR="00885FAB">
        <w:t xml:space="preserve">gegeven van de </w:t>
      </w:r>
      <w:r w:rsidR="00EC4387">
        <w:t>meest relevante</w:t>
      </w:r>
      <w:r w:rsidR="00885FAB">
        <w:t xml:space="preserve"> uitkomsten: </w:t>
      </w:r>
    </w:p>
    <w:p w:rsidR="002F111D" w:rsidRPr="002F111D" w:rsidRDefault="002F111D" w:rsidP="002B6FE4">
      <w:pPr>
        <w:spacing w:line="360" w:lineRule="auto"/>
        <w:rPr>
          <w:b/>
          <w:lang w:val="en-US"/>
        </w:rPr>
      </w:pPr>
      <w:r w:rsidRPr="002F111D">
        <w:rPr>
          <w:b/>
          <w:lang w:val="en-US"/>
        </w:rPr>
        <w:t>Tabel 6.</w:t>
      </w:r>
      <w:r w:rsidRPr="002F111D">
        <w:rPr>
          <w:b/>
          <w:lang w:val="en-US"/>
        </w:rPr>
        <w:tab/>
        <w:t xml:space="preserve">           </w:t>
      </w:r>
      <w:r>
        <w:rPr>
          <w:b/>
          <w:lang w:val="en-US"/>
        </w:rPr>
        <w:t xml:space="preserve">      </w:t>
      </w:r>
      <w:r w:rsidRPr="002F111D">
        <w:rPr>
          <w:b/>
          <w:lang w:val="en-US"/>
        </w:rPr>
        <w:t>Resultaten Fixed-effects model</w:t>
      </w:r>
    </w:p>
    <w:tbl>
      <w:tblPr>
        <w:tblW w:w="7100" w:type="dxa"/>
        <w:tblBorders>
          <w:top w:val="single" w:sz="4" w:space="0" w:color="auto"/>
          <w:left w:val="single" w:sz="4" w:space="0" w:color="auto"/>
          <w:bottom w:val="single" w:sz="4" w:space="0" w:color="auto"/>
          <w:right w:val="single" w:sz="4" w:space="0" w:color="auto"/>
        </w:tblBorders>
        <w:tblCellMar>
          <w:left w:w="70" w:type="dxa"/>
          <w:right w:w="70" w:type="dxa"/>
        </w:tblCellMar>
        <w:tblLook w:val="04A0" w:firstRow="1" w:lastRow="0" w:firstColumn="1" w:lastColumn="0" w:noHBand="0" w:noVBand="1"/>
      </w:tblPr>
      <w:tblGrid>
        <w:gridCol w:w="2600"/>
        <w:gridCol w:w="1240"/>
        <w:gridCol w:w="1140"/>
        <w:gridCol w:w="1160"/>
        <w:gridCol w:w="960"/>
      </w:tblGrid>
      <w:tr w:rsidR="004117FD" w:rsidRPr="004117FD" w:rsidTr="002F111D">
        <w:trPr>
          <w:trHeight w:val="300"/>
        </w:trPr>
        <w:tc>
          <w:tcPr>
            <w:tcW w:w="2600" w:type="dxa"/>
            <w:tcBorders>
              <w:top w:val="single" w:sz="4" w:space="0" w:color="auto"/>
              <w:bottom w:val="single" w:sz="4" w:space="0" w:color="auto"/>
            </w:tcBorders>
            <w:shd w:val="clear" w:color="4F81BD" w:fill="4F81BD"/>
            <w:vAlign w:val="center"/>
            <w:hideMark/>
          </w:tcPr>
          <w:p w:rsidR="004117FD" w:rsidRPr="004117FD" w:rsidRDefault="004117FD" w:rsidP="00981E52">
            <w:pPr>
              <w:spacing w:after="0" w:line="360" w:lineRule="auto"/>
              <w:jc w:val="center"/>
              <w:rPr>
                <w:rFonts w:ascii="Arial" w:eastAsia="Times New Roman" w:hAnsi="Arial" w:cs="Arial"/>
                <w:b/>
                <w:bCs/>
                <w:color w:val="000000"/>
                <w:sz w:val="18"/>
                <w:szCs w:val="18"/>
                <w:lang w:eastAsia="nl-NL"/>
              </w:rPr>
            </w:pPr>
            <w:r w:rsidRPr="004117FD">
              <w:rPr>
                <w:rFonts w:ascii="Arial" w:eastAsia="Times New Roman" w:hAnsi="Arial" w:cs="Arial"/>
                <w:b/>
                <w:bCs/>
                <w:color w:val="000000"/>
                <w:sz w:val="18"/>
                <w:szCs w:val="18"/>
                <w:lang w:eastAsia="nl-NL"/>
              </w:rPr>
              <w:t>Variabele</w:t>
            </w:r>
          </w:p>
        </w:tc>
        <w:tc>
          <w:tcPr>
            <w:tcW w:w="1240" w:type="dxa"/>
            <w:tcBorders>
              <w:top w:val="single" w:sz="4" w:space="0" w:color="auto"/>
              <w:bottom w:val="single" w:sz="4" w:space="0" w:color="auto"/>
            </w:tcBorders>
            <w:shd w:val="clear" w:color="4F81BD" w:fill="4F81BD"/>
            <w:vAlign w:val="center"/>
            <w:hideMark/>
          </w:tcPr>
          <w:p w:rsidR="004117FD" w:rsidRPr="004117FD" w:rsidRDefault="004117FD" w:rsidP="00981E52">
            <w:pPr>
              <w:spacing w:after="0" w:line="360" w:lineRule="auto"/>
              <w:jc w:val="center"/>
              <w:rPr>
                <w:rFonts w:ascii="Arial" w:eastAsia="Times New Roman" w:hAnsi="Arial" w:cs="Arial"/>
                <w:b/>
                <w:bCs/>
                <w:color w:val="000000"/>
                <w:sz w:val="18"/>
                <w:szCs w:val="18"/>
                <w:lang w:eastAsia="nl-NL"/>
              </w:rPr>
            </w:pPr>
            <w:r w:rsidRPr="004117FD">
              <w:rPr>
                <w:rFonts w:ascii="Arial" w:eastAsia="Times New Roman" w:hAnsi="Arial" w:cs="Arial"/>
                <w:b/>
                <w:bCs/>
                <w:color w:val="000000"/>
                <w:sz w:val="18"/>
                <w:szCs w:val="18"/>
                <w:lang w:eastAsia="nl-NL"/>
              </w:rPr>
              <w:t>Coëfficiënt</w:t>
            </w:r>
          </w:p>
        </w:tc>
        <w:tc>
          <w:tcPr>
            <w:tcW w:w="1140" w:type="dxa"/>
            <w:tcBorders>
              <w:top w:val="single" w:sz="4" w:space="0" w:color="auto"/>
              <w:bottom w:val="single" w:sz="4" w:space="0" w:color="auto"/>
            </w:tcBorders>
            <w:shd w:val="clear" w:color="4F81BD" w:fill="4F81BD"/>
            <w:vAlign w:val="center"/>
            <w:hideMark/>
          </w:tcPr>
          <w:p w:rsidR="004117FD" w:rsidRPr="004117FD" w:rsidRDefault="004117FD" w:rsidP="00981E52">
            <w:pPr>
              <w:spacing w:after="0" w:line="360" w:lineRule="auto"/>
              <w:jc w:val="center"/>
              <w:rPr>
                <w:rFonts w:ascii="Arial" w:eastAsia="Times New Roman" w:hAnsi="Arial" w:cs="Arial"/>
                <w:b/>
                <w:bCs/>
                <w:color w:val="000000"/>
                <w:sz w:val="18"/>
                <w:szCs w:val="18"/>
                <w:lang w:eastAsia="nl-NL"/>
              </w:rPr>
            </w:pPr>
            <w:r w:rsidRPr="004117FD">
              <w:rPr>
                <w:rFonts w:ascii="Arial" w:eastAsia="Times New Roman" w:hAnsi="Arial" w:cs="Arial"/>
                <w:b/>
                <w:bCs/>
                <w:color w:val="000000"/>
                <w:sz w:val="18"/>
                <w:szCs w:val="18"/>
                <w:lang w:eastAsia="nl-NL"/>
              </w:rPr>
              <w:t>Std. Dev.</w:t>
            </w:r>
          </w:p>
        </w:tc>
        <w:tc>
          <w:tcPr>
            <w:tcW w:w="1160" w:type="dxa"/>
            <w:tcBorders>
              <w:top w:val="single" w:sz="4" w:space="0" w:color="auto"/>
              <w:bottom w:val="single" w:sz="4" w:space="0" w:color="auto"/>
            </w:tcBorders>
            <w:shd w:val="clear" w:color="4F81BD" w:fill="4F81BD"/>
            <w:vAlign w:val="center"/>
            <w:hideMark/>
          </w:tcPr>
          <w:p w:rsidR="004117FD" w:rsidRPr="004117FD" w:rsidRDefault="004117FD" w:rsidP="00981E52">
            <w:pPr>
              <w:spacing w:after="0" w:line="360" w:lineRule="auto"/>
              <w:jc w:val="center"/>
              <w:rPr>
                <w:rFonts w:ascii="Arial" w:eastAsia="Times New Roman" w:hAnsi="Arial" w:cs="Arial"/>
                <w:b/>
                <w:bCs/>
                <w:color w:val="000000"/>
                <w:sz w:val="18"/>
                <w:szCs w:val="18"/>
                <w:lang w:eastAsia="nl-NL"/>
              </w:rPr>
            </w:pPr>
            <w:r w:rsidRPr="004117FD">
              <w:rPr>
                <w:rFonts w:ascii="Arial" w:eastAsia="Times New Roman" w:hAnsi="Arial" w:cs="Arial"/>
                <w:b/>
                <w:bCs/>
                <w:color w:val="000000"/>
                <w:sz w:val="18"/>
                <w:szCs w:val="18"/>
                <w:lang w:eastAsia="nl-NL"/>
              </w:rPr>
              <w:t>t-waarde</w:t>
            </w:r>
          </w:p>
        </w:tc>
        <w:tc>
          <w:tcPr>
            <w:tcW w:w="960" w:type="dxa"/>
            <w:tcBorders>
              <w:top w:val="single" w:sz="4" w:space="0" w:color="auto"/>
              <w:bottom w:val="single" w:sz="4" w:space="0" w:color="auto"/>
            </w:tcBorders>
            <w:shd w:val="clear" w:color="4F81BD" w:fill="4F81BD"/>
            <w:vAlign w:val="center"/>
            <w:hideMark/>
          </w:tcPr>
          <w:p w:rsidR="004117FD" w:rsidRPr="004117FD" w:rsidRDefault="004117FD" w:rsidP="00981E52">
            <w:pPr>
              <w:spacing w:after="0" w:line="360" w:lineRule="auto"/>
              <w:jc w:val="center"/>
              <w:rPr>
                <w:rFonts w:ascii="Arial" w:eastAsia="Times New Roman" w:hAnsi="Arial" w:cs="Arial"/>
                <w:b/>
                <w:bCs/>
                <w:color w:val="000000"/>
                <w:sz w:val="18"/>
                <w:szCs w:val="18"/>
                <w:lang w:eastAsia="nl-NL"/>
              </w:rPr>
            </w:pPr>
            <w:r w:rsidRPr="004117FD">
              <w:rPr>
                <w:rFonts w:ascii="Arial" w:eastAsia="Times New Roman" w:hAnsi="Arial" w:cs="Arial"/>
                <w:b/>
                <w:bCs/>
                <w:color w:val="000000"/>
                <w:sz w:val="18"/>
                <w:szCs w:val="18"/>
                <w:lang w:eastAsia="nl-NL"/>
              </w:rPr>
              <w:t>Prob.</w:t>
            </w:r>
          </w:p>
        </w:tc>
      </w:tr>
      <w:tr w:rsidR="004117FD" w:rsidRPr="004117FD" w:rsidTr="002F111D">
        <w:trPr>
          <w:trHeight w:val="300"/>
        </w:trPr>
        <w:tc>
          <w:tcPr>
            <w:tcW w:w="2600" w:type="dxa"/>
            <w:tcBorders>
              <w:top w:val="single" w:sz="4" w:space="0" w:color="auto"/>
            </w:tcBorders>
            <w:shd w:val="clear" w:color="000000" w:fill="DCE6F1"/>
            <w:noWrap/>
            <w:vAlign w:val="bottom"/>
            <w:hideMark/>
          </w:tcPr>
          <w:p w:rsidR="004117FD" w:rsidRPr="004117FD" w:rsidRDefault="004117FD" w:rsidP="00981E52">
            <w:pPr>
              <w:spacing w:after="0" w:line="360" w:lineRule="auto"/>
              <w:jc w:val="center"/>
              <w:rPr>
                <w:rFonts w:ascii="Calibri" w:eastAsia="Times New Roman" w:hAnsi="Calibri" w:cs="Calibri"/>
                <w:color w:val="000000"/>
                <w:lang w:eastAsia="nl-NL"/>
              </w:rPr>
            </w:pPr>
            <w:r w:rsidRPr="004117FD">
              <w:rPr>
                <w:rFonts w:ascii="Calibri" w:eastAsia="Times New Roman" w:hAnsi="Calibri" w:cs="Calibri"/>
                <w:color w:val="000000"/>
                <w:lang w:eastAsia="nl-NL"/>
              </w:rPr>
              <w:t>Inflatie</w:t>
            </w:r>
          </w:p>
        </w:tc>
        <w:tc>
          <w:tcPr>
            <w:tcW w:w="1240" w:type="dxa"/>
            <w:tcBorders>
              <w:top w:val="single" w:sz="4" w:space="0" w:color="auto"/>
            </w:tcBorders>
            <w:shd w:val="clear" w:color="DCE6F1" w:fill="DCE6F1"/>
            <w:vAlign w:val="center"/>
            <w:hideMark/>
          </w:tcPr>
          <w:p w:rsidR="004117FD" w:rsidRPr="004117FD" w:rsidRDefault="004117FD" w:rsidP="00981E52">
            <w:pPr>
              <w:spacing w:after="0" w:line="360" w:lineRule="auto"/>
              <w:jc w:val="center"/>
              <w:rPr>
                <w:rFonts w:ascii="Arial" w:eastAsia="Times New Roman" w:hAnsi="Arial" w:cs="Arial"/>
                <w:color w:val="000000"/>
                <w:sz w:val="18"/>
                <w:szCs w:val="18"/>
                <w:lang w:eastAsia="nl-NL"/>
              </w:rPr>
            </w:pPr>
            <w:r w:rsidRPr="004117FD">
              <w:rPr>
                <w:rFonts w:ascii="Arial" w:eastAsia="Times New Roman" w:hAnsi="Arial" w:cs="Arial"/>
                <w:color w:val="000000"/>
                <w:sz w:val="18"/>
                <w:szCs w:val="18"/>
                <w:lang w:eastAsia="nl-NL"/>
              </w:rPr>
              <w:t>0.887303</w:t>
            </w:r>
          </w:p>
        </w:tc>
        <w:tc>
          <w:tcPr>
            <w:tcW w:w="1140" w:type="dxa"/>
            <w:tcBorders>
              <w:top w:val="single" w:sz="4" w:space="0" w:color="auto"/>
            </w:tcBorders>
            <w:shd w:val="clear" w:color="DCE6F1" w:fill="DCE6F1"/>
            <w:vAlign w:val="center"/>
            <w:hideMark/>
          </w:tcPr>
          <w:p w:rsidR="004117FD" w:rsidRPr="004117FD" w:rsidRDefault="004117FD" w:rsidP="00981E52">
            <w:pPr>
              <w:spacing w:after="0" w:line="360" w:lineRule="auto"/>
              <w:jc w:val="center"/>
              <w:rPr>
                <w:rFonts w:ascii="Arial" w:eastAsia="Times New Roman" w:hAnsi="Arial" w:cs="Arial"/>
                <w:color w:val="000000"/>
                <w:sz w:val="18"/>
                <w:szCs w:val="18"/>
                <w:lang w:eastAsia="nl-NL"/>
              </w:rPr>
            </w:pPr>
            <w:r w:rsidRPr="004117FD">
              <w:rPr>
                <w:rFonts w:ascii="Arial" w:eastAsia="Times New Roman" w:hAnsi="Arial" w:cs="Arial"/>
                <w:color w:val="000000"/>
                <w:sz w:val="18"/>
                <w:szCs w:val="18"/>
                <w:lang w:eastAsia="nl-NL"/>
              </w:rPr>
              <w:t>0.124588</w:t>
            </w:r>
          </w:p>
        </w:tc>
        <w:tc>
          <w:tcPr>
            <w:tcW w:w="1160" w:type="dxa"/>
            <w:tcBorders>
              <w:top w:val="single" w:sz="4" w:space="0" w:color="auto"/>
            </w:tcBorders>
            <w:shd w:val="clear" w:color="DCE6F1" w:fill="DCE6F1"/>
            <w:vAlign w:val="center"/>
            <w:hideMark/>
          </w:tcPr>
          <w:p w:rsidR="004117FD" w:rsidRPr="004117FD" w:rsidRDefault="004117FD" w:rsidP="00981E52">
            <w:pPr>
              <w:spacing w:after="0" w:line="360" w:lineRule="auto"/>
              <w:jc w:val="center"/>
              <w:rPr>
                <w:rFonts w:ascii="Arial" w:eastAsia="Times New Roman" w:hAnsi="Arial" w:cs="Arial"/>
                <w:color w:val="000000"/>
                <w:sz w:val="18"/>
                <w:szCs w:val="18"/>
                <w:lang w:eastAsia="nl-NL"/>
              </w:rPr>
            </w:pPr>
            <w:r w:rsidRPr="004117FD">
              <w:rPr>
                <w:rFonts w:ascii="Arial" w:eastAsia="Times New Roman" w:hAnsi="Arial" w:cs="Arial"/>
                <w:color w:val="000000"/>
                <w:sz w:val="18"/>
                <w:szCs w:val="18"/>
                <w:lang w:eastAsia="nl-NL"/>
              </w:rPr>
              <w:t>7.121.905</w:t>
            </w:r>
          </w:p>
        </w:tc>
        <w:tc>
          <w:tcPr>
            <w:tcW w:w="960" w:type="dxa"/>
            <w:tcBorders>
              <w:top w:val="single" w:sz="4" w:space="0" w:color="auto"/>
            </w:tcBorders>
            <w:shd w:val="clear" w:color="DCE6F1" w:fill="DCE6F1"/>
            <w:vAlign w:val="center"/>
            <w:hideMark/>
          </w:tcPr>
          <w:p w:rsidR="004117FD" w:rsidRPr="004117FD" w:rsidRDefault="004117FD" w:rsidP="00981E52">
            <w:pPr>
              <w:spacing w:after="0" w:line="360" w:lineRule="auto"/>
              <w:jc w:val="center"/>
              <w:rPr>
                <w:rFonts w:ascii="Arial" w:eastAsia="Times New Roman" w:hAnsi="Arial" w:cs="Arial"/>
                <w:color w:val="000000"/>
                <w:sz w:val="18"/>
                <w:szCs w:val="18"/>
                <w:lang w:eastAsia="nl-NL"/>
              </w:rPr>
            </w:pPr>
            <w:r w:rsidRPr="004117FD">
              <w:rPr>
                <w:rFonts w:ascii="Arial" w:eastAsia="Times New Roman" w:hAnsi="Arial" w:cs="Arial"/>
                <w:color w:val="000000"/>
                <w:sz w:val="18"/>
                <w:szCs w:val="18"/>
                <w:lang w:eastAsia="nl-NL"/>
              </w:rPr>
              <w:t>0.0000</w:t>
            </w:r>
          </w:p>
        </w:tc>
      </w:tr>
      <w:tr w:rsidR="004117FD" w:rsidRPr="004117FD" w:rsidTr="002F111D">
        <w:trPr>
          <w:trHeight w:val="300"/>
        </w:trPr>
        <w:tc>
          <w:tcPr>
            <w:tcW w:w="2600" w:type="dxa"/>
            <w:shd w:val="clear" w:color="000000" w:fill="FFFFFF"/>
            <w:noWrap/>
            <w:vAlign w:val="bottom"/>
            <w:hideMark/>
          </w:tcPr>
          <w:p w:rsidR="004117FD" w:rsidRPr="004117FD" w:rsidRDefault="004117FD" w:rsidP="00981E52">
            <w:pPr>
              <w:spacing w:after="0" w:line="360" w:lineRule="auto"/>
              <w:jc w:val="center"/>
              <w:rPr>
                <w:rFonts w:ascii="Calibri" w:eastAsia="Times New Roman" w:hAnsi="Calibri" w:cs="Calibri"/>
                <w:color w:val="000000"/>
                <w:lang w:eastAsia="nl-NL"/>
              </w:rPr>
            </w:pPr>
            <w:r w:rsidRPr="004117FD">
              <w:rPr>
                <w:rFonts w:ascii="Calibri" w:eastAsia="Times New Roman" w:hAnsi="Calibri" w:cs="Calibri"/>
                <w:color w:val="000000"/>
                <w:lang w:eastAsia="nl-NL"/>
              </w:rPr>
              <w:t>Werkloosheidspercentage</w:t>
            </w:r>
          </w:p>
        </w:tc>
        <w:tc>
          <w:tcPr>
            <w:tcW w:w="1240" w:type="dxa"/>
            <w:shd w:val="clear" w:color="auto" w:fill="auto"/>
            <w:vAlign w:val="center"/>
            <w:hideMark/>
          </w:tcPr>
          <w:p w:rsidR="004117FD" w:rsidRPr="004117FD" w:rsidRDefault="004117FD" w:rsidP="00981E52">
            <w:pPr>
              <w:spacing w:after="0" w:line="360" w:lineRule="auto"/>
              <w:jc w:val="center"/>
              <w:rPr>
                <w:rFonts w:ascii="Arial" w:eastAsia="Times New Roman" w:hAnsi="Arial" w:cs="Arial"/>
                <w:color w:val="000000"/>
                <w:sz w:val="18"/>
                <w:szCs w:val="18"/>
                <w:lang w:eastAsia="nl-NL"/>
              </w:rPr>
            </w:pPr>
            <w:r w:rsidRPr="004117FD">
              <w:rPr>
                <w:rFonts w:ascii="Arial" w:eastAsia="Times New Roman" w:hAnsi="Arial" w:cs="Arial"/>
                <w:color w:val="000000"/>
                <w:sz w:val="18"/>
                <w:szCs w:val="18"/>
                <w:lang w:eastAsia="nl-NL"/>
              </w:rPr>
              <w:t>0.761530</w:t>
            </w:r>
          </w:p>
        </w:tc>
        <w:tc>
          <w:tcPr>
            <w:tcW w:w="1140" w:type="dxa"/>
            <w:shd w:val="clear" w:color="auto" w:fill="auto"/>
            <w:vAlign w:val="center"/>
            <w:hideMark/>
          </w:tcPr>
          <w:p w:rsidR="004117FD" w:rsidRPr="004117FD" w:rsidRDefault="004117FD" w:rsidP="00981E52">
            <w:pPr>
              <w:spacing w:after="0" w:line="360" w:lineRule="auto"/>
              <w:jc w:val="center"/>
              <w:rPr>
                <w:rFonts w:ascii="Arial" w:eastAsia="Times New Roman" w:hAnsi="Arial" w:cs="Arial"/>
                <w:color w:val="000000"/>
                <w:sz w:val="18"/>
                <w:szCs w:val="18"/>
                <w:lang w:eastAsia="nl-NL"/>
              </w:rPr>
            </w:pPr>
            <w:r w:rsidRPr="004117FD">
              <w:rPr>
                <w:rFonts w:ascii="Arial" w:eastAsia="Times New Roman" w:hAnsi="Arial" w:cs="Arial"/>
                <w:color w:val="000000"/>
                <w:sz w:val="18"/>
                <w:szCs w:val="18"/>
                <w:lang w:eastAsia="nl-NL"/>
              </w:rPr>
              <w:t>0.144588</w:t>
            </w:r>
          </w:p>
        </w:tc>
        <w:tc>
          <w:tcPr>
            <w:tcW w:w="1160" w:type="dxa"/>
            <w:shd w:val="clear" w:color="auto" w:fill="auto"/>
            <w:vAlign w:val="center"/>
            <w:hideMark/>
          </w:tcPr>
          <w:p w:rsidR="004117FD" w:rsidRPr="004117FD" w:rsidRDefault="004117FD" w:rsidP="00981E52">
            <w:pPr>
              <w:spacing w:after="0" w:line="360" w:lineRule="auto"/>
              <w:jc w:val="center"/>
              <w:rPr>
                <w:rFonts w:ascii="Arial" w:eastAsia="Times New Roman" w:hAnsi="Arial" w:cs="Arial"/>
                <w:color w:val="000000"/>
                <w:sz w:val="18"/>
                <w:szCs w:val="18"/>
                <w:lang w:eastAsia="nl-NL"/>
              </w:rPr>
            </w:pPr>
            <w:r w:rsidRPr="004117FD">
              <w:rPr>
                <w:rFonts w:ascii="Arial" w:eastAsia="Times New Roman" w:hAnsi="Arial" w:cs="Arial"/>
                <w:color w:val="000000"/>
                <w:sz w:val="18"/>
                <w:szCs w:val="18"/>
                <w:lang w:eastAsia="nl-NL"/>
              </w:rPr>
              <w:t>5.266.875</w:t>
            </w:r>
          </w:p>
        </w:tc>
        <w:tc>
          <w:tcPr>
            <w:tcW w:w="960" w:type="dxa"/>
            <w:shd w:val="clear" w:color="auto" w:fill="auto"/>
            <w:vAlign w:val="center"/>
            <w:hideMark/>
          </w:tcPr>
          <w:p w:rsidR="004117FD" w:rsidRPr="004117FD" w:rsidRDefault="004117FD" w:rsidP="00981E52">
            <w:pPr>
              <w:spacing w:after="0" w:line="360" w:lineRule="auto"/>
              <w:jc w:val="center"/>
              <w:rPr>
                <w:rFonts w:ascii="Arial" w:eastAsia="Times New Roman" w:hAnsi="Arial" w:cs="Arial"/>
                <w:color w:val="000000"/>
                <w:sz w:val="18"/>
                <w:szCs w:val="18"/>
                <w:lang w:eastAsia="nl-NL"/>
              </w:rPr>
            </w:pPr>
            <w:r w:rsidRPr="004117FD">
              <w:rPr>
                <w:rFonts w:ascii="Arial" w:eastAsia="Times New Roman" w:hAnsi="Arial" w:cs="Arial"/>
                <w:color w:val="000000"/>
                <w:sz w:val="18"/>
                <w:szCs w:val="18"/>
                <w:lang w:eastAsia="nl-NL"/>
              </w:rPr>
              <w:t>0.0000</w:t>
            </w:r>
          </w:p>
        </w:tc>
      </w:tr>
      <w:tr w:rsidR="004117FD" w:rsidRPr="004117FD" w:rsidTr="002F111D">
        <w:trPr>
          <w:trHeight w:val="300"/>
        </w:trPr>
        <w:tc>
          <w:tcPr>
            <w:tcW w:w="2600" w:type="dxa"/>
            <w:shd w:val="clear" w:color="000000" w:fill="DCE6F1"/>
            <w:noWrap/>
            <w:vAlign w:val="bottom"/>
            <w:hideMark/>
          </w:tcPr>
          <w:p w:rsidR="004117FD" w:rsidRPr="004117FD" w:rsidRDefault="004117FD" w:rsidP="00981E52">
            <w:pPr>
              <w:spacing w:after="0" w:line="360" w:lineRule="auto"/>
              <w:jc w:val="center"/>
              <w:rPr>
                <w:rFonts w:ascii="Calibri" w:eastAsia="Times New Roman" w:hAnsi="Calibri" w:cs="Calibri"/>
                <w:color w:val="000000"/>
                <w:lang w:eastAsia="nl-NL"/>
              </w:rPr>
            </w:pPr>
            <w:r w:rsidRPr="004117FD">
              <w:rPr>
                <w:rFonts w:ascii="Calibri" w:eastAsia="Times New Roman" w:hAnsi="Calibri" w:cs="Calibri"/>
                <w:color w:val="000000"/>
                <w:lang w:eastAsia="nl-NL"/>
              </w:rPr>
              <w:t>Werknemerscompensatie</w:t>
            </w:r>
          </w:p>
        </w:tc>
        <w:tc>
          <w:tcPr>
            <w:tcW w:w="1240" w:type="dxa"/>
            <w:shd w:val="clear" w:color="DCE6F1" w:fill="DCE6F1"/>
            <w:vAlign w:val="center"/>
            <w:hideMark/>
          </w:tcPr>
          <w:p w:rsidR="004117FD" w:rsidRPr="004117FD" w:rsidRDefault="004117FD" w:rsidP="00981E52">
            <w:pPr>
              <w:spacing w:after="0" w:line="360" w:lineRule="auto"/>
              <w:jc w:val="center"/>
              <w:rPr>
                <w:rFonts w:ascii="Arial" w:eastAsia="Times New Roman" w:hAnsi="Arial" w:cs="Arial"/>
                <w:color w:val="000000"/>
                <w:sz w:val="18"/>
                <w:szCs w:val="18"/>
                <w:lang w:eastAsia="nl-NL"/>
              </w:rPr>
            </w:pPr>
            <w:r w:rsidRPr="004117FD">
              <w:rPr>
                <w:rFonts w:ascii="Arial" w:eastAsia="Times New Roman" w:hAnsi="Arial" w:cs="Arial"/>
                <w:color w:val="000000"/>
                <w:sz w:val="18"/>
                <w:szCs w:val="18"/>
                <w:lang w:eastAsia="nl-NL"/>
              </w:rPr>
              <w:t>-0.573834</w:t>
            </w:r>
          </w:p>
        </w:tc>
        <w:tc>
          <w:tcPr>
            <w:tcW w:w="1140" w:type="dxa"/>
            <w:shd w:val="clear" w:color="DCE6F1" w:fill="DCE6F1"/>
            <w:vAlign w:val="center"/>
            <w:hideMark/>
          </w:tcPr>
          <w:p w:rsidR="004117FD" w:rsidRPr="004117FD" w:rsidRDefault="004117FD" w:rsidP="00981E52">
            <w:pPr>
              <w:spacing w:after="0" w:line="360" w:lineRule="auto"/>
              <w:jc w:val="center"/>
              <w:rPr>
                <w:rFonts w:ascii="Arial" w:eastAsia="Times New Roman" w:hAnsi="Arial" w:cs="Arial"/>
                <w:color w:val="000000"/>
                <w:sz w:val="18"/>
                <w:szCs w:val="18"/>
                <w:lang w:eastAsia="nl-NL"/>
              </w:rPr>
            </w:pPr>
            <w:r w:rsidRPr="004117FD">
              <w:rPr>
                <w:rFonts w:ascii="Arial" w:eastAsia="Times New Roman" w:hAnsi="Arial" w:cs="Arial"/>
                <w:color w:val="000000"/>
                <w:sz w:val="18"/>
                <w:szCs w:val="18"/>
                <w:lang w:eastAsia="nl-NL"/>
              </w:rPr>
              <w:t>0.190809</w:t>
            </w:r>
          </w:p>
        </w:tc>
        <w:tc>
          <w:tcPr>
            <w:tcW w:w="1160" w:type="dxa"/>
            <w:shd w:val="clear" w:color="DCE6F1" w:fill="DCE6F1"/>
            <w:vAlign w:val="center"/>
            <w:hideMark/>
          </w:tcPr>
          <w:p w:rsidR="004117FD" w:rsidRPr="004117FD" w:rsidRDefault="004117FD" w:rsidP="00981E52">
            <w:pPr>
              <w:spacing w:after="0" w:line="360" w:lineRule="auto"/>
              <w:jc w:val="center"/>
              <w:rPr>
                <w:rFonts w:ascii="Arial" w:eastAsia="Times New Roman" w:hAnsi="Arial" w:cs="Arial"/>
                <w:color w:val="000000"/>
                <w:sz w:val="18"/>
                <w:szCs w:val="18"/>
                <w:lang w:eastAsia="nl-NL"/>
              </w:rPr>
            </w:pPr>
            <w:r w:rsidRPr="004117FD">
              <w:rPr>
                <w:rFonts w:ascii="Arial" w:eastAsia="Times New Roman" w:hAnsi="Arial" w:cs="Arial"/>
                <w:color w:val="000000"/>
                <w:sz w:val="18"/>
                <w:szCs w:val="18"/>
                <w:lang w:eastAsia="nl-NL"/>
              </w:rPr>
              <w:t>-3.007.370</w:t>
            </w:r>
          </w:p>
        </w:tc>
        <w:tc>
          <w:tcPr>
            <w:tcW w:w="960" w:type="dxa"/>
            <w:shd w:val="clear" w:color="DCE6F1" w:fill="DCE6F1"/>
            <w:vAlign w:val="center"/>
            <w:hideMark/>
          </w:tcPr>
          <w:p w:rsidR="004117FD" w:rsidRPr="004117FD" w:rsidRDefault="004117FD" w:rsidP="00981E52">
            <w:pPr>
              <w:spacing w:after="0" w:line="360" w:lineRule="auto"/>
              <w:jc w:val="center"/>
              <w:rPr>
                <w:rFonts w:ascii="Arial" w:eastAsia="Times New Roman" w:hAnsi="Arial" w:cs="Arial"/>
                <w:color w:val="000000"/>
                <w:sz w:val="18"/>
                <w:szCs w:val="18"/>
                <w:lang w:eastAsia="nl-NL"/>
              </w:rPr>
            </w:pPr>
            <w:r w:rsidRPr="004117FD">
              <w:rPr>
                <w:rFonts w:ascii="Arial" w:eastAsia="Times New Roman" w:hAnsi="Arial" w:cs="Arial"/>
                <w:color w:val="000000"/>
                <w:sz w:val="18"/>
                <w:szCs w:val="18"/>
                <w:lang w:eastAsia="nl-NL"/>
              </w:rPr>
              <w:t>0.0031</w:t>
            </w:r>
          </w:p>
        </w:tc>
      </w:tr>
    </w:tbl>
    <w:p w:rsidR="004117FD" w:rsidRPr="00F333B1" w:rsidRDefault="002F111D" w:rsidP="002B6FE4">
      <w:pPr>
        <w:spacing w:line="360" w:lineRule="auto"/>
        <w:rPr>
          <w:sz w:val="16"/>
          <w:szCs w:val="16"/>
        </w:rPr>
      </w:pPr>
      <w:r w:rsidRPr="00EC3BF6">
        <w:rPr>
          <w:i/>
          <w:noProof/>
          <w:sz w:val="16"/>
          <w:szCs w:val="16"/>
          <w:lang w:eastAsia="nl-NL"/>
        </w:rPr>
        <w:t xml:space="preserve">Opmerking. </w:t>
      </w:r>
      <w:r w:rsidRPr="00F333B1">
        <w:rPr>
          <w:noProof/>
          <w:sz w:val="16"/>
          <w:szCs w:val="16"/>
          <w:lang w:eastAsia="nl-NL"/>
        </w:rPr>
        <w:t xml:space="preserve">Std. Dev. = standaarddeviatie; Prob.=kans. </w:t>
      </w:r>
      <w:r w:rsidR="00EC3BF6" w:rsidRPr="00F333B1">
        <w:rPr>
          <w:noProof/>
          <w:sz w:val="16"/>
          <w:szCs w:val="16"/>
          <w:lang w:eastAsia="nl-NL"/>
        </w:rPr>
        <w:t>Gegevens afkomstig van</w:t>
      </w:r>
      <w:r w:rsidR="00EC3BF6" w:rsidRPr="00F333B1">
        <w:rPr>
          <w:i/>
          <w:noProof/>
          <w:sz w:val="16"/>
          <w:szCs w:val="16"/>
          <w:lang w:eastAsia="nl-NL"/>
        </w:rPr>
        <w:t xml:space="preserve"> </w:t>
      </w:r>
      <w:r w:rsidR="00F333B1">
        <w:rPr>
          <w:noProof/>
          <w:sz w:val="16"/>
          <w:szCs w:val="16"/>
          <w:lang w:eastAsia="nl-NL"/>
        </w:rPr>
        <w:t xml:space="preserve">(CBS, 2014; Daube, 2015; OECD, 2015 [inflatie]; OECD, 2015 [werknemerscompensatie]; Statistics Japan, 2015; Statistisches Bundesamt, 2015; </w:t>
      </w:r>
      <w:r w:rsidR="00F333B1" w:rsidRPr="00F333B1">
        <w:rPr>
          <w:noProof/>
          <w:sz w:val="16"/>
          <w:szCs w:val="16"/>
          <w:lang w:eastAsia="nl-NL"/>
        </w:rPr>
        <w:t>Visser, 2013)</w:t>
      </w:r>
      <w:r w:rsidR="00EC3BF6" w:rsidRPr="00F333B1">
        <w:rPr>
          <w:noProof/>
          <w:sz w:val="16"/>
          <w:szCs w:val="16"/>
          <w:lang w:eastAsia="nl-NL"/>
        </w:rPr>
        <w:br/>
        <w:t>*p&lt;0.05</w:t>
      </w:r>
    </w:p>
    <w:p w:rsidR="002F40EF" w:rsidRDefault="004117FD" w:rsidP="002B6FE4">
      <w:pPr>
        <w:spacing w:line="360" w:lineRule="auto"/>
      </w:pPr>
      <w:r>
        <w:t>Wanneer de tabel hierboven in beschouwing wordt genomen, valt allereerst op dat alle variabelen een sterk significant resultaat vertonen</w:t>
      </w:r>
      <w:r w:rsidR="00174F34">
        <w:t>, wat de betrouwbaarheid van dit model bevestigd</w:t>
      </w:r>
      <w:r>
        <w:t xml:space="preserve">. Tevens is te zien dat </w:t>
      </w:r>
      <w:r w:rsidR="00174F34">
        <w:t xml:space="preserve">de </w:t>
      </w:r>
      <w:r>
        <w:t xml:space="preserve">inflatie en het werkloosheidspercentage een positief effect hebben op de afhankelijke variabele organisatiegraad, terwijl de werknemerscompensatie een negatief effect heeft. Wanneer deze resultaten met de conclusies uit het B-E model  worden vergeleken, blijkt dat slechts een van de drie variabelen </w:t>
      </w:r>
      <w:r w:rsidR="00EC3BF6">
        <w:t xml:space="preserve">de </w:t>
      </w:r>
      <w:r>
        <w:t xml:space="preserve"> door </w:t>
      </w:r>
      <w:r w:rsidR="003B0464">
        <w:t>Bains</w:t>
      </w:r>
      <w:r>
        <w:t xml:space="preserve"> en Elsheikh </w:t>
      </w:r>
      <w:r w:rsidR="00EC3BF6">
        <w:t>voorspelde invloed toont</w:t>
      </w:r>
      <w:r>
        <w:t xml:space="preserve">. De inflatie weergeeft het ‘correcte’ effect, terwijl het werkloosheidspercentage en de werknemerscompensatie precies het tegenovergestelde doen. </w:t>
      </w:r>
      <w:r w:rsidR="002F40EF">
        <w:t xml:space="preserve">Deze analyse betreft alle vier binnen dit onderzoek in beschouwing genomen landen met een totaal aantal observaties van 155. Het feit dat uit de analyse van de B-E-variabelen in de periode 1983-1992 voor Nederland eveneens andere resultaten voortkomen, is daarom niet </w:t>
      </w:r>
      <w:r w:rsidR="00174F34">
        <w:t>opmerkelijk</w:t>
      </w:r>
      <w:r w:rsidR="002F40EF">
        <w:t>. Daar waar de werkloosheid in de panelregressie nog een positief effect toont, blijkt in de tien jaar na het Akkoord van Wassenaar juist een sterke negatieve invloed van de werkloosheid op de organisatiegraad zichtbaar. Dit toont dat er significante verschillen aanwezig zijn tussen verschillende tijdsintervallen en/of verschillende landen op het gebied van inflatie, werkloo</w:t>
      </w:r>
      <w:r w:rsidR="007D07EB">
        <w:t>sheid</w:t>
      </w:r>
      <w:r w:rsidR="00EC3BF6">
        <w:t>spercentage</w:t>
      </w:r>
      <w:r w:rsidR="007D07EB">
        <w:t xml:space="preserve"> en werknemerscompensatie.</w:t>
      </w:r>
    </w:p>
    <w:p w:rsidR="009F1B92" w:rsidRPr="00906912" w:rsidRDefault="00B54B74" w:rsidP="002B6FE4">
      <w:pPr>
        <w:spacing w:line="360" w:lineRule="auto"/>
      </w:pPr>
      <w:r>
        <w:rPr>
          <w:b/>
        </w:rPr>
        <w:t>Coëfficiënten regressievergelijkingen</w:t>
      </w:r>
      <w:r>
        <w:br/>
      </w:r>
      <w:r w:rsidR="007D07EB">
        <w:t>Tot slot zijn hieronder de uitkomsten van de regressievergelijkingen weergegeven. Deze uitkomsten tonen de coëfficiënten van de inflatie, het werkloosheidspercentage en de werknemerscompensatie voor vijf verschillende tijdsintervallen, waarbij de oranje gearceerde cellen een significant resultaat weergeven</w:t>
      </w:r>
      <w:r w:rsidR="00E23A11">
        <w:t xml:space="preserve"> (zie Bijlage E)</w:t>
      </w:r>
      <w:r w:rsidR="007D07EB">
        <w:t>.</w:t>
      </w:r>
      <w:r w:rsidR="00906912">
        <w:t xml:space="preserve"> Ondanks dat Nederland </w:t>
      </w:r>
      <w:r w:rsidR="00EC3BF6">
        <w:t xml:space="preserve">ongeveer </w:t>
      </w:r>
      <w:r w:rsidR="00906912">
        <w:t xml:space="preserve">drie keer zo weinig </w:t>
      </w:r>
      <w:r w:rsidR="00EC3BF6">
        <w:t xml:space="preserve">observaties </w:t>
      </w:r>
      <w:r w:rsidR="00906912">
        <w:t>heeft als de referentielanden, blijkt er toch in zes gevallen sprake van significante coëfficiënten. De panelregressie van de referentielanden geeft ‘slechts’ één significant resultaat meer</w:t>
      </w:r>
      <w:r w:rsidR="00EC3BF6">
        <w:t>.</w:t>
      </w:r>
    </w:p>
    <w:tbl>
      <w:tblPr>
        <w:tblpPr w:leftFromText="141" w:rightFromText="141" w:vertAnchor="text" w:tblpY="1"/>
        <w:tblOverlap w:val="never"/>
        <w:tblW w:w="8379" w:type="dxa"/>
        <w:tblCellMar>
          <w:left w:w="70" w:type="dxa"/>
          <w:right w:w="70" w:type="dxa"/>
        </w:tblCellMar>
        <w:tblLook w:val="04A0" w:firstRow="1" w:lastRow="0" w:firstColumn="1" w:lastColumn="0" w:noHBand="0" w:noVBand="1"/>
      </w:tblPr>
      <w:tblGrid>
        <w:gridCol w:w="1134"/>
        <w:gridCol w:w="1466"/>
        <w:gridCol w:w="1243"/>
        <w:gridCol w:w="1134"/>
        <w:gridCol w:w="1134"/>
        <w:gridCol w:w="1134"/>
        <w:gridCol w:w="1134"/>
      </w:tblGrid>
      <w:tr w:rsidR="00885FAB" w:rsidRPr="00885FAB" w:rsidTr="00566D8A">
        <w:trPr>
          <w:trHeight w:val="300"/>
        </w:trPr>
        <w:tc>
          <w:tcPr>
            <w:tcW w:w="2600" w:type="dxa"/>
            <w:gridSpan w:val="2"/>
            <w:tcBorders>
              <w:top w:val="nil"/>
              <w:left w:val="nil"/>
              <w:bottom w:val="nil"/>
              <w:right w:val="nil"/>
            </w:tcBorders>
            <w:shd w:val="clear" w:color="auto" w:fill="auto"/>
            <w:noWrap/>
            <w:vAlign w:val="bottom"/>
            <w:hideMark/>
          </w:tcPr>
          <w:p w:rsidR="00885FAB" w:rsidRPr="00EC3BF6" w:rsidRDefault="00EC3BF6" w:rsidP="00566D8A">
            <w:pPr>
              <w:spacing w:after="0" w:line="360" w:lineRule="auto"/>
              <w:rPr>
                <w:rFonts w:ascii="Calibri" w:eastAsia="Times New Roman" w:hAnsi="Calibri" w:cs="Calibri"/>
                <w:b/>
                <w:color w:val="000000"/>
                <w:lang w:eastAsia="nl-NL"/>
              </w:rPr>
            </w:pPr>
            <w:r w:rsidRPr="00EC3BF6">
              <w:rPr>
                <w:rFonts w:ascii="Calibri" w:eastAsia="Times New Roman" w:hAnsi="Calibri" w:cs="Calibri"/>
                <w:b/>
                <w:color w:val="000000"/>
                <w:lang w:eastAsia="nl-NL"/>
              </w:rPr>
              <w:lastRenderedPageBreak/>
              <w:t>Tabel 7.</w:t>
            </w:r>
          </w:p>
        </w:tc>
        <w:tc>
          <w:tcPr>
            <w:tcW w:w="5779" w:type="dxa"/>
            <w:gridSpan w:val="5"/>
            <w:tcBorders>
              <w:top w:val="nil"/>
              <w:left w:val="nil"/>
              <w:bottom w:val="nil"/>
              <w:right w:val="nil"/>
            </w:tcBorders>
            <w:shd w:val="clear" w:color="auto" w:fill="auto"/>
            <w:noWrap/>
            <w:vAlign w:val="bottom"/>
            <w:hideMark/>
          </w:tcPr>
          <w:p w:rsidR="00885FAB" w:rsidRPr="00885FAB" w:rsidRDefault="00EC3BF6" w:rsidP="00EC3BF6">
            <w:pPr>
              <w:spacing w:after="0" w:line="360" w:lineRule="auto"/>
              <w:rPr>
                <w:rFonts w:ascii="Calibri" w:eastAsia="Times New Roman" w:hAnsi="Calibri" w:cs="Calibri"/>
                <w:b/>
                <w:color w:val="000000"/>
                <w:lang w:eastAsia="nl-NL"/>
              </w:rPr>
            </w:pPr>
            <w:r>
              <w:rPr>
                <w:rFonts w:ascii="Calibri" w:eastAsia="Times New Roman" w:hAnsi="Calibri" w:cs="Calibri"/>
                <w:b/>
                <w:color w:val="000000"/>
                <w:lang w:eastAsia="nl-NL"/>
              </w:rPr>
              <w:t xml:space="preserve"> C</w:t>
            </w:r>
            <w:r w:rsidR="00C24560">
              <w:rPr>
                <w:rFonts w:ascii="Calibri" w:eastAsia="Times New Roman" w:hAnsi="Calibri" w:cs="Calibri"/>
                <w:b/>
                <w:color w:val="000000"/>
                <w:lang w:eastAsia="nl-NL"/>
              </w:rPr>
              <w:t xml:space="preserve">oëfficiënten </w:t>
            </w:r>
            <w:r w:rsidR="00885FAB" w:rsidRPr="00885FAB">
              <w:rPr>
                <w:rFonts w:ascii="Calibri" w:eastAsia="Times New Roman" w:hAnsi="Calibri" w:cs="Calibri"/>
                <w:b/>
                <w:color w:val="000000"/>
                <w:lang w:eastAsia="nl-NL"/>
              </w:rPr>
              <w:t>Nederland</w:t>
            </w:r>
            <w:r>
              <w:rPr>
                <w:rFonts w:ascii="Calibri" w:eastAsia="Times New Roman" w:hAnsi="Calibri" w:cs="Calibri"/>
                <w:b/>
                <w:color w:val="000000"/>
                <w:lang w:eastAsia="nl-NL"/>
              </w:rPr>
              <w:t xml:space="preserve"> </w:t>
            </w:r>
          </w:p>
        </w:tc>
      </w:tr>
      <w:tr w:rsidR="00885FAB" w:rsidRPr="00885FAB" w:rsidTr="00566D8A">
        <w:trPr>
          <w:trHeight w:val="300"/>
        </w:trPr>
        <w:tc>
          <w:tcPr>
            <w:tcW w:w="2600" w:type="dxa"/>
            <w:gridSpan w:val="2"/>
            <w:tcBorders>
              <w:top w:val="nil"/>
              <w:left w:val="nil"/>
              <w:bottom w:val="nil"/>
              <w:right w:val="nil"/>
            </w:tcBorders>
            <w:shd w:val="clear" w:color="auto" w:fill="auto"/>
            <w:noWrap/>
            <w:vAlign w:val="bottom"/>
            <w:hideMark/>
          </w:tcPr>
          <w:p w:rsidR="00885FAB" w:rsidRPr="00885FAB" w:rsidRDefault="00885FAB" w:rsidP="00566D8A">
            <w:pPr>
              <w:spacing w:after="0" w:line="360" w:lineRule="auto"/>
              <w:rPr>
                <w:rFonts w:ascii="Calibri" w:eastAsia="Times New Roman" w:hAnsi="Calibri" w:cs="Calibri"/>
                <w:color w:val="000000"/>
                <w:lang w:eastAsia="nl-NL"/>
              </w:rPr>
            </w:pPr>
          </w:p>
        </w:tc>
        <w:tc>
          <w:tcPr>
            <w:tcW w:w="1243" w:type="dxa"/>
            <w:tcBorders>
              <w:top w:val="single" w:sz="4" w:space="0" w:color="auto"/>
              <w:left w:val="single" w:sz="4" w:space="0" w:color="auto"/>
              <w:bottom w:val="single" w:sz="4" w:space="0" w:color="auto"/>
              <w:right w:val="single" w:sz="4" w:space="0" w:color="auto"/>
            </w:tcBorders>
            <w:shd w:val="clear" w:color="000000" w:fill="C4D79B"/>
            <w:noWrap/>
            <w:vAlign w:val="bottom"/>
            <w:hideMark/>
          </w:tcPr>
          <w:p w:rsidR="00885FAB" w:rsidRPr="00885FAB" w:rsidRDefault="00885FAB" w:rsidP="00566D8A">
            <w:pPr>
              <w:spacing w:after="0" w:line="360" w:lineRule="auto"/>
              <w:rPr>
                <w:rFonts w:ascii="Calibri" w:eastAsia="Times New Roman" w:hAnsi="Calibri" w:cs="Calibri"/>
                <w:color w:val="000000"/>
                <w:lang w:eastAsia="nl-NL"/>
              </w:rPr>
            </w:pPr>
            <w:r w:rsidRPr="00885FAB">
              <w:rPr>
                <w:rFonts w:ascii="Calibri" w:eastAsia="Times New Roman" w:hAnsi="Calibri" w:cs="Calibri"/>
                <w:color w:val="000000"/>
                <w:lang w:eastAsia="nl-NL"/>
              </w:rPr>
              <w:t>1970-1982</w:t>
            </w:r>
          </w:p>
        </w:tc>
        <w:tc>
          <w:tcPr>
            <w:tcW w:w="1134" w:type="dxa"/>
            <w:tcBorders>
              <w:top w:val="single" w:sz="4" w:space="0" w:color="auto"/>
              <w:left w:val="nil"/>
              <w:bottom w:val="single" w:sz="4" w:space="0" w:color="auto"/>
              <w:right w:val="single" w:sz="4" w:space="0" w:color="auto"/>
            </w:tcBorders>
            <w:shd w:val="clear" w:color="000000" w:fill="C4D79B"/>
            <w:noWrap/>
            <w:vAlign w:val="bottom"/>
            <w:hideMark/>
          </w:tcPr>
          <w:p w:rsidR="00885FAB" w:rsidRPr="00885FAB" w:rsidRDefault="00885FAB" w:rsidP="00566D8A">
            <w:pPr>
              <w:spacing w:after="0" w:line="360" w:lineRule="auto"/>
              <w:rPr>
                <w:rFonts w:ascii="Calibri" w:eastAsia="Times New Roman" w:hAnsi="Calibri" w:cs="Calibri"/>
                <w:color w:val="000000"/>
                <w:lang w:eastAsia="nl-NL"/>
              </w:rPr>
            </w:pPr>
            <w:r w:rsidRPr="00885FAB">
              <w:rPr>
                <w:rFonts w:ascii="Calibri" w:eastAsia="Times New Roman" w:hAnsi="Calibri" w:cs="Calibri"/>
                <w:color w:val="000000"/>
                <w:lang w:eastAsia="nl-NL"/>
              </w:rPr>
              <w:t>1983-1987</w:t>
            </w:r>
          </w:p>
        </w:tc>
        <w:tc>
          <w:tcPr>
            <w:tcW w:w="1134" w:type="dxa"/>
            <w:tcBorders>
              <w:top w:val="single" w:sz="4" w:space="0" w:color="auto"/>
              <w:left w:val="nil"/>
              <w:bottom w:val="single" w:sz="4" w:space="0" w:color="auto"/>
              <w:right w:val="single" w:sz="4" w:space="0" w:color="auto"/>
            </w:tcBorders>
            <w:shd w:val="clear" w:color="000000" w:fill="C4D79B"/>
            <w:noWrap/>
            <w:vAlign w:val="bottom"/>
            <w:hideMark/>
          </w:tcPr>
          <w:p w:rsidR="00885FAB" w:rsidRPr="00885FAB" w:rsidRDefault="00885FAB" w:rsidP="00566D8A">
            <w:pPr>
              <w:spacing w:after="0" w:line="360" w:lineRule="auto"/>
              <w:rPr>
                <w:rFonts w:ascii="Calibri" w:eastAsia="Times New Roman" w:hAnsi="Calibri" w:cs="Calibri"/>
                <w:color w:val="000000"/>
                <w:lang w:eastAsia="nl-NL"/>
              </w:rPr>
            </w:pPr>
            <w:r w:rsidRPr="00885FAB">
              <w:rPr>
                <w:rFonts w:ascii="Calibri" w:eastAsia="Times New Roman" w:hAnsi="Calibri" w:cs="Calibri"/>
                <w:color w:val="000000"/>
                <w:lang w:eastAsia="nl-NL"/>
              </w:rPr>
              <w:t>1988-1992</w:t>
            </w:r>
          </w:p>
        </w:tc>
        <w:tc>
          <w:tcPr>
            <w:tcW w:w="1134" w:type="dxa"/>
            <w:tcBorders>
              <w:top w:val="single" w:sz="4" w:space="0" w:color="auto"/>
              <w:left w:val="nil"/>
              <w:bottom w:val="single" w:sz="4" w:space="0" w:color="auto"/>
              <w:right w:val="single" w:sz="4" w:space="0" w:color="auto"/>
            </w:tcBorders>
            <w:shd w:val="clear" w:color="000000" w:fill="C4D79B"/>
            <w:noWrap/>
            <w:vAlign w:val="bottom"/>
            <w:hideMark/>
          </w:tcPr>
          <w:p w:rsidR="00885FAB" w:rsidRPr="00885FAB" w:rsidRDefault="00885FAB" w:rsidP="00566D8A">
            <w:pPr>
              <w:spacing w:after="0" w:line="360" w:lineRule="auto"/>
              <w:rPr>
                <w:rFonts w:ascii="Calibri" w:eastAsia="Times New Roman" w:hAnsi="Calibri" w:cs="Calibri"/>
                <w:color w:val="000000"/>
                <w:lang w:eastAsia="nl-NL"/>
              </w:rPr>
            </w:pPr>
            <w:r w:rsidRPr="00885FAB">
              <w:rPr>
                <w:rFonts w:ascii="Calibri" w:eastAsia="Times New Roman" w:hAnsi="Calibri" w:cs="Calibri"/>
                <w:color w:val="000000"/>
                <w:lang w:eastAsia="nl-NL"/>
              </w:rPr>
              <w:t>1983-1992</w:t>
            </w:r>
          </w:p>
        </w:tc>
        <w:tc>
          <w:tcPr>
            <w:tcW w:w="1134" w:type="dxa"/>
            <w:tcBorders>
              <w:top w:val="single" w:sz="4" w:space="0" w:color="auto"/>
              <w:left w:val="nil"/>
              <w:bottom w:val="single" w:sz="4" w:space="0" w:color="auto"/>
              <w:right w:val="single" w:sz="4" w:space="0" w:color="auto"/>
            </w:tcBorders>
            <w:shd w:val="clear" w:color="000000" w:fill="C4D79B"/>
            <w:noWrap/>
            <w:vAlign w:val="bottom"/>
            <w:hideMark/>
          </w:tcPr>
          <w:p w:rsidR="00885FAB" w:rsidRPr="00885FAB" w:rsidRDefault="00885FAB" w:rsidP="00566D8A">
            <w:pPr>
              <w:spacing w:after="0" w:line="360" w:lineRule="auto"/>
              <w:rPr>
                <w:rFonts w:ascii="Calibri" w:eastAsia="Times New Roman" w:hAnsi="Calibri" w:cs="Calibri"/>
                <w:color w:val="000000"/>
                <w:lang w:eastAsia="nl-NL"/>
              </w:rPr>
            </w:pPr>
            <w:r w:rsidRPr="00885FAB">
              <w:rPr>
                <w:rFonts w:ascii="Calibri" w:eastAsia="Times New Roman" w:hAnsi="Calibri" w:cs="Calibri"/>
                <w:color w:val="000000"/>
                <w:lang w:eastAsia="nl-NL"/>
              </w:rPr>
              <w:t>1970-2011</w:t>
            </w:r>
          </w:p>
        </w:tc>
      </w:tr>
      <w:tr w:rsidR="00885FAB" w:rsidRPr="00885FAB" w:rsidTr="00566D8A">
        <w:trPr>
          <w:trHeight w:val="300"/>
        </w:trPr>
        <w:tc>
          <w:tcPr>
            <w:tcW w:w="2600" w:type="dxa"/>
            <w:gridSpan w:val="2"/>
            <w:tcBorders>
              <w:top w:val="single" w:sz="4" w:space="0" w:color="auto"/>
              <w:left w:val="single" w:sz="4" w:space="0" w:color="auto"/>
              <w:bottom w:val="single" w:sz="4" w:space="0" w:color="auto"/>
              <w:right w:val="single" w:sz="4" w:space="0" w:color="auto"/>
            </w:tcBorders>
            <w:shd w:val="clear" w:color="000000" w:fill="C4D79B"/>
            <w:noWrap/>
            <w:vAlign w:val="bottom"/>
            <w:hideMark/>
          </w:tcPr>
          <w:p w:rsidR="00885FAB" w:rsidRPr="00885FAB" w:rsidRDefault="00885FAB" w:rsidP="00566D8A">
            <w:pPr>
              <w:spacing w:after="0" w:line="360" w:lineRule="auto"/>
              <w:rPr>
                <w:rFonts w:ascii="Calibri" w:eastAsia="Times New Roman" w:hAnsi="Calibri" w:cs="Calibri"/>
                <w:color w:val="000000"/>
                <w:lang w:eastAsia="nl-NL"/>
              </w:rPr>
            </w:pPr>
            <w:r w:rsidRPr="00885FAB">
              <w:rPr>
                <w:rFonts w:ascii="Calibri" w:eastAsia="Times New Roman" w:hAnsi="Calibri" w:cs="Calibri"/>
                <w:color w:val="000000"/>
                <w:lang w:eastAsia="nl-NL"/>
              </w:rPr>
              <w:t>Inflatie</w:t>
            </w:r>
          </w:p>
        </w:tc>
        <w:tc>
          <w:tcPr>
            <w:tcW w:w="1243" w:type="dxa"/>
            <w:tcBorders>
              <w:top w:val="nil"/>
              <w:left w:val="nil"/>
              <w:bottom w:val="single" w:sz="4" w:space="0" w:color="auto"/>
              <w:right w:val="single" w:sz="4" w:space="0" w:color="auto"/>
            </w:tcBorders>
            <w:shd w:val="clear" w:color="000000" w:fill="EBF1DE"/>
            <w:noWrap/>
            <w:vAlign w:val="bottom"/>
            <w:hideMark/>
          </w:tcPr>
          <w:p w:rsidR="00885FAB" w:rsidRPr="00885FAB" w:rsidRDefault="00885FAB" w:rsidP="00566D8A">
            <w:pPr>
              <w:spacing w:after="0" w:line="360" w:lineRule="auto"/>
              <w:jc w:val="right"/>
              <w:rPr>
                <w:rFonts w:ascii="Calibri" w:eastAsia="Times New Roman" w:hAnsi="Calibri" w:cs="Calibri"/>
                <w:color w:val="000000"/>
                <w:lang w:eastAsia="nl-NL"/>
              </w:rPr>
            </w:pPr>
            <w:r w:rsidRPr="00885FAB">
              <w:rPr>
                <w:rFonts w:ascii="Calibri" w:eastAsia="Times New Roman" w:hAnsi="Calibri" w:cs="Calibri"/>
                <w:color w:val="000000"/>
                <w:lang w:eastAsia="nl-NL"/>
              </w:rPr>
              <w:t>0,151</w:t>
            </w:r>
          </w:p>
        </w:tc>
        <w:tc>
          <w:tcPr>
            <w:tcW w:w="1134" w:type="dxa"/>
            <w:tcBorders>
              <w:top w:val="nil"/>
              <w:left w:val="nil"/>
              <w:bottom w:val="single" w:sz="4" w:space="0" w:color="auto"/>
              <w:right w:val="single" w:sz="4" w:space="0" w:color="auto"/>
            </w:tcBorders>
            <w:shd w:val="clear" w:color="000000" w:fill="EBF1DE"/>
            <w:noWrap/>
            <w:vAlign w:val="bottom"/>
            <w:hideMark/>
          </w:tcPr>
          <w:p w:rsidR="00885FAB" w:rsidRPr="00885FAB" w:rsidRDefault="00885FAB" w:rsidP="00566D8A">
            <w:pPr>
              <w:spacing w:after="0" w:line="360" w:lineRule="auto"/>
              <w:jc w:val="right"/>
              <w:rPr>
                <w:rFonts w:ascii="Calibri" w:eastAsia="Times New Roman" w:hAnsi="Calibri" w:cs="Calibri"/>
                <w:color w:val="000000"/>
                <w:lang w:eastAsia="nl-NL"/>
              </w:rPr>
            </w:pPr>
            <w:r w:rsidRPr="00885FAB">
              <w:rPr>
                <w:rFonts w:ascii="Calibri" w:eastAsia="Times New Roman" w:hAnsi="Calibri" w:cs="Calibri"/>
                <w:color w:val="000000"/>
                <w:lang w:eastAsia="nl-NL"/>
              </w:rPr>
              <w:t>0,728</w:t>
            </w:r>
          </w:p>
        </w:tc>
        <w:tc>
          <w:tcPr>
            <w:tcW w:w="1134" w:type="dxa"/>
            <w:tcBorders>
              <w:top w:val="nil"/>
              <w:left w:val="nil"/>
              <w:bottom w:val="single" w:sz="4" w:space="0" w:color="auto"/>
              <w:right w:val="single" w:sz="4" w:space="0" w:color="auto"/>
            </w:tcBorders>
            <w:shd w:val="clear" w:color="000000" w:fill="EBF1DE"/>
            <w:noWrap/>
            <w:vAlign w:val="bottom"/>
            <w:hideMark/>
          </w:tcPr>
          <w:p w:rsidR="00885FAB" w:rsidRPr="00885FAB" w:rsidRDefault="00885FAB" w:rsidP="00566D8A">
            <w:pPr>
              <w:spacing w:after="0" w:line="360" w:lineRule="auto"/>
              <w:jc w:val="right"/>
              <w:rPr>
                <w:rFonts w:ascii="Calibri" w:eastAsia="Times New Roman" w:hAnsi="Calibri" w:cs="Calibri"/>
                <w:color w:val="000000"/>
                <w:lang w:eastAsia="nl-NL"/>
              </w:rPr>
            </w:pPr>
            <w:r w:rsidRPr="00885FAB">
              <w:rPr>
                <w:rFonts w:ascii="Calibri" w:eastAsia="Times New Roman" w:hAnsi="Calibri" w:cs="Calibri"/>
                <w:color w:val="000000"/>
                <w:lang w:eastAsia="nl-NL"/>
              </w:rPr>
              <w:t>1,31</w:t>
            </w:r>
          </w:p>
        </w:tc>
        <w:tc>
          <w:tcPr>
            <w:tcW w:w="1134" w:type="dxa"/>
            <w:tcBorders>
              <w:top w:val="nil"/>
              <w:left w:val="nil"/>
              <w:bottom w:val="single" w:sz="4" w:space="0" w:color="auto"/>
              <w:right w:val="single" w:sz="4" w:space="0" w:color="auto"/>
            </w:tcBorders>
            <w:shd w:val="clear" w:color="000000" w:fill="EBF1DE"/>
            <w:noWrap/>
            <w:vAlign w:val="bottom"/>
            <w:hideMark/>
          </w:tcPr>
          <w:p w:rsidR="00885FAB" w:rsidRPr="00885FAB" w:rsidRDefault="00885FAB" w:rsidP="00566D8A">
            <w:pPr>
              <w:spacing w:after="0" w:line="360" w:lineRule="auto"/>
              <w:jc w:val="right"/>
              <w:rPr>
                <w:rFonts w:ascii="Calibri" w:eastAsia="Times New Roman" w:hAnsi="Calibri" w:cs="Calibri"/>
                <w:color w:val="000000"/>
                <w:lang w:eastAsia="nl-NL"/>
              </w:rPr>
            </w:pPr>
            <w:r w:rsidRPr="00885FAB">
              <w:rPr>
                <w:rFonts w:ascii="Calibri" w:eastAsia="Times New Roman" w:hAnsi="Calibri" w:cs="Calibri"/>
                <w:color w:val="000000"/>
                <w:lang w:eastAsia="nl-NL"/>
              </w:rPr>
              <w:t>-0,118</w:t>
            </w:r>
          </w:p>
        </w:tc>
        <w:tc>
          <w:tcPr>
            <w:tcW w:w="1134" w:type="dxa"/>
            <w:tcBorders>
              <w:top w:val="nil"/>
              <w:left w:val="nil"/>
              <w:bottom w:val="single" w:sz="4" w:space="0" w:color="auto"/>
              <w:right w:val="single" w:sz="4" w:space="0" w:color="auto"/>
            </w:tcBorders>
            <w:shd w:val="clear" w:color="000000" w:fill="F79646"/>
            <w:noWrap/>
            <w:vAlign w:val="bottom"/>
            <w:hideMark/>
          </w:tcPr>
          <w:p w:rsidR="00885FAB" w:rsidRPr="00885FAB" w:rsidRDefault="00885FAB" w:rsidP="00566D8A">
            <w:pPr>
              <w:spacing w:after="0" w:line="360" w:lineRule="auto"/>
              <w:jc w:val="right"/>
              <w:rPr>
                <w:rFonts w:ascii="Calibri" w:eastAsia="Times New Roman" w:hAnsi="Calibri" w:cs="Calibri"/>
                <w:b/>
                <w:bCs/>
                <w:color w:val="000000"/>
                <w:lang w:eastAsia="nl-NL"/>
              </w:rPr>
            </w:pPr>
            <w:r w:rsidRPr="00885FAB">
              <w:rPr>
                <w:rFonts w:ascii="Calibri" w:eastAsia="Times New Roman" w:hAnsi="Calibri" w:cs="Calibri"/>
                <w:b/>
                <w:bCs/>
                <w:color w:val="000000"/>
                <w:lang w:eastAsia="nl-NL"/>
              </w:rPr>
              <w:t>0,601</w:t>
            </w:r>
          </w:p>
        </w:tc>
      </w:tr>
      <w:tr w:rsidR="00885FAB" w:rsidRPr="00885FAB" w:rsidTr="00566D8A">
        <w:trPr>
          <w:trHeight w:val="300"/>
        </w:trPr>
        <w:tc>
          <w:tcPr>
            <w:tcW w:w="2600" w:type="dxa"/>
            <w:gridSpan w:val="2"/>
            <w:tcBorders>
              <w:top w:val="nil"/>
              <w:left w:val="single" w:sz="4" w:space="0" w:color="auto"/>
              <w:bottom w:val="single" w:sz="4" w:space="0" w:color="auto"/>
              <w:right w:val="single" w:sz="4" w:space="0" w:color="auto"/>
            </w:tcBorders>
            <w:shd w:val="clear" w:color="000000" w:fill="C4D79B"/>
            <w:noWrap/>
            <w:vAlign w:val="bottom"/>
            <w:hideMark/>
          </w:tcPr>
          <w:p w:rsidR="00885FAB" w:rsidRPr="00885FAB" w:rsidRDefault="00885FAB" w:rsidP="00566D8A">
            <w:pPr>
              <w:spacing w:after="0" w:line="360" w:lineRule="auto"/>
              <w:rPr>
                <w:rFonts w:ascii="Calibri" w:eastAsia="Times New Roman" w:hAnsi="Calibri" w:cs="Calibri"/>
                <w:color w:val="000000"/>
                <w:lang w:eastAsia="nl-NL"/>
              </w:rPr>
            </w:pPr>
            <w:r w:rsidRPr="00885FAB">
              <w:rPr>
                <w:rFonts w:ascii="Calibri" w:eastAsia="Times New Roman" w:hAnsi="Calibri" w:cs="Calibri"/>
                <w:color w:val="000000"/>
                <w:lang w:eastAsia="nl-NL"/>
              </w:rPr>
              <w:t>Werkloosheidspercentage</w:t>
            </w:r>
          </w:p>
        </w:tc>
        <w:tc>
          <w:tcPr>
            <w:tcW w:w="1243" w:type="dxa"/>
            <w:tcBorders>
              <w:top w:val="nil"/>
              <w:left w:val="nil"/>
              <w:bottom w:val="single" w:sz="4" w:space="0" w:color="auto"/>
              <w:right w:val="single" w:sz="4" w:space="0" w:color="auto"/>
            </w:tcBorders>
            <w:shd w:val="clear" w:color="000000" w:fill="F79646"/>
            <w:noWrap/>
            <w:vAlign w:val="bottom"/>
            <w:hideMark/>
          </w:tcPr>
          <w:p w:rsidR="00885FAB" w:rsidRPr="00885FAB" w:rsidRDefault="00885FAB" w:rsidP="00566D8A">
            <w:pPr>
              <w:spacing w:after="0" w:line="360" w:lineRule="auto"/>
              <w:jc w:val="right"/>
              <w:rPr>
                <w:rFonts w:ascii="Calibri" w:eastAsia="Times New Roman" w:hAnsi="Calibri" w:cs="Calibri"/>
                <w:b/>
                <w:bCs/>
                <w:color w:val="000000"/>
                <w:lang w:eastAsia="nl-NL"/>
              </w:rPr>
            </w:pPr>
            <w:r w:rsidRPr="00885FAB">
              <w:rPr>
                <w:rFonts w:ascii="Calibri" w:eastAsia="Times New Roman" w:hAnsi="Calibri" w:cs="Calibri"/>
                <w:b/>
                <w:bCs/>
                <w:color w:val="000000"/>
                <w:lang w:eastAsia="nl-NL"/>
              </w:rPr>
              <w:t>-0,693</w:t>
            </w:r>
          </w:p>
        </w:tc>
        <w:tc>
          <w:tcPr>
            <w:tcW w:w="1134" w:type="dxa"/>
            <w:tcBorders>
              <w:top w:val="nil"/>
              <w:left w:val="nil"/>
              <w:bottom w:val="single" w:sz="4" w:space="0" w:color="auto"/>
              <w:right w:val="single" w:sz="4" w:space="0" w:color="auto"/>
            </w:tcBorders>
            <w:shd w:val="clear" w:color="000000" w:fill="EBF1DE"/>
            <w:noWrap/>
            <w:vAlign w:val="bottom"/>
            <w:hideMark/>
          </w:tcPr>
          <w:p w:rsidR="00885FAB" w:rsidRPr="00885FAB" w:rsidRDefault="00885FAB" w:rsidP="00566D8A">
            <w:pPr>
              <w:spacing w:after="0" w:line="360" w:lineRule="auto"/>
              <w:jc w:val="right"/>
              <w:rPr>
                <w:rFonts w:ascii="Calibri" w:eastAsia="Times New Roman" w:hAnsi="Calibri" w:cs="Calibri"/>
                <w:color w:val="000000"/>
                <w:lang w:eastAsia="nl-NL"/>
              </w:rPr>
            </w:pPr>
            <w:r w:rsidRPr="00885FAB">
              <w:rPr>
                <w:rFonts w:ascii="Calibri" w:eastAsia="Times New Roman" w:hAnsi="Calibri" w:cs="Calibri"/>
                <w:color w:val="000000"/>
                <w:lang w:eastAsia="nl-NL"/>
              </w:rPr>
              <w:t>-0,335</w:t>
            </w:r>
          </w:p>
        </w:tc>
        <w:tc>
          <w:tcPr>
            <w:tcW w:w="1134" w:type="dxa"/>
            <w:tcBorders>
              <w:top w:val="nil"/>
              <w:left w:val="nil"/>
              <w:bottom w:val="single" w:sz="4" w:space="0" w:color="auto"/>
              <w:right w:val="single" w:sz="4" w:space="0" w:color="auto"/>
            </w:tcBorders>
            <w:shd w:val="clear" w:color="000000" w:fill="EBF1DE"/>
            <w:noWrap/>
            <w:vAlign w:val="bottom"/>
            <w:hideMark/>
          </w:tcPr>
          <w:p w:rsidR="00885FAB" w:rsidRPr="00885FAB" w:rsidRDefault="00885FAB" w:rsidP="00566D8A">
            <w:pPr>
              <w:spacing w:after="0" w:line="360" w:lineRule="auto"/>
              <w:jc w:val="right"/>
              <w:rPr>
                <w:rFonts w:ascii="Calibri" w:eastAsia="Times New Roman" w:hAnsi="Calibri" w:cs="Calibri"/>
                <w:color w:val="000000"/>
                <w:lang w:eastAsia="nl-NL"/>
              </w:rPr>
            </w:pPr>
            <w:r w:rsidRPr="00885FAB">
              <w:rPr>
                <w:rFonts w:ascii="Calibri" w:eastAsia="Times New Roman" w:hAnsi="Calibri" w:cs="Calibri"/>
                <w:color w:val="000000"/>
                <w:lang w:eastAsia="nl-NL"/>
              </w:rPr>
              <w:t>2,861</w:t>
            </w:r>
          </w:p>
        </w:tc>
        <w:tc>
          <w:tcPr>
            <w:tcW w:w="1134" w:type="dxa"/>
            <w:tcBorders>
              <w:top w:val="nil"/>
              <w:left w:val="nil"/>
              <w:bottom w:val="single" w:sz="4" w:space="0" w:color="auto"/>
              <w:right w:val="single" w:sz="4" w:space="0" w:color="auto"/>
            </w:tcBorders>
            <w:shd w:val="clear" w:color="000000" w:fill="F79646"/>
            <w:noWrap/>
            <w:vAlign w:val="bottom"/>
            <w:hideMark/>
          </w:tcPr>
          <w:p w:rsidR="00885FAB" w:rsidRPr="00885FAB" w:rsidRDefault="00885FAB" w:rsidP="00566D8A">
            <w:pPr>
              <w:spacing w:after="0" w:line="360" w:lineRule="auto"/>
              <w:jc w:val="right"/>
              <w:rPr>
                <w:rFonts w:ascii="Calibri" w:eastAsia="Times New Roman" w:hAnsi="Calibri" w:cs="Calibri"/>
                <w:b/>
                <w:bCs/>
                <w:color w:val="000000"/>
                <w:lang w:eastAsia="nl-NL"/>
              </w:rPr>
            </w:pPr>
            <w:r w:rsidRPr="00885FAB">
              <w:rPr>
                <w:rFonts w:ascii="Calibri" w:eastAsia="Times New Roman" w:hAnsi="Calibri" w:cs="Calibri"/>
                <w:b/>
                <w:bCs/>
                <w:color w:val="000000"/>
                <w:lang w:eastAsia="nl-NL"/>
              </w:rPr>
              <w:t>1,134</w:t>
            </w:r>
          </w:p>
        </w:tc>
        <w:tc>
          <w:tcPr>
            <w:tcW w:w="1134" w:type="dxa"/>
            <w:tcBorders>
              <w:top w:val="nil"/>
              <w:left w:val="nil"/>
              <w:bottom w:val="single" w:sz="4" w:space="0" w:color="auto"/>
              <w:right w:val="single" w:sz="4" w:space="0" w:color="auto"/>
            </w:tcBorders>
            <w:shd w:val="clear" w:color="000000" w:fill="F79646"/>
            <w:noWrap/>
            <w:vAlign w:val="bottom"/>
            <w:hideMark/>
          </w:tcPr>
          <w:p w:rsidR="00885FAB" w:rsidRPr="00885FAB" w:rsidRDefault="00885FAB" w:rsidP="00566D8A">
            <w:pPr>
              <w:spacing w:after="0" w:line="360" w:lineRule="auto"/>
              <w:jc w:val="right"/>
              <w:rPr>
                <w:rFonts w:ascii="Calibri" w:eastAsia="Times New Roman" w:hAnsi="Calibri" w:cs="Calibri"/>
                <w:b/>
                <w:bCs/>
                <w:color w:val="000000"/>
                <w:lang w:eastAsia="nl-NL"/>
              </w:rPr>
            </w:pPr>
            <w:r w:rsidRPr="00885FAB">
              <w:rPr>
                <w:rFonts w:ascii="Calibri" w:eastAsia="Times New Roman" w:hAnsi="Calibri" w:cs="Calibri"/>
                <w:b/>
                <w:bCs/>
                <w:color w:val="000000"/>
                <w:lang w:eastAsia="nl-NL"/>
              </w:rPr>
              <w:t>0,561</w:t>
            </w:r>
          </w:p>
        </w:tc>
      </w:tr>
      <w:tr w:rsidR="00885FAB" w:rsidRPr="00885FAB" w:rsidTr="00566D8A">
        <w:trPr>
          <w:trHeight w:val="300"/>
        </w:trPr>
        <w:tc>
          <w:tcPr>
            <w:tcW w:w="2600" w:type="dxa"/>
            <w:gridSpan w:val="2"/>
            <w:tcBorders>
              <w:top w:val="nil"/>
              <w:left w:val="single" w:sz="4" w:space="0" w:color="auto"/>
              <w:bottom w:val="single" w:sz="4" w:space="0" w:color="auto"/>
              <w:right w:val="single" w:sz="4" w:space="0" w:color="auto"/>
            </w:tcBorders>
            <w:shd w:val="clear" w:color="000000" w:fill="C4D79B"/>
            <w:noWrap/>
            <w:vAlign w:val="bottom"/>
            <w:hideMark/>
          </w:tcPr>
          <w:p w:rsidR="00885FAB" w:rsidRPr="00885FAB" w:rsidRDefault="00885FAB" w:rsidP="00566D8A">
            <w:pPr>
              <w:spacing w:after="0" w:line="360" w:lineRule="auto"/>
              <w:rPr>
                <w:rFonts w:ascii="Calibri" w:eastAsia="Times New Roman" w:hAnsi="Calibri" w:cs="Calibri"/>
                <w:color w:val="000000"/>
                <w:lang w:eastAsia="nl-NL"/>
              </w:rPr>
            </w:pPr>
            <w:r w:rsidRPr="00885FAB">
              <w:rPr>
                <w:rFonts w:ascii="Calibri" w:eastAsia="Times New Roman" w:hAnsi="Calibri" w:cs="Calibri"/>
                <w:color w:val="000000"/>
                <w:lang w:eastAsia="nl-NL"/>
              </w:rPr>
              <w:t>Werknemerscompensatie</w:t>
            </w:r>
          </w:p>
        </w:tc>
        <w:tc>
          <w:tcPr>
            <w:tcW w:w="1243" w:type="dxa"/>
            <w:tcBorders>
              <w:top w:val="nil"/>
              <w:left w:val="nil"/>
              <w:bottom w:val="single" w:sz="4" w:space="0" w:color="auto"/>
              <w:right w:val="single" w:sz="4" w:space="0" w:color="auto"/>
            </w:tcBorders>
            <w:shd w:val="clear" w:color="000000" w:fill="F79646"/>
            <w:noWrap/>
            <w:vAlign w:val="bottom"/>
            <w:hideMark/>
          </w:tcPr>
          <w:p w:rsidR="00885FAB" w:rsidRPr="00885FAB" w:rsidRDefault="00885FAB" w:rsidP="00566D8A">
            <w:pPr>
              <w:spacing w:after="0" w:line="360" w:lineRule="auto"/>
              <w:jc w:val="right"/>
              <w:rPr>
                <w:rFonts w:ascii="Calibri" w:eastAsia="Times New Roman" w:hAnsi="Calibri" w:cs="Calibri"/>
                <w:b/>
                <w:bCs/>
                <w:color w:val="000000"/>
                <w:lang w:eastAsia="nl-NL"/>
              </w:rPr>
            </w:pPr>
            <w:r w:rsidRPr="00885FAB">
              <w:rPr>
                <w:rFonts w:ascii="Calibri" w:eastAsia="Times New Roman" w:hAnsi="Calibri" w:cs="Calibri"/>
                <w:b/>
                <w:bCs/>
                <w:color w:val="000000"/>
                <w:lang w:eastAsia="nl-NL"/>
              </w:rPr>
              <w:t>0,654</w:t>
            </w:r>
          </w:p>
        </w:tc>
        <w:tc>
          <w:tcPr>
            <w:tcW w:w="1134" w:type="dxa"/>
            <w:tcBorders>
              <w:top w:val="nil"/>
              <w:left w:val="nil"/>
              <w:bottom w:val="single" w:sz="4" w:space="0" w:color="auto"/>
              <w:right w:val="single" w:sz="4" w:space="0" w:color="auto"/>
            </w:tcBorders>
            <w:shd w:val="clear" w:color="000000" w:fill="EBF1DE"/>
            <w:noWrap/>
            <w:vAlign w:val="bottom"/>
            <w:hideMark/>
          </w:tcPr>
          <w:p w:rsidR="00885FAB" w:rsidRPr="00885FAB" w:rsidRDefault="00885FAB" w:rsidP="00566D8A">
            <w:pPr>
              <w:spacing w:after="0" w:line="360" w:lineRule="auto"/>
              <w:jc w:val="right"/>
              <w:rPr>
                <w:rFonts w:ascii="Calibri" w:eastAsia="Times New Roman" w:hAnsi="Calibri" w:cs="Calibri"/>
                <w:color w:val="000000"/>
                <w:lang w:eastAsia="nl-NL"/>
              </w:rPr>
            </w:pPr>
            <w:r w:rsidRPr="00885FAB">
              <w:rPr>
                <w:rFonts w:ascii="Calibri" w:eastAsia="Times New Roman" w:hAnsi="Calibri" w:cs="Calibri"/>
                <w:color w:val="000000"/>
                <w:lang w:eastAsia="nl-NL"/>
              </w:rPr>
              <w:t>0,337</w:t>
            </w:r>
          </w:p>
        </w:tc>
        <w:tc>
          <w:tcPr>
            <w:tcW w:w="1134" w:type="dxa"/>
            <w:tcBorders>
              <w:top w:val="nil"/>
              <w:left w:val="nil"/>
              <w:bottom w:val="single" w:sz="4" w:space="0" w:color="auto"/>
              <w:right w:val="single" w:sz="4" w:space="0" w:color="auto"/>
            </w:tcBorders>
            <w:shd w:val="clear" w:color="000000" w:fill="EBF1DE"/>
            <w:noWrap/>
            <w:vAlign w:val="bottom"/>
            <w:hideMark/>
          </w:tcPr>
          <w:p w:rsidR="00885FAB" w:rsidRPr="00885FAB" w:rsidRDefault="00885FAB" w:rsidP="00566D8A">
            <w:pPr>
              <w:spacing w:after="0" w:line="360" w:lineRule="auto"/>
              <w:jc w:val="right"/>
              <w:rPr>
                <w:rFonts w:ascii="Calibri" w:eastAsia="Times New Roman" w:hAnsi="Calibri" w:cs="Calibri"/>
                <w:color w:val="000000"/>
                <w:lang w:eastAsia="nl-NL"/>
              </w:rPr>
            </w:pPr>
            <w:r w:rsidRPr="00885FAB">
              <w:rPr>
                <w:rFonts w:ascii="Calibri" w:eastAsia="Times New Roman" w:hAnsi="Calibri" w:cs="Calibri"/>
                <w:color w:val="000000"/>
                <w:lang w:eastAsia="nl-NL"/>
              </w:rPr>
              <w:t>-0,535</w:t>
            </w:r>
          </w:p>
        </w:tc>
        <w:tc>
          <w:tcPr>
            <w:tcW w:w="1134" w:type="dxa"/>
            <w:tcBorders>
              <w:top w:val="nil"/>
              <w:left w:val="nil"/>
              <w:bottom w:val="single" w:sz="4" w:space="0" w:color="auto"/>
              <w:right w:val="single" w:sz="4" w:space="0" w:color="auto"/>
            </w:tcBorders>
            <w:shd w:val="clear" w:color="000000" w:fill="EBF1DE"/>
            <w:noWrap/>
            <w:vAlign w:val="bottom"/>
            <w:hideMark/>
          </w:tcPr>
          <w:p w:rsidR="00885FAB" w:rsidRPr="00885FAB" w:rsidRDefault="00885FAB" w:rsidP="00566D8A">
            <w:pPr>
              <w:spacing w:after="0" w:line="360" w:lineRule="auto"/>
              <w:jc w:val="right"/>
              <w:rPr>
                <w:rFonts w:ascii="Calibri" w:eastAsia="Times New Roman" w:hAnsi="Calibri" w:cs="Calibri"/>
                <w:color w:val="000000"/>
                <w:lang w:eastAsia="nl-NL"/>
              </w:rPr>
            </w:pPr>
            <w:r w:rsidRPr="00885FAB">
              <w:rPr>
                <w:rFonts w:ascii="Calibri" w:eastAsia="Times New Roman" w:hAnsi="Calibri" w:cs="Calibri"/>
                <w:color w:val="000000"/>
                <w:lang w:eastAsia="nl-NL"/>
              </w:rPr>
              <w:t>-0,019</w:t>
            </w:r>
          </w:p>
        </w:tc>
        <w:tc>
          <w:tcPr>
            <w:tcW w:w="1134" w:type="dxa"/>
            <w:tcBorders>
              <w:top w:val="nil"/>
              <w:left w:val="nil"/>
              <w:bottom w:val="single" w:sz="4" w:space="0" w:color="auto"/>
              <w:right w:val="single" w:sz="4" w:space="0" w:color="auto"/>
            </w:tcBorders>
            <w:shd w:val="clear" w:color="000000" w:fill="F79646"/>
            <w:noWrap/>
            <w:vAlign w:val="bottom"/>
            <w:hideMark/>
          </w:tcPr>
          <w:p w:rsidR="00885FAB" w:rsidRPr="00885FAB" w:rsidRDefault="00885FAB" w:rsidP="00566D8A">
            <w:pPr>
              <w:spacing w:after="0" w:line="360" w:lineRule="auto"/>
              <w:jc w:val="right"/>
              <w:rPr>
                <w:rFonts w:ascii="Calibri" w:eastAsia="Times New Roman" w:hAnsi="Calibri" w:cs="Calibri"/>
                <w:b/>
                <w:bCs/>
                <w:color w:val="000000"/>
                <w:lang w:eastAsia="nl-NL"/>
              </w:rPr>
            </w:pPr>
            <w:r w:rsidRPr="00885FAB">
              <w:rPr>
                <w:rFonts w:ascii="Calibri" w:eastAsia="Times New Roman" w:hAnsi="Calibri" w:cs="Calibri"/>
                <w:b/>
                <w:bCs/>
                <w:color w:val="000000"/>
                <w:lang w:eastAsia="nl-NL"/>
              </w:rPr>
              <w:t>1,753</w:t>
            </w:r>
          </w:p>
        </w:tc>
      </w:tr>
      <w:tr w:rsidR="00906912" w:rsidRPr="004D3804" w:rsidTr="00566D8A">
        <w:trPr>
          <w:gridAfter w:val="6"/>
          <w:wAfter w:w="7245" w:type="dxa"/>
          <w:trHeight w:val="300"/>
        </w:trPr>
        <w:tc>
          <w:tcPr>
            <w:tcW w:w="1134" w:type="dxa"/>
            <w:tcBorders>
              <w:top w:val="nil"/>
              <w:left w:val="nil"/>
              <w:bottom w:val="nil"/>
              <w:right w:val="nil"/>
            </w:tcBorders>
            <w:shd w:val="clear" w:color="auto" w:fill="auto"/>
            <w:noWrap/>
            <w:vAlign w:val="bottom"/>
            <w:hideMark/>
          </w:tcPr>
          <w:p w:rsidR="00906912" w:rsidRPr="004D3804" w:rsidRDefault="00906912" w:rsidP="00566D8A">
            <w:pPr>
              <w:spacing w:after="0" w:line="360" w:lineRule="auto"/>
              <w:rPr>
                <w:rFonts w:ascii="Calibri" w:eastAsia="Times New Roman" w:hAnsi="Calibri" w:cs="Calibri"/>
                <w:color w:val="000000"/>
                <w:sz w:val="16"/>
                <w:szCs w:val="16"/>
                <w:lang w:val="en-US" w:eastAsia="nl-NL"/>
              </w:rPr>
            </w:pPr>
          </w:p>
        </w:tc>
      </w:tr>
      <w:tr w:rsidR="00885FAB" w:rsidRPr="00885FAB" w:rsidTr="00566D8A">
        <w:trPr>
          <w:trHeight w:val="300"/>
        </w:trPr>
        <w:tc>
          <w:tcPr>
            <w:tcW w:w="2600" w:type="dxa"/>
            <w:gridSpan w:val="2"/>
            <w:tcBorders>
              <w:top w:val="nil"/>
              <w:left w:val="nil"/>
              <w:bottom w:val="nil"/>
              <w:right w:val="nil"/>
            </w:tcBorders>
            <w:shd w:val="clear" w:color="auto" w:fill="auto"/>
            <w:noWrap/>
            <w:vAlign w:val="bottom"/>
            <w:hideMark/>
          </w:tcPr>
          <w:p w:rsidR="00885FAB" w:rsidRPr="00EC3BF6" w:rsidRDefault="00885FAB" w:rsidP="00566D8A">
            <w:pPr>
              <w:spacing w:after="0" w:line="360" w:lineRule="auto"/>
              <w:rPr>
                <w:rFonts w:ascii="Calibri" w:eastAsia="Times New Roman" w:hAnsi="Calibri" w:cs="Calibri"/>
                <w:b/>
                <w:color w:val="000000"/>
                <w:lang w:val="en-US" w:eastAsia="nl-NL"/>
              </w:rPr>
            </w:pPr>
          </w:p>
        </w:tc>
        <w:tc>
          <w:tcPr>
            <w:tcW w:w="5779" w:type="dxa"/>
            <w:gridSpan w:val="5"/>
            <w:tcBorders>
              <w:top w:val="nil"/>
              <w:left w:val="nil"/>
              <w:bottom w:val="nil"/>
              <w:right w:val="nil"/>
            </w:tcBorders>
            <w:shd w:val="clear" w:color="auto" w:fill="auto"/>
            <w:noWrap/>
            <w:vAlign w:val="bottom"/>
            <w:hideMark/>
          </w:tcPr>
          <w:p w:rsidR="00885FAB" w:rsidRPr="00C24560" w:rsidRDefault="00C24560" w:rsidP="00566D8A">
            <w:pPr>
              <w:spacing w:after="0" w:line="360" w:lineRule="auto"/>
              <w:rPr>
                <w:rFonts w:ascii="Calibri" w:eastAsia="Times New Roman" w:hAnsi="Calibri" w:cs="Calibri"/>
                <w:b/>
                <w:color w:val="000000"/>
                <w:lang w:eastAsia="nl-NL"/>
              </w:rPr>
            </w:pPr>
            <w:r w:rsidRPr="00C24560">
              <w:rPr>
                <w:rFonts w:ascii="Calibri" w:eastAsia="Times New Roman" w:hAnsi="Calibri" w:cs="Calibri"/>
                <w:b/>
                <w:color w:val="000000"/>
                <w:lang w:eastAsia="nl-NL"/>
              </w:rPr>
              <w:t>Coëfficiënten r</w:t>
            </w:r>
            <w:r w:rsidR="00885FAB" w:rsidRPr="00C24560">
              <w:rPr>
                <w:rFonts w:ascii="Calibri" w:eastAsia="Times New Roman" w:hAnsi="Calibri" w:cs="Calibri"/>
                <w:b/>
                <w:color w:val="000000"/>
                <w:lang w:eastAsia="nl-NL"/>
              </w:rPr>
              <w:t>eferentielanden</w:t>
            </w:r>
            <w:r w:rsidR="00871665" w:rsidRPr="00C24560">
              <w:rPr>
                <w:rFonts w:ascii="Calibri" w:eastAsia="Times New Roman" w:hAnsi="Calibri" w:cs="Calibri"/>
                <w:b/>
                <w:color w:val="000000"/>
                <w:lang w:eastAsia="nl-NL"/>
              </w:rPr>
              <w:t xml:space="preserve"> </w:t>
            </w:r>
            <w:r>
              <w:rPr>
                <w:rFonts w:ascii="Calibri" w:eastAsia="Times New Roman" w:hAnsi="Calibri" w:cs="Calibri"/>
                <w:b/>
                <w:color w:val="000000"/>
                <w:lang w:eastAsia="nl-NL"/>
              </w:rPr>
              <w:t xml:space="preserve">           </w:t>
            </w:r>
            <w:r w:rsidR="00871665" w:rsidRPr="00C24560">
              <w:rPr>
                <w:rFonts w:ascii="Calibri" w:eastAsia="Times New Roman" w:hAnsi="Calibri" w:cs="Calibri"/>
                <w:b/>
                <w:color w:val="000000"/>
                <w:sz w:val="16"/>
                <w:szCs w:val="16"/>
                <w:lang w:eastAsia="nl-NL"/>
              </w:rPr>
              <w:t>(Duitsland, Japan en Zwitserland)</w:t>
            </w:r>
          </w:p>
        </w:tc>
      </w:tr>
      <w:tr w:rsidR="00885FAB" w:rsidRPr="00885FAB" w:rsidTr="00566D8A">
        <w:trPr>
          <w:trHeight w:val="300"/>
        </w:trPr>
        <w:tc>
          <w:tcPr>
            <w:tcW w:w="2600" w:type="dxa"/>
            <w:gridSpan w:val="2"/>
            <w:tcBorders>
              <w:top w:val="nil"/>
              <w:left w:val="nil"/>
              <w:bottom w:val="nil"/>
              <w:right w:val="nil"/>
            </w:tcBorders>
            <w:shd w:val="clear" w:color="auto" w:fill="auto"/>
            <w:noWrap/>
            <w:vAlign w:val="bottom"/>
            <w:hideMark/>
          </w:tcPr>
          <w:p w:rsidR="00885FAB" w:rsidRPr="00885FAB" w:rsidRDefault="00885FAB" w:rsidP="00566D8A">
            <w:pPr>
              <w:spacing w:after="0" w:line="360" w:lineRule="auto"/>
              <w:rPr>
                <w:rFonts w:ascii="Calibri" w:eastAsia="Times New Roman" w:hAnsi="Calibri" w:cs="Calibri"/>
                <w:color w:val="000000"/>
                <w:lang w:eastAsia="nl-NL"/>
              </w:rPr>
            </w:pPr>
          </w:p>
        </w:tc>
        <w:tc>
          <w:tcPr>
            <w:tcW w:w="1243" w:type="dxa"/>
            <w:tcBorders>
              <w:top w:val="single" w:sz="4" w:space="0" w:color="auto"/>
              <w:left w:val="single" w:sz="4" w:space="0" w:color="auto"/>
              <w:bottom w:val="nil"/>
              <w:right w:val="single" w:sz="4" w:space="0" w:color="auto"/>
            </w:tcBorders>
            <w:shd w:val="clear" w:color="000000" w:fill="C4D79B"/>
            <w:noWrap/>
            <w:vAlign w:val="bottom"/>
            <w:hideMark/>
          </w:tcPr>
          <w:p w:rsidR="00885FAB" w:rsidRPr="00885FAB" w:rsidRDefault="00885FAB" w:rsidP="00566D8A">
            <w:pPr>
              <w:spacing w:after="0" w:line="360" w:lineRule="auto"/>
              <w:rPr>
                <w:rFonts w:ascii="Calibri" w:eastAsia="Times New Roman" w:hAnsi="Calibri" w:cs="Calibri"/>
                <w:color w:val="000000"/>
                <w:lang w:eastAsia="nl-NL"/>
              </w:rPr>
            </w:pPr>
            <w:r w:rsidRPr="00885FAB">
              <w:rPr>
                <w:rFonts w:ascii="Calibri" w:eastAsia="Times New Roman" w:hAnsi="Calibri" w:cs="Calibri"/>
                <w:color w:val="000000"/>
                <w:lang w:eastAsia="nl-NL"/>
              </w:rPr>
              <w:t>1970-1982</w:t>
            </w:r>
          </w:p>
        </w:tc>
        <w:tc>
          <w:tcPr>
            <w:tcW w:w="1134" w:type="dxa"/>
            <w:tcBorders>
              <w:top w:val="single" w:sz="4" w:space="0" w:color="auto"/>
              <w:left w:val="nil"/>
              <w:bottom w:val="single" w:sz="4" w:space="0" w:color="auto"/>
              <w:right w:val="single" w:sz="4" w:space="0" w:color="auto"/>
            </w:tcBorders>
            <w:shd w:val="clear" w:color="000000" w:fill="C4D79B"/>
            <w:noWrap/>
            <w:vAlign w:val="bottom"/>
            <w:hideMark/>
          </w:tcPr>
          <w:p w:rsidR="00885FAB" w:rsidRPr="00885FAB" w:rsidRDefault="00885FAB" w:rsidP="00566D8A">
            <w:pPr>
              <w:spacing w:after="0" w:line="360" w:lineRule="auto"/>
              <w:rPr>
                <w:rFonts w:ascii="Calibri" w:eastAsia="Times New Roman" w:hAnsi="Calibri" w:cs="Calibri"/>
                <w:color w:val="000000"/>
                <w:lang w:eastAsia="nl-NL"/>
              </w:rPr>
            </w:pPr>
            <w:r w:rsidRPr="00885FAB">
              <w:rPr>
                <w:rFonts w:ascii="Calibri" w:eastAsia="Times New Roman" w:hAnsi="Calibri" w:cs="Calibri"/>
                <w:color w:val="000000"/>
                <w:lang w:eastAsia="nl-NL"/>
              </w:rPr>
              <w:t>1983-1987</w:t>
            </w:r>
          </w:p>
        </w:tc>
        <w:tc>
          <w:tcPr>
            <w:tcW w:w="1134" w:type="dxa"/>
            <w:tcBorders>
              <w:top w:val="single" w:sz="4" w:space="0" w:color="auto"/>
              <w:left w:val="nil"/>
              <w:bottom w:val="single" w:sz="4" w:space="0" w:color="auto"/>
              <w:right w:val="single" w:sz="4" w:space="0" w:color="auto"/>
            </w:tcBorders>
            <w:shd w:val="clear" w:color="000000" w:fill="C4D79B"/>
            <w:noWrap/>
            <w:vAlign w:val="bottom"/>
            <w:hideMark/>
          </w:tcPr>
          <w:p w:rsidR="00885FAB" w:rsidRPr="00885FAB" w:rsidRDefault="00885FAB" w:rsidP="00566D8A">
            <w:pPr>
              <w:spacing w:after="0" w:line="360" w:lineRule="auto"/>
              <w:rPr>
                <w:rFonts w:ascii="Calibri" w:eastAsia="Times New Roman" w:hAnsi="Calibri" w:cs="Calibri"/>
                <w:color w:val="000000"/>
                <w:lang w:eastAsia="nl-NL"/>
              </w:rPr>
            </w:pPr>
            <w:r w:rsidRPr="00885FAB">
              <w:rPr>
                <w:rFonts w:ascii="Calibri" w:eastAsia="Times New Roman" w:hAnsi="Calibri" w:cs="Calibri"/>
                <w:color w:val="000000"/>
                <w:lang w:eastAsia="nl-NL"/>
              </w:rPr>
              <w:t>1988-1992</w:t>
            </w:r>
          </w:p>
        </w:tc>
        <w:tc>
          <w:tcPr>
            <w:tcW w:w="1134" w:type="dxa"/>
            <w:tcBorders>
              <w:top w:val="single" w:sz="4" w:space="0" w:color="auto"/>
              <w:left w:val="nil"/>
              <w:bottom w:val="single" w:sz="4" w:space="0" w:color="auto"/>
              <w:right w:val="single" w:sz="4" w:space="0" w:color="auto"/>
            </w:tcBorders>
            <w:shd w:val="clear" w:color="000000" w:fill="C4D79B"/>
            <w:noWrap/>
            <w:vAlign w:val="bottom"/>
            <w:hideMark/>
          </w:tcPr>
          <w:p w:rsidR="00885FAB" w:rsidRPr="00885FAB" w:rsidRDefault="00885FAB" w:rsidP="00566D8A">
            <w:pPr>
              <w:spacing w:after="0" w:line="360" w:lineRule="auto"/>
              <w:rPr>
                <w:rFonts w:ascii="Calibri" w:eastAsia="Times New Roman" w:hAnsi="Calibri" w:cs="Calibri"/>
                <w:color w:val="000000"/>
                <w:lang w:eastAsia="nl-NL"/>
              </w:rPr>
            </w:pPr>
            <w:r w:rsidRPr="00885FAB">
              <w:rPr>
                <w:rFonts w:ascii="Calibri" w:eastAsia="Times New Roman" w:hAnsi="Calibri" w:cs="Calibri"/>
                <w:color w:val="000000"/>
                <w:lang w:eastAsia="nl-NL"/>
              </w:rPr>
              <w:t>1983-1992</w:t>
            </w:r>
          </w:p>
        </w:tc>
        <w:tc>
          <w:tcPr>
            <w:tcW w:w="1134" w:type="dxa"/>
            <w:tcBorders>
              <w:top w:val="single" w:sz="4" w:space="0" w:color="auto"/>
              <w:left w:val="nil"/>
              <w:bottom w:val="single" w:sz="4" w:space="0" w:color="auto"/>
              <w:right w:val="single" w:sz="4" w:space="0" w:color="auto"/>
            </w:tcBorders>
            <w:shd w:val="clear" w:color="000000" w:fill="C4D79B"/>
            <w:noWrap/>
            <w:vAlign w:val="bottom"/>
            <w:hideMark/>
          </w:tcPr>
          <w:p w:rsidR="00885FAB" w:rsidRPr="00885FAB" w:rsidRDefault="00885FAB" w:rsidP="00566D8A">
            <w:pPr>
              <w:spacing w:after="0" w:line="360" w:lineRule="auto"/>
              <w:rPr>
                <w:rFonts w:ascii="Calibri" w:eastAsia="Times New Roman" w:hAnsi="Calibri" w:cs="Calibri"/>
                <w:color w:val="000000"/>
                <w:lang w:eastAsia="nl-NL"/>
              </w:rPr>
            </w:pPr>
            <w:r w:rsidRPr="00885FAB">
              <w:rPr>
                <w:rFonts w:ascii="Calibri" w:eastAsia="Times New Roman" w:hAnsi="Calibri" w:cs="Calibri"/>
                <w:color w:val="000000"/>
                <w:lang w:eastAsia="nl-NL"/>
              </w:rPr>
              <w:t>1970-2011</w:t>
            </w:r>
          </w:p>
        </w:tc>
      </w:tr>
      <w:tr w:rsidR="00885FAB" w:rsidRPr="00885FAB" w:rsidTr="00566D8A">
        <w:trPr>
          <w:trHeight w:val="300"/>
        </w:trPr>
        <w:tc>
          <w:tcPr>
            <w:tcW w:w="2600" w:type="dxa"/>
            <w:gridSpan w:val="2"/>
            <w:tcBorders>
              <w:top w:val="single" w:sz="4" w:space="0" w:color="auto"/>
              <w:left w:val="single" w:sz="4" w:space="0" w:color="auto"/>
              <w:bottom w:val="single" w:sz="4" w:space="0" w:color="auto"/>
              <w:right w:val="single" w:sz="4" w:space="0" w:color="auto"/>
            </w:tcBorders>
            <w:shd w:val="clear" w:color="000000" w:fill="C4D79B"/>
            <w:noWrap/>
            <w:vAlign w:val="bottom"/>
            <w:hideMark/>
          </w:tcPr>
          <w:p w:rsidR="00885FAB" w:rsidRPr="00885FAB" w:rsidRDefault="00885FAB" w:rsidP="00566D8A">
            <w:pPr>
              <w:spacing w:after="0" w:line="360" w:lineRule="auto"/>
              <w:rPr>
                <w:rFonts w:ascii="Calibri" w:eastAsia="Times New Roman" w:hAnsi="Calibri" w:cs="Calibri"/>
                <w:color w:val="000000"/>
                <w:lang w:eastAsia="nl-NL"/>
              </w:rPr>
            </w:pPr>
            <w:r w:rsidRPr="00885FAB">
              <w:rPr>
                <w:rFonts w:ascii="Calibri" w:eastAsia="Times New Roman" w:hAnsi="Calibri" w:cs="Calibri"/>
                <w:color w:val="000000"/>
                <w:lang w:eastAsia="nl-NL"/>
              </w:rPr>
              <w:t>Inflatie</w:t>
            </w:r>
          </w:p>
        </w:tc>
        <w:tc>
          <w:tcPr>
            <w:tcW w:w="1243" w:type="dxa"/>
            <w:tcBorders>
              <w:top w:val="single" w:sz="4" w:space="0" w:color="auto"/>
              <w:left w:val="nil"/>
              <w:bottom w:val="single" w:sz="4" w:space="0" w:color="auto"/>
              <w:right w:val="single" w:sz="4" w:space="0" w:color="auto"/>
            </w:tcBorders>
            <w:shd w:val="clear" w:color="000000" w:fill="EBF1DE"/>
            <w:noWrap/>
            <w:vAlign w:val="bottom"/>
            <w:hideMark/>
          </w:tcPr>
          <w:p w:rsidR="00885FAB" w:rsidRPr="00885FAB" w:rsidRDefault="00885FAB" w:rsidP="00566D8A">
            <w:pPr>
              <w:spacing w:after="0" w:line="360" w:lineRule="auto"/>
              <w:jc w:val="right"/>
              <w:rPr>
                <w:rFonts w:ascii="Calibri" w:eastAsia="Times New Roman" w:hAnsi="Calibri" w:cs="Calibri"/>
                <w:color w:val="000000"/>
                <w:lang w:eastAsia="nl-NL"/>
              </w:rPr>
            </w:pPr>
            <w:r w:rsidRPr="00885FAB">
              <w:rPr>
                <w:rFonts w:ascii="Calibri" w:eastAsia="Times New Roman" w:hAnsi="Calibri" w:cs="Calibri"/>
                <w:color w:val="000000"/>
                <w:lang w:eastAsia="nl-NL"/>
              </w:rPr>
              <w:t>0,129</w:t>
            </w:r>
          </w:p>
        </w:tc>
        <w:tc>
          <w:tcPr>
            <w:tcW w:w="1134" w:type="dxa"/>
            <w:tcBorders>
              <w:top w:val="nil"/>
              <w:left w:val="nil"/>
              <w:bottom w:val="single" w:sz="4" w:space="0" w:color="auto"/>
              <w:right w:val="single" w:sz="4" w:space="0" w:color="auto"/>
            </w:tcBorders>
            <w:shd w:val="clear" w:color="000000" w:fill="F79646"/>
            <w:noWrap/>
            <w:vAlign w:val="bottom"/>
            <w:hideMark/>
          </w:tcPr>
          <w:p w:rsidR="00885FAB" w:rsidRPr="00885FAB" w:rsidRDefault="00885FAB" w:rsidP="00566D8A">
            <w:pPr>
              <w:spacing w:after="0" w:line="360" w:lineRule="auto"/>
              <w:jc w:val="right"/>
              <w:rPr>
                <w:rFonts w:ascii="Calibri" w:eastAsia="Times New Roman" w:hAnsi="Calibri" w:cs="Calibri"/>
                <w:b/>
                <w:bCs/>
                <w:color w:val="000000"/>
                <w:lang w:eastAsia="nl-NL"/>
              </w:rPr>
            </w:pPr>
            <w:r w:rsidRPr="00885FAB">
              <w:rPr>
                <w:rFonts w:ascii="Calibri" w:eastAsia="Times New Roman" w:hAnsi="Calibri" w:cs="Calibri"/>
                <w:b/>
                <w:bCs/>
                <w:color w:val="000000"/>
                <w:lang w:eastAsia="nl-NL"/>
              </w:rPr>
              <w:t>1,15</w:t>
            </w:r>
          </w:p>
        </w:tc>
        <w:tc>
          <w:tcPr>
            <w:tcW w:w="1134" w:type="dxa"/>
            <w:tcBorders>
              <w:top w:val="nil"/>
              <w:left w:val="nil"/>
              <w:bottom w:val="single" w:sz="4" w:space="0" w:color="auto"/>
              <w:right w:val="single" w:sz="4" w:space="0" w:color="auto"/>
            </w:tcBorders>
            <w:shd w:val="clear" w:color="000000" w:fill="EBF1DE"/>
            <w:noWrap/>
            <w:vAlign w:val="bottom"/>
            <w:hideMark/>
          </w:tcPr>
          <w:p w:rsidR="00885FAB" w:rsidRPr="00885FAB" w:rsidRDefault="00885FAB" w:rsidP="00566D8A">
            <w:pPr>
              <w:spacing w:after="0" w:line="360" w:lineRule="auto"/>
              <w:jc w:val="right"/>
              <w:rPr>
                <w:rFonts w:ascii="Calibri" w:eastAsia="Times New Roman" w:hAnsi="Calibri" w:cs="Calibri"/>
                <w:color w:val="000000"/>
                <w:lang w:eastAsia="nl-NL"/>
              </w:rPr>
            </w:pPr>
            <w:r w:rsidRPr="00885FAB">
              <w:rPr>
                <w:rFonts w:ascii="Calibri" w:eastAsia="Times New Roman" w:hAnsi="Calibri" w:cs="Calibri"/>
                <w:color w:val="000000"/>
                <w:lang w:eastAsia="nl-NL"/>
              </w:rPr>
              <w:t>0,232</w:t>
            </w:r>
          </w:p>
        </w:tc>
        <w:tc>
          <w:tcPr>
            <w:tcW w:w="1134" w:type="dxa"/>
            <w:tcBorders>
              <w:top w:val="nil"/>
              <w:left w:val="nil"/>
              <w:bottom w:val="single" w:sz="4" w:space="0" w:color="auto"/>
              <w:right w:val="single" w:sz="4" w:space="0" w:color="auto"/>
            </w:tcBorders>
            <w:shd w:val="clear" w:color="000000" w:fill="EBF1DE"/>
            <w:noWrap/>
            <w:vAlign w:val="bottom"/>
            <w:hideMark/>
          </w:tcPr>
          <w:p w:rsidR="00885FAB" w:rsidRPr="00885FAB" w:rsidRDefault="00885FAB" w:rsidP="00566D8A">
            <w:pPr>
              <w:spacing w:after="0" w:line="360" w:lineRule="auto"/>
              <w:jc w:val="right"/>
              <w:rPr>
                <w:rFonts w:ascii="Calibri" w:eastAsia="Times New Roman" w:hAnsi="Calibri" w:cs="Calibri"/>
                <w:color w:val="000000"/>
                <w:lang w:eastAsia="nl-NL"/>
              </w:rPr>
            </w:pPr>
            <w:r w:rsidRPr="00885FAB">
              <w:rPr>
                <w:rFonts w:ascii="Calibri" w:eastAsia="Times New Roman" w:hAnsi="Calibri" w:cs="Calibri"/>
                <w:color w:val="000000"/>
                <w:lang w:eastAsia="nl-NL"/>
              </w:rPr>
              <w:t>-0,032</w:t>
            </w:r>
          </w:p>
        </w:tc>
        <w:tc>
          <w:tcPr>
            <w:tcW w:w="1134" w:type="dxa"/>
            <w:tcBorders>
              <w:top w:val="nil"/>
              <w:left w:val="nil"/>
              <w:bottom w:val="single" w:sz="4" w:space="0" w:color="auto"/>
              <w:right w:val="single" w:sz="4" w:space="0" w:color="auto"/>
            </w:tcBorders>
            <w:shd w:val="clear" w:color="000000" w:fill="F79646"/>
            <w:noWrap/>
            <w:vAlign w:val="bottom"/>
            <w:hideMark/>
          </w:tcPr>
          <w:p w:rsidR="00885FAB" w:rsidRPr="00885FAB" w:rsidRDefault="00885FAB" w:rsidP="00566D8A">
            <w:pPr>
              <w:spacing w:after="0" w:line="360" w:lineRule="auto"/>
              <w:jc w:val="right"/>
              <w:rPr>
                <w:rFonts w:ascii="Calibri" w:eastAsia="Times New Roman" w:hAnsi="Calibri" w:cs="Calibri"/>
                <w:b/>
                <w:bCs/>
                <w:color w:val="000000"/>
                <w:lang w:eastAsia="nl-NL"/>
              </w:rPr>
            </w:pPr>
            <w:r w:rsidRPr="00885FAB">
              <w:rPr>
                <w:rFonts w:ascii="Calibri" w:eastAsia="Times New Roman" w:hAnsi="Calibri" w:cs="Calibri"/>
                <w:b/>
                <w:bCs/>
                <w:color w:val="000000"/>
                <w:lang w:eastAsia="nl-NL"/>
              </w:rPr>
              <w:t>0,972</w:t>
            </w:r>
          </w:p>
        </w:tc>
      </w:tr>
      <w:tr w:rsidR="00885FAB" w:rsidRPr="00885FAB" w:rsidTr="00566D8A">
        <w:trPr>
          <w:trHeight w:val="300"/>
        </w:trPr>
        <w:tc>
          <w:tcPr>
            <w:tcW w:w="2600" w:type="dxa"/>
            <w:gridSpan w:val="2"/>
            <w:tcBorders>
              <w:top w:val="nil"/>
              <w:left w:val="single" w:sz="4" w:space="0" w:color="auto"/>
              <w:bottom w:val="single" w:sz="4" w:space="0" w:color="auto"/>
              <w:right w:val="single" w:sz="4" w:space="0" w:color="auto"/>
            </w:tcBorders>
            <w:shd w:val="clear" w:color="000000" w:fill="C4D79B"/>
            <w:noWrap/>
            <w:vAlign w:val="bottom"/>
            <w:hideMark/>
          </w:tcPr>
          <w:p w:rsidR="00885FAB" w:rsidRPr="00885FAB" w:rsidRDefault="00885FAB" w:rsidP="00566D8A">
            <w:pPr>
              <w:spacing w:after="0" w:line="360" w:lineRule="auto"/>
              <w:rPr>
                <w:rFonts w:ascii="Calibri" w:eastAsia="Times New Roman" w:hAnsi="Calibri" w:cs="Calibri"/>
                <w:color w:val="000000"/>
                <w:lang w:eastAsia="nl-NL"/>
              </w:rPr>
            </w:pPr>
            <w:r w:rsidRPr="00885FAB">
              <w:rPr>
                <w:rFonts w:ascii="Calibri" w:eastAsia="Times New Roman" w:hAnsi="Calibri" w:cs="Calibri"/>
                <w:color w:val="000000"/>
                <w:lang w:eastAsia="nl-NL"/>
              </w:rPr>
              <w:t>Werkloosheidspercentage</w:t>
            </w:r>
          </w:p>
        </w:tc>
        <w:tc>
          <w:tcPr>
            <w:tcW w:w="1243" w:type="dxa"/>
            <w:tcBorders>
              <w:top w:val="nil"/>
              <w:left w:val="nil"/>
              <w:bottom w:val="single" w:sz="4" w:space="0" w:color="auto"/>
              <w:right w:val="single" w:sz="4" w:space="0" w:color="auto"/>
            </w:tcBorders>
            <w:shd w:val="clear" w:color="000000" w:fill="F79646"/>
            <w:noWrap/>
            <w:vAlign w:val="bottom"/>
            <w:hideMark/>
          </w:tcPr>
          <w:p w:rsidR="00885FAB" w:rsidRPr="00885FAB" w:rsidRDefault="00885FAB" w:rsidP="00566D8A">
            <w:pPr>
              <w:spacing w:after="0" w:line="360" w:lineRule="auto"/>
              <w:jc w:val="right"/>
              <w:rPr>
                <w:rFonts w:ascii="Calibri" w:eastAsia="Times New Roman" w:hAnsi="Calibri" w:cs="Calibri"/>
                <w:b/>
                <w:bCs/>
                <w:color w:val="000000"/>
                <w:lang w:eastAsia="nl-NL"/>
              </w:rPr>
            </w:pPr>
            <w:r w:rsidRPr="00885FAB">
              <w:rPr>
                <w:rFonts w:ascii="Calibri" w:eastAsia="Times New Roman" w:hAnsi="Calibri" w:cs="Calibri"/>
                <w:b/>
                <w:bCs/>
                <w:color w:val="000000"/>
                <w:lang w:eastAsia="nl-NL"/>
              </w:rPr>
              <w:t>1,199</w:t>
            </w:r>
          </w:p>
        </w:tc>
        <w:tc>
          <w:tcPr>
            <w:tcW w:w="1134" w:type="dxa"/>
            <w:tcBorders>
              <w:top w:val="nil"/>
              <w:left w:val="nil"/>
              <w:bottom w:val="single" w:sz="4" w:space="0" w:color="auto"/>
              <w:right w:val="single" w:sz="4" w:space="0" w:color="auto"/>
            </w:tcBorders>
            <w:shd w:val="clear" w:color="000000" w:fill="F79646"/>
            <w:noWrap/>
            <w:vAlign w:val="bottom"/>
            <w:hideMark/>
          </w:tcPr>
          <w:p w:rsidR="00885FAB" w:rsidRPr="00885FAB" w:rsidRDefault="00885FAB" w:rsidP="00566D8A">
            <w:pPr>
              <w:spacing w:after="0" w:line="360" w:lineRule="auto"/>
              <w:jc w:val="right"/>
              <w:rPr>
                <w:rFonts w:ascii="Calibri" w:eastAsia="Times New Roman" w:hAnsi="Calibri" w:cs="Calibri"/>
                <w:b/>
                <w:bCs/>
                <w:color w:val="000000"/>
                <w:lang w:eastAsia="nl-NL"/>
              </w:rPr>
            </w:pPr>
            <w:r w:rsidRPr="00885FAB">
              <w:rPr>
                <w:rFonts w:ascii="Calibri" w:eastAsia="Times New Roman" w:hAnsi="Calibri" w:cs="Calibri"/>
                <w:b/>
                <w:bCs/>
                <w:color w:val="000000"/>
                <w:lang w:eastAsia="nl-NL"/>
              </w:rPr>
              <w:t>-1,227</w:t>
            </w:r>
          </w:p>
        </w:tc>
        <w:tc>
          <w:tcPr>
            <w:tcW w:w="1134" w:type="dxa"/>
            <w:tcBorders>
              <w:top w:val="nil"/>
              <w:left w:val="nil"/>
              <w:bottom w:val="single" w:sz="4" w:space="0" w:color="auto"/>
              <w:right w:val="single" w:sz="4" w:space="0" w:color="auto"/>
            </w:tcBorders>
            <w:shd w:val="clear" w:color="000000" w:fill="EBF1DE"/>
            <w:noWrap/>
            <w:vAlign w:val="bottom"/>
            <w:hideMark/>
          </w:tcPr>
          <w:p w:rsidR="00885FAB" w:rsidRPr="00885FAB" w:rsidRDefault="00885FAB" w:rsidP="00566D8A">
            <w:pPr>
              <w:spacing w:after="0" w:line="360" w:lineRule="auto"/>
              <w:jc w:val="right"/>
              <w:rPr>
                <w:rFonts w:ascii="Calibri" w:eastAsia="Times New Roman" w:hAnsi="Calibri" w:cs="Calibri"/>
                <w:color w:val="000000"/>
                <w:lang w:eastAsia="nl-NL"/>
              </w:rPr>
            </w:pPr>
            <w:r w:rsidRPr="00885FAB">
              <w:rPr>
                <w:rFonts w:ascii="Calibri" w:eastAsia="Times New Roman" w:hAnsi="Calibri" w:cs="Calibri"/>
                <w:color w:val="000000"/>
                <w:lang w:eastAsia="nl-NL"/>
              </w:rPr>
              <w:t>-0,107</w:t>
            </w:r>
          </w:p>
        </w:tc>
        <w:tc>
          <w:tcPr>
            <w:tcW w:w="1134" w:type="dxa"/>
            <w:tcBorders>
              <w:top w:val="nil"/>
              <w:left w:val="nil"/>
              <w:bottom w:val="single" w:sz="4" w:space="0" w:color="auto"/>
              <w:right w:val="single" w:sz="4" w:space="0" w:color="auto"/>
            </w:tcBorders>
            <w:shd w:val="clear" w:color="000000" w:fill="EBF1DE"/>
            <w:noWrap/>
            <w:vAlign w:val="bottom"/>
            <w:hideMark/>
          </w:tcPr>
          <w:p w:rsidR="00885FAB" w:rsidRPr="00885FAB" w:rsidRDefault="00885FAB" w:rsidP="00566D8A">
            <w:pPr>
              <w:spacing w:after="0" w:line="360" w:lineRule="auto"/>
              <w:jc w:val="right"/>
              <w:rPr>
                <w:rFonts w:ascii="Calibri" w:eastAsia="Times New Roman" w:hAnsi="Calibri" w:cs="Calibri"/>
                <w:color w:val="000000"/>
                <w:lang w:eastAsia="nl-NL"/>
              </w:rPr>
            </w:pPr>
            <w:r w:rsidRPr="00885FAB">
              <w:rPr>
                <w:rFonts w:ascii="Calibri" w:eastAsia="Times New Roman" w:hAnsi="Calibri" w:cs="Calibri"/>
                <w:color w:val="000000"/>
                <w:lang w:eastAsia="nl-NL"/>
              </w:rPr>
              <w:t>0,161</w:t>
            </w:r>
          </w:p>
        </w:tc>
        <w:tc>
          <w:tcPr>
            <w:tcW w:w="1134" w:type="dxa"/>
            <w:tcBorders>
              <w:top w:val="nil"/>
              <w:left w:val="nil"/>
              <w:bottom w:val="single" w:sz="4" w:space="0" w:color="auto"/>
              <w:right w:val="single" w:sz="4" w:space="0" w:color="auto"/>
            </w:tcBorders>
            <w:shd w:val="clear" w:color="000000" w:fill="EBF1DE"/>
            <w:noWrap/>
            <w:vAlign w:val="bottom"/>
            <w:hideMark/>
          </w:tcPr>
          <w:p w:rsidR="00885FAB" w:rsidRPr="00885FAB" w:rsidRDefault="00885FAB" w:rsidP="00566D8A">
            <w:pPr>
              <w:spacing w:after="0" w:line="360" w:lineRule="auto"/>
              <w:jc w:val="right"/>
              <w:rPr>
                <w:rFonts w:ascii="Calibri" w:eastAsia="Times New Roman" w:hAnsi="Calibri" w:cs="Calibri"/>
                <w:color w:val="000000"/>
                <w:lang w:eastAsia="nl-NL"/>
              </w:rPr>
            </w:pPr>
            <w:r w:rsidRPr="00885FAB">
              <w:rPr>
                <w:rFonts w:ascii="Calibri" w:eastAsia="Times New Roman" w:hAnsi="Calibri" w:cs="Calibri"/>
                <w:color w:val="000000"/>
                <w:lang w:eastAsia="nl-NL"/>
              </w:rPr>
              <w:t>-0,337</w:t>
            </w:r>
          </w:p>
        </w:tc>
      </w:tr>
      <w:tr w:rsidR="00885FAB" w:rsidRPr="00885FAB" w:rsidTr="00566D8A">
        <w:trPr>
          <w:trHeight w:val="300"/>
        </w:trPr>
        <w:tc>
          <w:tcPr>
            <w:tcW w:w="2600" w:type="dxa"/>
            <w:gridSpan w:val="2"/>
            <w:tcBorders>
              <w:top w:val="nil"/>
              <w:left w:val="single" w:sz="4" w:space="0" w:color="auto"/>
              <w:bottom w:val="single" w:sz="4" w:space="0" w:color="auto"/>
              <w:right w:val="single" w:sz="4" w:space="0" w:color="auto"/>
            </w:tcBorders>
            <w:shd w:val="clear" w:color="000000" w:fill="C4D79B"/>
            <w:noWrap/>
            <w:vAlign w:val="bottom"/>
            <w:hideMark/>
          </w:tcPr>
          <w:p w:rsidR="00885FAB" w:rsidRPr="00885FAB" w:rsidRDefault="00885FAB" w:rsidP="00566D8A">
            <w:pPr>
              <w:spacing w:after="0" w:line="360" w:lineRule="auto"/>
              <w:rPr>
                <w:rFonts w:ascii="Calibri" w:eastAsia="Times New Roman" w:hAnsi="Calibri" w:cs="Calibri"/>
                <w:color w:val="000000"/>
                <w:lang w:eastAsia="nl-NL"/>
              </w:rPr>
            </w:pPr>
            <w:r w:rsidRPr="00885FAB">
              <w:rPr>
                <w:rFonts w:ascii="Calibri" w:eastAsia="Times New Roman" w:hAnsi="Calibri" w:cs="Calibri"/>
                <w:color w:val="000000"/>
                <w:lang w:eastAsia="nl-NL"/>
              </w:rPr>
              <w:t>Werknemerscompensatie</w:t>
            </w:r>
          </w:p>
        </w:tc>
        <w:tc>
          <w:tcPr>
            <w:tcW w:w="1243" w:type="dxa"/>
            <w:tcBorders>
              <w:top w:val="nil"/>
              <w:left w:val="nil"/>
              <w:bottom w:val="single" w:sz="4" w:space="0" w:color="auto"/>
              <w:right w:val="single" w:sz="4" w:space="0" w:color="auto"/>
            </w:tcBorders>
            <w:shd w:val="clear" w:color="000000" w:fill="EBF1DE"/>
            <w:noWrap/>
            <w:vAlign w:val="bottom"/>
            <w:hideMark/>
          </w:tcPr>
          <w:p w:rsidR="00885FAB" w:rsidRPr="00885FAB" w:rsidRDefault="00885FAB" w:rsidP="00566D8A">
            <w:pPr>
              <w:spacing w:after="0" w:line="360" w:lineRule="auto"/>
              <w:jc w:val="right"/>
              <w:rPr>
                <w:rFonts w:ascii="Calibri" w:eastAsia="Times New Roman" w:hAnsi="Calibri" w:cs="Calibri"/>
                <w:color w:val="000000"/>
                <w:lang w:eastAsia="nl-NL"/>
              </w:rPr>
            </w:pPr>
            <w:r w:rsidRPr="00885FAB">
              <w:rPr>
                <w:rFonts w:ascii="Calibri" w:eastAsia="Times New Roman" w:hAnsi="Calibri" w:cs="Calibri"/>
                <w:color w:val="000000"/>
                <w:lang w:eastAsia="nl-NL"/>
              </w:rPr>
              <w:t>-0,153</w:t>
            </w:r>
          </w:p>
        </w:tc>
        <w:tc>
          <w:tcPr>
            <w:tcW w:w="1134" w:type="dxa"/>
            <w:tcBorders>
              <w:top w:val="nil"/>
              <w:left w:val="nil"/>
              <w:bottom w:val="single" w:sz="4" w:space="0" w:color="auto"/>
              <w:right w:val="single" w:sz="4" w:space="0" w:color="auto"/>
            </w:tcBorders>
            <w:shd w:val="clear" w:color="000000" w:fill="F79646"/>
            <w:noWrap/>
            <w:vAlign w:val="bottom"/>
            <w:hideMark/>
          </w:tcPr>
          <w:p w:rsidR="00885FAB" w:rsidRPr="00885FAB" w:rsidRDefault="00885FAB" w:rsidP="00566D8A">
            <w:pPr>
              <w:spacing w:after="0" w:line="360" w:lineRule="auto"/>
              <w:jc w:val="right"/>
              <w:rPr>
                <w:rFonts w:ascii="Calibri" w:eastAsia="Times New Roman" w:hAnsi="Calibri" w:cs="Calibri"/>
                <w:b/>
                <w:bCs/>
                <w:color w:val="000000"/>
                <w:lang w:eastAsia="nl-NL"/>
              </w:rPr>
            </w:pPr>
            <w:r w:rsidRPr="00885FAB">
              <w:rPr>
                <w:rFonts w:ascii="Calibri" w:eastAsia="Times New Roman" w:hAnsi="Calibri" w:cs="Calibri"/>
                <w:b/>
                <w:bCs/>
                <w:color w:val="000000"/>
                <w:lang w:eastAsia="nl-NL"/>
              </w:rPr>
              <w:t>0,658</w:t>
            </w:r>
          </w:p>
        </w:tc>
        <w:tc>
          <w:tcPr>
            <w:tcW w:w="1134" w:type="dxa"/>
            <w:tcBorders>
              <w:top w:val="nil"/>
              <w:left w:val="nil"/>
              <w:bottom w:val="single" w:sz="4" w:space="0" w:color="auto"/>
              <w:right w:val="single" w:sz="4" w:space="0" w:color="auto"/>
            </w:tcBorders>
            <w:shd w:val="clear" w:color="000000" w:fill="F79646"/>
            <w:noWrap/>
            <w:vAlign w:val="bottom"/>
            <w:hideMark/>
          </w:tcPr>
          <w:p w:rsidR="00885FAB" w:rsidRPr="00885FAB" w:rsidRDefault="00885FAB" w:rsidP="00566D8A">
            <w:pPr>
              <w:spacing w:after="0" w:line="360" w:lineRule="auto"/>
              <w:jc w:val="right"/>
              <w:rPr>
                <w:rFonts w:ascii="Calibri" w:eastAsia="Times New Roman" w:hAnsi="Calibri" w:cs="Calibri"/>
                <w:b/>
                <w:bCs/>
                <w:color w:val="000000"/>
                <w:lang w:eastAsia="nl-NL"/>
              </w:rPr>
            </w:pPr>
            <w:r w:rsidRPr="00885FAB">
              <w:rPr>
                <w:rFonts w:ascii="Calibri" w:eastAsia="Times New Roman" w:hAnsi="Calibri" w:cs="Calibri"/>
                <w:b/>
                <w:bCs/>
                <w:color w:val="000000"/>
                <w:lang w:eastAsia="nl-NL"/>
              </w:rPr>
              <w:t>-1,061</w:t>
            </w:r>
          </w:p>
        </w:tc>
        <w:tc>
          <w:tcPr>
            <w:tcW w:w="1134" w:type="dxa"/>
            <w:tcBorders>
              <w:top w:val="nil"/>
              <w:left w:val="nil"/>
              <w:bottom w:val="single" w:sz="4" w:space="0" w:color="auto"/>
              <w:right w:val="single" w:sz="4" w:space="0" w:color="auto"/>
            </w:tcBorders>
            <w:shd w:val="clear" w:color="000000" w:fill="F79646"/>
            <w:noWrap/>
            <w:vAlign w:val="bottom"/>
            <w:hideMark/>
          </w:tcPr>
          <w:p w:rsidR="00885FAB" w:rsidRPr="00885FAB" w:rsidRDefault="00885FAB" w:rsidP="00566D8A">
            <w:pPr>
              <w:spacing w:after="0" w:line="360" w:lineRule="auto"/>
              <w:jc w:val="right"/>
              <w:rPr>
                <w:rFonts w:ascii="Calibri" w:eastAsia="Times New Roman" w:hAnsi="Calibri" w:cs="Calibri"/>
                <w:b/>
                <w:bCs/>
                <w:color w:val="000000"/>
                <w:lang w:eastAsia="nl-NL"/>
              </w:rPr>
            </w:pPr>
            <w:r w:rsidRPr="00885FAB">
              <w:rPr>
                <w:rFonts w:ascii="Calibri" w:eastAsia="Times New Roman" w:hAnsi="Calibri" w:cs="Calibri"/>
                <w:b/>
                <w:bCs/>
                <w:color w:val="000000"/>
                <w:lang w:eastAsia="nl-NL"/>
              </w:rPr>
              <w:t>-1,003</w:t>
            </w:r>
          </w:p>
        </w:tc>
        <w:tc>
          <w:tcPr>
            <w:tcW w:w="1134" w:type="dxa"/>
            <w:tcBorders>
              <w:top w:val="nil"/>
              <w:left w:val="nil"/>
              <w:bottom w:val="single" w:sz="4" w:space="0" w:color="auto"/>
              <w:right w:val="single" w:sz="4" w:space="0" w:color="auto"/>
            </w:tcBorders>
            <w:shd w:val="clear" w:color="000000" w:fill="EBF1DE"/>
            <w:noWrap/>
            <w:vAlign w:val="bottom"/>
            <w:hideMark/>
          </w:tcPr>
          <w:p w:rsidR="00885FAB" w:rsidRPr="00885FAB" w:rsidRDefault="00885FAB" w:rsidP="00566D8A">
            <w:pPr>
              <w:spacing w:after="0" w:line="360" w:lineRule="auto"/>
              <w:jc w:val="right"/>
              <w:rPr>
                <w:rFonts w:ascii="Calibri" w:eastAsia="Times New Roman" w:hAnsi="Calibri" w:cs="Calibri"/>
                <w:color w:val="000000"/>
                <w:lang w:eastAsia="nl-NL"/>
              </w:rPr>
            </w:pPr>
            <w:r w:rsidRPr="00885FAB">
              <w:rPr>
                <w:rFonts w:ascii="Calibri" w:eastAsia="Times New Roman" w:hAnsi="Calibri" w:cs="Calibri"/>
                <w:color w:val="000000"/>
                <w:lang w:eastAsia="nl-NL"/>
              </w:rPr>
              <w:t>0,088</w:t>
            </w:r>
          </w:p>
        </w:tc>
      </w:tr>
    </w:tbl>
    <w:p w:rsidR="00E8054F" w:rsidRPr="00293AE2" w:rsidRDefault="00566D8A" w:rsidP="002B6FE4">
      <w:pPr>
        <w:spacing w:line="360" w:lineRule="auto"/>
        <w:rPr>
          <w:b/>
        </w:rPr>
      </w:pPr>
      <w:r w:rsidRPr="00293AE2">
        <w:rPr>
          <w:b/>
        </w:rPr>
        <w:br w:type="textWrapping" w:clear="all"/>
      </w:r>
      <w:r w:rsidR="00301048" w:rsidRPr="00301048">
        <w:rPr>
          <w:i/>
          <w:noProof/>
          <w:sz w:val="16"/>
          <w:szCs w:val="16"/>
          <w:lang w:eastAsia="nl-NL"/>
        </w:rPr>
        <w:t>Opmerking</w:t>
      </w:r>
      <w:r w:rsidR="00EC3BF6" w:rsidRPr="00301048">
        <w:rPr>
          <w:i/>
          <w:noProof/>
          <w:sz w:val="16"/>
          <w:szCs w:val="16"/>
          <w:lang w:eastAsia="nl-NL"/>
        </w:rPr>
        <w:t>.</w:t>
      </w:r>
      <w:r w:rsidR="00EC3BF6" w:rsidRPr="0098451A">
        <w:rPr>
          <w:i/>
          <w:noProof/>
          <w:sz w:val="20"/>
          <w:szCs w:val="20"/>
          <w:lang w:eastAsia="nl-NL"/>
        </w:rPr>
        <w:t xml:space="preserve"> </w:t>
      </w:r>
      <w:r w:rsidR="0098451A" w:rsidRPr="00F333B1">
        <w:rPr>
          <w:noProof/>
          <w:sz w:val="16"/>
          <w:szCs w:val="16"/>
          <w:lang w:eastAsia="nl-NL"/>
        </w:rPr>
        <w:t>Gegevens afkomstig van</w:t>
      </w:r>
      <w:r w:rsidR="0098451A" w:rsidRPr="00F333B1">
        <w:rPr>
          <w:i/>
          <w:noProof/>
          <w:sz w:val="16"/>
          <w:szCs w:val="16"/>
          <w:lang w:eastAsia="nl-NL"/>
        </w:rPr>
        <w:t xml:space="preserve"> </w:t>
      </w:r>
      <w:r w:rsidR="0098451A">
        <w:rPr>
          <w:noProof/>
          <w:sz w:val="16"/>
          <w:szCs w:val="16"/>
          <w:lang w:eastAsia="nl-NL"/>
        </w:rPr>
        <w:t xml:space="preserve">(CBS, 2014; Daube, 2015; OECD, 2015 [inflatie]; OECD, 2015 [werknemerscompensatie]; Statistics Japan, 2015; Statistisches Bundesamt, 2015; </w:t>
      </w:r>
      <w:r w:rsidR="0098451A" w:rsidRPr="00F333B1">
        <w:rPr>
          <w:noProof/>
          <w:sz w:val="16"/>
          <w:szCs w:val="16"/>
          <w:lang w:eastAsia="nl-NL"/>
        </w:rPr>
        <w:t>Visser, 2013)</w:t>
      </w:r>
      <w:r w:rsidR="00A50523">
        <w:rPr>
          <w:noProof/>
          <w:sz w:val="16"/>
          <w:szCs w:val="16"/>
          <w:lang w:eastAsia="nl-NL"/>
        </w:rPr>
        <w:br/>
      </w:r>
      <w:r w:rsidR="00A50523" w:rsidRPr="00F333B1">
        <w:rPr>
          <w:noProof/>
          <w:sz w:val="16"/>
          <w:szCs w:val="16"/>
          <w:lang w:eastAsia="nl-NL"/>
        </w:rPr>
        <w:t>*p&lt;0.05</w:t>
      </w:r>
      <w:r w:rsidRPr="00293AE2">
        <w:rPr>
          <w:b/>
        </w:rPr>
        <w:br/>
      </w:r>
      <w:r w:rsidR="00771C92" w:rsidRPr="00293AE2">
        <w:rPr>
          <w:b/>
        </w:rPr>
        <w:br/>
      </w:r>
      <w:r w:rsidR="000C5F08">
        <w:rPr>
          <w:b/>
        </w:rPr>
        <w:t xml:space="preserve">Verschillen in coëfficiënten in de periode </w:t>
      </w:r>
      <w:r w:rsidR="00843E84">
        <w:rPr>
          <w:b/>
        </w:rPr>
        <w:t>1970-1982</w:t>
      </w:r>
      <w:r w:rsidR="004C6E8F">
        <w:t xml:space="preserve"> </w:t>
      </w:r>
      <w:r w:rsidR="00906912">
        <w:br/>
      </w:r>
      <w:r w:rsidR="004C6E8F">
        <w:t xml:space="preserve">De eerste periode 1970-1982 laat grote verschillen zien op het gebied van het werkloosheidspercentage. Daar waar de coëfficiënt </w:t>
      </w:r>
      <w:r w:rsidR="006A5CEC">
        <w:t xml:space="preserve">van het werkloosheidspercentage </w:t>
      </w:r>
      <w:r w:rsidR="004C6E8F">
        <w:t xml:space="preserve">voor Nederland </w:t>
      </w:r>
      <w:r w:rsidR="006A5CEC">
        <w:t xml:space="preserve">significant </w:t>
      </w:r>
      <w:r w:rsidR="004C6E8F">
        <w:t xml:space="preserve">negatief is (zoals het B-E model tevens stelt), blijkt de coëfficiënt voor de referentielanden sterk </w:t>
      </w:r>
      <w:r w:rsidR="006A5CEC">
        <w:t xml:space="preserve">significant </w:t>
      </w:r>
      <w:r w:rsidR="004C6E8F">
        <w:t xml:space="preserve">positief te zijn. Dit betekent dat een stijgende werkloosheid in de periode 1970-1982 in Nederland een afname van de organisatiegraad zou </w:t>
      </w:r>
      <w:r w:rsidR="00F530AF">
        <w:t>veroorzaken</w:t>
      </w:r>
      <w:r w:rsidR="004C6E8F">
        <w:t>, terwijl dat in de referentielanden juist zou zorgen voor een toename.</w:t>
      </w:r>
      <w:r w:rsidR="00E8054F">
        <w:t xml:space="preserve"> Ook de werknemerscompensatie laat een duidelijk verschil zien: daar waar een toename van deze variabele in Nederland nog duidelijk bijdraagt aan een verhoging van de organisatiegraad, is er in de referentielanden sprake van een licht negatieve invloed. Alleen de factor inflatie lijkt voor de verschillende groepen een overeenkomstig effect te sorteren.</w:t>
      </w:r>
    </w:p>
    <w:p w:rsidR="009443A7" w:rsidRDefault="000C5F08" w:rsidP="002B6FE4">
      <w:pPr>
        <w:spacing w:line="360" w:lineRule="auto"/>
      </w:pPr>
      <w:r>
        <w:rPr>
          <w:b/>
        </w:rPr>
        <w:t xml:space="preserve">Verschillen in coëfficiënten in de periode </w:t>
      </w:r>
      <w:r w:rsidR="00843E84" w:rsidRPr="00843E84">
        <w:rPr>
          <w:b/>
        </w:rPr>
        <w:t>1970-2011</w:t>
      </w:r>
      <w:r w:rsidR="00843E84">
        <w:br/>
      </w:r>
      <w:r w:rsidR="00E8054F">
        <w:t xml:space="preserve">Wanneer echter het netto-effect over de gehele dataperiode wordt bekeken, blijkt dat in Nederland alle drie de variabelen een significant positief effect hebben op de organisatiegraad. Een stijging van </w:t>
      </w:r>
      <w:r w:rsidR="00F530AF">
        <w:t>één of meer van de dri</w:t>
      </w:r>
      <w:r w:rsidR="00E8054F">
        <w:t xml:space="preserve">e </w:t>
      </w:r>
      <w:r w:rsidR="00F530AF">
        <w:t>B-E-variabelen zal</w:t>
      </w:r>
      <w:r w:rsidR="00E8054F">
        <w:t xml:space="preserve"> daarom resulteren in een toename van de organisatiegraad. Bij de referentieland</w:t>
      </w:r>
      <w:r w:rsidR="00145BE6">
        <w:t>en komt uitsluitend de inflatie bovendrijven als</w:t>
      </w:r>
      <w:r w:rsidR="00E8054F">
        <w:t xml:space="preserve"> significante </w:t>
      </w:r>
      <w:r w:rsidR="00F530AF">
        <w:t xml:space="preserve">positieve </w:t>
      </w:r>
      <w:r w:rsidR="00E8054F">
        <w:t xml:space="preserve">variabele. Laatstgenoemde blijkt in de referentielanden over de periode 1970-2011 sterker bij te dragen aan de ontwikkeling van de organisatiegraad dan in Nederland. Wanneer de werknemerscompensatie wordt bekeken, blijkt juist het tegenovergestelde het geval: de coëfficiënt voor Nederland is relatief veel groter dan die van de referentielanden. Tot slot lijkt op de lange </w:t>
      </w:r>
      <w:r w:rsidR="00E8054F">
        <w:lastRenderedPageBreak/>
        <w:t>termijn het werkloosheidspercentage in de referentielanden een negatief, en in Nederland een positief effect te s</w:t>
      </w:r>
      <w:r w:rsidR="00B54AD7">
        <w:t>orteren op de organisatiegraad.</w:t>
      </w:r>
      <w:r w:rsidR="00B54AD7">
        <w:br/>
        <w:t xml:space="preserve"> </w:t>
      </w:r>
      <w:r w:rsidR="00B54AD7">
        <w:tab/>
      </w:r>
      <w:r w:rsidR="00C3648C">
        <w:t xml:space="preserve">Nu de gehele dataperiode en het tijdsinterval voor het Akkoord van Wassenaar </w:t>
      </w:r>
      <w:r w:rsidR="000B210A">
        <w:t>zijn</w:t>
      </w:r>
      <w:r w:rsidR="00C3648C">
        <w:t xml:space="preserve"> geanalyseerd, wordt er tot slot gekeken naar de verschillen tussen de coëfficiënten in de drie periodes na het Akkoord van Wassenaar. De intervallen 1983-1987, 1988-1992 en 1983-1992 zijn dezelfde periodes die gebruikt zijn </w:t>
      </w:r>
      <w:r w:rsidR="000B210A">
        <w:t>bij</w:t>
      </w:r>
      <w:r w:rsidR="00C3648C">
        <w:t xml:space="preserve"> de beantwoording van de hypotheses.</w:t>
      </w:r>
    </w:p>
    <w:p w:rsidR="00947A56" w:rsidRDefault="00BD04BC" w:rsidP="002B6FE4">
      <w:pPr>
        <w:spacing w:line="360" w:lineRule="auto"/>
      </w:pPr>
      <w:r>
        <w:rPr>
          <w:b/>
        </w:rPr>
        <w:t>Verschillen in coëfficiënten in de periode 1983-1987</w:t>
      </w:r>
      <w:r>
        <w:rPr>
          <w:b/>
        </w:rPr>
        <w:br/>
      </w:r>
      <w:r>
        <w:t xml:space="preserve">Om te beginnen worden wederom de eerste vijf jaren na het Akkoord van Wassenaar in beschouwing genomen. Hieruit blijkt dat de invloed van de factor inflatie in de referentielanden in sterkere mate bijdraagt aan de organisatiegraad dan in Nederland het geval is. Uit de gebruikte data blijkt dat de vier landen een gelijksoortige trend tonen bij de inflatie, wat betekent dat de inflatie in de referentielanden, door de hogere coëfficiënt, ervoor zorgt dat de organisatiegraad relatief hoger uitvalt dan in Nederland. Het werkloosheidspercentage zorgt er daarentegen juist voor - door een sterker negatieve coëfficiënt voor de referentielanden -, dat een toename hiervan een relatief sterkere daling van de organisatiegraad in </w:t>
      </w:r>
      <w:r w:rsidR="00052C93">
        <w:t>de referentielanden bewerkstelligt. Echter blijkt dat in de periode 1983-1987 het werkloosheidspercentage in Nederland structureel hoger ligt dan in de referentielanden. Hierdoor is het netto verschil in invloed van het werkloosheidspercentage op de organisatiegraad veel minder groot. Uiteindelijk blijkt ook de coëfficiënt van de werknemerscompensatie ervoor te zorgen dat het effect ervan relatief zwaarder is voor de referentielanden dan voor Nederland.</w:t>
      </w:r>
      <w:r w:rsidR="00B54AD7">
        <w:br/>
        <w:t xml:space="preserve"> </w:t>
      </w:r>
      <w:r w:rsidR="00B54AD7">
        <w:tab/>
      </w:r>
      <w:r w:rsidR="00052C93">
        <w:t xml:space="preserve">Al met al kan gesteld worden dat </w:t>
      </w:r>
      <w:r w:rsidR="00C66042">
        <w:t xml:space="preserve">door het feit dat </w:t>
      </w:r>
      <w:r w:rsidR="00052C93">
        <w:t>de referentielanden hogere coëfficiënten hebben dan Nederland, de organisatiegraad in sterkere mate</w:t>
      </w:r>
      <w:r w:rsidR="00C66042">
        <w:t xml:space="preserve"> wordt</w:t>
      </w:r>
      <w:r w:rsidR="00052C93">
        <w:t xml:space="preserve"> beïnvloed. De hogere coëfficiënten zorgen in het geval van de inflatie en de werknemerscompensatie, dat de organisatiegraad relatief hoger komt te liggen dan de organisatiegraad van Nederland. Dit effect kan teniet worden gedaan door de bijna vier keer zo grote</w:t>
      </w:r>
      <w:r w:rsidR="00052C93" w:rsidRPr="00052C93">
        <w:t xml:space="preserve"> </w:t>
      </w:r>
      <w:r w:rsidR="00052C93">
        <w:t>coëfficiënt van het werkloosheidspercentage, was het niet dat de hogere Nederlandse werkloosheid in de periode 1983-1987</w:t>
      </w:r>
      <w:r w:rsidR="00E40E56">
        <w:t xml:space="preserve"> ervoor zorgt dat het uiteindelijke effect op de organisatiegraad </w:t>
      </w:r>
      <w:r w:rsidR="00091347">
        <w:t>wordt vergroot</w:t>
      </w:r>
      <w:r w:rsidR="00E40E56">
        <w:t>.</w:t>
      </w:r>
      <w:r w:rsidR="00091347">
        <w:t xml:space="preserve"> Deze drie constateringen maken dat de Nederlandse organisatiegraad in de eerste vijf jaar na het Akkoord van Wassenaar </w:t>
      </w:r>
      <w:r w:rsidR="00A15009">
        <w:t xml:space="preserve">wellicht </w:t>
      </w:r>
      <w:r w:rsidR="00091347">
        <w:t xml:space="preserve">sterker kon dalen dan de organisatiegraad van de referentielanden. </w:t>
      </w:r>
      <w:r w:rsidR="00CE6FF0">
        <w:t xml:space="preserve"> </w:t>
      </w:r>
    </w:p>
    <w:p w:rsidR="00722D52" w:rsidRDefault="00947A56" w:rsidP="002B6FE4">
      <w:pPr>
        <w:spacing w:line="360" w:lineRule="auto"/>
      </w:pPr>
      <w:r>
        <w:rPr>
          <w:b/>
        </w:rPr>
        <w:t>Verschillen in coëfficiënten in de periode 1988-1992</w:t>
      </w:r>
      <w:r>
        <w:rPr>
          <w:b/>
        </w:rPr>
        <w:br/>
      </w:r>
      <w:r>
        <w:t xml:space="preserve">Vervolgens worden de tweede vijf jaren na het Akkoord van Wassenaar geanalyseerd. Hieruit blijkt dat de inflatie in Nederland opeens sterker bijdraagt aan de hoogte van de organisatiegraad dan in de referentielanden. Daarnaast valt ook te stellen dat </w:t>
      </w:r>
      <w:r w:rsidR="000B210A">
        <w:t>de coëfficiënt van het</w:t>
      </w:r>
      <w:r>
        <w:t xml:space="preserve"> werkloosheidspercentage een dermate </w:t>
      </w:r>
      <w:r w:rsidR="000B210A">
        <w:t>hoge waarde aanneemt</w:t>
      </w:r>
      <w:r>
        <w:t xml:space="preserve">, dat de licht negatieve coëfficiënt </w:t>
      </w:r>
      <w:r>
        <w:lastRenderedPageBreak/>
        <w:t>van de referentielanden in het niet valt.</w:t>
      </w:r>
      <w:r w:rsidR="00D8704C">
        <w:t xml:space="preserve"> Alleen de </w:t>
      </w:r>
      <w:r w:rsidR="006D3D21">
        <w:t xml:space="preserve">coëfficiënt  van de </w:t>
      </w:r>
      <w:r w:rsidR="00D8704C">
        <w:t xml:space="preserve">werknemerscompensatie </w:t>
      </w:r>
      <w:r w:rsidR="006D3D21">
        <w:t xml:space="preserve">is voor de referentielanden groter, maar aangezien </w:t>
      </w:r>
      <w:r w:rsidR="000A480C">
        <w:t>deze van negatieve aard is, betekent dit dat de organisatiegraad relatief sterker zal dalen in de referentielanden dan in Nederland.</w:t>
      </w:r>
      <w:r w:rsidR="00722D52">
        <w:t xml:space="preserve"> De sterkere invloed van de inflatie en het werkloosheidspercentage, zorgen er tevens voor dat de organisatiegraad in Nederland in de periode 1988-1992 relatief sterker zal stijgen </w:t>
      </w:r>
      <w:r w:rsidR="00C66042">
        <w:t>dan de organisatiegraad</w:t>
      </w:r>
      <w:r w:rsidR="00722D52">
        <w:t xml:space="preserve"> van de referentielanden.</w:t>
      </w:r>
      <w:r w:rsidR="0030063E">
        <w:t xml:space="preserve"> </w:t>
      </w:r>
      <w:r w:rsidR="00722D52">
        <w:t>Uit voorgaande kan geconcludeerd worden dat in de tweede vijf jaar na het Akkoord van Wassenaar, alle coëfficiënten ervoor zorgen dat de Nederlandse organisatiegraad relatief hoger uitvalt dan die van de referentielanden.</w:t>
      </w:r>
      <w:r w:rsidR="0030063E">
        <w:t xml:space="preserve"> </w:t>
      </w:r>
      <w:r w:rsidR="00A15009">
        <w:t xml:space="preserve">Dit alles heeft het </w:t>
      </w:r>
      <w:r w:rsidR="00C66042">
        <w:t>waarschijnlijk</w:t>
      </w:r>
      <w:r w:rsidR="00A15009">
        <w:t xml:space="preserve"> mogelijk gemaakt, dat de procentuele verandering van de organisatiegraad van Nederland ten opzichte van Japan en Zwitserland in de periode 1988-1992 plotseling hoger lag.</w:t>
      </w:r>
    </w:p>
    <w:p w:rsidR="00B54AD7" w:rsidRDefault="0030063E" w:rsidP="002B6FE4">
      <w:pPr>
        <w:spacing w:line="360" w:lineRule="auto"/>
      </w:pPr>
      <w:r>
        <w:rPr>
          <w:b/>
        </w:rPr>
        <w:t>Verschillen in coëfficiënten in de periode 19</w:t>
      </w:r>
      <w:r w:rsidR="006E7915">
        <w:rPr>
          <w:b/>
        </w:rPr>
        <w:t>83</w:t>
      </w:r>
      <w:r>
        <w:rPr>
          <w:b/>
        </w:rPr>
        <w:t>-1992</w:t>
      </w:r>
      <w:r>
        <w:rPr>
          <w:b/>
        </w:rPr>
        <w:br/>
      </w:r>
      <w:r w:rsidR="00C24560">
        <w:t xml:space="preserve">Tot slot worden de twee voorgaande tijdsintervallen samengenomen, </w:t>
      </w:r>
      <w:r w:rsidR="00E71525">
        <w:t>waarna blijkt dat de inflatie een licht negatieve invloed heeft op de organisatiegraad van Nederland en de referentielanden in de eerste tien jaar na het Akkoord van Wassenaar.</w:t>
      </w:r>
      <w:r w:rsidR="00840D00">
        <w:t xml:space="preserve"> De coëfficiënt van het werkloosheidspercentage is voor Nederland aanzienlijk hoger, waardoor - in combinatie met de relatief hogere werkloosheid </w:t>
      </w:r>
      <w:r w:rsidR="000B210A">
        <w:t>-</w:t>
      </w:r>
      <w:r w:rsidR="00840D00">
        <w:t xml:space="preserve"> de organisatiegraad door </w:t>
      </w:r>
      <w:r w:rsidR="00C66042">
        <w:t xml:space="preserve">de invloed van </w:t>
      </w:r>
      <w:r w:rsidR="00840D00">
        <w:t>deze variabele</w:t>
      </w:r>
      <w:r w:rsidR="000B210A">
        <w:t>,</w:t>
      </w:r>
      <w:r w:rsidR="00840D00">
        <w:t xml:space="preserve"> sterker zal stijgen dan die van de referentielanden.</w:t>
      </w:r>
      <w:r w:rsidR="00996631">
        <w:t xml:space="preserve"> De werknemerscompensatie laat voor de referentielanden juist een sterker effect zien, zei het dan negatief. Hierdoor </w:t>
      </w:r>
      <w:r w:rsidR="00C210B2">
        <w:t xml:space="preserve">zal de organisatiegraad van de referentielanden relatief lager, en die van Nederland </w:t>
      </w:r>
      <w:r w:rsidR="000B210A">
        <w:t>-</w:t>
      </w:r>
      <w:r w:rsidR="00C210B2">
        <w:t xml:space="preserve"> wederom </w:t>
      </w:r>
      <w:r w:rsidR="000B210A">
        <w:t>-</w:t>
      </w:r>
      <w:r w:rsidR="00C210B2">
        <w:t xml:space="preserve"> dus relatief hoger zijn. Uiteindelijk blijkt dat de duidelijk zichtbare effecten in de eerste vijf jaar</w:t>
      </w:r>
      <w:r w:rsidR="00C210B2" w:rsidRPr="00C210B2">
        <w:t xml:space="preserve"> </w:t>
      </w:r>
      <w:r w:rsidR="00C210B2">
        <w:t>na het Akkoord van Wassenaar volledig worden omgedraaid in de tweede vijf jaar na het akkoord. Hierdoor</w:t>
      </w:r>
      <w:r w:rsidR="004D0B56">
        <w:t xml:space="preserve"> is</w:t>
      </w:r>
      <w:r w:rsidR="00A15009">
        <w:t xml:space="preserve"> het aannemelijk dat de organisatiegraad over de eerste tien </w:t>
      </w:r>
      <w:r w:rsidR="000B210A">
        <w:t>jaren</w:t>
      </w:r>
      <w:r w:rsidR="00A15009">
        <w:t xml:space="preserve"> na het Akkoord van Wassenaar</w:t>
      </w:r>
      <w:r w:rsidR="005827EF">
        <w:t xml:space="preserve">, in tegenstelling tot de eerste vijf </w:t>
      </w:r>
      <w:r w:rsidR="000B210A">
        <w:t>jaren</w:t>
      </w:r>
      <w:r w:rsidR="005827EF">
        <w:t xml:space="preserve"> na</w:t>
      </w:r>
      <w:r w:rsidR="00A15009">
        <w:t xml:space="preserve"> </w:t>
      </w:r>
      <w:r w:rsidR="005827EF">
        <w:t xml:space="preserve">het akkoord, </w:t>
      </w:r>
      <w:r w:rsidR="00A15009">
        <w:t xml:space="preserve">niet meer significant </w:t>
      </w:r>
      <w:r w:rsidR="000B210A">
        <w:t>afwijkt</w:t>
      </w:r>
      <w:r w:rsidR="00A15009">
        <w:t xml:space="preserve"> van </w:t>
      </w:r>
      <w:r w:rsidR="005827EF">
        <w:t>de organisatiegraad</w:t>
      </w:r>
      <w:r w:rsidR="00A15009">
        <w:t xml:space="preserve"> van de referentielanden. </w:t>
      </w:r>
    </w:p>
    <w:p w:rsidR="00B54AD7" w:rsidRDefault="00B54AD7" w:rsidP="002B6FE4">
      <w:pPr>
        <w:spacing w:line="360" w:lineRule="auto"/>
      </w:pPr>
    </w:p>
    <w:p w:rsidR="00756E22" w:rsidRPr="009F1B92" w:rsidRDefault="00756E22" w:rsidP="002B6FE4">
      <w:pPr>
        <w:spacing w:line="360" w:lineRule="auto"/>
      </w:pPr>
      <w:r w:rsidRPr="00E21E4E">
        <w:rPr>
          <w:b/>
          <w:sz w:val="24"/>
          <w:szCs w:val="24"/>
        </w:rPr>
        <w:t xml:space="preserve">V. </w:t>
      </w:r>
      <w:r w:rsidR="009C3179" w:rsidRPr="00E21E4E">
        <w:rPr>
          <w:b/>
          <w:sz w:val="24"/>
          <w:szCs w:val="24"/>
        </w:rPr>
        <w:t>Conclusie</w:t>
      </w:r>
      <w:r w:rsidRPr="00E21E4E">
        <w:rPr>
          <w:b/>
          <w:sz w:val="24"/>
          <w:szCs w:val="24"/>
        </w:rPr>
        <w:t xml:space="preserve"> en discussie</w:t>
      </w:r>
    </w:p>
    <w:p w:rsidR="00B63FFC" w:rsidRPr="00B63FFC" w:rsidRDefault="00A051EA" w:rsidP="002B6FE4">
      <w:pPr>
        <w:spacing w:line="360" w:lineRule="auto"/>
      </w:pPr>
      <w:r>
        <w:rPr>
          <w:b/>
        </w:rPr>
        <w:t>Conclusie</w:t>
      </w:r>
      <w:r>
        <w:br/>
      </w:r>
      <w:r w:rsidR="00645537">
        <w:t xml:space="preserve">Het Akkoord van Wassenaar in 1982 betekende een kenterpunt voor de Nederlandse economie. Daar waar het begin jaren ’80 economisch slecht gesteld was met Nederland, </w:t>
      </w:r>
      <w:r w:rsidR="009C3179">
        <w:t xml:space="preserve">begon het vanaf 1983 langzaamaan steeds beter te gaan. Die verbetering van de Nederlandse economie ging zichtbaar gepaard met een fikse daling van de organisatiegraad. Het parallel lopen van deze twee gebeurtenissen </w:t>
      </w:r>
      <w:r w:rsidR="008F03C3">
        <w:t>brengt</w:t>
      </w:r>
      <w:r w:rsidR="009C3179">
        <w:t xml:space="preserve"> de vraag omhoog of het Akkoord van Wassenaar de daling van de Nederlandse organisatiegraad heeft veroorzaakt. Ondanks de fikse neergang na het </w:t>
      </w:r>
      <w:r w:rsidR="00723CAD">
        <w:t>akkoord</w:t>
      </w:r>
      <w:r w:rsidR="009C3179">
        <w:t xml:space="preserve">, werd de daling eind jaren ’80 en begin jaren ’90 een halt toegeroepen. Na een korte opleving zakte de </w:t>
      </w:r>
      <w:r w:rsidR="009C3179">
        <w:lastRenderedPageBreak/>
        <w:t>organisatiegraad echter weer verder, waardoor de trendlijn o</w:t>
      </w:r>
      <w:r w:rsidR="00FC2FF2">
        <w:t xml:space="preserve">ok op lange termijn een negatieve richtingscoëfficiënt </w:t>
      </w:r>
      <w:r w:rsidR="009C3179">
        <w:t>heeft.</w:t>
      </w:r>
      <w:r w:rsidR="008D714A">
        <w:t xml:space="preserve"> Door niet alleen de </w:t>
      </w:r>
      <w:r w:rsidR="00CB097B">
        <w:t xml:space="preserve">eigen </w:t>
      </w:r>
      <w:r w:rsidR="008D714A">
        <w:t xml:space="preserve">trendlijn, maar ook </w:t>
      </w:r>
      <w:r w:rsidR="00CB097B">
        <w:t xml:space="preserve">de trendlijn van </w:t>
      </w:r>
      <w:r w:rsidR="008D714A">
        <w:t xml:space="preserve">drie </w:t>
      </w:r>
      <w:r w:rsidR="00CB097B">
        <w:t xml:space="preserve">vergelijkbare </w:t>
      </w:r>
      <w:r w:rsidR="008D714A">
        <w:t>westerse landen</w:t>
      </w:r>
      <w:r w:rsidR="00CB097B">
        <w:t xml:space="preserve"> te gebruiken</w:t>
      </w:r>
      <w:r w:rsidR="008D714A">
        <w:t xml:space="preserve">, is het mogelijk geworden om </w:t>
      </w:r>
      <w:r w:rsidR="00432D74">
        <w:t>de ontwikkeling van de Nederlandse organisatiegraad</w:t>
      </w:r>
      <w:r w:rsidR="008D714A">
        <w:t xml:space="preserve"> </w:t>
      </w:r>
      <w:r w:rsidR="00432D74">
        <w:t>mét het Akkoord van Wassenaar, te vergelijken met een situatie waarin het Akkoord van Wasse</w:t>
      </w:r>
      <w:r w:rsidR="00490F14">
        <w:t>naar niet heeft plaatsgevonden.</w:t>
      </w:r>
      <w:r w:rsidR="00B63FFC">
        <w:t xml:space="preserve"> </w:t>
      </w:r>
      <w:r w:rsidR="00490F14">
        <w:t>De drie referentielanden Duitsland, Japan en Zwitserland, zijn niet uitsluitend geselecteerd op basis van de trendlijn van hun organisatiegraad, maar ook op basis van drie economische variabelen</w:t>
      </w:r>
      <w:r w:rsidR="00B63FFC">
        <w:t>, inflatie, werkloosheid</w:t>
      </w:r>
      <w:r w:rsidR="00C66042">
        <w:t>spercentage</w:t>
      </w:r>
      <w:r w:rsidR="00B63FFC">
        <w:t xml:space="preserve"> en werknemerscompensatie,</w:t>
      </w:r>
      <w:r w:rsidR="00490F14">
        <w:t xml:space="preserve"> die volgens het </w:t>
      </w:r>
      <w:r w:rsidR="00D20DB8">
        <w:t xml:space="preserve">B-E </w:t>
      </w:r>
      <w:r w:rsidR="00490F14">
        <w:t xml:space="preserve"> model invloed uit</w:t>
      </w:r>
      <w:r w:rsidR="00B54AD7">
        <w:t>oefenen op de organisatiegraad.</w:t>
      </w:r>
      <w:r w:rsidR="00B54AD7">
        <w:br/>
        <w:t xml:space="preserve"> </w:t>
      </w:r>
      <w:r w:rsidR="00B54AD7">
        <w:tab/>
      </w:r>
      <w:r w:rsidR="00B63FFC" w:rsidRPr="00B63FFC">
        <w:t xml:space="preserve">De </w:t>
      </w:r>
      <w:r w:rsidR="00B81D52">
        <w:t>t</w:t>
      </w:r>
      <w:r w:rsidR="00B63FFC" w:rsidRPr="00B63FFC">
        <w:t xml:space="preserve">-test for comparing two means heeft vervolgens </w:t>
      </w:r>
      <w:r w:rsidR="00B8481B">
        <w:t>drie</w:t>
      </w:r>
      <w:r w:rsidR="00B63FFC">
        <w:t xml:space="preserve"> verschillende tijdsintervallen geanalyseerd, waar</w:t>
      </w:r>
      <w:r w:rsidR="00C66042">
        <w:t>na</w:t>
      </w:r>
      <w:r w:rsidR="00B63FFC">
        <w:t xml:space="preserve"> de uitkomsten onderling </w:t>
      </w:r>
      <w:r w:rsidR="00CB097B">
        <w:t xml:space="preserve">met elkaar </w:t>
      </w:r>
      <w:r w:rsidR="00B63FFC">
        <w:t>zijn vergeleken. Voor de eerste vijf jaar na het Akkoord van Wassenaar</w:t>
      </w:r>
      <w:r w:rsidR="00995C2C">
        <w:t xml:space="preserve"> (1983-1987)</w:t>
      </w:r>
      <w:r w:rsidR="00B63FFC">
        <w:t xml:space="preserve"> blijkt de Nederlandse organisatiegraad significant af te wijken van </w:t>
      </w:r>
      <w:r w:rsidR="00995C2C">
        <w:t xml:space="preserve">de organisatiegraad van de referentielanden en de trendlijn. </w:t>
      </w:r>
      <w:r w:rsidR="00B8481B">
        <w:t xml:space="preserve">Echter tonen de tweede vijf jaren na het akkoord geen enkel significant resultaat meer, waardoor </w:t>
      </w:r>
      <w:r w:rsidR="00995C2C">
        <w:t xml:space="preserve">de eerste tien jaar na het Akkoord van Wassenaar </w:t>
      </w:r>
      <w:r w:rsidR="00B8481B">
        <w:t>eveneens g</w:t>
      </w:r>
      <w:r w:rsidR="00995C2C">
        <w:t xml:space="preserve">een significante afwijking </w:t>
      </w:r>
      <w:r w:rsidR="00B8481B">
        <w:t>meer vertoont</w:t>
      </w:r>
      <w:r w:rsidR="00995C2C">
        <w:t>.</w:t>
      </w:r>
      <w:r w:rsidR="005E2BD7">
        <w:t xml:space="preserve"> Hierdoor kan </w:t>
      </w:r>
      <w:r w:rsidR="00B8481B">
        <w:t xml:space="preserve">slechts </w:t>
      </w:r>
      <w:r w:rsidR="005E2BD7">
        <w:t>gesteld worden dat het Akkoord van Wassenaar op zeer korte termijn (vijf jaar) significante invloed heeft gehad op de beweging van de</w:t>
      </w:r>
      <w:r w:rsidR="00B54AD7">
        <w:t xml:space="preserve"> Nederlandse organisatiegraad. </w:t>
      </w:r>
      <w:r w:rsidR="00B54AD7">
        <w:br/>
        <w:t xml:space="preserve"> </w:t>
      </w:r>
      <w:r w:rsidR="00B54AD7">
        <w:tab/>
      </w:r>
      <w:r w:rsidR="00D20DB8">
        <w:t>De empirische resultaten uit h</w:t>
      </w:r>
      <w:r w:rsidR="005E2BD7">
        <w:t xml:space="preserve">et B-E model </w:t>
      </w:r>
      <w:r w:rsidR="00D20DB8">
        <w:t xml:space="preserve">van </w:t>
      </w:r>
      <w:r w:rsidR="003B0464">
        <w:t>Bains</w:t>
      </w:r>
      <w:r w:rsidR="00D20DB8">
        <w:t xml:space="preserve"> en Elsheikh, stellen dat de inflatie en de werknemerscompensatie een positieve invloed hebben en het werkloosheidspercentage een negatieve invloed heeft op de ontwikkeling van de organisatiegraad.</w:t>
      </w:r>
      <w:r w:rsidR="007953A9">
        <w:t xml:space="preserve"> Het bekijken van de ontwikkelingen van deze variabelen in Nederland in de periode 1983-1992, toont dat de beschreven invloed van </w:t>
      </w:r>
      <w:r w:rsidR="00CB097B">
        <w:t>(</w:t>
      </w:r>
      <w:r w:rsidR="00397DB8">
        <w:t>in het bijzonder</w:t>
      </w:r>
      <w:r w:rsidR="00CB097B">
        <w:t>)</w:t>
      </w:r>
      <w:r w:rsidR="00C66042">
        <w:t xml:space="preserve"> </w:t>
      </w:r>
      <w:r w:rsidR="007953A9">
        <w:t xml:space="preserve">de inflatie en het werkloosheidspercentage, voor Nederland </w:t>
      </w:r>
      <w:r w:rsidR="00B8481B">
        <w:t xml:space="preserve">binnen dit tijdsinterval </w:t>
      </w:r>
      <w:r w:rsidR="007953A9">
        <w:t xml:space="preserve">van toepassing is. </w:t>
      </w:r>
      <w:r w:rsidR="001E6383">
        <w:t xml:space="preserve">Deze variabelen zijn na het Akkoord van Wassenaar sterk afgenomen, waardoor de organisatiegraad eveneens sterk heeft kunnen </w:t>
      </w:r>
      <w:r w:rsidR="00CB097B">
        <w:t>dalen</w:t>
      </w:r>
      <w:r w:rsidR="00B54AD7">
        <w:t>.</w:t>
      </w:r>
      <w:r w:rsidR="00B54AD7">
        <w:br/>
        <w:t xml:space="preserve"> </w:t>
      </w:r>
      <w:r w:rsidR="00B54AD7">
        <w:tab/>
      </w:r>
      <w:r w:rsidR="00B8481B">
        <w:t xml:space="preserve">De uitgevoerde panel </w:t>
      </w:r>
      <w:r w:rsidR="00645F67">
        <w:t xml:space="preserve">data </w:t>
      </w:r>
      <w:r w:rsidR="00B8481B">
        <w:t xml:space="preserve">analysis toont vervolgens </w:t>
      </w:r>
      <w:r w:rsidR="00174F34">
        <w:t xml:space="preserve">dat voor Nederland én de referentielanden in de periode 1970-2011, alleen de inflatie hetzelfde effect sorteert als wordt beschreven in het B-E model. Niet alleen de inflatie, maar ook de werkloosheid heeft een positieve coëfficiënt. De werknemerscompensatie heeft als enige variabele een negatieve impact op de organisatiegraad. </w:t>
      </w:r>
      <w:r w:rsidR="008E3044">
        <w:t xml:space="preserve">De vergelijking van de coëfficiënten van de B-E-variabelen tussen Nederland enerzijds en de </w:t>
      </w:r>
      <w:r w:rsidR="00FE32C1">
        <w:t>referentielanden</w:t>
      </w:r>
      <w:r w:rsidR="008E3044">
        <w:t xml:space="preserve"> anderzijds, levert opmerkelijke verschillen op. In de eerste vijf jaar na het Akkoord van Wassenaar, blijkt dat de coëfficiënten van de variabelen een aanleiding vormen voor de relatief sterke afname van de organisatiegraad van Nederland. De coëfficiënten van de variabelen </w:t>
      </w:r>
      <w:r w:rsidR="00C63855">
        <w:t>tijdens</w:t>
      </w:r>
      <w:r w:rsidR="008E3044">
        <w:t xml:space="preserve"> de tweede vijf jaar na het akkoord tonen exact het tegenovergestelde: de Nederlandse organisatiegraad daalt minder hard dan die van de referentielanden. Deze bevindingen zijn in overeenstemming met de uitgevoerde t-test op significante afwi</w:t>
      </w:r>
      <w:r w:rsidR="00C63855">
        <w:t xml:space="preserve">jkingen van de </w:t>
      </w:r>
      <w:r w:rsidR="00C63855">
        <w:lastRenderedPageBreak/>
        <w:t xml:space="preserve">organisatiegraad: de periode 1983-1987 laat een significant snellere daling zien, terwijl de periode 1988-1992 een </w:t>
      </w:r>
      <w:r w:rsidR="00397DB8">
        <w:t>aannemelijke</w:t>
      </w:r>
      <w:r w:rsidR="00C63855">
        <w:t xml:space="preserve"> indicatie is voor een minder snelle daling van de Nederlandse organisatiegraad </w:t>
      </w:r>
      <w:r w:rsidR="00B71F7B">
        <w:t>in vergelijking met</w:t>
      </w:r>
      <w:r w:rsidR="00C63855">
        <w:t xml:space="preserve"> die van de referentielanden.</w:t>
      </w:r>
      <w:r w:rsidR="00B54AD7">
        <w:br/>
        <w:t xml:space="preserve"> </w:t>
      </w:r>
      <w:r w:rsidR="00B54AD7">
        <w:tab/>
      </w:r>
      <w:r w:rsidR="00EE2691">
        <w:t xml:space="preserve">Ondanks het feit dat de panel </w:t>
      </w:r>
      <w:r w:rsidR="00645F67">
        <w:t xml:space="preserve">data </w:t>
      </w:r>
      <w:r w:rsidR="00EE2691">
        <w:t xml:space="preserve">analysis de uitkomsten van de t-test bevestigen, valt het op dat de coëfficiënten per tijdsinterval sterk fluctueren. Hierdoor valt te denken dat er naast de drie in beschouwing genomen B-E-variabelen, meerdere factoren een significante invloed op de organisatiegraad hebben. Het is goed mogelijk dat het </w:t>
      </w:r>
      <w:r w:rsidR="00EE2691" w:rsidRPr="00EE2691">
        <w:rPr>
          <w:i/>
        </w:rPr>
        <w:t>free riden</w:t>
      </w:r>
      <w:r w:rsidR="00EE2691">
        <w:t xml:space="preserve"> van een gedeelte van de Nederlandse beroepsbevolking een groot aandeel heeft gehad in de ontwikkeling van de organisatiegraad. </w:t>
      </w:r>
      <w:r w:rsidR="00744EC3">
        <w:t xml:space="preserve">Daarnaast zou ook het synchroon verlopen van de </w:t>
      </w:r>
      <w:r w:rsidR="004A6747">
        <w:t>uitvoering</w:t>
      </w:r>
      <w:r w:rsidR="00744EC3">
        <w:t xml:space="preserve"> van </w:t>
      </w:r>
      <w:r w:rsidR="004A6747">
        <w:t>bepaald ‘vernieuwend’</w:t>
      </w:r>
      <w:r w:rsidR="004A3E46">
        <w:t xml:space="preserve"> </w:t>
      </w:r>
      <w:r w:rsidR="004A6747">
        <w:t>overheids</w:t>
      </w:r>
      <w:r w:rsidR="009A482B">
        <w:t>beleid</w:t>
      </w:r>
      <w:r w:rsidR="00744EC3">
        <w:t xml:space="preserve"> met het Akkoord van Wassenaar, </w:t>
      </w:r>
      <w:r w:rsidR="009A482B">
        <w:t xml:space="preserve">zoals de </w:t>
      </w:r>
      <w:r w:rsidR="00A304B3">
        <w:t>grondige</w:t>
      </w:r>
      <w:r w:rsidR="009A482B">
        <w:t xml:space="preserve"> privatisering, </w:t>
      </w:r>
      <w:r w:rsidR="00744EC3">
        <w:t>een verklaring kunnen zijn voor de afwijkende organisatiegraad.</w:t>
      </w:r>
      <w:r w:rsidR="00B54AD7">
        <w:br/>
        <w:t xml:space="preserve"> </w:t>
      </w:r>
      <w:r w:rsidR="00B54AD7">
        <w:tab/>
      </w:r>
      <w:r w:rsidR="00694CB6">
        <w:t>O</w:t>
      </w:r>
      <w:r w:rsidR="00744EC3">
        <w:t xml:space="preserve">ndanks het feit dat de mogelijkheid van ‘verstorende’ </w:t>
      </w:r>
      <w:r w:rsidR="00694CB6">
        <w:t>factoren</w:t>
      </w:r>
      <w:r w:rsidR="00744EC3">
        <w:t xml:space="preserve"> reëel aanwezig is, </w:t>
      </w:r>
      <w:r w:rsidR="00694CB6">
        <w:t xml:space="preserve">kan al met al </w:t>
      </w:r>
      <w:r w:rsidR="001E6383">
        <w:t>gesteld worden dat het Akkoord van Wassenaar via de verandering van verscheidene economische variabelen</w:t>
      </w:r>
      <w:r w:rsidR="00BF37B0">
        <w:t>,</w:t>
      </w:r>
      <w:r w:rsidR="001E6383">
        <w:t xml:space="preserve"> zoals de inflatie en het werkloosheidspercentage</w:t>
      </w:r>
      <w:r w:rsidR="00BF37B0">
        <w:t>,</w:t>
      </w:r>
      <w:r w:rsidR="001E6383">
        <w:t xml:space="preserve">  ertoe heeft geleid, dat de Nederlandse organisatiegraad</w:t>
      </w:r>
      <w:r w:rsidR="005B30BF">
        <w:t xml:space="preserve"> op de zeer korte termijn (d</w:t>
      </w:r>
      <w:r w:rsidR="001E6383">
        <w:t>e eerste vijf jaar</w:t>
      </w:r>
      <w:r w:rsidR="005B30BF">
        <w:t xml:space="preserve"> na het akkoord) sterk is afgenomen. </w:t>
      </w:r>
    </w:p>
    <w:p w:rsidR="00EC228E" w:rsidRDefault="00A051EA" w:rsidP="002B6FE4">
      <w:pPr>
        <w:spacing w:line="360" w:lineRule="auto"/>
      </w:pPr>
      <w:r>
        <w:rPr>
          <w:b/>
        </w:rPr>
        <w:t>Discussie</w:t>
      </w:r>
      <w:r>
        <w:rPr>
          <w:b/>
        </w:rPr>
        <w:br/>
      </w:r>
      <w:r w:rsidR="0085291C">
        <w:t xml:space="preserve">Wanneer dit onderzoek met dezelfde dataset nogmaals wordt uitgevoerd, zal het dezelfde resultaten opleveren, waardoor de betrouwbaarheid van dit onderzoek is gegarandeerd. Wanneer echter naar de validiteit wordt gekeken, blijkt dat </w:t>
      </w:r>
      <w:r w:rsidR="0018236D">
        <w:t xml:space="preserve">er enkele zaken zijn die deze ondermijnen. Zo kan er niet gesteld worden dat er sprake is van volledige  begripsvaliditeit. Bij het kiezen van de referentielanden is er </w:t>
      </w:r>
      <w:r w:rsidR="00B32168">
        <w:t xml:space="preserve">immers </w:t>
      </w:r>
      <w:r w:rsidR="0018236D">
        <w:t>geselecteerd op basis van variabelen van het B-E model, terwijl deze selectie slechts een deel van de kenmerken meeneemt, die eventueel van invloed kunnen zijn op de ontwikkeling van de organisatiegraad.</w:t>
      </w:r>
      <w:r w:rsidR="00BE6A9C">
        <w:t xml:space="preserve"> Dit zorgt automatisch voor een afname van de externe validiteit, doordat er referentielanden zijn gekozen om de situatie van Nederland zonder Akkoord van Wassenaar na te bootsen. Die referentielanden hebben zeer waarschijnlijk</w:t>
      </w:r>
      <w:r w:rsidR="002C55CE">
        <w:t>,</w:t>
      </w:r>
      <w:r w:rsidR="00BE6A9C">
        <w:t xml:space="preserve"> buiten de meegenomen economische variabelen om, afwijkende zaken </w:t>
      </w:r>
      <w:r w:rsidR="002C55CE">
        <w:t xml:space="preserve">die niet in Nederland voorkomen, </w:t>
      </w:r>
      <w:r w:rsidR="00BE6A9C">
        <w:t xml:space="preserve">die van invloed kunnen zijn op </w:t>
      </w:r>
      <w:r w:rsidR="002C55CE">
        <w:t>de organisatiegraad.</w:t>
      </w:r>
      <w:r w:rsidR="00BE6A9C">
        <w:t xml:space="preserve"> </w:t>
      </w:r>
      <w:r w:rsidR="00B54AD7">
        <w:br/>
        <w:t xml:space="preserve"> </w:t>
      </w:r>
      <w:r w:rsidR="00B54AD7">
        <w:tab/>
      </w:r>
      <w:r w:rsidR="002323B0">
        <w:t>Er is in binnen- en buitenland veelvuldig onderzoek gedaan naar de oorzaken van de fluctuaties in het ledenbestand van de vakbond.  Ook het Akkoord van Wassenaar komt in veel onderzoeken terug en is internationaal bekend om zijn goede economische resultaten. De daling van de organisatiegraad in Nederland in de jaren ’80 springt direct in het oo</w:t>
      </w:r>
      <w:r w:rsidR="00285172">
        <w:t xml:space="preserve">g en de link met het Akkoord van Wassenaar wordt veelvuldig </w:t>
      </w:r>
      <w:r w:rsidR="0005148B">
        <w:t>gelegd</w:t>
      </w:r>
      <w:r w:rsidR="00285172">
        <w:t xml:space="preserve">, </w:t>
      </w:r>
      <w:r w:rsidR="002323B0">
        <w:t xml:space="preserve">maar </w:t>
      </w:r>
      <w:r w:rsidR="00285172">
        <w:t>het bestaan van dit verband</w:t>
      </w:r>
      <w:r w:rsidR="002323B0">
        <w:t xml:space="preserve"> is niet eerder in </w:t>
      </w:r>
      <w:r w:rsidR="00285172">
        <w:t xml:space="preserve">een </w:t>
      </w:r>
      <w:r w:rsidR="002323B0">
        <w:t>onderzoe</w:t>
      </w:r>
      <w:r w:rsidR="009D7A1A">
        <w:t>k op statistische wijze samengebracht.</w:t>
      </w:r>
    </w:p>
    <w:p w:rsidR="00073B5B" w:rsidRDefault="00EC228E" w:rsidP="002B6FE4">
      <w:pPr>
        <w:spacing w:line="360" w:lineRule="auto"/>
      </w:pPr>
      <w:r>
        <w:rPr>
          <w:b/>
        </w:rPr>
        <w:lastRenderedPageBreak/>
        <w:t>Beperkingen</w:t>
      </w:r>
      <w:r>
        <w:rPr>
          <w:b/>
        </w:rPr>
        <w:br/>
      </w:r>
      <w:r w:rsidR="00D9340C">
        <w:t xml:space="preserve">Het feit dat er gebruik is gemaakt van andere landen dan Nederland als </w:t>
      </w:r>
      <w:r w:rsidR="00645F67">
        <w:t>referentiekader</w:t>
      </w:r>
      <w:r w:rsidR="00D9340C">
        <w:t>, is de grootste beperking van dit onderzoek. Er is weliswaar gezocht naar landen die de meeste overeenkomsten op het gebied van de economie en de organisatiegraad</w:t>
      </w:r>
      <w:r w:rsidR="00141C6C">
        <w:t xml:space="preserve"> tonen</w:t>
      </w:r>
      <w:r w:rsidR="00D9340C">
        <w:t>, maar er spelen zeer waarschijnl</w:t>
      </w:r>
      <w:r w:rsidR="004E7768">
        <w:t xml:space="preserve">ijk veel meer factoren een rol in de ontwikkeling van de organisatiegraad. </w:t>
      </w:r>
      <w:r w:rsidR="0017180F">
        <w:t xml:space="preserve">Hierbij valt te denken aan het </w:t>
      </w:r>
      <w:r w:rsidR="00141C6C">
        <w:t xml:space="preserve">behandelde </w:t>
      </w:r>
      <w:r w:rsidR="00E97BB2">
        <w:t>free rider-</w:t>
      </w:r>
      <w:r w:rsidR="0017180F">
        <w:t xml:space="preserve">probleem en de opkomst van de privatisering. </w:t>
      </w:r>
      <w:r w:rsidR="004E7768">
        <w:t xml:space="preserve">Daarnaast moet ook het slechts deels gebruiken van het B-E model worden aangekaart als een tekortkoming. Daar waar het B-E model als maatstaf is genomen voor de selectie van de referentielanden en de analyse van de hypotheses, is er slechts gebruik gemaakt van drie van de vier variabelen. De ontwikkeling van de organisatiegraad in de voorgaande periode is als variabele weggelaten, aangezien </w:t>
      </w:r>
      <w:r w:rsidR="003B0464">
        <w:t>Bains</w:t>
      </w:r>
      <w:r w:rsidR="004E7768">
        <w:t xml:space="preserve"> en Elsheikh niet konden aangeven of het netto-effect een positieve of negatieve uitwerking zou hebben op </w:t>
      </w:r>
      <w:r w:rsidR="002C3234">
        <w:t xml:space="preserve">het ledenbestand van de vakbond. </w:t>
      </w:r>
      <w:r w:rsidR="004E5BFA">
        <w:t xml:space="preserve">Tot slot is, hierop inhakend, de aanname </w:t>
      </w:r>
      <w:r w:rsidR="00073B5B">
        <w:t xml:space="preserve">dat de genoemde van invloed zijnde variabelen in het B-E model via een verandering van het aantal vakbondsleden, direct invloed hebben op de organisatiegraad, geen geheel juiste. Het kan namelijk zo zijn, dat het aantal vakbondsleden stijgt, terwijl de organisatiegraad daalt, wanneer er een </w:t>
      </w:r>
      <w:r w:rsidR="00416A6B">
        <w:t>toename</w:t>
      </w:r>
      <w:r w:rsidR="00073B5B">
        <w:t xml:space="preserve"> van de beroepsbevolking plaatsvindt.</w:t>
      </w:r>
    </w:p>
    <w:p w:rsidR="00E10056" w:rsidRDefault="00780FF2" w:rsidP="002B6FE4">
      <w:pPr>
        <w:spacing w:line="360" w:lineRule="auto"/>
        <w:rPr>
          <w:b/>
        </w:rPr>
      </w:pPr>
      <w:r>
        <w:rPr>
          <w:b/>
        </w:rPr>
        <w:t>Aanbevelingen</w:t>
      </w:r>
      <w:r>
        <w:rPr>
          <w:b/>
        </w:rPr>
        <w:br/>
      </w:r>
      <w:r w:rsidR="003B1D4C">
        <w:t>Voor vervolgonderzoek raad ik aan om meerdere variabelen mee te nemen die van invloed kunnen zijn op de Nederlandse organisatiegraad, zodat de selectie van referentielanden nog nauwkeuriger zal zijn. Dit zal ervoor zorgen dat de vergelijkingen die worden gemaakt tussen de ontwikkeling van de organisatiegraden, een hogere mate van juistheid zullen bevatten.</w:t>
      </w:r>
      <w:r w:rsidR="00D028B7">
        <w:t xml:space="preserve"> Uiteindelijk zal het effect van het Akkoord van Wassenaar op de organisatiegraad hierdoor beter kunnen worden beoordeeld. </w:t>
      </w:r>
      <w:r w:rsidR="00756E22" w:rsidRPr="00B63FFC">
        <w:rPr>
          <w:b/>
        </w:rPr>
        <w:br/>
      </w:r>
    </w:p>
    <w:p w:rsidR="009F1B92" w:rsidRDefault="009F1B92" w:rsidP="002B6FE4">
      <w:pPr>
        <w:spacing w:line="360" w:lineRule="auto"/>
        <w:rPr>
          <w:b/>
          <w:sz w:val="24"/>
          <w:szCs w:val="24"/>
        </w:rPr>
      </w:pPr>
    </w:p>
    <w:p w:rsidR="009F1B92" w:rsidRDefault="009F1B92" w:rsidP="002B6FE4">
      <w:pPr>
        <w:spacing w:line="360" w:lineRule="auto"/>
        <w:rPr>
          <w:b/>
          <w:sz w:val="24"/>
          <w:szCs w:val="24"/>
        </w:rPr>
      </w:pPr>
    </w:p>
    <w:p w:rsidR="009F1B92" w:rsidRDefault="009F1B92" w:rsidP="002B6FE4">
      <w:pPr>
        <w:spacing w:line="360" w:lineRule="auto"/>
        <w:rPr>
          <w:b/>
          <w:sz w:val="24"/>
          <w:szCs w:val="24"/>
        </w:rPr>
      </w:pPr>
    </w:p>
    <w:p w:rsidR="009F1B92" w:rsidRDefault="009F1B92" w:rsidP="002B6FE4">
      <w:pPr>
        <w:spacing w:line="360" w:lineRule="auto"/>
        <w:rPr>
          <w:b/>
          <w:sz w:val="24"/>
          <w:szCs w:val="24"/>
        </w:rPr>
      </w:pPr>
    </w:p>
    <w:p w:rsidR="00E24E2B" w:rsidRDefault="00E24E2B" w:rsidP="002B6FE4">
      <w:pPr>
        <w:spacing w:line="360" w:lineRule="auto"/>
        <w:rPr>
          <w:b/>
          <w:sz w:val="24"/>
          <w:szCs w:val="24"/>
        </w:rPr>
      </w:pPr>
    </w:p>
    <w:p w:rsidR="006B4282" w:rsidRDefault="006B4282" w:rsidP="002B6FE4">
      <w:pPr>
        <w:spacing w:line="360" w:lineRule="auto"/>
        <w:rPr>
          <w:b/>
          <w:sz w:val="24"/>
          <w:szCs w:val="24"/>
        </w:rPr>
      </w:pPr>
    </w:p>
    <w:p w:rsidR="006B4282" w:rsidRDefault="006B4282" w:rsidP="002B6FE4">
      <w:pPr>
        <w:spacing w:line="360" w:lineRule="auto"/>
        <w:rPr>
          <w:b/>
          <w:sz w:val="24"/>
          <w:szCs w:val="24"/>
        </w:rPr>
      </w:pPr>
    </w:p>
    <w:p w:rsidR="00B06CB1" w:rsidRPr="00E10056" w:rsidRDefault="00E21E4E" w:rsidP="002B6FE4">
      <w:pPr>
        <w:spacing w:line="360" w:lineRule="auto"/>
        <w:rPr>
          <w:b/>
        </w:rPr>
      </w:pPr>
      <w:r w:rsidRPr="00E21E4E">
        <w:rPr>
          <w:b/>
          <w:sz w:val="24"/>
          <w:szCs w:val="24"/>
        </w:rPr>
        <w:lastRenderedPageBreak/>
        <w:t>VI.</w:t>
      </w:r>
      <w:r>
        <w:rPr>
          <w:b/>
          <w:sz w:val="24"/>
          <w:szCs w:val="24"/>
        </w:rPr>
        <w:t xml:space="preserve"> </w:t>
      </w:r>
      <w:r w:rsidR="00301048">
        <w:rPr>
          <w:b/>
          <w:sz w:val="24"/>
          <w:szCs w:val="24"/>
        </w:rPr>
        <w:t>Literatuurlijst</w:t>
      </w:r>
    </w:p>
    <w:sdt>
      <w:sdtPr>
        <w:rPr>
          <w:rFonts w:asciiTheme="minorHAnsi" w:eastAsiaTheme="minorHAnsi" w:hAnsiTheme="minorHAnsi" w:cstheme="minorBidi"/>
          <w:b w:val="0"/>
          <w:bCs w:val="0"/>
          <w:color w:val="auto"/>
          <w:sz w:val="22"/>
          <w:szCs w:val="22"/>
          <w:lang w:eastAsia="en-US"/>
        </w:rPr>
        <w:id w:val="-1212189682"/>
        <w:docPartObj>
          <w:docPartGallery w:val="Bibliographies"/>
          <w:docPartUnique/>
        </w:docPartObj>
      </w:sdtPr>
      <w:sdtEndPr/>
      <w:sdtContent>
        <w:p w:rsidR="00B06CB1" w:rsidRPr="00E21E4E" w:rsidRDefault="00B06CB1" w:rsidP="002B6FE4">
          <w:pPr>
            <w:pStyle w:val="Heading1"/>
            <w:spacing w:line="360" w:lineRule="auto"/>
            <w:rPr>
              <w:color w:val="auto"/>
              <w:sz w:val="24"/>
              <w:szCs w:val="24"/>
            </w:rPr>
          </w:pPr>
        </w:p>
        <w:sdt>
          <w:sdtPr>
            <w:id w:val="111145805"/>
            <w:bibliography/>
          </w:sdtPr>
          <w:sdtEndPr/>
          <w:sdtContent>
            <w:p w:rsidR="00D56303" w:rsidRDefault="00B06CB1" w:rsidP="00D56303">
              <w:pPr>
                <w:pStyle w:val="Bibliography"/>
                <w:ind w:left="720" w:hanging="720"/>
                <w:rPr>
                  <w:noProof/>
                </w:rPr>
              </w:pPr>
              <w:r>
                <w:fldChar w:fldCharType="begin"/>
              </w:r>
              <w:r>
                <w:instrText>BIBLIOGRAPHY</w:instrText>
              </w:r>
              <w:r>
                <w:fldChar w:fldCharType="separate"/>
              </w:r>
              <w:r w:rsidR="00D56303">
                <w:rPr>
                  <w:noProof/>
                </w:rPr>
                <w:t xml:space="preserve">Audier, R. (2014, Juni 19). </w:t>
              </w:r>
              <w:r w:rsidR="00D56303">
                <w:rPr>
                  <w:i/>
                  <w:iCs/>
                  <w:noProof/>
                </w:rPr>
                <w:t>Stakingen in Nederland.</w:t>
              </w:r>
              <w:r w:rsidR="00D56303">
                <w:rPr>
                  <w:noProof/>
                </w:rPr>
                <w:t xml:space="preserve"> Opgeroepen op Juni 23, 2015, van IS Geschiedenis: http://www.isgeschiedenis.nl/nieuws/stakingen-nederland/</w:t>
              </w:r>
            </w:p>
            <w:p w:rsidR="002075AB" w:rsidRDefault="00D56303" w:rsidP="002075AB">
              <w:pPr>
                <w:pStyle w:val="Bibliography"/>
                <w:ind w:left="720" w:hanging="720"/>
                <w:rPr>
                  <w:noProof/>
                </w:rPr>
              </w:pPr>
              <w:r w:rsidRPr="00D56303">
                <w:rPr>
                  <w:noProof/>
                  <w:lang w:val="en-US"/>
                </w:rPr>
                <w:t xml:space="preserve">Bain, G. S., &amp; Elsheikh, F. (1982). Union Growth and the Business Cycle. </w:t>
              </w:r>
              <w:r w:rsidRPr="002075AB">
                <w:rPr>
                  <w:i/>
                  <w:iCs/>
                  <w:noProof/>
                </w:rPr>
                <w:t>The British Journal of Industrial Relations</w:t>
              </w:r>
              <w:r w:rsidRPr="002075AB">
                <w:rPr>
                  <w:noProof/>
                </w:rPr>
                <w:t>, 34-40.</w:t>
              </w:r>
              <w:r w:rsidR="002075AB" w:rsidRPr="002075AB">
                <w:rPr>
                  <w:noProof/>
                </w:rPr>
                <w:t xml:space="preserve"> </w:t>
              </w:r>
            </w:p>
            <w:p w:rsidR="002075AB" w:rsidRDefault="002075AB" w:rsidP="002075AB">
              <w:pPr>
                <w:pStyle w:val="Bibliography"/>
                <w:ind w:left="720" w:hanging="720"/>
                <w:rPr>
                  <w:noProof/>
                </w:rPr>
              </w:pPr>
              <w:r>
                <w:rPr>
                  <w:noProof/>
                </w:rPr>
                <w:t xml:space="preserve">Beer, P. de. (2012). </w:t>
              </w:r>
              <w:r>
                <w:rPr>
                  <w:i/>
                  <w:iCs/>
                  <w:noProof/>
                </w:rPr>
                <w:t>De toekomst van de vakbeweging.</w:t>
              </w:r>
              <w:r>
                <w:rPr>
                  <w:noProof/>
                </w:rPr>
                <w:t xml:space="preserve"> Opgeroepen op Juni 19, 2015, van Universiteit van Amsterdam [UvA]: http://dare.uva.nl/document/2/129642</w:t>
              </w:r>
            </w:p>
            <w:p w:rsidR="00D56303" w:rsidRPr="002075AB" w:rsidRDefault="002075AB" w:rsidP="002075AB">
              <w:pPr>
                <w:pStyle w:val="Bibliography"/>
                <w:ind w:left="720" w:hanging="720"/>
                <w:rPr>
                  <w:noProof/>
                </w:rPr>
              </w:pPr>
              <w:r>
                <w:rPr>
                  <w:noProof/>
                </w:rPr>
                <w:t xml:space="preserve">Beer, P. de. (2013). </w:t>
              </w:r>
              <w:r>
                <w:rPr>
                  <w:i/>
                  <w:iCs/>
                  <w:noProof/>
                </w:rPr>
                <w:t>30 jaar na Wassenaar: de Nederlandse arbeidsverhoudingen in perspectief.</w:t>
              </w:r>
              <w:r>
                <w:rPr>
                  <w:noProof/>
                </w:rPr>
                <w:t xml:space="preserve"> Opgeroepen op Juni 23, 2015, van UvA: http://dare.uva.nl/document/2/143221</w:t>
              </w:r>
            </w:p>
            <w:p w:rsidR="00D56303" w:rsidRDefault="00D56303" w:rsidP="00D56303">
              <w:pPr>
                <w:pStyle w:val="Bibliography"/>
                <w:ind w:left="720" w:hanging="720"/>
                <w:rPr>
                  <w:noProof/>
                </w:rPr>
              </w:pPr>
              <w:r w:rsidRPr="004B1334">
                <w:rPr>
                  <w:noProof/>
                </w:rPr>
                <w:t xml:space="preserve">Bhageloe-Datadin, R. (2007, November 21). </w:t>
              </w:r>
              <w:r>
                <w:rPr>
                  <w:i/>
                  <w:iCs/>
                  <w:noProof/>
                </w:rPr>
                <w:t>De huidige crisis vergeleken met die in de jaren tachtig.</w:t>
              </w:r>
              <w:r>
                <w:rPr>
                  <w:noProof/>
                </w:rPr>
                <w:t xml:space="preserve"> Opgeroepen op Juni 23, 2015, van CBS: http://www.cbs.nl/NR/rdonlyres/179BB71B-8AB4-4E62-8DA8-416064C47CB7/0/2012p19p226art.pdf</w:t>
              </w:r>
            </w:p>
            <w:p w:rsidR="00D56303" w:rsidRDefault="00D56303" w:rsidP="00D56303">
              <w:pPr>
                <w:pStyle w:val="Bibliography"/>
                <w:ind w:left="720" w:hanging="720"/>
                <w:rPr>
                  <w:noProof/>
                </w:rPr>
              </w:pPr>
              <w:r>
                <w:rPr>
                  <w:noProof/>
                </w:rPr>
                <w:t xml:space="preserve">Blik op de Wereld. (2003). </w:t>
              </w:r>
              <w:r>
                <w:rPr>
                  <w:i/>
                  <w:iCs/>
                  <w:noProof/>
                </w:rPr>
                <w:t>Geschiedenis van de Nederlandse Vakbeweging.</w:t>
              </w:r>
              <w:r>
                <w:rPr>
                  <w:noProof/>
                </w:rPr>
                <w:t xml:space="preserve"> Opgeroepen op Juni 22, 2015, van Blik op de Wereld: http://www.blikopdewereld.nl/geschiedenis/nederland/geschiedenis-nederland/1001-geschiedenis-van-de-nederlandse-vakbeweging</w:t>
              </w:r>
            </w:p>
            <w:p w:rsidR="00D56303" w:rsidRDefault="00D56303" w:rsidP="00D56303">
              <w:pPr>
                <w:pStyle w:val="Bibliography"/>
                <w:ind w:left="720" w:hanging="720"/>
                <w:rPr>
                  <w:noProof/>
                </w:rPr>
              </w:pPr>
              <w:r w:rsidRPr="00D56303">
                <w:rPr>
                  <w:noProof/>
                  <w:lang w:val="en-US"/>
                </w:rPr>
                <w:t xml:space="preserve">Booth, A. L. (1985, Februari). The Free Rider Problem and a Social Custom Model of Trade Union Membership. </w:t>
              </w:r>
              <w:r>
                <w:rPr>
                  <w:i/>
                  <w:iCs/>
                  <w:noProof/>
                </w:rPr>
                <w:t>The Quarterly Journal of Economics</w:t>
              </w:r>
              <w:r>
                <w:rPr>
                  <w:noProof/>
                </w:rPr>
                <w:t>, 253-261.</w:t>
              </w:r>
            </w:p>
            <w:p w:rsidR="00D56303" w:rsidRDefault="00D56303" w:rsidP="00D56303">
              <w:pPr>
                <w:pStyle w:val="Bibliography"/>
                <w:ind w:left="720" w:hanging="720"/>
                <w:rPr>
                  <w:noProof/>
                </w:rPr>
              </w:pPr>
              <w:r>
                <w:rPr>
                  <w:noProof/>
                </w:rPr>
                <w:t xml:space="preserve">Bos, S. (2014, September 3). </w:t>
              </w:r>
              <w:r>
                <w:rPr>
                  <w:i/>
                  <w:iCs/>
                  <w:noProof/>
                </w:rPr>
                <w:t>''Arbeidsinkomensquote''.</w:t>
              </w:r>
              <w:r>
                <w:rPr>
                  <w:noProof/>
                </w:rPr>
                <w:t xml:space="preserve"> Opgeroepen op Juni 23, 2015, van Economische Begrippen: http://www.economische-begrippen.nl/arbeidsinkomensquote-aiq/</w:t>
              </w:r>
            </w:p>
            <w:p w:rsidR="00D56303" w:rsidRDefault="00D56303" w:rsidP="00D56303">
              <w:pPr>
                <w:pStyle w:val="Bibliography"/>
                <w:ind w:left="720" w:hanging="720"/>
                <w:rPr>
                  <w:noProof/>
                </w:rPr>
              </w:pPr>
              <w:r>
                <w:rPr>
                  <w:noProof/>
                </w:rPr>
                <w:t xml:space="preserve">CBS. (2010, Juni 24). </w:t>
              </w:r>
              <w:r>
                <w:rPr>
                  <w:i/>
                  <w:iCs/>
                  <w:noProof/>
                </w:rPr>
                <w:t>Nationale rekeningen 2009; Arbeidsrekeningen [Dataset].</w:t>
              </w:r>
              <w:r>
                <w:rPr>
                  <w:noProof/>
                </w:rPr>
                <w:t xml:space="preserve"> Opgeroepen op Juli 26, 2015, van CBS: http://statline.cbs.nl/Statweb/publication/?DM=SLNL&amp;PA=7511nr&amp;D1=35-36&amp;D2=0&amp;D3=a&amp;HDR=T&amp;STB=G1,G2&amp;VW=T</w:t>
              </w:r>
            </w:p>
            <w:p w:rsidR="00D56303" w:rsidRDefault="00D56303" w:rsidP="00D56303">
              <w:pPr>
                <w:pStyle w:val="Bibliography"/>
                <w:ind w:left="720" w:hanging="720"/>
                <w:rPr>
                  <w:noProof/>
                </w:rPr>
              </w:pPr>
              <w:r>
                <w:rPr>
                  <w:noProof/>
                </w:rPr>
                <w:t xml:space="preserve">CBS. (2014, April 4). </w:t>
              </w:r>
              <w:r>
                <w:rPr>
                  <w:i/>
                  <w:iCs/>
                  <w:noProof/>
                </w:rPr>
                <w:t>Beroepsbevolking; vanaf 1800 (12-uursgrens) [Dataset]</w:t>
              </w:r>
              <w:r>
                <w:rPr>
                  <w:noProof/>
                </w:rPr>
                <w:t>. Opgeroepen op Juli 11, 2015, van CBS: http://statline.cbs.nl/Statweb/publication/?DM=SLNL&amp;PA=71882NED&amp;D1=1,17&amp;D2=a&amp;D3=0&amp;D4=160-</w:t>
              </w:r>
            </w:p>
            <w:p w:rsidR="00D56303" w:rsidRDefault="00D56303" w:rsidP="00D56303">
              <w:pPr>
                <w:pStyle w:val="Bibliography"/>
                <w:ind w:left="720" w:hanging="720"/>
                <w:rPr>
                  <w:noProof/>
                </w:rPr>
              </w:pPr>
              <w:r>
                <w:rPr>
                  <w:noProof/>
                </w:rPr>
                <w:t>CBS. (2015</w:t>
              </w:r>
              <w:r w:rsidR="00332FC7">
                <w:rPr>
                  <w:noProof/>
                </w:rPr>
                <w:t>a</w:t>
              </w:r>
              <w:r>
                <w:rPr>
                  <w:noProof/>
                </w:rPr>
                <w:t xml:space="preserve">). </w:t>
              </w:r>
              <w:r>
                <w:rPr>
                  <w:i/>
                  <w:iCs/>
                  <w:noProof/>
                </w:rPr>
                <w:t>''Arbeidsvoorwaarden''.</w:t>
              </w:r>
              <w:r>
                <w:rPr>
                  <w:noProof/>
                </w:rPr>
                <w:t xml:space="preserve"> Opgeroepen op Juni 23, 2015, van CBS: http://www.cbs.nl/nl-NL/menu/methoden/begrippen/default.htm?ConceptID=80</w:t>
              </w:r>
            </w:p>
            <w:p w:rsidR="00D56303" w:rsidRDefault="00D56303" w:rsidP="00D56303">
              <w:pPr>
                <w:pStyle w:val="Bibliography"/>
                <w:ind w:left="720" w:hanging="720"/>
                <w:rPr>
                  <w:noProof/>
                </w:rPr>
              </w:pPr>
              <w:r>
                <w:rPr>
                  <w:noProof/>
                </w:rPr>
                <w:t>CBS. (2015</w:t>
              </w:r>
              <w:r w:rsidR="00332FC7">
                <w:rPr>
                  <w:noProof/>
                </w:rPr>
                <w:t>b</w:t>
              </w:r>
              <w:r>
                <w:rPr>
                  <w:noProof/>
                </w:rPr>
                <w:t xml:space="preserve">, Mei 1). </w:t>
              </w:r>
              <w:r>
                <w:rPr>
                  <w:i/>
                  <w:iCs/>
                  <w:noProof/>
                </w:rPr>
                <w:t>Historie werkstakingen [Dataset].</w:t>
              </w:r>
              <w:r>
                <w:rPr>
                  <w:noProof/>
                </w:rPr>
                <w:t xml:space="preserve"> Opgeroepen op Mei 28, 2015, van CBS: http://statline.cbs.nl/Statweb/publication/?VW=T&amp;DM=SLNL&amp;PA=71097ned&amp;D1=a&amp;D2=a&amp;HD=150523-1948&amp;HDR=T&amp;STB=G1</w:t>
              </w:r>
            </w:p>
            <w:p w:rsidR="000172A6" w:rsidRDefault="00D56303" w:rsidP="000172A6">
              <w:pPr>
                <w:pStyle w:val="Bibliography"/>
                <w:ind w:left="720" w:hanging="720"/>
                <w:rPr>
                  <w:noProof/>
                </w:rPr>
              </w:pPr>
              <w:r>
                <w:rPr>
                  <w:noProof/>
                </w:rPr>
                <w:lastRenderedPageBreak/>
                <w:t>CBS. (2015</w:t>
              </w:r>
              <w:r w:rsidR="00332FC7">
                <w:rPr>
                  <w:noProof/>
                </w:rPr>
                <w:t>c</w:t>
              </w:r>
              <w:r>
                <w:rPr>
                  <w:noProof/>
                </w:rPr>
                <w:t xml:space="preserve">). </w:t>
              </w:r>
              <w:r>
                <w:rPr>
                  <w:i/>
                  <w:iCs/>
                  <w:noProof/>
                </w:rPr>
                <w:t>''Organisatiegraad''.</w:t>
              </w:r>
              <w:r>
                <w:rPr>
                  <w:noProof/>
                </w:rPr>
                <w:t xml:space="preserve"> Opgeroepen op Juni 22, 2015, van CBS: http://www.cbs.nl/nl-NL/menu/methoden/toelichtingen/alfabet/o/organisatiegraad.htm</w:t>
              </w:r>
              <w:r w:rsidR="000172A6" w:rsidRPr="000172A6">
                <w:rPr>
                  <w:noProof/>
                </w:rPr>
                <w:t xml:space="preserve"> </w:t>
              </w:r>
            </w:p>
            <w:p w:rsidR="00D56303" w:rsidRDefault="000172A6" w:rsidP="000172A6">
              <w:pPr>
                <w:pStyle w:val="Bibliography"/>
                <w:ind w:left="720" w:hanging="720"/>
                <w:rPr>
                  <w:noProof/>
                </w:rPr>
              </w:pPr>
              <w:r>
                <w:rPr>
                  <w:noProof/>
                </w:rPr>
                <w:t xml:space="preserve">Centraal Bureau voor de Statistiek [CBS]. (2015, Mei 13). </w:t>
              </w:r>
              <w:r>
                <w:rPr>
                  <w:i/>
                  <w:iCs/>
                  <w:noProof/>
                </w:rPr>
                <w:t>Arbeidsdeelname; kerncijfers (12-uursgrens) [Dataset]</w:t>
              </w:r>
              <w:r>
                <w:rPr>
                  <w:noProof/>
                </w:rPr>
                <w:t>. Opgeroepen op Juni 18, 2015, van CBS: http://statline.cbs.nl/StatWeb/publication/?VW=T&amp;DM=SLNL&amp;PA=71738NED&amp;D1=24-26&amp;D2=1-2&amp;D3=0&amp;D4=0&amp;D5=a&amp;HD=110610-1554&amp;HDR=G3,G2,T,G1&amp;STB=G4</w:t>
              </w:r>
            </w:p>
            <w:p w:rsidR="00D56303" w:rsidRDefault="00D56303" w:rsidP="00D56303">
              <w:pPr>
                <w:pStyle w:val="Bibliography"/>
                <w:ind w:left="720" w:hanging="720"/>
                <w:rPr>
                  <w:noProof/>
                </w:rPr>
              </w:pPr>
              <w:r w:rsidRPr="00D56303">
                <w:rPr>
                  <w:noProof/>
                  <w:lang w:val="en-US"/>
                </w:rPr>
                <w:t xml:space="preserve">Daube, K. (2015, Juni 10). </w:t>
              </w:r>
              <w:r w:rsidRPr="00D56303">
                <w:rPr>
                  <w:i/>
                  <w:iCs/>
                  <w:noProof/>
                  <w:lang w:val="en-US"/>
                </w:rPr>
                <w:t>Unemployment in Switzerland (1990 - present) [Dataset]</w:t>
              </w:r>
              <w:r w:rsidRPr="00D56303">
                <w:rPr>
                  <w:noProof/>
                  <w:lang w:val="en-US"/>
                </w:rPr>
                <w:t xml:space="preserve">. </w:t>
              </w:r>
              <w:r>
                <w:rPr>
                  <w:noProof/>
                </w:rPr>
                <w:t>Opgeroepen op Juli 19, 2015, van Klaus Daube: http://www.daube.ch/opinions/akld12.html</w:t>
              </w:r>
            </w:p>
            <w:p w:rsidR="00D56303" w:rsidRPr="00D56303" w:rsidRDefault="00D56303" w:rsidP="00D56303">
              <w:pPr>
                <w:pStyle w:val="Bibliography"/>
                <w:ind w:left="720" w:hanging="720"/>
                <w:rPr>
                  <w:noProof/>
                  <w:lang w:val="en-US"/>
                </w:rPr>
              </w:pPr>
              <w:r w:rsidRPr="00D56303">
                <w:rPr>
                  <w:noProof/>
                  <w:lang w:val="en-US"/>
                </w:rPr>
                <w:t xml:space="preserve">Davis, H. B. (1941, Augustus). The Theory of Union Growth. </w:t>
              </w:r>
              <w:r w:rsidRPr="00D56303">
                <w:rPr>
                  <w:i/>
                  <w:iCs/>
                  <w:noProof/>
                  <w:lang w:val="en-US"/>
                </w:rPr>
                <w:t>The Quarterly Journal of Economics</w:t>
              </w:r>
              <w:r w:rsidRPr="00D56303">
                <w:rPr>
                  <w:noProof/>
                  <w:lang w:val="en-US"/>
                </w:rPr>
                <w:t>, 611-637.</w:t>
              </w:r>
            </w:p>
            <w:p w:rsidR="00D56303" w:rsidRDefault="00D56303" w:rsidP="00D56303">
              <w:pPr>
                <w:pStyle w:val="Bibliography"/>
                <w:ind w:left="720" w:hanging="720"/>
                <w:rPr>
                  <w:noProof/>
                </w:rPr>
              </w:pPr>
              <w:r>
                <w:rPr>
                  <w:noProof/>
                </w:rPr>
                <w:t xml:space="preserve">de Volkskrant. (2013, Oktober 31). </w:t>
              </w:r>
              <w:r>
                <w:rPr>
                  <w:i/>
                  <w:iCs/>
                  <w:noProof/>
                </w:rPr>
                <w:t>Vakbonden verliezen 52.000 leden</w:t>
              </w:r>
              <w:r>
                <w:rPr>
                  <w:noProof/>
                </w:rPr>
                <w:t>. Opgeroepen op 16 Juni, 2015, van de Volkskrant: http://www.volkskrant.nl/economie/vakbonden-verliezen-52000-leden~a3536498/</w:t>
              </w:r>
            </w:p>
            <w:p w:rsidR="00D56303" w:rsidRDefault="00D56303" w:rsidP="00D56303">
              <w:pPr>
                <w:pStyle w:val="Bibliography"/>
                <w:ind w:left="720" w:hanging="720"/>
                <w:rPr>
                  <w:noProof/>
                </w:rPr>
              </w:pPr>
              <w:r w:rsidRPr="00D56303">
                <w:rPr>
                  <w:noProof/>
                  <w:lang w:val="en-US"/>
                </w:rPr>
                <w:t xml:space="preserve">Ebbinghaus. (2002). Trade unions’ changing role: membership erosion, organisational reform, and social partnership in Europe [electronnic version]. </w:t>
              </w:r>
              <w:r>
                <w:rPr>
                  <w:i/>
                  <w:iCs/>
                  <w:noProof/>
                </w:rPr>
                <w:t xml:space="preserve">Industrial Relations Journal </w:t>
              </w:r>
              <w:r>
                <w:rPr>
                  <w:noProof/>
                </w:rPr>
                <w:t>, 465-483.</w:t>
              </w:r>
            </w:p>
            <w:p w:rsidR="002075AB" w:rsidRDefault="00D56303" w:rsidP="002075AB">
              <w:pPr>
                <w:pStyle w:val="Bibliography"/>
                <w:ind w:left="720" w:hanging="720"/>
                <w:rPr>
                  <w:noProof/>
                </w:rPr>
              </w:pPr>
              <w:r>
                <w:rPr>
                  <w:noProof/>
                </w:rPr>
                <w:t xml:space="preserve">FNV. (2015). </w:t>
              </w:r>
              <w:r>
                <w:rPr>
                  <w:i/>
                  <w:iCs/>
                  <w:noProof/>
                </w:rPr>
                <w:t>FNV</w:t>
              </w:r>
              <w:r>
                <w:rPr>
                  <w:noProof/>
                </w:rPr>
                <w:t>. Opgeroepen op Juni 19, 2015, van Federatie Nederlandse Vakbeweging [FNV]: http://www.fnv.nl/over-fnv/</w:t>
              </w:r>
              <w:r w:rsidR="002075AB" w:rsidRPr="002075AB">
                <w:rPr>
                  <w:noProof/>
                </w:rPr>
                <w:t xml:space="preserve"> </w:t>
              </w:r>
            </w:p>
            <w:p w:rsidR="00D56303" w:rsidRDefault="002075AB" w:rsidP="002075AB">
              <w:pPr>
                <w:pStyle w:val="Bibliography"/>
                <w:ind w:left="720" w:hanging="720"/>
                <w:rPr>
                  <w:noProof/>
                </w:rPr>
              </w:pPr>
              <w:r>
                <w:rPr>
                  <w:noProof/>
                </w:rPr>
                <w:t xml:space="preserve">Heiden, P. van der, (2008, Maart). </w:t>
              </w:r>
              <w:r>
                <w:rPr>
                  <w:i/>
                  <w:iCs/>
                  <w:noProof/>
                </w:rPr>
                <w:t>De vrijere loonvorming die niet vrijer was</w:t>
              </w:r>
              <w:r>
                <w:rPr>
                  <w:noProof/>
                </w:rPr>
                <w:t>. Opgeroepen op Juni 20, 2015, van Sociaal-Economische Raad [SER]: http://www.ser.nl/nl/publicaties/overzicht%20ser%20bulletin/2008/maart_2008/07.aspx</w:t>
              </w:r>
            </w:p>
            <w:p w:rsidR="00D56303" w:rsidRDefault="00D56303" w:rsidP="00D56303">
              <w:pPr>
                <w:pStyle w:val="Bibliography"/>
                <w:ind w:left="720" w:hanging="720"/>
                <w:rPr>
                  <w:noProof/>
                </w:rPr>
              </w:pPr>
              <w:r w:rsidRPr="00D56303">
                <w:rPr>
                  <w:noProof/>
                  <w:lang w:val="en-US"/>
                </w:rPr>
                <w:t xml:space="preserve">Hurlin, C. (2010, Januari). </w:t>
              </w:r>
              <w:r w:rsidRPr="00D56303">
                <w:rPr>
                  <w:i/>
                  <w:iCs/>
                  <w:noProof/>
                  <w:lang w:val="en-US"/>
                </w:rPr>
                <w:t>Panel Data Econometrics.</w:t>
              </w:r>
              <w:r w:rsidRPr="00D56303">
                <w:rPr>
                  <w:noProof/>
                  <w:lang w:val="en-US"/>
                </w:rPr>
                <w:t xml:space="preserve"> </w:t>
              </w:r>
              <w:r>
                <w:rPr>
                  <w:noProof/>
                </w:rPr>
                <w:t>Opgeroepen op Juli 22, 2015, van Université d'Orléans: http://www.univ-orleans.fr/deg/masters/ESA/CH/Geneve_Chapitre0.pdf</w:t>
              </w:r>
            </w:p>
            <w:p w:rsidR="00D56303" w:rsidRDefault="00D56303" w:rsidP="00D56303">
              <w:pPr>
                <w:pStyle w:val="Bibliography"/>
                <w:ind w:left="720" w:hanging="720"/>
                <w:rPr>
                  <w:noProof/>
                </w:rPr>
              </w:pPr>
              <w:r>
                <w:rPr>
                  <w:noProof/>
                </w:rPr>
                <w:t xml:space="preserve">Langelaar, J. (2012, September 17). </w:t>
              </w:r>
              <w:r>
                <w:rPr>
                  <w:i/>
                  <w:iCs/>
                  <w:noProof/>
                </w:rPr>
                <w:t>CBS: Ledental vakbonden op historisch dieptepunt</w:t>
              </w:r>
              <w:r>
                <w:rPr>
                  <w:noProof/>
                </w:rPr>
                <w:t>. Opgeroepen op Juni 14, 2015, van Elsevier: http://www.elsevier.nl/Economie/nieuws/2012/9/CBS-Ledental-vakbonden-op-historisch-dieptepunt-ELSEVIER349624W/</w:t>
              </w:r>
            </w:p>
            <w:p w:rsidR="00D56303" w:rsidRDefault="00D56303" w:rsidP="00D56303">
              <w:pPr>
                <w:pStyle w:val="Bibliography"/>
                <w:ind w:left="720" w:hanging="720"/>
                <w:rPr>
                  <w:noProof/>
                </w:rPr>
              </w:pPr>
              <w:r>
                <w:rPr>
                  <w:noProof/>
                </w:rPr>
                <w:t xml:space="preserve">Lommen, J. (2014, Mei 16). </w:t>
              </w:r>
              <w:r>
                <w:rPr>
                  <w:i/>
                  <w:iCs/>
                  <w:noProof/>
                </w:rPr>
                <w:t>De veranderende rol van de sociale partners [Column]</w:t>
              </w:r>
              <w:r>
                <w:rPr>
                  <w:noProof/>
                </w:rPr>
                <w:t>. Opgeroepen op Juni 19, 2015, van Robeco: http://www.robeco.com/nl/professionals/visie-en-themas/columns/2014/de-veranderende-rol-van-de-sociale-partners.jsp</w:t>
              </w:r>
            </w:p>
            <w:p w:rsidR="00D56303" w:rsidRPr="00D56303" w:rsidRDefault="00D56303" w:rsidP="00D56303">
              <w:pPr>
                <w:pStyle w:val="Bibliography"/>
                <w:ind w:left="720" w:hanging="720"/>
                <w:rPr>
                  <w:noProof/>
                  <w:lang w:val="en-US"/>
                </w:rPr>
              </w:pPr>
              <w:r w:rsidRPr="00D56303">
                <w:rPr>
                  <w:noProof/>
                  <w:lang w:val="en-US"/>
                </w:rPr>
                <w:t xml:space="preserve">Luiten van Zanden, J. (2000). Post-war european economic development as an out of equilibrium growth path. The case of the Netherlands. </w:t>
              </w:r>
              <w:r w:rsidRPr="00D56303">
                <w:rPr>
                  <w:i/>
                  <w:iCs/>
                  <w:noProof/>
                  <w:lang w:val="en-US"/>
                </w:rPr>
                <w:t>De Economist</w:t>
              </w:r>
              <w:r w:rsidRPr="00D56303">
                <w:rPr>
                  <w:noProof/>
                  <w:lang w:val="en-US"/>
                </w:rPr>
                <w:t>, 540-553.</w:t>
              </w:r>
            </w:p>
            <w:p w:rsidR="00D56303" w:rsidRPr="00D56303" w:rsidRDefault="00D56303" w:rsidP="00D56303">
              <w:pPr>
                <w:pStyle w:val="Bibliography"/>
                <w:ind w:left="720" w:hanging="720"/>
                <w:rPr>
                  <w:noProof/>
                  <w:lang w:val="en-US"/>
                </w:rPr>
              </w:pPr>
              <w:r w:rsidRPr="00D56303">
                <w:rPr>
                  <w:noProof/>
                  <w:lang w:val="en-US"/>
                </w:rPr>
                <w:t xml:space="preserve">Moore, D. S., McCabe, G. P., Alwan, L. C., Craig, B. A., &amp; Duckworth, W. M. (2011). </w:t>
              </w:r>
              <w:r w:rsidRPr="00D56303">
                <w:rPr>
                  <w:i/>
                  <w:iCs/>
                  <w:noProof/>
                  <w:lang w:val="en-US"/>
                </w:rPr>
                <w:t>The Practise of Statistics for Business and Economics.</w:t>
              </w:r>
              <w:r w:rsidRPr="00D56303">
                <w:rPr>
                  <w:noProof/>
                  <w:lang w:val="en-US"/>
                </w:rPr>
                <w:t xml:space="preserve"> New York: W.H. Freeman and Company.</w:t>
              </w:r>
            </w:p>
            <w:p w:rsidR="00D56303" w:rsidRDefault="00D56303" w:rsidP="00D56303">
              <w:pPr>
                <w:pStyle w:val="Bibliography"/>
                <w:ind w:left="720" w:hanging="720"/>
                <w:rPr>
                  <w:noProof/>
                </w:rPr>
              </w:pPr>
              <w:r>
                <w:rPr>
                  <w:noProof/>
                </w:rPr>
                <w:t xml:space="preserve">Nu.nl. (2013, Oktober 31). </w:t>
              </w:r>
              <w:r>
                <w:rPr>
                  <w:i/>
                  <w:iCs/>
                  <w:noProof/>
                </w:rPr>
                <w:t>Jongeren keren vakbonden de rug toe</w:t>
              </w:r>
              <w:r>
                <w:rPr>
                  <w:noProof/>
                </w:rPr>
                <w:t>. Opgeroepen op Juni 14, 2015, van NU.nl: http://www.nu.nl/economie/3616143/jongeren-keren-vakbond-rug-toe.html</w:t>
              </w:r>
            </w:p>
            <w:p w:rsidR="00D56303" w:rsidRDefault="00D56303" w:rsidP="00D56303">
              <w:pPr>
                <w:pStyle w:val="Bibliography"/>
                <w:ind w:left="720" w:hanging="720"/>
                <w:rPr>
                  <w:noProof/>
                </w:rPr>
              </w:pPr>
              <w:r w:rsidRPr="00D56303">
                <w:rPr>
                  <w:noProof/>
                  <w:lang w:val="en-US"/>
                </w:rPr>
                <w:t xml:space="preserve">OECD. (2015). </w:t>
              </w:r>
              <w:r w:rsidRPr="00D56303">
                <w:rPr>
                  <w:i/>
                  <w:iCs/>
                  <w:noProof/>
                  <w:lang w:val="en-US"/>
                </w:rPr>
                <w:t>Employee compensation by activity [Dataset]</w:t>
              </w:r>
              <w:r w:rsidRPr="00D56303">
                <w:rPr>
                  <w:noProof/>
                  <w:lang w:val="en-US"/>
                </w:rPr>
                <w:t xml:space="preserve">. </w:t>
              </w:r>
              <w:r>
                <w:rPr>
                  <w:noProof/>
                </w:rPr>
                <w:t>Opgeroepen op Juli 12, 2015, van OECD: https://data.oecd.org/earnwage/employee-compensation-by-activity.htm#indicator-chart</w:t>
              </w:r>
            </w:p>
            <w:p w:rsidR="000172A6" w:rsidRPr="000172A6" w:rsidRDefault="00D56303" w:rsidP="000172A6">
              <w:pPr>
                <w:pStyle w:val="Bibliography"/>
                <w:ind w:left="720" w:hanging="720"/>
                <w:rPr>
                  <w:noProof/>
                </w:rPr>
              </w:pPr>
              <w:r w:rsidRPr="00D56303">
                <w:rPr>
                  <w:noProof/>
                  <w:lang w:val="en-US"/>
                </w:rPr>
                <w:lastRenderedPageBreak/>
                <w:t xml:space="preserve">OECD. (2015). </w:t>
              </w:r>
              <w:r w:rsidRPr="00D56303">
                <w:rPr>
                  <w:i/>
                  <w:iCs/>
                  <w:noProof/>
                  <w:lang w:val="en-US"/>
                </w:rPr>
                <w:t>Inflation (CPI): total, Annual growth rate (%) [Dataset]</w:t>
              </w:r>
              <w:r w:rsidRPr="00D56303">
                <w:rPr>
                  <w:noProof/>
                  <w:lang w:val="en-US"/>
                </w:rPr>
                <w:t xml:space="preserve">. </w:t>
              </w:r>
              <w:r>
                <w:rPr>
                  <w:noProof/>
                </w:rPr>
                <w:t>Opgeroepen op Juli 12, 2015, van OECD: https://data.oecd.org/price/inflation-cpi.htm#indicator-chart</w:t>
              </w:r>
              <w:r w:rsidR="000172A6" w:rsidRPr="000172A6">
                <w:rPr>
                  <w:noProof/>
                </w:rPr>
                <w:t xml:space="preserve"> </w:t>
              </w:r>
            </w:p>
            <w:p w:rsidR="00D56303" w:rsidRPr="000172A6" w:rsidRDefault="000172A6" w:rsidP="000172A6">
              <w:pPr>
                <w:pStyle w:val="Bibliography"/>
                <w:ind w:left="720" w:hanging="720"/>
                <w:rPr>
                  <w:noProof/>
                  <w:lang w:val="en-US"/>
                </w:rPr>
              </w:pPr>
              <w:r>
                <w:rPr>
                  <w:noProof/>
                  <w:lang w:val="en-US"/>
                </w:rPr>
                <w:t>Organisation for Economic Cooperation and Development [</w:t>
              </w:r>
              <w:r w:rsidRPr="00D56303">
                <w:rPr>
                  <w:noProof/>
                  <w:lang w:val="en-US"/>
                </w:rPr>
                <w:t>OECD</w:t>
              </w:r>
              <w:r>
                <w:rPr>
                  <w:noProof/>
                  <w:lang w:val="en-US"/>
                </w:rPr>
                <w:t>]</w:t>
              </w:r>
              <w:r w:rsidRPr="00D56303">
                <w:rPr>
                  <w:noProof/>
                  <w:lang w:val="en-US"/>
                </w:rPr>
                <w:t xml:space="preserve">. (2015). </w:t>
              </w:r>
              <w:r w:rsidRPr="00D56303">
                <w:rPr>
                  <w:i/>
                  <w:iCs/>
                  <w:noProof/>
                  <w:lang w:val="en-US"/>
                </w:rPr>
                <w:t>''Employee compensation by activity''</w:t>
              </w:r>
              <w:r w:rsidRPr="00D56303">
                <w:rPr>
                  <w:noProof/>
                  <w:lang w:val="en-US"/>
                </w:rPr>
                <w:t>. Opgeroepen op Juli 15, 2015, van Organisation for Economic Coöperation and Development [OECD]: https://data.oecd.org/earnwage/employee-compensation-</w:t>
              </w:r>
              <w:r>
                <w:rPr>
                  <w:noProof/>
                  <w:lang w:val="en-US"/>
                </w:rPr>
                <w:t>by-activity.htm#indicator-chart</w:t>
              </w:r>
            </w:p>
            <w:p w:rsidR="00D56303" w:rsidRDefault="00D56303" w:rsidP="00D56303">
              <w:pPr>
                <w:pStyle w:val="Bibliography"/>
                <w:ind w:left="720" w:hanging="720"/>
                <w:rPr>
                  <w:noProof/>
                </w:rPr>
              </w:pPr>
              <w:r>
                <w:rPr>
                  <w:noProof/>
                </w:rPr>
                <w:t>Parlement &amp; Politiek. (2015</w:t>
              </w:r>
              <w:r w:rsidR="004B1334">
                <w:rPr>
                  <w:noProof/>
                </w:rPr>
                <w:t>a</w:t>
              </w:r>
              <w:r>
                <w:rPr>
                  <w:noProof/>
                </w:rPr>
                <w:t xml:space="preserve">). </w:t>
              </w:r>
              <w:r>
                <w:rPr>
                  <w:i/>
                  <w:iCs/>
                  <w:noProof/>
                </w:rPr>
                <w:t>Akkoord van Wassenaar (1982).</w:t>
              </w:r>
              <w:r>
                <w:rPr>
                  <w:noProof/>
                </w:rPr>
                <w:t xml:space="preserve"> Opgeroepen op Juni 23, 2015, van Parlement &amp; Politiek: http://www.parlement.com/id/vh8lnhrqszxy/akkoord_van_wassenaar_1982</w:t>
              </w:r>
            </w:p>
            <w:p w:rsidR="00D56303" w:rsidRDefault="00D56303" w:rsidP="00D56303">
              <w:pPr>
                <w:pStyle w:val="Bibliography"/>
                <w:ind w:left="720" w:hanging="720"/>
                <w:rPr>
                  <w:noProof/>
                </w:rPr>
              </w:pPr>
              <w:r>
                <w:rPr>
                  <w:noProof/>
                </w:rPr>
                <w:t>Parlement &amp; Politiek. (2015</w:t>
              </w:r>
              <w:r w:rsidR="004B1334">
                <w:rPr>
                  <w:noProof/>
                </w:rPr>
                <w:t>b</w:t>
              </w:r>
              <w:r>
                <w:rPr>
                  <w:noProof/>
                </w:rPr>
                <w:t xml:space="preserve">). </w:t>
              </w:r>
              <w:r>
                <w:rPr>
                  <w:i/>
                  <w:iCs/>
                  <w:noProof/>
                </w:rPr>
                <w:t>Kabinet-De Quay (1959-1963)</w:t>
              </w:r>
              <w:r>
                <w:rPr>
                  <w:noProof/>
                </w:rPr>
                <w:t>. Opgeroepen op Juni 20, 2015, van Parlement &amp; Politiek: http://www.parlement.com/id/vh8lnhronvwe/kabinet_de_quay_1959_1963</w:t>
              </w:r>
            </w:p>
            <w:p w:rsidR="00D56303" w:rsidRDefault="00D56303" w:rsidP="00D56303">
              <w:pPr>
                <w:pStyle w:val="Bibliography"/>
                <w:ind w:left="720" w:hanging="720"/>
                <w:rPr>
                  <w:noProof/>
                </w:rPr>
              </w:pPr>
              <w:r>
                <w:rPr>
                  <w:noProof/>
                </w:rPr>
                <w:t>Parlement &amp; Politiek. (2015</w:t>
              </w:r>
              <w:r w:rsidR="004B1334">
                <w:rPr>
                  <w:noProof/>
                </w:rPr>
                <w:t>c</w:t>
              </w:r>
              <w:r>
                <w:rPr>
                  <w:noProof/>
                </w:rPr>
                <w:t xml:space="preserve">). </w:t>
              </w:r>
              <w:r>
                <w:rPr>
                  <w:i/>
                  <w:iCs/>
                  <w:noProof/>
                </w:rPr>
                <w:t>Kabinet-Lubbers I (1982-1986).</w:t>
              </w:r>
              <w:r>
                <w:rPr>
                  <w:noProof/>
                </w:rPr>
                <w:t xml:space="preserve"> Opgeroepen op Juni 23, 2015, van Parlement &amp; Politiek: http://www.parlement.com/id/vh8lnhronvw5/kabinet_lubbers_i_1982_1986</w:t>
              </w:r>
            </w:p>
            <w:p w:rsidR="00D56303" w:rsidRDefault="00D56303" w:rsidP="00D56303">
              <w:pPr>
                <w:pStyle w:val="Bibliography"/>
                <w:ind w:left="720" w:hanging="720"/>
                <w:rPr>
                  <w:noProof/>
                </w:rPr>
              </w:pPr>
              <w:r>
                <w:rPr>
                  <w:noProof/>
                </w:rPr>
                <w:t>Parlement &amp; Politiek. (2015</w:t>
              </w:r>
              <w:r w:rsidR="004B1334">
                <w:rPr>
                  <w:noProof/>
                </w:rPr>
                <w:t>d</w:t>
              </w:r>
              <w:r>
                <w:rPr>
                  <w:noProof/>
                </w:rPr>
                <w:t xml:space="preserve">). </w:t>
              </w:r>
              <w:r>
                <w:rPr>
                  <w:i/>
                  <w:iCs/>
                  <w:noProof/>
                </w:rPr>
                <w:t>Parlementaire enquête RSV (Rijn-Schelde-Verolme)</w:t>
              </w:r>
              <w:r>
                <w:rPr>
                  <w:noProof/>
                </w:rPr>
                <w:t>. Opgeroepen op Juli 15, 2015, van Parlement &amp; Politiek: http://www.parlement.com/id/vh8lnhrpmxw7/parlementaire_enquete_rsv_rijn_schelde</w:t>
              </w:r>
            </w:p>
            <w:p w:rsidR="00D56303" w:rsidRDefault="00D56303" w:rsidP="00D56303">
              <w:pPr>
                <w:pStyle w:val="Bibliography"/>
                <w:ind w:left="720" w:hanging="720"/>
                <w:rPr>
                  <w:noProof/>
                </w:rPr>
              </w:pPr>
              <w:r>
                <w:rPr>
                  <w:noProof/>
                </w:rPr>
                <w:t>Rijksoverheid. (2015</w:t>
              </w:r>
              <w:r w:rsidR="004B1334">
                <w:rPr>
                  <w:noProof/>
                </w:rPr>
                <w:t>a</w:t>
              </w:r>
              <w:r>
                <w:rPr>
                  <w:noProof/>
                </w:rPr>
                <w:t xml:space="preserve">). </w:t>
              </w:r>
              <w:r>
                <w:rPr>
                  <w:i/>
                  <w:iCs/>
                  <w:noProof/>
                </w:rPr>
                <w:t>''Arbeidsvoorwaarden''.</w:t>
              </w:r>
              <w:r>
                <w:rPr>
                  <w:noProof/>
                </w:rPr>
                <w:t xml:space="preserve"> Opgeroepen op Juni 23, 2015, van Rijksoverheid: http://www.rijksoverheid.nl/onderwerpen/arbeidsovereenkomst-en-cao/vraag-en-antwoord/wat-zijn-arbeidsvoorwaarden.html</w:t>
              </w:r>
            </w:p>
            <w:p w:rsidR="00D56303" w:rsidRDefault="00D56303" w:rsidP="00D56303">
              <w:pPr>
                <w:pStyle w:val="Bibliography"/>
                <w:ind w:left="720" w:hanging="720"/>
                <w:rPr>
                  <w:noProof/>
                </w:rPr>
              </w:pPr>
              <w:r>
                <w:rPr>
                  <w:noProof/>
                </w:rPr>
                <w:t>Rijksoverheid. (2015</w:t>
              </w:r>
              <w:r w:rsidR="004B1334">
                <w:rPr>
                  <w:noProof/>
                </w:rPr>
                <w:t>b</w:t>
              </w:r>
              <w:r>
                <w:rPr>
                  <w:noProof/>
                </w:rPr>
                <w:t xml:space="preserve">). </w:t>
              </w:r>
              <w:r>
                <w:rPr>
                  <w:i/>
                  <w:iCs/>
                  <w:noProof/>
                </w:rPr>
                <w:t>''Cao''.</w:t>
              </w:r>
              <w:r>
                <w:rPr>
                  <w:noProof/>
                </w:rPr>
                <w:t xml:space="preserve"> Opgeroepen op Juni 23, 2015, van Rijksoverheid: http://www.rijksoverheid.nl/onderwerpen/arbeidsovereenkomst-en-cao/vraag-en-antwoord/wat-is-een-cao.html</w:t>
              </w:r>
            </w:p>
            <w:p w:rsidR="00D56303" w:rsidRDefault="00D56303" w:rsidP="00D56303">
              <w:pPr>
                <w:pStyle w:val="Bibliography"/>
                <w:ind w:left="720" w:hanging="720"/>
                <w:rPr>
                  <w:noProof/>
                </w:rPr>
              </w:pPr>
              <w:r>
                <w:rPr>
                  <w:noProof/>
                </w:rPr>
                <w:t xml:space="preserve">Schippers, J. (2002, November). </w:t>
              </w:r>
              <w:r>
                <w:rPr>
                  <w:i/>
                  <w:iCs/>
                  <w:noProof/>
                </w:rPr>
                <w:t>Betaald werk voor vrouwen: van uitzondering naar regel</w:t>
              </w:r>
              <w:r>
                <w:rPr>
                  <w:noProof/>
                </w:rPr>
                <w:t>. Opgeroepen op Juni 17, 2015, van Stichting Emancipatie Online: http://www.emancipatie.nl/home/Emancipatie_algemeen/Intro_Emancipatie/Vrouw_en_werk/</w:t>
              </w:r>
            </w:p>
            <w:p w:rsidR="002075AB" w:rsidRDefault="00D56303" w:rsidP="002075AB">
              <w:pPr>
                <w:pStyle w:val="Bibliography"/>
                <w:ind w:left="720" w:hanging="720"/>
                <w:rPr>
                  <w:noProof/>
                </w:rPr>
              </w:pPr>
              <w:r w:rsidRPr="00D56303">
                <w:rPr>
                  <w:noProof/>
                  <w:lang w:val="en-US"/>
                </w:rPr>
                <w:t xml:space="preserve">Schnabel, C. (2002, Oktober). </w:t>
              </w:r>
              <w:r w:rsidRPr="00D56303">
                <w:rPr>
                  <w:i/>
                  <w:iCs/>
                  <w:noProof/>
                  <w:lang w:val="en-US"/>
                </w:rPr>
                <w:t>Determinants of Trade Union Membership.</w:t>
              </w:r>
              <w:r w:rsidRPr="00D56303">
                <w:rPr>
                  <w:noProof/>
                  <w:lang w:val="en-US"/>
                </w:rPr>
                <w:t xml:space="preserve"> </w:t>
              </w:r>
              <w:r>
                <w:rPr>
                  <w:noProof/>
                </w:rPr>
                <w:t>Opgeroepen op Juni 17, 2015, van Lehrstuhl für Arbeitsmarkt- und Regionalpolitik: http://www.arbeitsmarkt.wiso.uni-erlangen.de/pdf/diskussionspapiere/1270291106_dp15.pdf</w:t>
              </w:r>
            </w:p>
            <w:p w:rsidR="00D56303" w:rsidRDefault="002075AB" w:rsidP="002075AB">
              <w:pPr>
                <w:pStyle w:val="Bibliography"/>
                <w:ind w:left="720" w:hanging="720"/>
                <w:rPr>
                  <w:noProof/>
                </w:rPr>
              </w:pPr>
              <w:r w:rsidRPr="004B1334">
                <w:rPr>
                  <w:noProof/>
                  <w:lang w:val="en-US"/>
                </w:rPr>
                <w:t xml:space="preserve">Sinderen, J. van. </w:t>
              </w:r>
              <w:r w:rsidRPr="00D56303">
                <w:rPr>
                  <w:noProof/>
                  <w:lang w:val="en-US"/>
                </w:rPr>
                <w:t xml:space="preserve">(2000). </w:t>
              </w:r>
              <w:r w:rsidRPr="00D56303">
                <w:rPr>
                  <w:i/>
                  <w:iCs/>
                  <w:noProof/>
                  <w:lang w:val="en-US"/>
                </w:rPr>
                <w:t>The polder model's main features and its possible role model function.</w:t>
              </w:r>
              <w:r w:rsidRPr="00D56303">
                <w:rPr>
                  <w:noProof/>
                  <w:lang w:val="en-US"/>
                </w:rPr>
                <w:t xml:space="preserve"> </w:t>
              </w:r>
              <w:r>
                <w:rPr>
                  <w:noProof/>
                </w:rPr>
                <w:t>Amsterdam: Nederlands Instituut voor het Bank- en Effectenbedrijf.</w:t>
              </w:r>
            </w:p>
            <w:p w:rsidR="00D56303" w:rsidRDefault="00D56303" w:rsidP="00D56303">
              <w:pPr>
                <w:pStyle w:val="Bibliography"/>
                <w:ind w:left="720" w:hanging="720"/>
                <w:rPr>
                  <w:noProof/>
                </w:rPr>
              </w:pPr>
              <w:r w:rsidRPr="002075AB">
                <w:rPr>
                  <w:noProof/>
                </w:rPr>
                <w:t xml:space="preserve">Statistics Japan. </w:t>
              </w:r>
              <w:r w:rsidRPr="004B1334">
                <w:rPr>
                  <w:noProof/>
                </w:rPr>
                <w:t xml:space="preserve">(2015, Juli 22). </w:t>
              </w:r>
              <w:r w:rsidRPr="004B1334">
                <w:rPr>
                  <w:i/>
                  <w:iCs/>
                  <w:noProof/>
                </w:rPr>
                <w:t>Historical data [Dataset]</w:t>
              </w:r>
              <w:r w:rsidRPr="004B1334">
                <w:rPr>
                  <w:noProof/>
                </w:rPr>
                <w:t xml:space="preserve">. </w:t>
              </w:r>
              <w:r>
                <w:rPr>
                  <w:noProof/>
                </w:rPr>
                <w:t>Opgeroepen op Juli 11, 2015, van Statistics Japan: http://www.stat.go.jp/english/data/roudou/lngindex.htm</w:t>
              </w:r>
            </w:p>
            <w:p w:rsidR="00D56303" w:rsidRDefault="00D56303" w:rsidP="00D56303">
              <w:pPr>
                <w:pStyle w:val="Bibliography"/>
                <w:ind w:left="720" w:hanging="720"/>
                <w:rPr>
                  <w:noProof/>
                </w:rPr>
              </w:pPr>
              <w:r w:rsidRPr="00D56303">
                <w:rPr>
                  <w:noProof/>
                  <w:lang w:val="en-US"/>
                </w:rPr>
                <w:lastRenderedPageBreak/>
                <w:t xml:space="preserve">Statistisches Bundesamt. (2015). </w:t>
              </w:r>
              <w:r w:rsidRPr="00D56303">
                <w:rPr>
                  <w:i/>
                  <w:iCs/>
                  <w:noProof/>
                  <w:lang w:val="en-US"/>
                </w:rPr>
                <w:t>Registered Unemployed, Unemployment rate by area [Dataset]</w:t>
              </w:r>
              <w:r w:rsidRPr="00D56303">
                <w:rPr>
                  <w:noProof/>
                  <w:lang w:val="en-US"/>
                </w:rPr>
                <w:t xml:space="preserve">. </w:t>
              </w:r>
              <w:r>
                <w:rPr>
                  <w:noProof/>
                </w:rPr>
                <w:t>Opgeroepen op Juli 12, 2015, van Statistisches Bundesamt: https://www.destatis.de/EN/FactsFigures/Indicators/LongTermSeries/LabourMarket/lrarb003.html?cms_gtp=150326_list%253D1&amp;https=1</w:t>
              </w:r>
            </w:p>
            <w:p w:rsidR="00D56303" w:rsidRPr="00D56303" w:rsidRDefault="00D56303" w:rsidP="00D56303">
              <w:pPr>
                <w:pStyle w:val="Bibliography"/>
                <w:ind w:left="720" w:hanging="720"/>
                <w:rPr>
                  <w:noProof/>
                  <w:lang w:val="en-US"/>
                </w:rPr>
              </w:pPr>
              <w:r>
                <w:rPr>
                  <w:noProof/>
                </w:rPr>
                <w:t xml:space="preserve">Stellinga, B. (2012). </w:t>
              </w:r>
              <w:r>
                <w:rPr>
                  <w:i/>
                  <w:iCs/>
                  <w:noProof/>
                </w:rPr>
                <w:t>Dertig jaar privatisering, verzelfstandiging en marktwerking.</w:t>
              </w:r>
              <w:r>
                <w:rPr>
                  <w:noProof/>
                </w:rPr>
                <w:t xml:space="preserve"> </w:t>
              </w:r>
              <w:r w:rsidRPr="00D56303">
                <w:rPr>
                  <w:noProof/>
                  <w:lang w:val="en-US"/>
                </w:rPr>
                <w:t>Amsterdam: Amsterdam University Press.</w:t>
              </w:r>
            </w:p>
            <w:p w:rsidR="00D56303" w:rsidRDefault="00D56303" w:rsidP="00D56303">
              <w:pPr>
                <w:pStyle w:val="Bibliography"/>
                <w:ind w:left="720" w:hanging="720"/>
                <w:rPr>
                  <w:noProof/>
                </w:rPr>
              </w:pPr>
              <w:r w:rsidRPr="00D56303">
                <w:rPr>
                  <w:noProof/>
                  <w:lang w:val="en-US"/>
                </w:rPr>
                <w:t xml:space="preserve">Stepina, L. P., &amp; Fiorito, J. (1986). Toward a Comprehensive Theory of Union Growth and Decline. </w:t>
              </w:r>
              <w:r>
                <w:rPr>
                  <w:i/>
                  <w:iCs/>
                  <w:noProof/>
                </w:rPr>
                <w:t>Industrial Relations</w:t>
              </w:r>
              <w:r>
                <w:rPr>
                  <w:noProof/>
                </w:rPr>
                <w:t>, 248-263.</w:t>
              </w:r>
            </w:p>
            <w:p w:rsidR="00D56303" w:rsidRDefault="00D56303" w:rsidP="00D56303">
              <w:pPr>
                <w:pStyle w:val="Bibliography"/>
                <w:ind w:left="720" w:hanging="720"/>
                <w:rPr>
                  <w:noProof/>
                </w:rPr>
              </w:pPr>
              <w:r>
                <w:rPr>
                  <w:noProof/>
                </w:rPr>
                <w:t xml:space="preserve">Stichting van de Arbeid. (z.d.). </w:t>
              </w:r>
              <w:r>
                <w:rPr>
                  <w:i/>
                  <w:iCs/>
                  <w:noProof/>
                </w:rPr>
                <w:t>Stichting van de Arbeid</w:t>
              </w:r>
              <w:r>
                <w:rPr>
                  <w:noProof/>
                </w:rPr>
                <w:t>. Opgeroepen op Juni 20, 2015, van Stichting van de Arbeid: http://www.stvda.nl/nl/stichting/geschiedenis.aspx</w:t>
              </w:r>
            </w:p>
            <w:p w:rsidR="00D56303" w:rsidRDefault="00D56303" w:rsidP="00D56303">
              <w:pPr>
                <w:pStyle w:val="Bibliography"/>
                <w:ind w:left="720" w:hanging="720"/>
                <w:rPr>
                  <w:noProof/>
                </w:rPr>
              </w:pPr>
              <w:r w:rsidRPr="00D56303">
                <w:rPr>
                  <w:noProof/>
                  <w:lang w:val="en-US"/>
                </w:rPr>
                <w:t xml:space="preserve">The World Bank. (2015, April 4). </w:t>
              </w:r>
              <w:r w:rsidRPr="00D56303">
                <w:rPr>
                  <w:i/>
                  <w:iCs/>
                  <w:noProof/>
                  <w:lang w:val="en-US"/>
                </w:rPr>
                <w:t>World Development Indicators [Dataset].</w:t>
              </w:r>
              <w:r w:rsidRPr="00D56303">
                <w:rPr>
                  <w:noProof/>
                  <w:lang w:val="en-US"/>
                </w:rPr>
                <w:t xml:space="preserve"> </w:t>
              </w:r>
              <w:r>
                <w:rPr>
                  <w:noProof/>
                </w:rPr>
                <w:t>Opgeroepen op Juni 10, 2015, van The World Bank: http://databank.worldbank.org/data/views/variableselection/selectvariables.aspx?source=world-development-indicators</w:t>
              </w:r>
            </w:p>
            <w:p w:rsidR="00D56303" w:rsidRDefault="00D56303" w:rsidP="00D56303">
              <w:pPr>
                <w:pStyle w:val="Bibliography"/>
                <w:ind w:left="720" w:hanging="720"/>
                <w:rPr>
                  <w:noProof/>
                </w:rPr>
              </w:pPr>
              <w:r w:rsidRPr="00D56303">
                <w:rPr>
                  <w:noProof/>
                  <w:lang w:val="en-US"/>
                </w:rPr>
                <w:t xml:space="preserve">Torres-Reyna, O. (2007, December). </w:t>
              </w:r>
              <w:r w:rsidRPr="00D56303">
                <w:rPr>
                  <w:i/>
                  <w:iCs/>
                  <w:noProof/>
                  <w:lang w:val="en-US"/>
                </w:rPr>
                <w:t>Panel Data Analysis Fixed and Random Effects using Stata.</w:t>
              </w:r>
              <w:r w:rsidRPr="00D56303">
                <w:rPr>
                  <w:noProof/>
                  <w:lang w:val="en-US"/>
                </w:rPr>
                <w:t xml:space="preserve"> </w:t>
              </w:r>
              <w:r>
                <w:rPr>
                  <w:noProof/>
                </w:rPr>
                <w:t>Opgeroepen op Juli 25, 2015, van Princeton University: http://dss.princeton.edu/training/Panel101.pdf</w:t>
              </w:r>
            </w:p>
            <w:p w:rsidR="00D56303" w:rsidRDefault="00D56303" w:rsidP="00D56303">
              <w:pPr>
                <w:pStyle w:val="Bibliography"/>
                <w:ind w:left="720" w:hanging="720"/>
                <w:rPr>
                  <w:noProof/>
                </w:rPr>
              </w:pPr>
              <w:r>
                <w:rPr>
                  <w:noProof/>
                </w:rPr>
                <w:t xml:space="preserve">Van Dale. (2014). </w:t>
              </w:r>
              <w:r>
                <w:rPr>
                  <w:i/>
                  <w:iCs/>
                  <w:noProof/>
                </w:rPr>
                <w:t>''Vakbond''.</w:t>
              </w:r>
              <w:r>
                <w:rPr>
                  <w:noProof/>
                </w:rPr>
                <w:t xml:space="preserve"> Opgeroepen op Juli 25, 2015, van Van Dale: http://www.vandale.nl/opzoeken?pattern=vakbond&amp;lang=nn#.VbPQfbPtmko</w:t>
              </w:r>
            </w:p>
            <w:p w:rsidR="00D56303" w:rsidRDefault="00D56303" w:rsidP="00D56303">
              <w:pPr>
                <w:pStyle w:val="Bibliography"/>
                <w:ind w:left="720" w:hanging="720"/>
                <w:rPr>
                  <w:noProof/>
                </w:rPr>
              </w:pPr>
              <w:r w:rsidRPr="004B1334">
                <w:rPr>
                  <w:noProof/>
                  <w:lang w:val="en-US"/>
                </w:rPr>
                <w:t xml:space="preserve">Visser, J. (2013, April). </w:t>
              </w:r>
              <w:r w:rsidRPr="00D56303">
                <w:rPr>
                  <w:i/>
                  <w:iCs/>
                  <w:noProof/>
                  <w:lang w:val="en-US"/>
                </w:rPr>
                <w:t>Data Base on Institutional Characteristics of Trade Unions, Wage Setting, State Intervention and Social Pacts, 1960-2011 (ICTWSS).</w:t>
              </w:r>
              <w:r w:rsidRPr="00D56303">
                <w:rPr>
                  <w:noProof/>
                  <w:lang w:val="en-US"/>
                </w:rPr>
                <w:t xml:space="preserve"> </w:t>
              </w:r>
              <w:r>
                <w:rPr>
                  <w:noProof/>
                </w:rPr>
                <w:t>Opgeroepen op Juni 4, 2015, van UvA: http://www.uva-aias.net/uploaded_files/regular/ICTWSScodebook40.pdf</w:t>
              </w:r>
            </w:p>
            <w:p w:rsidR="00D56303" w:rsidRDefault="00D56303" w:rsidP="00D56303">
              <w:pPr>
                <w:pStyle w:val="Bibliography"/>
                <w:ind w:left="720" w:hanging="720"/>
                <w:rPr>
                  <w:noProof/>
                </w:rPr>
              </w:pPr>
              <w:r w:rsidRPr="00D56303">
                <w:rPr>
                  <w:noProof/>
                  <w:lang w:val="en-US"/>
                </w:rPr>
                <w:t xml:space="preserve">Visser, J. (2013, April 4). </w:t>
              </w:r>
              <w:r w:rsidRPr="00D56303">
                <w:rPr>
                  <w:i/>
                  <w:iCs/>
                  <w:noProof/>
                  <w:lang w:val="en-US"/>
                </w:rPr>
                <w:t>ICTWSS: Database on Institutional Characteristics of Trade Unions, Wage Setting, State Intervention and Social Pacts in 34 countries between 1960 and 2012 [Dataset]</w:t>
              </w:r>
              <w:r w:rsidRPr="00D56303">
                <w:rPr>
                  <w:noProof/>
                  <w:lang w:val="en-US"/>
                </w:rPr>
                <w:t xml:space="preserve">. </w:t>
              </w:r>
              <w:r>
                <w:rPr>
                  <w:noProof/>
                </w:rPr>
                <w:t>Opgeroepen op Mei 30, 2015, van UvA: http://www.uva-aias.net/208</w:t>
              </w:r>
            </w:p>
            <w:p w:rsidR="00D56303" w:rsidRDefault="00D56303" w:rsidP="00D56303">
              <w:pPr>
                <w:pStyle w:val="Bibliography"/>
                <w:ind w:left="720" w:hanging="720"/>
                <w:rPr>
                  <w:noProof/>
                </w:rPr>
              </w:pPr>
              <w:r>
                <w:rPr>
                  <w:noProof/>
                </w:rPr>
                <w:t xml:space="preserve">Vogels, H. (z.d.). </w:t>
              </w:r>
              <w:r>
                <w:rPr>
                  <w:i/>
                  <w:iCs/>
                  <w:noProof/>
                </w:rPr>
                <w:t>Macht en het poldermodel.</w:t>
              </w:r>
              <w:r>
                <w:rPr>
                  <w:noProof/>
                </w:rPr>
                <w:t xml:space="preserve"> Opgeroepen op Juni 23, 2015, van cao advies: http://www.caoadvies.nl/publicaties/artikel%20YEBA%20magazine%20(Macht%20en%20het%20poldermodel).pdf</w:t>
              </w:r>
            </w:p>
            <w:p w:rsidR="00D56303" w:rsidRDefault="00D56303" w:rsidP="00D56303">
              <w:pPr>
                <w:pStyle w:val="Bibliography"/>
                <w:ind w:left="720" w:hanging="720"/>
                <w:rPr>
                  <w:noProof/>
                </w:rPr>
              </w:pPr>
              <w:r>
                <w:rPr>
                  <w:noProof/>
                </w:rPr>
                <w:t xml:space="preserve">Willems, M. (2011, Oktober 10). </w:t>
              </w:r>
              <w:r>
                <w:rPr>
                  <w:i/>
                  <w:iCs/>
                  <w:noProof/>
                </w:rPr>
                <w:t>Vergrijzing van de vakbeweging neemt toe</w:t>
              </w:r>
              <w:r>
                <w:rPr>
                  <w:noProof/>
                </w:rPr>
                <w:t>. Opgeroepen op Juni 18, 2015, van NRC: http://www.nrc.nl/nieuws/2011/10/10/vergrijzing-van-de-vakbeweging-neemt-toe/#</w:t>
              </w:r>
            </w:p>
            <w:p w:rsidR="00B06CB1" w:rsidRDefault="00B06CB1" w:rsidP="00D56303">
              <w:pPr>
                <w:spacing w:line="360" w:lineRule="auto"/>
              </w:pPr>
              <w:r>
                <w:rPr>
                  <w:b/>
                  <w:bCs/>
                </w:rPr>
                <w:fldChar w:fldCharType="end"/>
              </w:r>
            </w:p>
          </w:sdtContent>
        </w:sdt>
      </w:sdtContent>
    </w:sdt>
    <w:p w:rsidR="009F1B92" w:rsidRDefault="009F1B92" w:rsidP="00670265">
      <w:pPr>
        <w:spacing w:line="360" w:lineRule="auto"/>
        <w:rPr>
          <w:b/>
          <w:sz w:val="24"/>
          <w:szCs w:val="24"/>
        </w:rPr>
      </w:pPr>
    </w:p>
    <w:p w:rsidR="009F1B92" w:rsidRDefault="009F1B92" w:rsidP="00670265">
      <w:pPr>
        <w:spacing w:line="360" w:lineRule="auto"/>
        <w:rPr>
          <w:b/>
          <w:sz w:val="24"/>
          <w:szCs w:val="24"/>
        </w:rPr>
      </w:pPr>
    </w:p>
    <w:p w:rsidR="006C1C02" w:rsidRDefault="006C1C02" w:rsidP="00670265">
      <w:pPr>
        <w:spacing w:line="360" w:lineRule="auto"/>
        <w:rPr>
          <w:b/>
          <w:sz w:val="24"/>
          <w:szCs w:val="24"/>
        </w:rPr>
      </w:pPr>
    </w:p>
    <w:p w:rsidR="00670265" w:rsidRPr="00FD7CEE" w:rsidRDefault="00670265" w:rsidP="00670265">
      <w:pPr>
        <w:spacing w:line="360" w:lineRule="auto"/>
        <w:rPr>
          <w:b/>
          <w:sz w:val="24"/>
          <w:szCs w:val="24"/>
        </w:rPr>
      </w:pPr>
      <w:r w:rsidRPr="00FD7CEE">
        <w:rPr>
          <w:b/>
          <w:sz w:val="24"/>
          <w:szCs w:val="24"/>
        </w:rPr>
        <w:lastRenderedPageBreak/>
        <w:t xml:space="preserve">VII. </w:t>
      </w:r>
      <w:r w:rsidR="0034682C" w:rsidRPr="00FD7CEE">
        <w:rPr>
          <w:b/>
          <w:sz w:val="24"/>
          <w:szCs w:val="24"/>
        </w:rPr>
        <w:t>Bijlage</w:t>
      </w:r>
    </w:p>
    <w:p w:rsidR="00670265" w:rsidRDefault="00670265" w:rsidP="00670265">
      <w:pPr>
        <w:spacing w:line="360" w:lineRule="auto"/>
        <w:rPr>
          <w:b/>
        </w:rPr>
      </w:pPr>
      <w:r>
        <w:rPr>
          <w:b/>
        </w:rPr>
        <w:t>Bijlage A</w:t>
      </w:r>
    </w:p>
    <w:tbl>
      <w:tblPr>
        <w:tblW w:w="790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15"/>
        <w:gridCol w:w="1960"/>
        <w:gridCol w:w="1880"/>
        <w:gridCol w:w="1360"/>
        <w:gridCol w:w="1500"/>
      </w:tblGrid>
      <w:tr w:rsidR="00670265" w:rsidRPr="0034682C" w:rsidTr="00670265">
        <w:trPr>
          <w:trHeight w:val="300"/>
        </w:trPr>
        <w:tc>
          <w:tcPr>
            <w:tcW w:w="1200" w:type="dxa"/>
            <w:shd w:val="clear" w:color="4F81BD" w:fill="4F81BD"/>
            <w:noWrap/>
            <w:vAlign w:val="center"/>
            <w:hideMark/>
          </w:tcPr>
          <w:p w:rsidR="00670265" w:rsidRPr="0034682C" w:rsidRDefault="00670265" w:rsidP="00670265">
            <w:pPr>
              <w:spacing w:after="0" w:line="360" w:lineRule="auto"/>
              <w:jc w:val="center"/>
              <w:rPr>
                <w:rFonts w:ascii="Calibri" w:eastAsia="Times New Roman" w:hAnsi="Calibri" w:cs="Calibri"/>
                <w:b/>
                <w:bCs/>
                <w:color w:val="FFFFFF"/>
                <w:lang w:eastAsia="nl-NL"/>
              </w:rPr>
            </w:pPr>
            <w:r w:rsidRPr="0034682C">
              <w:rPr>
                <w:rFonts w:ascii="Calibri" w:eastAsia="Times New Roman" w:hAnsi="Calibri" w:cs="Calibri"/>
                <w:b/>
                <w:bCs/>
                <w:color w:val="FFFFFF"/>
                <w:lang w:eastAsia="nl-NL"/>
              </w:rPr>
              <w:t>Land</w:t>
            </w:r>
          </w:p>
        </w:tc>
        <w:tc>
          <w:tcPr>
            <w:tcW w:w="1960" w:type="dxa"/>
            <w:shd w:val="clear" w:color="4F81BD" w:fill="4F81BD"/>
            <w:noWrap/>
            <w:vAlign w:val="center"/>
            <w:hideMark/>
          </w:tcPr>
          <w:p w:rsidR="00670265" w:rsidRPr="0034682C" w:rsidRDefault="00670265" w:rsidP="00670265">
            <w:pPr>
              <w:spacing w:after="0" w:line="360" w:lineRule="auto"/>
              <w:jc w:val="center"/>
              <w:rPr>
                <w:rFonts w:ascii="Calibri" w:eastAsia="Times New Roman" w:hAnsi="Calibri" w:cs="Calibri"/>
                <w:b/>
                <w:bCs/>
                <w:color w:val="FFFFFF"/>
                <w:lang w:eastAsia="nl-NL"/>
              </w:rPr>
            </w:pPr>
            <w:r w:rsidRPr="0034682C">
              <w:rPr>
                <w:rFonts w:ascii="Calibri" w:eastAsia="Times New Roman" w:hAnsi="Calibri" w:cs="Calibri"/>
                <w:b/>
                <w:bCs/>
                <w:color w:val="FFFFFF"/>
                <w:lang w:eastAsia="nl-NL"/>
              </w:rPr>
              <w:t>Formule trendlijn</w:t>
            </w:r>
          </w:p>
        </w:tc>
        <w:tc>
          <w:tcPr>
            <w:tcW w:w="1880" w:type="dxa"/>
            <w:shd w:val="clear" w:color="4F81BD" w:fill="4F81BD"/>
            <w:noWrap/>
            <w:vAlign w:val="center"/>
            <w:hideMark/>
          </w:tcPr>
          <w:p w:rsidR="00670265" w:rsidRPr="0034682C" w:rsidRDefault="00670265" w:rsidP="00670265">
            <w:pPr>
              <w:spacing w:after="0" w:line="360" w:lineRule="auto"/>
              <w:jc w:val="center"/>
              <w:rPr>
                <w:rFonts w:ascii="Calibri" w:eastAsia="Times New Roman" w:hAnsi="Calibri" w:cs="Calibri"/>
                <w:b/>
                <w:bCs/>
                <w:color w:val="FFFFFF"/>
                <w:lang w:eastAsia="nl-NL"/>
              </w:rPr>
            </w:pPr>
            <w:r w:rsidRPr="0034682C">
              <w:rPr>
                <w:rFonts w:ascii="Calibri" w:eastAsia="Times New Roman" w:hAnsi="Calibri" w:cs="Calibri"/>
                <w:b/>
                <w:bCs/>
                <w:color w:val="FFFFFF"/>
                <w:lang w:eastAsia="nl-NL"/>
              </w:rPr>
              <w:t>1960 (x=0)</w:t>
            </w:r>
          </w:p>
        </w:tc>
        <w:tc>
          <w:tcPr>
            <w:tcW w:w="1360" w:type="dxa"/>
            <w:shd w:val="clear" w:color="4F81BD" w:fill="4F81BD"/>
            <w:noWrap/>
            <w:vAlign w:val="center"/>
            <w:hideMark/>
          </w:tcPr>
          <w:p w:rsidR="00670265" w:rsidRPr="0034682C" w:rsidRDefault="00670265" w:rsidP="00670265">
            <w:pPr>
              <w:spacing w:after="0" w:line="360" w:lineRule="auto"/>
              <w:jc w:val="center"/>
              <w:rPr>
                <w:rFonts w:ascii="Calibri" w:eastAsia="Times New Roman" w:hAnsi="Calibri" w:cs="Calibri"/>
                <w:b/>
                <w:bCs/>
                <w:color w:val="FFFFFF"/>
                <w:lang w:eastAsia="nl-NL"/>
              </w:rPr>
            </w:pPr>
            <w:r w:rsidRPr="0034682C">
              <w:rPr>
                <w:rFonts w:ascii="Calibri" w:eastAsia="Times New Roman" w:hAnsi="Calibri" w:cs="Calibri"/>
                <w:b/>
                <w:bCs/>
                <w:color w:val="FFFFFF"/>
                <w:lang w:eastAsia="nl-NL"/>
              </w:rPr>
              <w:t>2011 (x=51)</w:t>
            </w:r>
          </w:p>
        </w:tc>
        <w:tc>
          <w:tcPr>
            <w:tcW w:w="1500" w:type="dxa"/>
            <w:shd w:val="clear" w:color="4F81BD" w:fill="4F81BD"/>
            <w:noWrap/>
            <w:vAlign w:val="center"/>
            <w:hideMark/>
          </w:tcPr>
          <w:p w:rsidR="00670265" w:rsidRPr="0034682C" w:rsidRDefault="00670265" w:rsidP="00670265">
            <w:pPr>
              <w:spacing w:after="0" w:line="360" w:lineRule="auto"/>
              <w:jc w:val="center"/>
              <w:rPr>
                <w:rFonts w:ascii="Calibri" w:eastAsia="Times New Roman" w:hAnsi="Calibri" w:cs="Calibri"/>
                <w:b/>
                <w:bCs/>
                <w:color w:val="FFFFFF"/>
                <w:lang w:eastAsia="nl-NL"/>
              </w:rPr>
            </w:pPr>
            <w:r w:rsidRPr="0034682C">
              <w:rPr>
                <w:rFonts w:ascii="Calibri" w:eastAsia="Times New Roman" w:hAnsi="Calibri" w:cs="Calibri"/>
                <w:b/>
                <w:bCs/>
                <w:color w:val="FFFFFF"/>
                <w:lang w:eastAsia="nl-NL"/>
              </w:rPr>
              <w:t>Gemiddelde</w:t>
            </w:r>
          </w:p>
        </w:tc>
      </w:tr>
      <w:tr w:rsidR="00670265" w:rsidRPr="0034682C" w:rsidTr="00670265">
        <w:trPr>
          <w:trHeight w:val="300"/>
        </w:trPr>
        <w:tc>
          <w:tcPr>
            <w:tcW w:w="1200" w:type="dxa"/>
            <w:shd w:val="clear" w:color="DCE6F1" w:fill="DCE6F1"/>
            <w:noWrap/>
            <w:vAlign w:val="center"/>
            <w:hideMark/>
          </w:tcPr>
          <w:p w:rsidR="00670265" w:rsidRPr="0034682C" w:rsidRDefault="00670265" w:rsidP="00670265">
            <w:pPr>
              <w:spacing w:after="0" w:line="360" w:lineRule="auto"/>
              <w:jc w:val="center"/>
              <w:rPr>
                <w:rFonts w:ascii="Calibri" w:eastAsia="Times New Roman" w:hAnsi="Calibri" w:cs="Calibri"/>
                <w:b/>
                <w:bCs/>
                <w:color w:val="000000"/>
                <w:lang w:eastAsia="nl-NL"/>
              </w:rPr>
            </w:pPr>
            <w:r w:rsidRPr="0034682C">
              <w:rPr>
                <w:rFonts w:ascii="Calibri" w:eastAsia="Times New Roman" w:hAnsi="Calibri" w:cs="Calibri"/>
                <w:b/>
                <w:bCs/>
                <w:color w:val="000000"/>
                <w:lang w:eastAsia="nl-NL"/>
              </w:rPr>
              <w:t>Nederland</w:t>
            </w:r>
          </w:p>
        </w:tc>
        <w:tc>
          <w:tcPr>
            <w:tcW w:w="1960" w:type="dxa"/>
            <w:shd w:val="clear" w:color="DCE6F1" w:fill="DCE6F1"/>
            <w:noWrap/>
            <w:vAlign w:val="center"/>
            <w:hideMark/>
          </w:tcPr>
          <w:p w:rsidR="00670265" w:rsidRPr="0034682C" w:rsidRDefault="00670265" w:rsidP="00670265">
            <w:pPr>
              <w:spacing w:after="0" w:line="360" w:lineRule="auto"/>
              <w:rPr>
                <w:rFonts w:ascii="Calibri" w:eastAsia="Times New Roman" w:hAnsi="Calibri" w:cs="Calibri"/>
                <w:color w:val="000000"/>
                <w:sz w:val="20"/>
                <w:szCs w:val="20"/>
                <w:lang w:eastAsia="nl-NL"/>
              </w:rPr>
            </w:pPr>
            <w:r w:rsidRPr="0034682C">
              <w:rPr>
                <w:rFonts w:ascii="Calibri" w:eastAsia="Times New Roman" w:hAnsi="Calibri" w:cs="Calibri"/>
                <w:color w:val="000000"/>
                <w:sz w:val="20"/>
                <w:szCs w:val="20"/>
                <w:lang w:eastAsia="nl-NL"/>
              </w:rPr>
              <w:t>y = -0,4581x + 41,654</w:t>
            </w:r>
          </w:p>
        </w:tc>
        <w:tc>
          <w:tcPr>
            <w:tcW w:w="1880" w:type="dxa"/>
            <w:shd w:val="clear" w:color="DCE6F1" w:fill="DCE6F1"/>
            <w:noWrap/>
            <w:vAlign w:val="center"/>
            <w:hideMark/>
          </w:tcPr>
          <w:p w:rsidR="00670265" w:rsidRPr="0034682C" w:rsidRDefault="00670265" w:rsidP="00670265">
            <w:pPr>
              <w:spacing w:after="0" w:line="360" w:lineRule="auto"/>
              <w:jc w:val="center"/>
              <w:rPr>
                <w:rFonts w:ascii="Calibri" w:eastAsia="Times New Roman" w:hAnsi="Calibri" w:cs="Calibri"/>
                <w:color w:val="000000"/>
                <w:lang w:eastAsia="nl-NL"/>
              </w:rPr>
            </w:pPr>
            <w:r w:rsidRPr="0034682C">
              <w:rPr>
                <w:rFonts w:ascii="Calibri" w:eastAsia="Times New Roman" w:hAnsi="Calibri" w:cs="Calibri"/>
                <w:color w:val="000000"/>
                <w:lang w:eastAsia="nl-NL"/>
              </w:rPr>
              <w:t>41,6540</w:t>
            </w:r>
          </w:p>
        </w:tc>
        <w:tc>
          <w:tcPr>
            <w:tcW w:w="1360" w:type="dxa"/>
            <w:shd w:val="clear" w:color="DCE6F1" w:fill="DCE6F1"/>
            <w:noWrap/>
            <w:vAlign w:val="center"/>
            <w:hideMark/>
          </w:tcPr>
          <w:p w:rsidR="00670265" w:rsidRPr="0034682C" w:rsidRDefault="00670265" w:rsidP="00670265">
            <w:pPr>
              <w:spacing w:after="0" w:line="360" w:lineRule="auto"/>
              <w:jc w:val="center"/>
              <w:rPr>
                <w:rFonts w:ascii="Calibri" w:eastAsia="Times New Roman" w:hAnsi="Calibri" w:cs="Calibri"/>
                <w:color w:val="000000"/>
                <w:lang w:eastAsia="nl-NL"/>
              </w:rPr>
            </w:pPr>
            <w:r w:rsidRPr="0034682C">
              <w:rPr>
                <w:rFonts w:ascii="Calibri" w:eastAsia="Times New Roman" w:hAnsi="Calibri" w:cs="Calibri"/>
                <w:color w:val="000000"/>
                <w:lang w:eastAsia="nl-NL"/>
              </w:rPr>
              <w:t>18,2909</w:t>
            </w:r>
          </w:p>
        </w:tc>
        <w:tc>
          <w:tcPr>
            <w:tcW w:w="1500" w:type="dxa"/>
            <w:shd w:val="clear" w:color="DCE6F1" w:fill="DCE6F1"/>
            <w:noWrap/>
            <w:vAlign w:val="center"/>
            <w:hideMark/>
          </w:tcPr>
          <w:p w:rsidR="00670265" w:rsidRPr="0034682C" w:rsidRDefault="00670265" w:rsidP="00670265">
            <w:pPr>
              <w:spacing w:after="0" w:line="360" w:lineRule="auto"/>
              <w:jc w:val="center"/>
              <w:rPr>
                <w:rFonts w:ascii="Calibri" w:eastAsia="Times New Roman" w:hAnsi="Calibri" w:cs="Calibri"/>
                <w:color w:val="000000"/>
                <w:lang w:eastAsia="nl-NL"/>
              </w:rPr>
            </w:pPr>
            <w:r w:rsidRPr="0034682C">
              <w:rPr>
                <w:rFonts w:ascii="Calibri" w:eastAsia="Times New Roman" w:hAnsi="Calibri" w:cs="Calibri"/>
                <w:color w:val="000000"/>
                <w:lang w:eastAsia="nl-NL"/>
              </w:rPr>
              <w:t>29,9725</w:t>
            </w:r>
          </w:p>
        </w:tc>
      </w:tr>
      <w:tr w:rsidR="00670265" w:rsidRPr="0034682C" w:rsidTr="00670265">
        <w:trPr>
          <w:trHeight w:val="300"/>
        </w:trPr>
        <w:tc>
          <w:tcPr>
            <w:tcW w:w="1200" w:type="dxa"/>
            <w:shd w:val="clear" w:color="auto" w:fill="auto"/>
            <w:noWrap/>
            <w:vAlign w:val="center"/>
            <w:hideMark/>
          </w:tcPr>
          <w:p w:rsidR="00670265" w:rsidRPr="0034682C" w:rsidRDefault="00670265" w:rsidP="00670265">
            <w:pPr>
              <w:spacing w:after="0" w:line="360" w:lineRule="auto"/>
              <w:jc w:val="center"/>
              <w:rPr>
                <w:rFonts w:ascii="Calibri" w:eastAsia="Times New Roman" w:hAnsi="Calibri" w:cs="Calibri"/>
                <w:b/>
                <w:bCs/>
                <w:color w:val="000000"/>
                <w:lang w:eastAsia="nl-NL"/>
              </w:rPr>
            </w:pPr>
            <w:r w:rsidRPr="0034682C">
              <w:rPr>
                <w:rFonts w:ascii="Calibri" w:eastAsia="Times New Roman" w:hAnsi="Calibri" w:cs="Calibri"/>
                <w:b/>
                <w:bCs/>
                <w:color w:val="000000"/>
                <w:lang w:eastAsia="nl-NL"/>
              </w:rPr>
              <w:t>Duitsland</w:t>
            </w:r>
          </w:p>
        </w:tc>
        <w:tc>
          <w:tcPr>
            <w:tcW w:w="1960" w:type="dxa"/>
            <w:shd w:val="clear" w:color="auto" w:fill="auto"/>
            <w:noWrap/>
            <w:vAlign w:val="center"/>
            <w:hideMark/>
          </w:tcPr>
          <w:p w:rsidR="00670265" w:rsidRPr="0034682C" w:rsidRDefault="00670265" w:rsidP="00670265">
            <w:pPr>
              <w:spacing w:after="0" w:line="360" w:lineRule="auto"/>
              <w:rPr>
                <w:rFonts w:ascii="Calibri" w:eastAsia="Times New Roman" w:hAnsi="Calibri" w:cs="Calibri"/>
                <w:color w:val="000000"/>
                <w:sz w:val="20"/>
                <w:szCs w:val="20"/>
                <w:lang w:eastAsia="nl-NL"/>
              </w:rPr>
            </w:pPr>
            <w:r w:rsidRPr="0034682C">
              <w:rPr>
                <w:rFonts w:ascii="Calibri" w:eastAsia="Times New Roman" w:hAnsi="Calibri" w:cs="Calibri"/>
                <w:color w:val="000000"/>
                <w:sz w:val="20"/>
                <w:szCs w:val="20"/>
                <w:lang w:eastAsia="nl-NL"/>
              </w:rPr>
              <w:t>y = -0,2938x + 37,874</w:t>
            </w:r>
          </w:p>
        </w:tc>
        <w:tc>
          <w:tcPr>
            <w:tcW w:w="1880" w:type="dxa"/>
            <w:shd w:val="clear" w:color="auto" w:fill="auto"/>
            <w:noWrap/>
            <w:vAlign w:val="center"/>
            <w:hideMark/>
          </w:tcPr>
          <w:p w:rsidR="00670265" w:rsidRPr="0034682C" w:rsidRDefault="00670265" w:rsidP="00670265">
            <w:pPr>
              <w:spacing w:after="0" w:line="360" w:lineRule="auto"/>
              <w:jc w:val="center"/>
              <w:rPr>
                <w:rFonts w:ascii="Calibri" w:eastAsia="Times New Roman" w:hAnsi="Calibri" w:cs="Calibri"/>
                <w:color w:val="000000"/>
                <w:lang w:eastAsia="nl-NL"/>
              </w:rPr>
            </w:pPr>
            <w:r w:rsidRPr="0034682C">
              <w:rPr>
                <w:rFonts w:ascii="Calibri" w:eastAsia="Times New Roman" w:hAnsi="Calibri" w:cs="Calibri"/>
                <w:color w:val="000000"/>
                <w:lang w:eastAsia="nl-NL"/>
              </w:rPr>
              <w:t>37,8740</w:t>
            </w:r>
          </w:p>
        </w:tc>
        <w:tc>
          <w:tcPr>
            <w:tcW w:w="1360" w:type="dxa"/>
            <w:shd w:val="clear" w:color="auto" w:fill="auto"/>
            <w:noWrap/>
            <w:vAlign w:val="center"/>
            <w:hideMark/>
          </w:tcPr>
          <w:p w:rsidR="00670265" w:rsidRPr="0034682C" w:rsidRDefault="00670265" w:rsidP="00670265">
            <w:pPr>
              <w:spacing w:after="0" w:line="360" w:lineRule="auto"/>
              <w:jc w:val="center"/>
              <w:rPr>
                <w:rFonts w:ascii="Calibri" w:eastAsia="Times New Roman" w:hAnsi="Calibri" w:cs="Calibri"/>
                <w:color w:val="000000"/>
                <w:lang w:eastAsia="nl-NL"/>
              </w:rPr>
            </w:pPr>
            <w:r w:rsidRPr="0034682C">
              <w:rPr>
                <w:rFonts w:ascii="Calibri" w:eastAsia="Times New Roman" w:hAnsi="Calibri" w:cs="Calibri"/>
                <w:color w:val="000000"/>
                <w:lang w:eastAsia="nl-NL"/>
              </w:rPr>
              <w:t>22,8902</w:t>
            </w:r>
          </w:p>
        </w:tc>
        <w:tc>
          <w:tcPr>
            <w:tcW w:w="1500" w:type="dxa"/>
            <w:shd w:val="clear" w:color="auto" w:fill="auto"/>
            <w:noWrap/>
            <w:vAlign w:val="center"/>
            <w:hideMark/>
          </w:tcPr>
          <w:p w:rsidR="00670265" w:rsidRPr="0034682C" w:rsidRDefault="00670265" w:rsidP="00670265">
            <w:pPr>
              <w:spacing w:after="0" w:line="360" w:lineRule="auto"/>
              <w:jc w:val="center"/>
              <w:rPr>
                <w:rFonts w:ascii="Calibri" w:eastAsia="Times New Roman" w:hAnsi="Calibri" w:cs="Calibri"/>
                <w:color w:val="000000"/>
                <w:lang w:eastAsia="nl-NL"/>
              </w:rPr>
            </w:pPr>
            <w:r w:rsidRPr="0034682C">
              <w:rPr>
                <w:rFonts w:ascii="Calibri" w:eastAsia="Times New Roman" w:hAnsi="Calibri" w:cs="Calibri"/>
                <w:color w:val="000000"/>
                <w:lang w:eastAsia="nl-NL"/>
              </w:rPr>
              <w:t>30,3821</w:t>
            </w:r>
          </w:p>
        </w:tc>
      </w:tr>
      <w:tr w:rsidR="00670265" w:rsidRPr="0034682C" w:rsidTr="00670265">
        <w:trPr>
          <w:trHeight w:val="300"/>
        </w:trPr>
        <w:tc>
          <w:tcPr>
            <w:tcW w:w="1200" w:type="dxa"/>
            <w:shd w:val="clear" w:color="DCE6F1" w:fill="DCE6F1"/>
            <w:noWrap/>
            <w:vAlign w:val="center"/>
            <w:hideMark/>
          </w:tcPr>
          <w:p w:rsidR="00670265" w:rsidRPr="0034682C" w:rsidRDefault="00670265" w:rsidP="00670265">
            <w:pPr>
              <w:spacing w:after="0" w:line="360" w:lineRule="auto"/>
              <w:jc w:val="center"/>
              <w:rPr>
                <w:rFonts w:ascii="Calibri" w:eastAsia="Times New Roman" w:hAnsi="Calibri" w:cs="Calibri"/>
                <w:b/>
                <w:bCs/>
                <w:color w:val="000000"/>
                <w:lang w:eastAsia="nl-NL"/>
              </w:rPr>
            </w:pPr>
            <w:r w:rsidRPr="0034682C">
              <w:rPr>
                <w:rFonts w:ascii="Calibri" w:eastAsia="Times New Roman" w:hAnsi="Calibri" w:cs="Calibri"/>
                <w:b/>
                <w:bCs/>
                <w:color w:val="000000"/>
                <w:lang w:eastAsia="nl-NL"/>
              </w:rPr>
              <w:t>Japan</w:t>
            </w:r>
          </w:p>
        </w:tc>
        <w:tc>
          <w:tcPr>
            <w:tcW w:w="1960" w:type="dxa"/>
            <w:shd w:val="clear" w:color="DCE6F1" w:fill="DCE6F1"/>
            <w:noWrap/>
            <w:vAlign w:val="center"/>
            <w:hideMark/>
          </w:tcPr>
          <w:p w:rsidR="00670265" w:rsidRPr="0034682C" w:rsidRDefault="00670265" w:rsidP="00670265">
            <w:pPr>
              <w:spacing w:after="0" w:line="360" w:lineRule="auto"/>
              <w:rPr>
                <w:rFonts w:ascii="Calibri" w:eastAsia="Times New Roman" w:hAnsi="Calibri" w:cs="Calibri"/>
                <w:color w:val="000000"/>
                <w:sz w:val="20"/>
                <w:szCs w:val="20"/>
                <w:lang w:eastAsia="nl-NL"/>
              </w:rPr>
            </w:pPr>
            <w:r w:rsidRPr="0034682C">
              <w:rPr>
                <w:rFonts w:ascii="Calibri" w:eastAsia="Times New Roman" w:hAnsi="Calibri" w:cs="Calibri"/>
                <w:color w:val="000000"/>
                <w:sz w:val="20"/>
                <w:szCs w:val="20"/>
                <w:lang w:eastAsia="nl-NL"/>
              </w:rPr>
              <w:t>y = -0,3931x + 38,2</w:t>
            </w:r>
          </w:p>
        </w:tc>
        <w:tc>
          <w:tcPr>
            <w:tcW w:w="1880" w:type="dxa"/>
            <w:shd w:val="clear" w:color="DCE6F1" w:fill="DCE6F1"/>
            <w:noWrap/>
            <w:vAlign w:val="center"/>
            <w:hideMark/>
          </w:tcPr>
          <w:p w:rsidR="00670265" w:rsidRPr="0034682C" w:rsidRDefault="00670265" w:rsidP="00670265">
            <w:pPr>
              <w:spacing w:after="0" w:line="360" w:lineRule="auto"/>
              <w:jc w:val="center"/>
              <w:rPr>
                <w:rFonts w:ascii="Calibri" w:eastAsia="Times New Roman" w:hAnsi="Calibri" w:cs="Calibri"/>
                <w:color w:val="000000"/>
                <w:lang w:eastAsia="nl-NL"/>
              </w:rPr>
            </w:pPr>
            <w:r w:rsidRPr="0034682C">
              <w:rPr>
                <w:rFonts w:ascii="Calibri" w:eastAsia="Times New Roman" w:hAnsi="Calibri" w:cs="Calibri"/>
                <w:color w:val="000000"/>
                <w:lang w:eastAsia="nl-NL"/>
              </w:rPr>
              <w:t>38,2000</w:t>
            </w:r>
          </w:p>
        </w:tc>
        <w:tc>
          <w:tcPr>
            <w:tcW w:w="1360" w:type="dxa"/>
            <w:shd w:val="clear" w:color="DCE6F1" w:fill="DCE6F1"/>
            <w:noWrap/>
            <w:vAlign w:val="center"/>
            <w:hideMark/>
          </w:tcPr>
          <w:p w:rsidR="00670265" w:rsidRPr="0034682C" w:rsidRDefault="00670265" w:rsidP="00670265">
            <w:pPr>
              <w:spacing w:after="0" w:line="360" w:lineRule="auto"/>
              <w:jc w:val="center"/>
              <w:rPr>
                <w:rFonts w:ascii="Calibri" w:eastAsia="Times New Roman" w:hAnsi="Calibri" w:cs="Calibri"/>
                <w:color w:val="000000"/>
                <w:lang w:eastAsia="nl-NL"/>
              </w:rPr>
            </w:pPr>
            <w:r w:rsidRPr="0034682C">
              <w:rPr>
                <w:rFonts w:ascii="Calibri" w:eastAsia="Times New Roman" w:hAnsi="Calibri" w:cs="Calibri"/>
                <w:color w:val="000000"/>
                <w:lang w:eastAsia="nl-NL"/>
              </w:rPr>
              <w:t>18,1519</w:t>
            </w:r>
          </w:p>
        </w:tc>
        <w:tc>
          <w:tcPr>
            <w:tcW w:w="1500" w:type="dxa"/>
            <w:shd w:val="clear" w:color="DCE6F1" w:fill="DCE6F1"/>
            <w:noWrap/>
            <w:vAlign w:val="center"/>
            <w:hideMark/>
          </w:tcPr>
          <w:p w:rsidR="00670265" w:rsidRPr="0034682C" w:rsidRDefault="00670265" w:rsidP="00670265">
            <w:pPr>
              <w:spacing w:after="0" w:line="360" w:lineRule="auto"/>
              <w:jc w:val="center"/>
              <w:rPr>
                <w:rFonts w:ascii="Calibri" w:eastAsia="Times New Roman" w:hAnsi="Calibri" w:cs="Calibri"/>
                <w:color w:val="000000"/>
                <w:lang w:eastAsia="nl-NL"/>
              </w:rPr>
            </w:pPr>
            <w:r w:rsidRPr="0034682C">
              <w:rPr>
                <w:rFonts w:ascii="Calibri" w:eastAsia="Times New Roman" w:hAnsi="Calibri" w:cs="Calibri"/>
                <w:color w:val="000000"/>
                <w:lang w:eastAsia="nl-NL"/>
              </w:rPr>
              <w:t>28,1760</w:t>
            </w:r>
          </w:p>
        </w:tc>
      </w:tr>
      <w:tr w:rsidR="00670265" w:rsidRPr="0034682C" w:rsidTr="00670265">
        <w:trPr>
          <w:trHeight w:val="300"/>
        </w:trPr>
        <w:tc>
          <w:tcPr>
            <w:tcW w:w="1200" w:type="dxa"/>
            <w:shd w:val="clear" w:color="auto" w:fill="auto"/>
            <w:noWrap/>
            <w:vAlign w:val="center"/>
            <w:hideMark/>
          </w:tcPr>
          <w:p w:rsidR="00670265" w:rsidRPr="0034682C" w:rsidRDefault="00670265" w:rsidP="00670265">
            <w:pPr>
              <w:spacing w:after="0" w:line="360" w:lineRule="auto"/>
              <w:jc w:val="center"/>
              <w:rPr>
                <w:rFonts w:ascii="Calibri" w:eastAsia="Times New Roman" w:hAnsi="Calibri" w:cs="Calibri"/>
                <w:b/>
                <w:bCs/>
                <w:color w:val="000000"/>
                <w:lang w:eastAsia="nl-NL"/>
              </w:rPr>
            </w:pPr>
            <w:r w:rsidRPr="0034682C">
              <w:rPr>
                <w:rFonts w:ascii="Calibri" w:eastAsia="Times New Roman" w:hAnsi="Calibri" w:cs="Calibri"/>
                <w:b/>
                <w:bCs/>
                <w:color w:val="000000"/>
                <w:lang w:eastAsia="nl-NL"/>
              </w:rPr>
              <w:t>Zwitserland</w:t>
            </w:r>
          </w:p>
        </w:tc>
        <w:tc>
          <w:tcPr>
            <w:tcW w:w="1960" w:type="dxa"/>
            <w:shd w:val="clear" w:color="auto" w:fill="auto"/>
            <w:noWrap/>
            <w:vAlign w:val="center"/>
            <w:hideMark/>
          </w:tcPr>
          <w:p w:rsidR="00670265" w:rsidRPr="0034682C" w:rsidRDefault="00670265" w:rsidP="00670265">
            <w:pPr>
              <w:spacing w:after="0" w:line="360" w:lineRule="auto"/>
              <w:rPr>
                <w:rFonts w:ascii="Calibri" w:eastAsia="Times New Roman" w:hAnsi="Calibri" w:cs="Calibri"/>
                <w:color w:val="000000"/>
                <w:sz w:val="20"/>
                <w:szCs w:val="20"/>
                <w:lang w:eastAsia="nl-NL"/>
              </w:rPr>
            </w:pPr>
            <w:r w:rsidRPr="0034682C">
              <w:rPr>
                <w:rFonts w:ascii="Calibri" w:eastAsia="Times New Roman" w:hAnsi="Calibri" w:cs="Calibri"/>
                <w:color w:val="000000"/>
                <w:sz w:val="20"/>
                <w:szCs w:val="20"/>
                <w:lang w:eastAsia="nl-NL"/>
              </w:rPr>
              <w:t>y = -0,3574x + 35,214</w:t>
            </w:r>
          </w:p>
        </w:tc>
        <w:tc>
          <w:tcPr>
            <w:tcW w:w="1880" w:type="dxa"/>
            <w:shd w:val="clear" w:color="auto" w:fill="auto"/>
            <w:noWrap/>
            <w:vAlign w:val="center"/>
            <w:hideMark/>
          </w:tcPr>
          <w:p w:rsidR="00670265" w:rsidRPr="0034682C" w:rsidRDefault="00670265" w:rsidP="00670265">
            <w:pPr>
              <w:spacing w:after="0" w:line="360" w:lineRule="auto"/>
              <w:jc w:val="center"/>
              <w:rPr>
                <w:rFonts w:ascii="Calibri" w:eastAsia="Times New Roman" w:hAnsi="Calibri" w:cs="Calibri"/>
                <w:color w:val="000000"/>
                <w:lang w:eastAsia="nl-NL"/>
              </w:rPr>
            </w:pPr>
            <w:r w:rsidRPr="0034682C">
              <w:rPr>
                <w:rFonts w:ascii="Calibri" w:eastAsia="Times New Roman" w:hAnsi="Calibri" w:cs="Calibri"/>
                <w:color w:val="000000"/>
                <w:lang w:eastAsia="nl-NL"/>
              </w:rPr>
              <w:t>35,2140</w:t>
            </w:r>
          </w:p>
        </w:tc>
        <w:tc>
          <w:tcPr>
            <w:tcW w:w="1360" w:type="dxa"/>
            <w:shd w:val="clear" w:color="auto" w:fill="auto"/>
            <w:noWrap/>
            <w:vAlign w:val="center"/>
            <w:hideMark/>
          </w:tcPr>
          <w:p w:rsidR="00670265" w:rsidRPr="0034682C" w:rsidRDefault="00670265" w:rsidP="00670265">
            <w:pPr>
              <w:spacing w:after="0" w:line="360" w:lineRule="auto"/>
              <w:jc w:val="center"/>
              <w:rPr>
                <w:rFonts w:ascii="Calibri" w:eastAsia="Times New Roman" w:hAnsi="Calibri" w:cs="Calibri"/>
                <w:color w:val="000000"/>
                <w:lang w:eastAsia="nl-NL"/>
              </w:rPr>
            </w:pPr>
            <w:r w:rsidRPr="0034682C">
              <w:rPr>
                <w:rFonts w:ascii="Calibri" w:eastAsia="Times New Roman" w:hAnsi="Calibri" w:cs="Calibri"/>
                <w:color w:val="000000"/>
                <w:lang w:eastAsia="nl-NL"/>
              </w:rPr>
              <w:t>16,9866</w:t>
            </w:r>
          </w:p>
        </w:tc>
        <w:tc>
          <w:tcPr>
            <w:tcW w:w="1500" w:type="dxa"/>
            <w:shd w:val="clear" w:color="auto" w:fill="auto"/>
            <w:noWrap/>
            <w:vAlign w:val="center"/>
            <w:hideMark/>
          </w:tcPr>
          <w:p w:rsidR="00670265" w:rsidRPr="0034682C" w:rsidRDefault="00670265" w:rsidP="00670265">
            <w:pPr>
              <w:spacing w:after="0" w:line="360" w:lineRule="auto"/>
              <w:jc w:val="center"/>
              <w:rPr>
                <w:rFonts w:ascii="Calibri" w:eastAsia="Times New Roman" w:hAnsi="Calibri" w:cs="Calibri"/>
                <w:color w:val="000000"/>
                <w:lang w:eastAsia="nl-NL"/>
              </w:rPr>
            </w:pPr>
            <w:r w:rsidRPr="0034682C">
              <w:rPr>
                <w:rFonts w:ascii="Calibri" w:eastAsia="Times New Roman" w:hAnsi="Calibri" w:cs="Calibri"/>
                <w:color w:val="000000"/>
                <w:lang w:eastAsia="nl-NL"/>
              </w:rPr>
              <w:t>26,1003</w:t>
            </w:r>
          </w:p>
        </w:tc>
      </w:tr>
    </w:tbl>
    <w:p w:rsidR="00670265" w:rsidRPr="0034682C" w:rsidRDefault="00670265" w:rsidP="00670265">
      <w:pPr>
        <w:spacing w:line="360" w:lineRule="auto"/>
        <w:rPr>
          <w:b/>
        </w:rPr>
      </w:pPr>
    </w:p>
    <w:tbl>
      <w:tblPr>
        <w:tblW w:w="7953"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4"/>
        <w:gridCol w:w="3969"/>
      </w:tblGrid>
      <w:tr w:rsidR="00670265" w:rsidRPr="0034682C" w:rsidTr="00670265">
        <w:trPr>
          <w:trHeight w:val="300"/>
        </w:trPr>
        <w:tc>
          <w:tcPr>
            <w:tcW w:w="3984" w:type="dxa"/>
            <w:shd w:val="clear" w:color="4F81BD" w:fill="4F81BD"/>
            <w:noWrap/>
            <w:vAlign w:val="center"/>
            <w:hideMark/>
          </w:tcPr>
          <w:p w:rsidR="00670265" w:rsidRPr="0034682C" w:rsidRDefault="00670265" w:rsidP="00670265">
            <w:pPr>
              <w:spacing w:after="0" w:line="360" w:lineRule="auto"/>
              <w:jc w:val="center"/>
              <w:rPr>
                <w:rFonts w:ascii="Calibri" w:eastAsia="Times New Roman" w:hAnsi="Calibri" w:cs="Calibri"/>
                <w:b/>
                <w:bCs/>
                <w:color w:val="FFFFFF"/>
                <w:lang w:eastAsia="nl-NL"/>
              </w:rPr>
            </w:pPr>
            <w:r w:rsidRPr="0034682C">
              <w:rPr>
                <w:rFonts w:ascii="Calibri" w:eastAsia="Times New Roman" w:hAnsi="Calibri" w:cs="Calibri"/>
                <w:b/>
                <w:bCs/>
                <w:color w:val="FFFFFF"/>
                <w:lang w:eastAsia="nl-NL"/>
              </w:rPr>
              <w:t>Procentueel verschil met Nederland</w:t>
            </w:r>
          </w:p>
        </w:tc>
        <w:tc>
          <w:tcPr>
            <w:tcW w:w="3969" w:type="dxa"/>
            <w:shd w:val="clear" w:color="4F81BD" w:fill="4F81BD"/>
            <w:noWrap/>
            <w:vAlign w:val="center"/>
            <w:hideMark/>
          </w:tcPr>
          <w:p w:rsidR="00670265" w:rsidRPr="0034682C" w:rsidRDefault="00670265" w:rsidP="00670265">
            <w:pPr>
              <w:spacing w:after="0" w:line="360" w:lineRule="auto"/>
              <w:jc w:val="center"/>
              <w:rPr>
                <w:rFonts w:ascii="Calibri" w:eastAsia="Times New Roman" w:hAnsi="Calibri" w:cs="Calibri"/>
                <w:b/>
                <w:bCs/>
                <w:color w:val="FFFFFF"/>
                <w:lang w:eastAsia="nl-NL"/>
              </w:rPr>
            </w:pPr>
            <w:r w:rsidRPr="0034682C">
              <w:rPr>
                <w:rFonts w:ascii="Calibri" w:eastAsia="Times New Roman" w:hAnsi="Calibri" w:cs="Calibri"/>
                <w:b/>
                <w:bCs/>
                <w:color w:val="FFFFFF"/>
                <w:lang w:eastAsia="nl-NL"/>
              </w:rPr>
              <w:t>Vermenigvuldigingsbasis</w:t>
            </w:r>
          </w:p>
        </w:tc>
      </w:tr>
      <w:tr w:rsidR="00670265" w:rsidRPr="0034682C" w:rsidTr="00670265">
        <w:trPr>
          <w:trHeight w:val="199"/>
        </w:trPr>
        <w:tc>
          <w:tcPr>
            <w:tcW w:w="3984" w:type="dxa"/>
            <w:shd w:val="clear" w:color="DCE6F1" w:fill="DCE6F1"/>
            <w:noWrap/>
            <w:vAlign w:val="center"/>
            <w:hideMark/>
          </w:tcPr>
          <w:p w:rsidR="00670265" w:rsidRPr="0034682C" w:rsidRDefault="00670265" w:rsidP="00670265">
            <w:pPr>
              <w:spacing w:after="0" w:line="360" w:lineRule="auto"/>
              <w:jc w:val="center"/>
              <w:rPr>
                <w:rFonts w:ascii="Calibri" w:eastAsia="Times New Roman" w:hAnsi="Calibri" w:cs="Calibri"/>
                <w:color w:val="000000"/>
                <w:lang w:eastAsia="nl-NL"/>
              </w:rPr>
            </w:pPr>
            <w:r w:rsidRPr="0034682C">
              <w:rPr>
                <w:rFonts w:ascii="Calibri" w:eastAsia="Times New Roman" w:hAnsi="Calibri" w:cs="Calibri"/>
                <w:color w:val="000000"/>
                <w:lang w:eastAsia="nl-NL"/>
              </w:rPr>
              <w:t>xxx</w:t>
            </w:r>
          </w:p>
        </w:tc>
        <w:tc>
          <w:tcPr>
            <w:tcW w:w="3969" w:type="dxa"/>
            <w:shd w:val="clear" w:color="DCE6F1" w:fill="DCE6F1"/>
            <w:noWrap/>
            <w:vAlign w:val="center"/>
            <w:hideMark/>
          </w:tcPr>
          <w:p w:rsidR="00670265" w:rsidRPr="0034682C" w:rsidRDefault="00670265" w:rsidP="00670265">
            <w:pPr>
              <w:spacing w:after="0" w:line="360" w:lineRule="auto"/>
              <w:jc w:val="center"/>
              <w:rPr>
                <w:rFonts w:ascii="Calibri" w:eastAsia="Times New Roman" w:hAnsi="Calibri" w:cs="Calibri"/>
                <w:color w:val="000000"/>
                <w:lang w:eastAsia="nl-NL"/>
              </w:rPr>
            </w:pPr>
            <w:r w:rsidRPr="0034682C">
              <w:rPr>
                <w:rFonts w:ascii="Calibri" w:eastAsia="Times New Roman" w:hAnsi="Calibri" w:cs="Calibri"/>
                <w:color w:val="000000"/>
                <w:lang w:eastAsia="nl-NL"/>
              </w:rPr>
              <w:t>xxx</w:t>
            </w:r>
          </w:p>
        </w:tc>
      </w:tr>
      <w:tr w:rsidR="00670265" w:rsidRPr="0034682C" w:rsidTr="00670265">
        <w:trPr>
          <w:trHeight w:val="300"/>
        </w:trPr>
        <w:tc>
          <w:tcPr>
            <w:tcW w:w="3984" w:type="dxa"/>
            <w:shd w:val="clear" w:color="auto" w:fill="auto"/>
            <w:noWrap/>
            <w:vAlign w:val="center"/>
            <w:hideMark/>
          </w:tcPr>
          <w:p w:rsidR="00670265" w:rsidRPr="0034682C" w:rsidRDefault="00670265" w:rsidP="00670265">
            <w:pPr>
              <w:spacing w:after="0" w:line="360" w:lineRule="auto"/>
              <w:jc w:val="center"/>
              <w:rPr>
                <w:rFonts w:ascii="Calibri" w:eastAsia="Times New Roman" w:hAnsi="Calibri" w:cs="Calibri"/>
                <w:color w:val="000000"/>
                <w:lang w:eastAsia="nl-NL"/>
              </w:rPr>
            </w:pPr>
            <w:r w:rsidRPr="0034682C">
              <w:rPr>
                <w:rFonts w:ascii="Calibri" w:eastAsia="Times New Roman" w:hAnsi="Calibri" w:cs="Calibri"/>
                <w:color w:val="000000"/>
                <w:lang w:eastAsia="nl-NL"/>
              </w:rPr>
              <w:t>-0,0135</w:t>
            </w:r>
          </w:p>
        </w:tc>
        <w:tc>
          <w:tcPr>
            <w:tcW w:w="3969" w:type="dxa"/>
            <w:shd w:val="clear" w:color="auto" w:fill="auto"/>
            <w:noWrap/>
            <w:vAlign w:val="center"/>
            <w:hideMark/>
          </w:tcPr>
          <w:p w:rsidR="00670265" w:rsidRPr="0034682C" w:rsidRDefault="00670265" w:rsidP="00670265">
            <w:pPr>
              <w:spacing w:after="0" w:line="360" w:lineRule="auto"/>
              <w:jc w:val="center"/>
              <w:rPr>
                <w:rFonts w:ascii="Calibri" w:eastAsia="Times New Roman" w:hAnsi="Calibri" w:cs="Calibri"/>
                <w:color w:val="000000"/>
                <w:lang w:eastAsia="nl-NL"/>
              </w:rPr>
            </w:pPr>
            <w:r w:rsidRPr="0034682C">
              <w:rPr>
                <w:rFonts w:ascii="Calibri" w:eastAsia="Times New Roman" w:hAnsi="Calibri" w:cs="Calibri"/>
                <w:color w:val="000000"/>
                <w:lang w:eastAsia="nl-NL"/>
              </w:rPr>
              <w:t>0,9865</w:t>
            </w:r>
          </w:p>
        </w:tc>
      </w:tr>
      <w:tr w:rsidR="00670265" w:rsidRPr="0034682C" w:rsidTr="00670265">
        <w:trPr>
          <w:trHeight w:val="300"/>
        </w:trPr>
        <w:tc>
          <w:tcPr>
            <w:tcW w:w="3984" w:type="dxa"/>
            <w:shd w:val="clear" w:color="DCE6F1" w:fill="DCE6F1"/>
            <w:noWrap/>
            <w:vAlign w:val="center"/>
            <w:hideMark/>
          </w:tcPr>
          <w:p w:rsidR="00670265" w:rsidRPr="0034682C" w:rsidRDefault="00670265" w:rsidP="00670265">
            <w:pPr>
              <w:spacing w:after="0" w:line="360" w:lineRule="auto"/>
              <w:jc w:val="center"/>
              <w:rPr>
                <w:rFonts w:ascii="Calibri" w:eastAsia="Times New Roman" w:hAnsi="Calibri" w:cs="Calibri"/>
                <w:color w:val="000000"/>
                <w:lang w:eastAsia="nl-NL"/>
              </w:rPr>
            </w:pPr>
            <w:r w:rsidRPr="0034682C">
              <w:rPr>
                <w:rFonts w:ascii="Calibri" w:eastAsia="Times New Roman" w:hAnsi="Calibri" w:cs="Calibri"/>
                <w:color w:val="000000"/>
                <w:lang w:eastAsia="nl-NL"/>
              </w:rPr>
              <w:t>0,0638</w:t>
            </w:r>
          </w:p>
        </w:tc>
        <w:tc>
          <w:tcPr>
            <w:tcW w:w="3969" w:type="dxa"/>
            <w:shd w:val="clear" w:color="DCE6F1" w:fill="DCE6F1"/>
            <w:noWrap/>
            <w:vAlign w:val="center"/>
            <w:hideMark/>
          </w:tcPr>
          <w:p w:rsidR="00670265" w:rsidRPr="0034682C" w:rsidRDefault="00670265" w:rsidP="00670265">
            <w:pPr>
              <w:spacing w:after="0" w:line="360" w:lineRule="auto"/>
              <w:jc w:val="center"/>
              <w:rPr>
                <w:rFonts w:ascii="Calibri" w:eastAsia="Times New Roman" w:hAnsi="Calibri" w:cs="Calibri"/>
                <w:color w:val="000000"/>
                <w:lang w:eastAsia="nl-NL"/>
              </w:rPr>
            </w:pPr>
            <w:r w:rsidRPr="0034682C">
              <w:rPr>
                <w:rFonts w:ascii="Calibri" w:eastAsia="Times New Roman" w:hAnsi="Calibri" w:cs="Calibri"/>
                <w:color w:val="000000"/>
                <w:lang w:eastAsia="nl-NL"/>
              </w:rPr>
              <w:t>1,0638</w:t>
            </w:r>
          </w:p>
        </w:tc>
      </w:tr>
      <w:tr w:rsidR="00670265" w:rsidRPr="0034682C" w:rsidTr="00670265">
        <w:trPr>
          <w:trHeight w:val="300"/>
        </w:trPr>
        <w:tc>
          <w:tcPr>
            <w:tcW w:w="3984" w:type="dxa"/>
            <w:shd w:val="clear" w:color="auto" w:fill="auto"/>
            <w:noWrap/>
            <w:vAlign w:val="center"/>
            <w:hideMark/>
          </w:tcPr>
          <w:p w:rsidR="00670265" w:rsidRPr="0034682C" w:rsidRDefault="00670265" w:rsidP="00670265">
            <w:pPr>
              <w:spacing w:after="0" w:line="360" w:lineRule="auto"/>
              <w:jc w:val="center"/>
              <w:rPr>
                <w:rFonts w:ascii="Calibri" w:eastAsia="Times New Roman" w:hAnsi="Calibri" w:cs="Calibri"/>
                <w:color w:val="000000"/>
                <w:lang w:eastAsia="nl-NL"/>
              </w:rPr>
            </w:pPr>
            <w:r w:rsidRPr="0034682C">
              <w:rPr>
                <w:rFonts w:ascii="Calibri" w:eastAsia="Times New Roman" w:hAnsi="Calibri" w:cs="Calibri"/>
                <w:color w:val="000000"/>
                <w:lang w:eastAsia="nl-NL"/>
              </w:rPr>
              <w:t>0,1484</w:t>
            </w:r>
          </w:p>
        </w:tc>
        <w:tc>
          <w:tcPr>
            <w:tcW w:w="3969" w:type="dxa"/>
            <w:shd w:val="clear" w:color="auto" w:fill="auto"/>
            <w:noWrap/>
            <w:vAlign w:val="center"/>
            <w:hideMark/>
          </w:tcPr>
          <w:p w:rsidR="00670265" w:rsidRPr="0034682C" w:rsidRDefault="00670265" w:rsidP="00670265">
            <w:pPr>
              <w:spacing w:after="0" w:line="360" w:lineRule="auto"/>
              <w:jc w:val="center"/>
              <w:rPr>
                <w:rFonts w:ascii="Calibri" w:eastAsia="Times New Roman" w:hAnsi="Calibri" w:cs="Calibri"/>
                <w:color w:val="000000"/>
                <w:lang w:eastAsia="nl-NL"/>
              </w:rPr>
            </w:pPr>
            <w:r w:rsidRPr="0034682C">
              <w:rPr>
                <w:rFonts w:ascii="Calibri" w:eastAsia="Times New Roman" w:hAnsi="Calibri" w:cs="Calibri"/>
                <w:color w:val="000000"/>
                <w:lang w:eastAsia="nl-NL"/>
              </w:rPr>
              <w:t>1,1484</w:t>
            </w:r>
          </w:p>
        </w:tc>
      </w:tr>
    </w:tbl>
    <w:p w:rsidR="00670265" w:rsidRDefault="00670265" w:rsidP="00670265">
      <w:pPr>
        <w:spacing w:line="360" w:lineRule="auto"/>
        <w:rPr>
          <w:b/>
        </w:rPr>
      </w:pPr>
    </w:p>
    <w:p w:rsidR="00670265" w:rsidRPr="00670265" w:rsidRDefault="00670265" w:rsidP="00670265">
      <w:pPr>
        <w:spacing w:line="360" w:lineRule="auto"/>
        <w:rPr>
          <w:b/>
        </w:rPr>
      </w:pPr>
      <w:r>
        <w:rPr>
          <w:b/>
        </w:rPr>
        <w:t>Bijlage B</w:t>
      </w:r>
      <w:r w:rsidR="006D2B65">
        <w:rPr>
          <w:b/>
        </w:rPr>
        <w:t>.1</w:t>
      </w:r>
    </w:p>
    <w:tbl>
      <w:tblPr>
        <w:tblW w:w="8151" w:type="dxa"/>
        <w:tblInd w:w="55" w:type="dxa"/>
        <w:tblCellMar>
          <w:left w:w="70" w:type="dxa"/>
          <w:right w:w="70" w:type="dxa"/>
        </w:tblCellMar>
        <w:tblLook w:val="04A0" w:firstRow="1" w:lastRow="0" w:firstColumn="1" w:lastColumn="0" w:noHBand="0" w:noVBand="1"/>
      </w:tblPr>
      <w:tblGrid>
        <w:gridCol w:w="1291"/>
        <w:gridCol w:w="1102"/>
        <w:gridCol w:w="1174"/>
        <w:gridCol w:w="134"/>
        <w:gridCol w:w="1040"/>
        <w:gridCol w:w="236"/>
        <w:gridCol w:w="1215"/>
        <w:gridCol w:w="202"/>
        <w:gridCol w:w="61"/>
        <w:gridCol w:w="1332"/>
        <w:gridCol w:w="364"/>
      </w:tblGrid>
      <w:tr w:rsidR="009A181B" w:rsidRPr="009A181B" w:rsidTr="009A181B">
        <w:trPr>
          <w:trHeight w:val="300"/>
        </w:trPr>
        <w:tc>
          <w:tcPr>
            <w:tcW w:w="1291" w:type="dxa"/>
            <w:tcBorders>
              <w:top w:val="nil"/>
              <w:left w:val="nil"/>
              <w:bottom w:val="nil"/>
              <w:right w:val="nil"/>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p>
        </w:tc>
        <w:tc>
          <w:tcPr>
            <w:tcW w:w="6496" w:type="dxa"/>
            <w:gridSpan w:val="9"/>
            <w:tcBorders>
              <w:top w:val="nil"/>
              <w:left w:val="nil"/>
              <w:bottom w:val="single" w:sz="4" w:space="0" w:color="auto"/>
              <w:right w:val="nil"/>
            </w:tcBorders>
            <w:shd w:val="clear" w:color="000000" w:fill="16365C"/>
            <w:noWrap/>
            <w:vAlign w:val="bottom"/>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Procentuele verandering organisatiegraad t.o.v. jaar ervoor</w:t>
            </w:r>
          </w:p>
        </w:tc>
        <w:tc>
          <w:tcPr>
            <w:tcW w:w="364" w:type="dxa"/>
            <w:tcBorders>
              <w:top w:val="nil"/>
              <w:left w:val="nil"/>
              <w:bottom w:val="nil"/>
              <w:right w:val="nil"/>
            </w:tcBorders>
            <w:shd w:val="clear" w:color="auto" w:fill="auto"/>
            <w:noWrap/>
            <w:vAlign w:val="bottom"/>
            <w:hideMark/>
          </w:tcPr>
          <w:p w:rsidR="009A181B" w:rsidRPr="009A181B" w:rsidRDefault="009A181B" w:rsidP="002B6FE4">
            <w:pPr>
              <w:spacing w:after="0" w:line="360" w:lineRule="auto"/>
              <w:rPr>
                <w:rFonts w:ascii="Calibri" w:eastAsia="Times New Roman" w:hAnsi="Calibri" w:cs="Calibri"/>
                <w:color w:val="000000"/>
                <w:lang w:eastAsia="nl-NL"/>
              </w:rPr>
            </w:pPr>
          </w:p>
        </w:tc>
      </w:tr>
      <w:tr w:rsidR="009A181B" w:rsidRPr="009A181B" w:rsidTr="009A181B">
        <w:trPr>
          <w:trHeight w:val="300"/>
        </w:trPr>
        <w:tc>
          <w:tcPr>
            <w:tcW w:w="1291" w:type="dxa"/>
            <w:tcBorders>
              <w:top w:val="nil"/>
              <w:left w:val="nil"/>
              <w:bottom w:val="nil"/>
              <w:right w:val="nil"/>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p>
        </w:tc>
        <w:tc>
          <w:tcPr>
            <w:tcW w:w="1102" w:type="dxa"/>
            <w:tcBorders>
              <w:top w:val="nil"/>
              <w:left w:val="single" w:sz="4" w:space="0" w:color="auto"/>
              <w:bottom w:val="single" w:sz="4" w:space="0" w:color="auto"/>
              <w:right w:val="single" w:sz="4" w:space="0" w:color="auto"/>
            </w:tcBorders>
            <w:shd w:val="clear" w:color="000000" w:fill="538DD5"/>
            <w:noWrap/>
            <w:vAlign w:val="center"/>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Nederland</w:t>
            </w:r>
          </w:p>
        </w:tc>
        <w:tc>
          <w:tcPr>
            <w:tcW w:w="1174" w:type="dxa"/>
            <w:tcBorders>
              <w:top w:val="nil"/>
              <w:left w:val="nil"/>
              <w:bottom w:val="single" w:sz="4" w:space="0" w:color="auto"/>
              <w:right w:val="single" w:sz="4" w:space="0" w:color="auto"/>
            </w:tcBorders>
            <w:shd w:val="clear" w:color="000000" w:fill="538DD5"/>
            <w:noWrap/>
            <w:vAlign w:val="center"/>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Duitsland</w:t>
            </w:r>
          </w:p>
        </w:tc>
        <w:tc>
          <w:tcPr>
            <w:tcW w:w="1174" w:type="dxa"/>
            <w:gridSpan w:val="2"/>
            <w:tcBorders>
              <w:top w:val="nil"/>
              <w:left w:val="nil"/>
              <w:bottom w:val="single" w:sz="4" w:space="0" w:color="auto"/>
              <w:right w:val="single" w:sz="4" w:space="0" w:color="auto"/>
            </w:tcBorders>
            <w:shd w:val="clear" w:color="000000" w:fill="538DD5"/>
            <w:noWrap/>
            <w:vAlign w:val="center"/>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Japan</w:t>
            </w:r>
          </w:p>
        </w:tc>
        <w:tc>
          <w:tcPr>
            <w:tcW w:w="1451" w:type="dxa"/>
            <w:gridSpan w:val="2"/>
            <w:tcBorders>
              <w:top w:val="nil"/>
              <w:left w:val="nil"/>
              <w:bottom w:val="single" w:sz="4" w:space="0" w:color="auto"/>
              <w:right w:val="single" w:sz="4" w:space="0" w:color="auto"/>
            </w:tcBorders>
            <w:shd w:val="clear" w:color="000000" w:fill="538DD5"/>
            <w:noWrap/>
            <w:vAlign w:val="center"/>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Zwitserland</w:t>
            </w:r>
          </w:p>
        </w:tc>
        <w:tc>
          <w:tcPr>
            <w:tcW w:w="1595" w:type="dxa"/>
            <w:gridSpan w:val="3"/>
            <w:tcBorders>
              <w:top w:val="nil"/>
              <w:left w:val="nil"/>
              <w:bottom w:val="single" w:sz="4" w:space="0" w:color="auto"/>
              <w:right w:val="single" w:sz="4" w:space="0" w:color="auto"/>
            </w:tcBorders>
            <w:shd w:val="clear" w:color="000000" w:fill="538DD5"/>
            <w:noWrap/>
            <w:vAlign w:val="bottom"/>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Trendlijn</w:t>
            </w:r>
          </w:p>
        </w:tc>
        <w:tc>
          <w:tcPr>
            <w:tcW w:w="364" w:type="dxa"/>
            <w:tcBorders>
              <w:top w:val="nil"/>
              <w:left w:val="nil"/>
              <w:bottom w:val="nil"/>
              <w:right w:val="nil"/>
            </w:tcBorders>
            <w:shd w:val="clear" w:color="auto" w:fill="auto"/>
            <w:noWrap/>
            <w:vAlign w:val="bottom"/>
            <w:hideMark/>
          </w:tcPr>
          <w:p w:rsidR="009A181B" w:rsidRPr="009A181B" w:rsidRDefault="009A181B" w:rsidP="002B6FE4">
            <w:pPr>
              <w:spacing w:after="0" w:line="360" w:lineRule="auto"/>
              <w:rPr>
                <w:rFonts w:ascii="Calibri" w:eastAsia="Times New Roman" w:hAnsi="Calibri" w:cs="Calibri"/>
                <w:color w:val="000000"/>
                <w:lang w:eastAsia="nl-NL"/>
              </w:rPr>
            </w:pPr>
          </w:p>
        </w:tc>
      </w:tr>
      <w:tr w:rsidR="009A181B" w:rsidRPr="009A181B" w:rsidTr="009A181B">
        <w:trPr>
          <w:trHeight w:val="300"/>
        </w:trPr>
        <w:tc>
          <w:tcPr>
            <w:tcW w:w="1291" w:type="dxa"/>
            <w:tcBorders>
              <w:top w:val="single" w:sz="4" w:space="0" w:color="auto"/>
              <w:left w:val="single" w:sz="4" w:space="0" w:color="auto"/>
              <w:bottom w:val="single" w:sz="4" w:space="0" w:color="auto"/>
              <w:right w:val="single" w:sz="4" w:space="0" w:color="auto"/>
            </w:tcBorders>
            <w:shd w:val="clear" w:color="000000" w:fill="538DD5"/>
            <w:noWrap/>
            <w:vAlign w:val="center"/>
            <w:hideMark/>
          </w:tcPr>
          <w:p w:rsidR="009A181B" w:rsidRPr="009A181B" w:rsidRDefault="009A181B" w:rsidP="002B6FE4">
            <w:pPr>
              <w:spacing w:after="0" w:line="360" w:lineRule="auto"/>
              <w:jc w:val="center"/>
              <w:rPr>
                <w:rFonts w:ascii="Arial" w:eastAsia="Times New Roman" w:hAnsi="Arial" w:cs="Arial"/>
                <w:b/>
                <w:bCs/>
                <w:color w:val="FFFFFF"/>
                <w:sz w:val="20"/>
                <w:szCs w:val="20"/>
                <w:lang w:eastAsia="nl-NL"/>
              </w:rPr>
            </w:pPr>
            <w:r w:rsidRPr="009A181B">
              <w:rPr>
                <w:rFonts w:ascii="Arial" w:eastAsia="Times New Roman" w:hAnsi="Arial" w:cs="Arial"/>
                <w:b/>
                <w:bCs/>
                <w:color w:val="FFFFFF"/>
                <w:sz w:val="20"/>
                <w:szCs w:val="20"/>
                <w:lang w:eastAsia="nl-NL"/>
              </w:rPr>
              <w:t>1983</w:t>
            </w:r>
          </w:p>
        </w:tc>
        <w:tc>
          <w:tcPr>
            <w:tcW w:w="1102" w:type="dxa"/>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-0,049125</w:t>
            </w:r>
          </w:p>
        </w:tc>
        <w:tc>
          <w:tcPr>
            <w:tcW w:w="1174" w:type="dxa"/>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-0,000647</w:t>
            </w:r>
          </w:p>
        </w:tc>
        <w:tc>
          <w:tcPr>
            <w:tcW w:w="1174" w:type="dxa"/>
            <w:gridSpan w:val="2"/>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-0,026607</w:t>
            </w:r>
          </w:p>
        </w:tc>
        <w:tc>
          <w:tcPr>
            <w:tcW w:w="1451" w:type="dxa"/>
            <w:gridSpan w:val="2"/>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-0,004918</w:t>
            </w:r>
          </w:p>
        </w:tc>
        <w:tc>
          <w:tcPr>
            <w:tcW w:w="1595" w:type="dxa"/>
            <w:gridSpan w:val="3"/>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-0,010997743</w:t>
            </w:r>
          </w:p>
        </w:tc>
        <w:tc>
          <w:tcPr>
            <w:tcW w:w="364" w:type="dxa"/>
            <w:tcBorders>
              <w:top w:val="nil"/>
              <w:left w:val="nil"/>
              <w:bottom w:val="nil"/>
              <w:right w:val="nil"/>
            </w:tcBorders>
            <w:shd w:val="clear" w:color="auto" w:fill="auto"/>
            <w:noWrap/>
            <w:vAlign w:val="bottom"/>
            <w:hideMark/>
          </w:tcPr>
          <w:p w:rsidR="009A181B" w:rsidRPr="009A181B" w:rsidRDefault="009A181B" w:rsidP="002B6FE4">
            <w:pPr>
              <w:spacing w:after="0" w:line="360" w:lineRule="auto"/>
              <w:rPr>
                <w:rFonts w:ascii="Calibri" w:eastAsia="Times New Roman" w:hAnsi="Calibri" w:cs="Calibri"/>
                <w:color w:val="000000"/>
                <w:lang w:eastAsia="nl-NL"/>
              </w:rPr>
            </w:pPr>
          </w:p>
        </w:tc>
      </w:tr>
      <w:tr w:rsidR="009A181B" w:rsidRPr="009A181B" w:rsidTr="009A181B">
        <w:trPr>
          <w:trHeight w:val="300"/>
        </w:trPr>
        <w:tc>
          <w:tcPr>
            <w:tcW w:w="1291" w:type="dxa"/>
            <w:tcBorders>
              <w:top w:val="nil"/>
              <w:left w:val="single" w:sz="4" w:space="0" w:color="auto"/>
              <w:bottom w:val="single" w:sz="4" w:space="0" w:color="auto"/>
              <w:right w:val="single" w:sz="4" w:space="0" w:color="auto"/>
            </w:tcBorders>
            <w:shd w:val="clear" w:color="000000" w:fill="538DD5"/>
            <w:noWrap/>
            <w:vAlign w:val="center"/>
            <w:hideMark/>
          </w:tcPr>
          <w:p w:rsidR="009A181B" w:rsidRPr="009A181B" w:rsidRDefault="009A181B" w:rsidP="002B6FE4">
            <w:pPr>
              <w:spacing w:after="0" w:line="360" w:lineRule="auto"/>
              <w:jc w:val="center"/>
              <w:rPr>
                <w:rFonts w:ascii="Arial" w:eastAsia="Times New Roman" w:hAnsi="Arial" w:cs="Arial"/>
                <w:b/>
                <w:bCs/>
                <w:color w:val="FFFFFF"/>
                <w:sz w:val="20"/>
                <w:szCs w:val="20"/>
                <w:lang w:eastAsia="nl-NL"/>
              </w:rPr>
            </w:pPr>
            <w:r w:rsidRPr="009A181B">
              <w:rPr>
                <w:rFonts w:ascii="Arial" w:eastAsia="Times New Roman" w:hAnsi="Arial" w:cs="Arial"/>
                <w:b/>
                <w:bCs/>
                <w:color w:val="FFFFFF"/>
                <w:sz w:val="20"/>
                <w:szCs w:val="20"/>
                <w:lang w:eastAsia="nl-NL"/>
              </w:rPr>
              <w:t>1984</w:t>
            </w:r>
          </w:p>
        </w:tc>
        <w:tc>
          <w:tcPr>
            <w:tcW w:w="1102" w:type="dxa"/>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-0,045839</w:t>
            </w:r>
          </w:p>
        </w:tc>
        <w:tc>
          <w:tcPr>
            <w:tcW w:w="1174" w:type="dxa"/>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-0,002894</w:t>
            </w:r>
          </w:p>
        </w:tc>
        <w:tc>
          <w:tcPr>
            <w:tcW w:w="1174" w:type="dxa"/>
            <w:gridSpan w:val="2"/>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-0,017778</w:t>
            </w:r>
          </w:p>
        </w:tc>
        <w:tc>
          <w:tcPr>
            <w:tcW w:w="1451" w:type="dxa"/>
            <w:gridSpan w:val="2"/>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-0,013795</w:t>
            </w:r>
          </w:p>
        </w:tc>
        <w:tc>
          <w:tcPr>
            <w:tcW w:w="1595" w:type="dxa"/>
            <w:gridSpan w:val="3"/>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-0,010997743</w:t>
            </w:r>
          </w:p>
        </w:tc>
        <w:tc>
          <w:tcPr>
            <w:tcW w:w="364" w:type="dxa"/>
            <w:tcBorders>
              <w:top w:val="nil"/>
              <w:left w:val="nil"/>
              <w:bottom w:val="nil"/>
              <w:right w:val="nil"/>
            </w:tcBorders>
            <w:shd w:val="clear" w:color="auto" w:fill="auto"/>
            <w:noWrap/>
            <w:vAlign w:val="bottom"/>
            <w:hideMark/>
          </w:tcPr>
          <w:p w:rsidR="009A181B" w:rsidRPr="009A181B" w:rsidRDefault="009A181B" w:rsidP="002B6FE4">
            <w:pPr>
              <w:spacing w:after="0" w:line="360" w:lineRule="auto"/>
              <w:rPr>
                <w:rFonts w:ascii="Calibri" w:eastAsia="Times New Roman" w:hAnsi="Calibri" w:cs="Calibri"/>
                <w:color w:val="000000"/>
                <w:lang w:eastAsia="nl-NL"/>
              </w:rPr>
            </w:pPr>
          </w:p>
        </w:tc>
      </w:tr>
      <w:tr w:rsidR="009A181B" w:rsidRPr="009A181B" w:rsidTr="009A181B">
        <w:trPr>
          <w:trHeight w:val="300"/>
        </w:trPr>
        <w:tc>
          <w:tcPr>
            <w:tcW w:w="1291" w:type="dxa"/>
            <w:tcBorders>
              <w:top w:val="nil"/>
              <w:left w:val="single" w:sz="4" w:space="0" w:color="auto"/>
              <w:bottom w:val="single" w:sz="4" w:space="0" w:color="auto"/>
              <w:right w:val="single" w:sz="4" w:space="0" w:color="auto"/>
            </w:tcBorders>
            <w:shd w:val="clear" w:color="000000" w:fill="538DD5"/>
            <w:noWrap/>
            <w:vAlign w:val="center"/>
            <w:hideMark/>
          </w:tcPr>
          <w:p w:rsidR="009A181B" w:rsidRPr="009A181B" w:rsidRDefault="009A181B" w:rsidP="002B6FE4">
            <w:pPr>
              <w:spacing w:after="0" w:line="360" w:lineRule="auto"/>
              <w:jc w:val="center"/>
              <w:rPr>
                <w:rFonts w:ascii="Arial" w:eastAsia="Times New Roman" w:hAnsi="Arial" w:cs="Arial"/>
                <w:b/>
                <w:bCs/>
                <w:color w:val="FFFFFF"/>
                <w:sz w:val="20"/>
                <w:szCs w:val="20"/>
                <w:lang w:eastAsia="nl-NL"/>
              </w:rPr>
            </w:pPr>
            <w:r w:rsidRPr="009A181B">
              <w:rPr>
                <w:rFonts w:ascii="Arial" w:eastAsia="Times New Roman" w:hAnsi="Arial" w:cs="Arial"/>
                <w:b/>
                <w:bCs/>
                <w:color w:val="FFFFFF"/>
                <w:sz w:val="20"/>
                <w:szCs w:val="20"/>
                <w:lang w:eastAsia="nl-NL"/>
              </w:rPr>
              <w:t>1985</w:t>
            </w:r>
          </w:p>
        </w:tc>
        <w:tc>
          <w:tcPr>
            <w:tcW w:w="1102" w:type="dxa"/>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-0,042600</w:t>
            </w:r>
          </w:p>
        </w:tc>
        <w:tc>
          <w:tcPr>
            <w:tcW w:w="1174" w:type="dxa"/>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-0,006639</w:t>
            </w:r>
          </w:p>
        </w:tc>
        <w:tc>
          <w:tcPr>
            <w:tcW w:w="1174" w:type="dxa"/>
            <w:gridSpan w:val="2"/>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-0,014779</w:t>
            </w:r>
          </w:p>
        </w:tc>
        <w:tc>
          <w:tcPr>
            <w:tcW w:w="1451" w:type="dxa"/>
            <w:gridSpan w:val="2"/>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-0,048861</w:t>
            </w:r>
          </w:p>
        </w:tc>
        <w:tc>
          <w:tcPr>
            <w:tcW w:w="1595" w:type="dxa"/>
            <w:gridSpan w:val="3"/>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-0,010997743</w:t>
            </w:r>
          </w:p>
        </w:tc>
        <w:tc>
          <w:tcPr>
            <w:tcW w:w="364" w:type="dxa"/>
            <w:tcBorders>
              <w:top w:val="nil"/>
              <w:left w:val="nil"/>
              <w:bottom w:val="nil"/>
              <w:right w:val="nil"/>
            </w:tcBorders>
            <w:shd w:val="clear" w:color="auto" w:fill="auto"/>
            <w:noWrap/>
            <w:vAlign w:val="bottom"/>
            <w:hideMark/>
          </w:tcPr>
          <w:p w:rsidR="009A181B" w:rsidRPr="009A181B" w:rsidRDefault="009A181B" w:rsidP="002B6FE4">
            <w:pPr>
              <w:spacing w:after="0" w:line="360" w:lineRule="auto"/>
              <w:rPr>
                <w:rFonts w:ascii="Calibri" w:eastAsia="Times New Roman" w:hAnsi="Calibri" w:cs="Calibri"/>
                <w:color w:val="000000"/>
                <w:lang w:eastAsia="nl-NL"/>
              </w:rPr>
            </w:pPr>
          </w:p>
        </w:tc>
      </w:tr>
      <w:tr w:rsidR="009A181B" w:rsidRPr="009A181B" w:rsidTr="009A181B">
        <w:trPr>
          <w:trHeight w:val="300"/>
        </w:trPr>
        <w:tc>
          <w:tcPr>
            <w:tcW w:w="1291" w:type="dxa"/>
            <w:tcBorders>
              <w:top w:val="nil"/>
              <w:left w:val="single" w:sz="4" w:space="0" w:color="auto"/>
              <w:bottom w:val="single" w:sz="4" w:space="0" w:color="auto"/>
              <w:right w:val="single" w:sz="4" w:space="0" w:color="auto"/>
            </w:tcBorders>
            <w:shd w:val="clear" w:color="000000" w:fill="538DD5"/>
            <w:noWrap/>
            <w:vAlign w:val="center"/>
            <w:hideMark/>
          </w:tcPr>
          <w:p w:rsidR="009A181B" w:rsidRPr="009A181B" w:rsidRDefault="009A181B" w:rsidP="002B6FE4">
            <w:pPr>
              <w:spacing w:after="0" w:line="360" w:lineRule="auto"/>
              <w:jc w:val="center"/>
              <w:rPr>
                <w:rFonts w:ascii="Arial" w:eastAsia="Times New Roman" w:hAnsi="Arial" w:cs="Arial"/>
                <w:b/>
                <w:bCs/>
                <w:color w:val="FFFFFF"/>
                <w:sz w:val="20"/>
                <w:szCs w:val="20"/>
                <w:lang w:eastAsia="nl-NL"/>
              </w:rPr>
            </w:pPr>
            <w:r w:rsidRPr="009A181B">
              <w:rPr>
                <w:rFonts w:ascii="Arial" w:eastAsia="Times New Roman" w:hAnsi="Arial" w:cs="Arial"/>
                <w:b/>
                <w:bCs/>
                <w:color w:val="FFFFFF"/>
                <w:sz w:val="20"/>
                <w:szCs w:val="20"/>
                <w:lang w:eastAsia="nl-NL"/>
              </w:rPr>
              <w:t>1986</w:t>
            </w:r>
          </w:p>
        </w:tc>
        <w:tc>
          <w:tcPr>
            <w:tcW w:w="1102" w:type="dxa"/>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-0,031589</w:t>
            </w:r>
          </w:p>
        </w:tc>
        <w:tc>
          <w:tcPr>
            <w:tcW w:w="1174" w:type="dxa"/>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-0,021646</w:t>
            </w:r>
          </w:p>
        </w:tc>
        <w:tc>
          <w:tcPr>
            <w:tcW w:w="1174" w:type="dxa"/>
            <w:gridSpan w:val="2"/>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-0,021021</w:t>
            </w:r>
          </w:p>
        </w:tc>
        <w:tc>
          <w:tcPr>
            <w:tcW w:w="1451" w:type="dxa"/>
            <w:gridSpan w:val="2"/>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-0,036995</w:t>
            </w:r>
          </w:p>
        </w:tc>
        <w:tc>
          <w:tcPr>
            <w:tcW w:w="1595" w:type="dxa"/>
            <w:gridSpan w:val="3"/>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-0,010997743</w:t>
            </w:r>
          </w:p>
        </w:tc>
        <w:tc>
          <w:tcPr>
            <w:tcW w:w="364" w:type="dxa"/>
            <w:tcBorders>
              <w:top w:val="nil"/>
              <w:left w:val="nil"/>
              <w:bottom w:val="nil"/>
              <w:right w:val="nil"/>
            </w:tcBorders>
            <w:shd w:val="clear" w:color="auto" w:fill="auto"/>
            <w:noWrap/>
            <w:vAlign w:val="bottom"/>
            <w:hideMark/>
          </w:tcPr>
          <w:p w:rsidR="009A181B" w:rsidRPr="009A181B" w:rsidRDefault="009A181B" w:rsidP="002B6FE4">
            <w:pPr>
              <w:spacing w:after="0" w:line="360" w:lineRule="auto"/>
              <w:rPr>
                <w:rFonts w:ascii="Calibri" w:eastAsia="Times New Roman" w:hAnsi="Calibri" w:cs="Calibri"/>
                <w:color w:val="000000"/>
                <w:lang w:eastAsia="nl-NL"/>
              </w:rPr>
            </w:pPr>
          </w:p>
        </w:tc>
      </w:tr>
      <w:tr w:rsidR="009A181B" w:rsidRPr="009A181B" w:rsidTr="009A181B">
        <w:trPr>
          <w:trHeight w:val="300"/>
        </w:trPr>
        <w:tc>
          <w:tcPr>
            <w:tcW w:w="1291" w:type="dxa"/>
            <w:tcBorders>
              <w:top w:val="nil"/>
              <w:left w:val="single" w:sz="4" w:space="0" w:color="auto"/>
              <w:bottom w:val="single" w:sz="4" w:space="0" w:color="auto"/>
              <w:right w:val="single" w:sz="4" w:space="0" w:color="auto"/>
            </w:tcBorders>
            <w:shd w:val="clear" w:color="000000" w:fill="538DD5"/>
            <w:noWrap/>
            <w:vAlign w:val="center"/>
            <w:hideMark/>
          </w:tcPr>
          <w:p w:rsidR="009A181B" w:rsidRPr="009A181B" w:rsidRDefault="009A181B" w:rsidP="002B6FE4">
            <w:pPr>
              <w:spacing w:after="0" w:line="360" w:lineRule="auto"/>
              <w:jc w:val="center"/>
              <w:rPr>
                <w:rFonts w:ascii="Arial" w:eastAsia="Times New Roman" w:hAnsi="Arial" w:cs="Arial"/>
                <w:b/>
                <w:bCs/>
                <w:color w:val="FFFFFF"/>
                <w:sz w:val="20"/>
                <w:szCs w:val="20"/>
                <w:lang w:eastAsia="nl-NL"/>
              </w:rPr>
            </w:pPr>
            <w:r w:rsidRPr="009A181B">
              <w:rPr>
                <w:rFonts w:ascii="Arial" w:eastAsia="Times New Roman" w:hAnsi="Arial" w:cs="Arial"/>
                <w:b/>
                <w:bCs/>
                <w:color w:val="FFFFFF"/>
                <w:sz w:val="20"/>
                <w:szCs w:val="20"/>
                <w:lang w:eastAsia="nl-NL"/>
              </w:rPr>
              <w:t>1987</w:t>
            </w:r>
          </w:p>
        </w:tc>
        <w:tc>
          <w:tcPr>
            <w:tcW w:w="1102" w:type="dxa"/>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-0,090450</w:t>
            </w:r>
          </w:p>
        </w:tc>
        <w:tc>
          <w:tcPr>
            <w:tcW w:w="1174" w:type="dxa"/>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-0,017266</w:t>
            </w:r>
          </w:p>
        </w:tc>
        <w:tc>
          <w:tcPr>
            <w:tcW w:w="1174" w:type="dxa"/>
            <w:gridSpan w:val="2"/>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-0,016755</w:t>
            </w:r>
          </w:p>
        </w:tc>
        <w:tc>
          <w:tcPr>
            <w:tcW w:w="1451" w:type="dxa"/>
            <w:gridSpan w:val="2"/>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-0,013275</w:t>
            </w:r>
          </w:p>
        </w:tc>
        <w:tc>
          <w:tcPr>
            <w:tcW w:w="1595" w:type="dxa"/>
            <w:gridSpan w:val="3"/>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-0,010997743</w:t>
            </w:r>
          </w:p>
        </w:tc>
        <w:tc>
          <w:tcPr>
            <w:tcW w:w="364" w:type="dxa"/>
            <w:tcBorders>
              <w:top w:val="nil"/>
              <w:left w:val="nil"/>
              <w:bottom w:val="nil"/>
              <w:right w:val="nil"/>
            </w:tcBorders>
            <w:shd w:val="clear" w:color="auto" w:fill="auto"/>
            <w:noWrap/>
            <w:vAlign w:val="bottom"/>
            <w:hideMark/>
          </w:tcPr>
          <w:p w:rsidR="009A181B" w:rsidRPr="009A181B" w:rsidRDefault="009A181B" w:rsidP="002B6FE4">
            <w:pPr>
              <w:spacing w:after="0" w:line="360" w:lineRule="auto"/>
              <w:rPr>
                <w:rFonts w:ascii="Calibri" w:eastAsia="Times New Roman" w:hAnsi="Calibri" w:cs="Calibri"/>
                <w:color w:val="000000"/>
                <w:lang w:eastAsia="nl-NL"/>
              </w:rPr>
            </w:pPr>
          </w:p>
        </w:tc>
      </w:tr>
      <w:tr w:rsidR="009A181B" w:rsidRPr="009A181B" w:rsidTr="009A181B">
        <w:trPr>
          <w:trHeight w:val="300"/>
        </w:trPr>
        <w:tc>
          <w:tcPr>
            <w:tcW w:w="1291" w:type="dxa"/>
            <w:tcBorders>
              <w:top w:val="nil"/>
              <w:left w:val="single" w:sz="4" w:space="0" w:color="auto"/>
              <w:bottom w:val="single" w:sz="4" w:space="0" w:color="auto"/>
              <w:right w:val="single" w:sz="4" w:space="0" w:color="auto"/>
            </w:tcBorders>
            <w:shd w:val="clear" w:color="000000" w:fill="538DD5"/>
            <w:noWrap/>
            <w:vAlign w:val="center"/>
            <w:hideMark/>
          </w:tcPr>
          <w:p w:rsidR="009A181B" w:rsidRPr="009A181B" w:rsidRDefault="009A181B" w:rsidP="002B6FE4">
            <w:pPr>
              <w:spacing w:after="0" w:line="360" w:lineRule="auto"/>
              <w:jc w:val="center"/>
              <w:rPr>
                <w:rFonts w:ascii="Arial" w:eastAsia="Times New Roman" w:hAnsi="Arial" w:cs="Arial"/>
                <w:b/>
                <w:bCs/>
                <w:color w:val="FFFFFF"/>
                <w:sz w:val="20"/>
                <w:szCs w:val="20"/>
                <w:lang w:eastAsia="nl-NL"/>
              </w:rPr>
            </w:pPr>
            <w:r w:rsidRPr="009A181B">
              <w:rPr>
                <w:rFonts w:ascii="Arial" w:eastAsia="Times New Roman" w:hAnsi="Arial" w:cs="Arial"/>
                <w:b/>
                <w:bCs/>
                <w:color w:val="FFFFFF"/>
                <w:sz w:val="20"/>
                <w:szCs w:val="20"/>
                <w:lang w:eastAsia="nl-NL"/>
              </w:rPr>
              <w:t>1988</w:t>
            </w:r>
          </w:p>
        </w:tc>
        <w:tc>
          <w:tcPr>
            <w:tcW w:w="1102" w:type="dxa"/>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-0,017946</w:t>
            </w:r>
          </w:p>
        </w:tc>
        <w:tc>
          <w:tcPr>
            <w:tcW w:w="1174" w:type="dxa"/>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-0,006533</w:t>
            </w:r>
          </w:p>
        </w:tc>
        <w:tc>
          <w:tcPr>
            <w:tcW w:w="1174" w:type="dxa"/>
            <w:gridSpan w:val="2"/>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-0,027818</w:t>
            </w:r>
          </w:p>
        </w:tc>
        <w:tc>
          <w:tcPr>
            <w:tcW w:w="1451" w:type="dxa"/>
            <w:gridSpan w:val="2"/>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-0,017701</w:t>
            </w:r>
          </w:p>
        </w:tc>
        <w:tc>
          <w:tcPr>
            <w:tcW w:w="1595" w:type="dxa"/>
            <w:gridSpan w:val="3"/>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-0,010997743</w:t>
            </w:r>
          </w:p>
        </w:tc>
        <w:tc>
          <w:tcPr>
            <w:tcW w:w="364" w:type="dxa"/>
            <w:tcBorders>
              <w:top w:val="nil"/>
              <w:left w:val="nil"/>
              <w:bottom w:val="nil"/>
              <w:right w:val="nil"/>
            </w:tcBorders>
            <w:shd w:val="clear" w:color="auto" w:fill="auto"/>
            <w:noWrap/>
            <w:vAlign w:val="bottom"/>
            <w:hideMark/>
          </w:tcPr>
          <w:p w:rsidR="009A181B" w:rsidRPr="009A181B" w:rsidRDefault="009A181B" w:rsidP="002B6FE4">
            <w:pPr>
              <w:spacing w:after="0" w:line="360" w:lineRule="auto"/>
              <w:rPr>
                <w:rFonts w:ascii="Calibri" w:eastAsia="Times New Roman" w:hAnsi="Calibri" w:cs="Calibri"/>
                <w:color w:val="000000"/>
                <w:lang w:eastAsia="nl-NL"/>
              </w:rPr>
            </w:pPr>
          </w:p>
        </w:tc>
      </w:tr>
      <w:tr w:rsidR="009A181B" w:rsidRPr="009A181B" w:rsidTr="009A181B">
        <w:trPr>
          <w:trHeight w:val="300"/>
        </w:trPr>
        <w:tc>
          <w:tcPr>
            <w:tcW w:w="1291" w:type="dxa"/>
            <w:tcBorders>
              <w:top w:val="nil"/>
              <w:left w:val="single" w:sz="4" w:space="0" w:color="auto"/>
              <w:bottom w:val="single" w:sz="4" w:space="0" w:color="auto"/>
              <w:right w:val="single" w:sz="4" w:space="0" w:color="auto"/>
            </w:tcBorders>
            <w:shd w:val="clear" w:color="000000" w:fill="538DD5"/>
            <w:noWrap/>
            <w:vAlign w:val="center"/>
            <w:hideMark/>
          </w:tcPr>
          <w:p w:rsidR="009A181B" w:rsidRPr="009A181B" w:rsidRDefault="009A181B" w:rsidP="002B6FE4">
            <w:pPr>
              <w:spacing w:after="0" w:line="360" w:lineRule="auto"/>
              <w:jc w:val="center"/>
              <w:rPr>
                <w:rFonts w:ascii="Arial" w:eastAsia="Times New Roman" w:hAnsi="Arial" w:cs="Arial"/>
                <w:b/>
                <w:bCs/>
                <w:color w:val="FFFFFF"/>
                <w:sz w:val="20"/>
                <w:szCs w:val="20"/>
                <w:lang w:eastAsia="nl-NL"/>
              </w:rPr>
            </w:pPr>
            <w:r w:rsidRPr="009A181B">
              <w:rPr>
                <w:rFonts w:ascii="Arial" w:eastAsia="Times New Roman" w:hAnsi="Arial" w:cs="Arial"/>
                <w:b/>
                <w:bCs/>
                <w:color w:val="FFFFFF"/>
                <w:sz w:val="20"/>
                <w:szCs w:val="20"/>
                <w:lang w:eastAsia="nl-NL"/>
              </w:rPr>
              <w:t>1989</w:t>
            </w:r>
          </w:p>
        </w:tc>
        <w:tc>
          <w:tcPr>
            <w:tcW w:w="1102" w:type="dxa"/>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0,003490</w:t>
            </w:r>
          </w:p>
        </w:tc>
        <w:tc>
          <w:tcPr>
            <w:tcW w:w="1174" w:type="dxa"/>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-0,021214</w:t>
            </w:r>
          </w:p>
        </w:tc>
        <w:tc>
          <w:tcPr>
            <w:tcW w:w="1174" w:type="dxa"/>
            <w:gridSpan w:val="2"/>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-0,030135</w:t>
            </w:r>
          </w:p>
        </w:tc>
        <w:tc>
          <w:tcPr>
            <w:tcW w:w="1451" w:type="dxa"/>
            <w:gridSpan w:val="2"/>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-0,016518</w:t>
            </w:r>
          </w:p>
        </w:tc>
        <w:tc>
          <w:tcPr>
            <w:tcW w:w="1595" w:type="dxa"/>
            <w:gridSpan w:val="3"/>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-0,010997743</w:t>
            </w:r>
          </w:p>
        </w:tc>
        <w:tc>
          <w:tcPr>
            <w:tcW w:w="364" w:type="dxa"/>
            <w:tcBorders>
              <w:top w:val="nil"/>
              <w:left w:val="nil"/>
              <w:bottom w:val="nil"/>
              <w:right w:val="nil"/>
            </w:tcBorders>
            <w:shd w:val="clear" w:color="auto" w:fill="auto"/>
            <w:noWrap/>
            <w:vAlign w:val="bottom"/>
            <w:hideMark/>
          </w:tcPr>
          <w:p w:rsidR="009A181B" w:rsidRPr="009A181B" w:rsidRDefault="009A181B" w:rsidP="002B6FE4">
            <w:pPr>
              <w:spacing w:after="0" w:line="360" w:lineRule="auto"/>
              <w:rPr>
                <w:rFonts w:ascii="Calibri" w:eastAsia="Times New Roman" w:hAnsi="Calibri" w:cs="Calibri"/>
                <w:color w:val="000000"/>
                <w:lang w:eastAsia="nl-NL"/>
              </w:rPr>
            </w:pPr>
          </w:p>
        </w:tc>
      </w:tr>
      <w:tr w:rsidR="009A181B" w:rsidRPr="009A181B" w:rsidTr="009A181B">
        <w:trPr>
          <w:trHeight w:val="300"/>
        </w:trPr>
        <w:tc>
          <w:tcPr>
            <w:tcW w:w="1291" w:type="dxa"/>
            <w:tcBorders>
              <w:top w:val="nil"/>
              <w:left w:val="single" w:sz="4" w:space="0" w:color="auto"/>
              <w:bottom w:val="single" w:sz="4" w:space="0" w:color="auto"/>
              <w:right w:val="single" w:sz="4" w:space="0" w:color="auto"/>
            </w:tcBorders>
            <w:shd w:val="clear" w:color="000000" w:fill="538DD5"/>
            <w:noWrap/>
            <w:vAlign w:val="center"/>
            <w:hideMark/>
          </w:tcPr>
          <w:p w:rsidR="009A181B" w:rsidRPr="009A181B" w:rsidRDefault="009A181B" w:rsidP="002B6FE4">
            <w:pPr>
              <w:spacing w:after="0" w:line="360" w:lineRule="auto"/>
              <w:jc w:val="center"/>
              <w:rPr>
                <w:rFonts w:ascii="Arial" w:eastAsia="Times New Roman" w:hAnsi="Arial" w:cs="Arial"/>
                <w:b/>
                <w:bCs/>
                <w:color w:val="FFFFFF"/>
                <w:sz w:val="20"/>
                <w:szCs w:val="20"/>
                <w:lang w:eastAsia="nl-NL"/>
              </w:rPr>
            </w:pPr>
            <w:r w:rsidRPr="009A181B">
              <w:rPr>
                <w:rFonts w:ascii="Arial" w:eastAsia="Times New Roman" w:hAnsi="Arial" w:cs="Arial"/>
                <w:b/>
                <w:bCs/>
                <w:color w:val="FFFFFF"/>
                <w:sz w:val="20"/>
                <w:szCs w:val="20"/>
                <w:lang w:eastAsia="nl-NL"/>
              </w:rPr>
              <w:t>1990</w:t>
            </w:r>
          </w:p>
        </w:tc>
        <w:tc>
          <w:tcPr>
            <w:tcW w:w="1102" w:type="dxa"/>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0,000731</w:t>
            </w:r>
          </w:p>
        </w:tc>
        <w:tc>
          <w:tcPr>
            <w:tcW w:w="1174" w:type="dxa"/>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-0,036725</w:t>
            </w:r>
          </w:p>
        </w:tc>
        <w:tc>
          <w:tcPr>
            <w:tcW w:w="1174" w:type="dxa"/>
            <w:gridSpan w:val="2"/>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0,000027</w:t>
            </w:r>
          </w:p>
        </w:tc>
        <w:tc>
          <w:tcPr>
            <w:tcW w:w="1451" w:type="dxa"/>
            <w:gridSpan w:val="2"/>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-0,010228</w:t>
            </w:r>
          </w:p>
        </w:tc>
        <w:tc>
          <w:tcPr>
            <w:tcW w:w="1595" w:type="dxa"/>
            <w:gridSpan w:val="3"/>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-0,010997743</w:t>
            </w:r>
          </w:p>
        </w:tc>
        <w:tc>
          <w:tcPr>
            <w:tcW w:w="364" w:type="dxa"/>
            <w:tcBorders>
              <w:top w:val="nil"/>
              <w:left w:val="nil"/>
              <w:bottom w:val="nil"/>
              <w:right w:val="nil"/>
            </w:tcBorders>
            <w:shd w:val="clear" w:color="auto" w:fill="auto"/>
            <w:noWrap/>
            <w:vAlign w:val="bottom"/>
            <w:hideMark/>
          </w:tcPr>
          <w:p w:rsidR="009A181B" w:rsidRPr="009A181B" w:rsidRDefault="009A181B" w:rsidP="002B6FE4">
            <w:pPr>
              <w:spacing w:after="0" w:line="360" w:lineRule="auto"/>
              <w:rPr>
                <w:rFonts w:ascii="Calibri" w:eastAsia="Times New Roman" w:hAnsi="Calibri" w:cs="Calibri"/>
                <w:color w:val="000000"/>
                <w:lang w:eastAsia="nl-NL"/>
              </w:rPr>
            </w:pPr>
          </w:p>
        </w:tc>
      </w:tr>
      <w:tr w:rsidR="009A181B" w:rsidRPr="009A181B" w:rsidTr="009A181B">
        <w:trPr>
          <w:trHeight w:val="300"/>
        </w:trPr>
        <w:tc>
          <w:tcPr>
            <w:tcW w:w="1291" w:type="dxa"/>
            <w:tcBorders>
              <w:top w:val="nil"/>
              <w:left w:val="single" w:sz="4" w:space="0" w:color="auto"/>
              <w:bottom w:val="single" w:sz="4" w:space="0" w:color="auto"/>
              <w:right w:val="single" w:sz="4" w:space="0" w:color="auto"/>
            </w:tcBorders>
            <w:shd w:val="clear" w:color="000000" w:fill="538DD5"/>
            <w:noWrap/>
            <w:vAlign w:val="center"/>
            <w:hideMark/>
          </w:tcPr>
          <w:p w:rsidR="009A181B" w:rsidRPr="009A181B" w:rsidRDefault="009A181B" w:rsidP="002B6FE4">
            <w:pPr>
              <w:spacing w:after="0" w:line="360" w:lineRule="auto"/>
              <w:jc w:val="center"/>
              <w:rPr>
                <w:rFonts w:ascii="Arial" w:eastAsia="Times New Roman" w:hAnsi="Arial" w:cs="Arial"/>
                <w:b/>
                <w:bCs/>
                <w:color w:val="FFFFFF"/>
                <w:sz w:val="20"/>
                <w:szCs w:val="20"/>
                <w:lang w:eastAsia="nl-NL"/>
              </w:rPr>
            </w:pPr>
            <w:r w:rsidRPr="009A181B">
              <w:rPr>
                <w:rFonts w:ascii="Arial" w:eastAsia="Times New Roman" w:hAnsi="Arial" w:cs="Arial"/>
                <w:b/>
                <w:bCs/>
                <w:color w:val="FFFFFF"/>
                <w:sz w:val="20"/>
                <w:szCs w:val="20"/>
                <w:lang w:eastAsia="nl-NL"/>
              </w:rPr>
              <w:t>1991</w:t>
            </w:r>
          </w:p>
        </w:tc>
        <w:tc>
          <w:tcPr>
            <w:tcW w:w="1102" w:type="dxa"/>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-0,008071</w:t>
            </w:r>
          </w:p>
        </w:tc>
        <w:tc>
          <w:tcPr>
            <w:tcW w:w="1174" w:type="dxa"/>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0,152717</w:t>
            </w:r>
          </w:p>
        </w:tc>
        <w:tc>
          <w:tcPr>
            <w:tcW w:w="1174" w:type="dxa"/>
            <w:gridSpan w:val="2"/>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-0,034029</w:t>
            </w:r>
          </w:p>
        </w:tc>
        <w:tc>
          <w:tcPr>
            <w:tcW w:w="1451" w:type="dxa"/>
            <w:gridSpan w:val="2"/>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-0,006727</w:t>
            </w:r>
          </w:p>
        </w:tc>
        <w:tc>
          <w:tcPr>
            <w:tcW w:w="1595" w:type="dxa"/>
            <w:gridSpan w:val="3"/>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-0,010997743</w:t>
            </w:r>
          </w:p>
        </w:tc>
        <w:tc>
          <w:tcPr>
            <w:tcW w:w="364" w:type="dxa"/>
            <w:tcBorders>
              <w:top w:val="nil"/>
              <w:left w:val="nil"/>
              <w:bottom w:val="nil"/>
              <w:right w:val="nil"/>
            </w:tcBorders>
            <w:shd w:val="clear" w:color="auto" w:fill="auto"/>
            <w:noWrap/>
            <w:vAlign w:val="bottom"/>
            <w:hideMark/>
          </w:tcPr>
          <w:p w:rsidR="009A181B" w:rsidRPr="009A181B" w:rsidRDefault="009A181B" w:rsidP="002B6FE4">
            <w:pPr>
              <w:spacing w:after="0" w:line="360" w:lineRule="auto"/>
              <w:rPr>
                <w:rFonts w:ascii="Calibri" w:eastAsia="Times New Roman" w:hAnsi="Calibri" w:cs="Calibri"/>
                <w:color w:val="000000"/>
                <w:lang w:eastAsia="nl-NL"/>
              </w:rPr>
            </w:pPr>
          </w:p>
        </w:tc>
      </w:tr>
      <w:tr w:rsidR="009A181B" w:rsidRPr="009A181B" w:rsidTr="009A181B">
        <w:trPr>
          <w:trHeight w:val="300"/>
        </w:trPr>
        <w:tc>
          <w:tcPr>
            <w:tcW w:w="1291" w:type="dxa"/>
            <w:tcBorders>
              <w:top w:val="nil"/>
              <w:left w:val="single" w:sz="4" w:space="0" w:color="auto"/>
              <w:bottom w:val="single" w:sz="4" w:space="0" w:color="auto"/>
              <w:right w:val="single" w:sz="4" w:space="0" w:color="auto"/>
            </w:tcBorders>
            <w:shd w:val="clear" w:color="000000" w:fill="538DD5"/>
            <w:noWrap/>
            <w:vAlign w:val="center"/>
            <w:hideMark/>
          </w:tcPr>
          <w:p w:rsidR="009A181B" w:rsidRPr="009A181B" w:rsidRDefault="009A181B" w:rsidP="002B6FE4">
            <w:pPr>
              <w:spacing w:after="0" w:line="360" w:lineRule="auto"/>
              <w:jc w:val="center"/>
              <w:rPr>
                <w:rFonts w:ascii="Arial" w:eastAsia="Times New Roman" w:hAnsi="Arial" w:cs="Arial"/>
                <w:b/>
                <w:bCs/>
                <w:color w:val="FFFFFF"/>
                <w:sz w:val="20"/>
                <w:szCs w:val="20"/>
                <w:lang w:eastAsia="nl-NL"/>
              </w:rPr>
            </w:pPr>
            <w:r w:rsidRPr="009A181B">
              <w:rPr>
                <w:rFonts w:ascii="Arial" w:eastAsia="Times New Roman" w:hAnsi="Arial" w:cs="Arial"/>
                <w:b/>
                <w:bCs/>
                <w:color w:val="FFFFFF"/>
                <w:sz w:val="20"/>
                <w:szCs w:val="20"/>
                <w:lang w:eastAsia="nl-NL"/>
              </w:rPr>
              <w:t>1992</w:t>
            </w:r>
          </w:p>
        </w:tc>
        <w:tc>
          <w:tcPr>
            <w:tcW w:w="1102" w:type="dxa"/>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0,026722</w:t>
            </w:r>
          </w:p>
        </w:tc>
        <w:tc>
          <w:tcPr>
            <w:tcW w:w="1174" w:type="dxa"/>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-0,059115</w:t>
            </w:r>
          </w:p>
        </w:tc>
        <w:tc>
          <w:tcPr>
            <w:tcW w:w="1174" w:type="dxa"/>
            <w:gridSpan w:val="2"/>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-0,010203</w:t>
            </w:r>
          </w:p>
        </w:tc>
        <w:tc>
          <w:tcPr>
            <w:tcW w:w="1451" w:type="dxa"/>
            <w:gridSpan w:val="2"/>
            <w:tcBorders>
              <w:top w:val="nil"/>
              <w:left w:val="nil"/>
              <w:bottom w:val="single" w:sz="4" w:space="0" w:color="auto"/>
              <w:right w:val="single" w:sz="4" w:space="0" w:color="auto"/>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r w:rsidRPr="009A181B">
              <w:rPr>
                <w:rFonts w:ascii="Arial" w:eastAsia="Times New Roman" w:hAnsi="Arial" w:cs="Arial"/>
                <w:color w:val="000000"/>
                <w:sz w:val="20"/>
                <w:szCs w:val="20"/>
                <w:lang w:eastAsia="nl-NL"/>
              </w:rPr>
              <w:t>0,014725</w:t>
            </w:r>
          </w:p>
        </w:tc>
        <w:tc>
          <w:tcPr>
            <w:tcW w:w="1595" w:type="dxa"/>
            <w:gridSpan w:val="3"/>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-0,010997743</w:t>
            </w:r>
          </w:p>
        </w:tc>
        <w:tc>
          <w:tcPr>
            <w:tcW w:w="364" w:type="dxa"/>
            <w:tcBorders>
              <w:top w:val="nil"/>
              <w:left w:val="nil"/>
              <w:bottom w:val="nil"/>
              <w:right w:val="nil"/>
            </w:tcBorders>
            <w:shd w:val="clear" w:color="auto" w:fill="auto"/>
            <w:noWrap/>
            <w:vAlign w:val="bottom"/>
            <w:hideMark/>
          </w:tcPr>
          <w:p w:rsidR="009A181B" w:rsidRPr="009A181B" w:rsidRDefault="009A181B" w:rsidP="002B6FE4">
            <w:pPr>
              <w:spacing w:after="0" w:line="360" w:lineRule="auto"/>
              <w:rPr>
                <w:rFonts w:ascii="Calibri" w:eastAsia="Times New Roman" w:hAnsi="Calibri" w:cs="Calibri"/>
                <w:color w:val="000000"/>
                <w:lang w:eastAsia="nl-NL"/>
              </w:rPr>
            </w:pPr>
          </w:p>
        </w:tc>
      </w:tr>
      <w:tr w:rsidR="009A181B" w:rsidRPr="009A181B" w:rsidTr="009A181B">
        <w:trPr>
          <w:trHeight w:val="300"/>
        </w:trPr>
        <w:tc>
          <w:tcPr>
            <w:tcW w:w="1291" w:type="dxa"/>
            <w:tcBorders>
              <w:top w:val="nil"/>
              <w:left w:val="nil"/>
              <w:bottom w:val="nil"/>
              <w:right w:val="nil"/>
            </w:tcBorders>
            <w:shd w:val="clear" w:color="000000" w:fill="FFFFFF"/>
            <w:noWrap/>
            <w:vAlign w:val="center"/>
            <w:hideMark/>
          </w:tcPr>
          <w:p w:rsidR="00A50523" w:rsidRDefault="00A50523" w:rsidP="006D2B65">
            <w:pPr>
              <w:spacing w:line="360" w:lineRule="auto"/>
              <w:rPr>
                <w:b/>
              </w:rPr>
            </w:pPr>
          </w:p>
          <w:p w:rsidR="00A50523" w:rsidRDefault="00A50523" w:rsidP="006D2B65">
            <w:pPr>
              <w:spacing w:line="360" w:lineRule="auto"/>
              <w:rPr>
                <w:b/>
              </w:rPr>
            </w:pPr>
          </w:p>
          <w:p w:rsidR="00A50523" w:rsidRDefault="00A50523" w:rsidP="006D2B65">
            <w:pPr>
              <w:spacing w:line="360" w:lineRule="auto"/>
              <w:rPr>
                <w:b/>
              </w:rPr>
            </w:pPr>
          </w:p>
          <w:p w:rsidR="009A181B" w:rsidRPr="006D2B65" w:rsidRDefault="006D2B65" w:rsidP="006D2B65">
            <w:pPr>
              <w:spacing w:line="360" w:lineRule="auto"/>
              <w:rPr>
                <w:b/>
              </w:rPr>
            </w:pPr>
            <w:r>
              <w:rPr>
                <w:b/>
              </w:rPr>
              <w:lastRenderedPageBreak/>
              <w:t>Bijlage B.2</w:t>
            </w:r>
          </w:p>
        </w:tc>
        <w:tc>
          <w:tcPr>
            <w:tcW w:w="1102" w:type="dxa"/>
            <w:tcBorders>
              <w:top w:val="nil"/>
              <w:left w:val="nil"/>
              <w:bottom w:val="nil"/>
              <w:right w:val="nil"/>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p>
        </w:tc>
        <w:tc>
          <w:tcPr>
            <w:tcW w:w="1174" w:type="dxa"/>
            <w:tcBorders>
              <w:top w:val="nil"/>
              <w:left w:val="nil"/>
              <w:bottom w:val="nil"/>
              <w:right w:val="nil"/>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p>
        </w:tc>
        <w:tc>
          <w:tcPr>
            <w:tcW w:w="1174" w:type="dxa"/>
            <w:gridSpan w:val="2"/>
            <w:tcBorders>
              <w:top w:val="nil"/>
              <w:left w:val="nil"/>
              <w:bottom w:val="nil"/>
              <w:right w:val="nil"/>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p>
        </w:tc>
        <w:tc>
          <w:tcPr>
            <w:tcW w:w="1451" w:type="dxa"/>
            <w:gridSpan w:val="2"/>
            <w:tcBorders>
              <w:top w:val="nil"/>
              <w:left w:val="nil"/>
              <w:bottom w:val="nil"/>
              <w:right w:val="nil"/>
            </w:tcBorders>
            <w:shd w:val="clear" w:color="auto" w:fill="auto"/>
            <w:noWrap/>
            <w:vAlign w:val="center"/>
            <w:hideMark/>
          </w:tcPr>
          <w:p w:rsidR="009A181B" w:rsidRPr="009A181B" w:rsidRDefault="009A181B" w:rsidP="002B6FE4">
            <w:pPr>
              <w:spacing w:after="0" w:line="360" w:lineRule="auto"/>
              <w:jc w:val="center"/>
              <w:rPr>
                <w:rFonts w:ascii="Arial" w:eastAsia="Times New Roman" w:hAnsi="Arial" w:cs="Arial"/>
                <w:color w:val="000000"/>
                <w:sz w:val="20"/>
                <w:szCs w:val="20"/>
                <w:lang w:eastAsia="nl-NL"/>
              </w:rPr>
            </w:pPr>
          </w:p>
        </w:tc>
        <w:tc>
          <w:tcPr>
            <w:tcW w:w="1595" w:type="dxa"/>
            <w:gridSpan w:val="3"/>
            <w:tcBorders>
              <w:top w:val="nil"/>
              <w:left w:val="nil"/>
              <w:bottom w:val="nil"/>
              <w:right w:val="nil"/>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p>
        </w:tc>
        <w:tc>
          <w:tcPr>
            <w:tcW w:w="364" w:type="dxa"/>
            <w:tcBorders>
              <w:top w:val="nil"/>
              <w:left w:val="nil"/>
              <w:bottom w:val="nil"/>
              <w:right w:val="nil"/>
            </w:tcBorders>
            <w:shd w:val="clear" w:color="auto" w:fill="auto"/>
            <w:noWrap/>
            <w:vAlign w:val="bottom"/>
            <w:hideMark/>
          </w:tcPr>
          <w:p w:rsidR="009A181B" w:rsidRPr="009A181B" w:rsidRDefault="009A181B" w:rsidP="002B6FE4">
            <w:pPr>
              <w:spacing w:after="0" w:line="360" w:lineRule="auto"/>
              <w:rPr>
                <w:rFonts w:ascii="Calibri" w:eastAsia="Times New Roman" w:hAnsi="Calibri" w:cs="Calibri"/>
                <w:color w:val="000000"/>
                <w:lang w:eastAsia="nl-NL"/>
              </w:rPr>
            </w:pPr>
          </w:p>
        </w:tc>
      </w:tr>
      <w:tr w:rsidR="009A181B" w:rsidRPr="009A181B" w:rsidTr="009A181B">
        <w:trPr>
          <w:trHeight w:val="300"/>
        </w:trPr>
        <w:tc>
          <w:tcPr>
            <w:tcW w:w="1291" w:type="dxa"/>
            <w:tcBorders>
              <w:top w:val="nil"/>
              <w:left w:val="nil"/>
              <w:bottom w:val="nil"/>
              <w:right w:val="nil"/>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p>
        </w:tc>
        <w:tc>
          <w:tcPr>
            <w:tcW w:w="6860" w:type="dxa"/>
            <w:gridSpan w:val="10"/>
            <w:tcBorders>
              <w:top w:val="single" w:sz="4" w:space="0" w:color="auto"/>
              <w:left w:val="single" w:sz="4" w:space="0" w:color="auto"/>
              <w:bottom w:val="single" w:sz="4" w:space="0" w:color="auto"/>
              <w:right w:val="single" w:sz="4" w:space="0" w:color="000000"/>
            </w:tcBorders>
            <w:shd w:val="clear" w:color="000000" w:fill="16365C"/>
            <w:noWrap/>
            <w:vAlign w:val="bottom"/>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Gemiddelde procentuele verandering organisatiegraad</w:t>
            </w:r>
          </w:p>
        </w:tc>
      </w:tr>
      <w:tr w:rsidR="009A181B" w:rsidRPr="009A181B" w:rsidTr="009A181B">
        <w:trPr>
          <w:trHeight w:val="300"/>
        </w:trPr>
        <w:tc>
          <w:tcPr>
            <w:tcW w:w="1291" w:type="dxa"/>
            <w:tcBorders>
              <w:top w:val="nil"/>
              <w:left w:val="nil"/>
              <w:bottom w:val="nil"/>
              <w:right w:val="nil"/>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p>
        </w:tc>
        <w:tc>
          <w:tcPr>
            <w:tcW w:w="1102" w:type="dxa"/>
            <w:tcBorders>
              <w:top w:val="nil"/>
              <w:left w:val="single" w:sz="4" w:space="0" w:color="auto"/>
              <w:bottom w:val="single" w:sz="4" w:space="0" w:color="auto"/>
              <w:right w:val="single" w:sz="4" w:space="0" w:color="auto"/>
            </w:tcBorders>
            <w:shd w:val="clear" w:color="000000" w:fill="538DD5"/>
            <w:noWrap/>
            <w:vAlign w:val="center"/>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Nederland</w:t>
            </w:r>
          </w:p>
        </w:tc>
        <w:tc>
          <w:tcPr>
            <w:tcW w:w="1308" w:type="dxa"/>
            <w:gridSpan w:val="2"/>
            <w:tcBorders>
              <w:top w:val="nil"/>
              <w:left w:val="nil"/>
              <w:bottom w:val="single" w:sz="4" w:space="0" w:color="auto"/>
              <w:right w:val="single" w:sz="4" w:space="0" w:color="auto"/>
            </w:tcBorders>
            <w:shd w:val="clear" w:color="000000" w:fill="538DD5"/>
            <w:noWrap/>
            <w:vAlign w:val="center"/>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Duitsland</w:t>
            </w:r>
          </w:p>
        </w:tc>
        <w:tc>
          <w:tcPr>
            <w:tcW w:w="1276" w:type="dxa"/>
            <w:gridSpan w:val="2"/>
            <w:tcBorders>
              <w:top w:val="nil"/>
              <w:left w:val="nil"/>
              <w:bottom w:val="single" w:sz="4" w:space="0" w:color="auto"/>
              <w:right w:val="single" w:sz="4" w:space="0" w:color="auto"/>
            </w:tcBorders>
            <w:shd w:val="clear" w:color="000000" w:fill="538DD5"/>
            <w:noWrap/>
            <w:vAlign w:val="center"/>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Japan</w:t>
            </w:r>
          </w:p>
        </w:tc>
        <w:tc>
          <w:tcPr>
            <w:tcW w:w="1478" w:type="dxa"/>
            <w:gridSpan w:val="3"/>
            <w:tcBorders>
              <w:top w:val="nil"/>
              <w:left w:val="nil"/>
              <w:bottom w:val="single" w:sz="4" w:space="0" w:color="auto"/>
              <w:right w:val="single" w:sz="4" w:space="0" w:color="auto"/>
            </w:tcBorders>
            <w:shd w:val="clear" w:color="000000" w:fill="538DD5"/>
            <w:noWrap/>
            <w:vAlign w:val="center"/>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Zwitserland</w:t>
            </w:r>
          </w:p>
        </w:tc>
        <w:tc>
          <w:tcPr>
            <w:tcW w:w="1332" w:type="dxa"/>
            <w:tcBorders>
              <w:top w:val="nil"/>
              <w:left w:val="nil"/>
              <w:bottom w:val="single" w:sz="4" w:space="0" w:color="auto"/>
              <w:right w:val="single" w:sz="4" w:space="0" w:color="auto"/>
            </w:tcBorders>
            <w:shd w:val="clear" w:color="000000" w:fill="538DD5"/>
            <w:noWrap/>
            <w:vAlign w:val="bottom"/>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Trendlijn</w:t>
            </w:r>
          </w:p>
        </w:tc>
        <w:tc>
          <w:tcPr>
            <w:tcW w:w="364" w:type="dxa"/>
            <w:tcBorders>
              <w:top w:val="nil"/>
              <w:left w:val="nil"/>
              <w:bottom w:val="single" w:sz="4" w:space="0" w:color="auto"/>
              <w:right w:val="single" w:sz="4" w:space="0" w:color="auto"/>
            </w:tcBorders>
            <w:shd w:val="clear" w:color="000000" w:fill="538DD5"/>
            <w:noWrap/>
            <w:vAlign w:val="bottom"/>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N</w:t>
            </w:r>
          </w:p>
        </w:tc>
      </w:tr>
      <w:tr w:rsidR="009A181B" w:rsidRPr="009A181B" w:rsidTr="009A181B">
        <w:trPr>
          <w:trHeight w:val="300"/>
        </w:trPr>
        <w:tc>
          <w:tcPr>
            <w:tcW w:w="1291" w:type="dxa"/>
            <w:tcBorders>
              <w:top w:val="single" w:sz="4" w:space="0" w:color="auto"/>
              <w:left w:val="single" w:sz="4" w:space="0" w:color="auto"/>
              <w:bottom w:val="single" w:sz="4" w:space="0" w:color="auto"/>
              <w:right w:val="single" w:sz="4" w:space="0" w:color="auto"/>
            </w:tcBorders>
            <w:shd w:val="clear" w:color="000000" w:fill="538DD5"/>
            <w:noWrap/>
            <w:vAlign w:val="bottom"/>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1983-1987</w:t>
            </w:r>
          </w:p>
        </w:tc>
        <w:tc>
          <w:tcPr>
            <w:tcW w:w="1102" w:type="dxa"/>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-0,051920</w:t>
            </w:r>
          </w:p>
        </w:tc>
        <w:tc>
          <w:tcPr>
            <w:tcW w:w="1308" w:type="dxa"/>
            <w:gridSpan w:val="2"/>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-0,009818</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-0,019388</w:t>
            </w:r>
          </w:p>
        </w:tc>
        <w:tc>
          <w:tcPr>
            <w:tcW w:w="1478" w:type="dxa"/>
            <w:gridSpan w:val="3"/>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-0,023569</w:t>
            </w:r>
          </w:p>
        </w:tc>
        <w:tc>
          <w:tcPr>
            <w:tcW w:w="1332" w:type="dxa"/>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-0,040923</w:t>
            </w:r>
          </w:p>
        </w:tc>
        <w:tc>
          <w:tcPr>
            <w:tcW w:w="364" w:type="dxa"/>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5</w:t>
            </w:r>
          </w:p>
        </w:tc>
      </w:tr>
      <w:tr w:rsidR="009A181B" w:rsidRPr="009A181B" w:rsidTr="009A181B">
        <w:trPr>
          <w:trHeight w:val="300"/>
        </w:trPr>
        <w:tc>
          <w:tcPr>
            <w:tcW w:w="1291" w:type="dxa"/>
            <w:tcBorders>
              <w:top w:val="nil"/>
              <w:left w:val="single" w:sz="4" w:space="0" w:color="auto"/>
              <w:bottom w:val="single" w:sz="4" w:space="0" w:color="auto"/>
              <w:right w:val="single" w:sz="4" w:space="0" w:color="auto"/>
            </w:tcBorders>
            <w:shd w:val="clear" w:color="000000" w:fill="538DD5"/>
            <w:noWrap/>
            <w:vAlign w:val="bottom"/>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1988-1992</w:t>
            </w:r>
          </w:p>
        </w:tc>
        <w:tc>
          <w:tcPr>
            <w:tcW w:w="1102" w:type="dxa"/>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0,000985</w:t>
            </w:r>
          </w:p>
        </w:tc>
        <w:tc>
          <w:tcPr>
            <w:tcW w:w="1308" w:type="dxa"/>
            <w:gridSpan w:val="2"/>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0,005826</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-0,020431</w:t>
            </w:r>
          </w:p>
        </w:tc>
        <w:tc>
          <w:tcPr>
            <w:tcW w:w="1478" w:type="dxa"/>
            <w:gridSpan w:val="3"/>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-0,007290</w:t>
            </w:r>
          </w:p>
        </w:tc>
        <w:tc>
          <w:tcPr>
            <w:tcW w:w="1332" w:type="dxa"/>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0,011983</w:t>
            </w:r>
          </w:p>
        </w:tc>
        <w:tc>
          <w:tcPr>
            <w:tcW w:w="364" w:type="dxa"/>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5</w:t>
            </w:r>
          </w:p>
        </w:tc>
      </w:tr>
      <w:tr w:rsidR="009A181B" w:rsidRPr="009A181B" w:rsidTr="009A181B">
        <w:trPr>
          <w:trHeight w:val="300"/>
        </w:trPr>
        <w:tc>
          <w:tcPr>
            <w:tcW w:w="1291" w:type="dxa"/>
            <w:tcBorders>
              <w:top w:val="nil"/>
              <w:left w:val="single" w:sz="4" w:space="0" w:color="auto"/>
              <w:bottom w:val="single" w:sz="4" w:space="0" w:color="auto"/>
              <w:right w:val="single" w:sz="4" w:space="0" w:color="auto"/>
            </w:tcBorders>
            <w:shd w:val="clear" w:color="000000" w:fill="538DD5"/>
            <w:noWrap/>
            <w:vAlign w:val="bottom"/>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1983-1992</w:t>
            </w:r>
          </w:p>
        </w:tc>
        <w:tc>
          <w:tcPr>
            <w:tcW w:w="1102" w:type="dxa"/>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-0,025468</w:t>
            </w:r>
          </w:p>
        </w:tc>
        <w:tc>
          <w:tcPr>
            <w:tcW w:w="1308" w:type="dxa"/>
            <w:gridSpan w:val="2"/>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-0,001996</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-0,019910</w:t>
            </w:r>
          </w:p>
        </w:tc>
        <w:tc>
          <w:tcPr>
            <w:tcW w:w="1478" w:type="dxa"/>
            <w:gridSpan w:val="3"/>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-0,015429</w:t>
            </w:r>
          </w:p>
        </w:tc>
        <w:tc>
          <w:tcPr>
            <w:tcW w:w="1332" w:type="dxa"/>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-0,014470</w:t>
            </w:r>
          </w:p>
        </w:tc>
        <w:tc>
          <w:tcPr>
            <w:tcW w:w="364" w:type="dxa"/>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10</w:t>
            </w:r>
          </w:p>
        </w:tc>
      </w:tr>
      <w:tr w:rsidR="009A181B" w:rsidRPr="009A181B" w:rsidTr="009A181B">
        <w:trPr>
          <w:trHeight w:val="300"/>
        </w:trPr>
        <w:tc>
          <w:tcPr>
            <w:tcW w:w="1291" w:type="dxa"/>
            <w:tcBorders>
              <w:top w:val="nil"/>
              <w:left w:val="nil"/>
              <w:bottom w:val="nil"/>
              <w:right w:val="nil"/>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p>
        </w:tc>
        <w:tc>
          <w:tcPr>
            <w:tcW w:w="1102" w:type="dxa"/>
            <w:tcBorders>
              <w:top w:val="nil"/>
              <w:left w:val="nil"/>
              <w:bottom w:val="nil"/>
              <w:right w:val="nil"/>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p>
        </w:tc>
        <w:tc>
          <w:tcPr>
            <w:tcW w:w="1308" w:type="dxa"/>
            <w:gridSpan w:val="2"/>
            <w:tcBorders>
              <w:top w:val="nil"/>
              <w:left w:val="nil"/>
              <w:bottom w:val="nil"/>
              <w:right w:val="nil"/>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p>
        </w:tc>
        <w:tc>
          <w:tcPr>
            <w:tcW w:w="1276" w:type="dxa"/>
            <w:gridSpan w:val="2"/>
            <w:tcBorders>
              <w:top w:val="nil"/>
              <w:left w:val="nil"/>
              <w:bottom w:val="nil"/>
              <w:right w:val="nil"/>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p>
        </w:tc>
        <w:tc>
          <w:tcPr>
            <w:tcW w:w="1478" w:type="dxa"/>
            <w:gridSpan w:val="3"/>
            <w:tcBorders>
              <w:top w:val="nil"/>
              <w:left w:val="nil"/>
              <w:bottom w:val="nil"/>
              <w:right w:val="nil"/>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p>
        </w:tc>
        <w:tc>
          <w:tcPr>
            <w:tcW w:w="1332" w:type="dxa"/>
            <w:tcBorders>
              <w:top w:val="nil"/>
              <w:left w:val="nil"/>
              <w:bottom w:val="nil"/>
              <w:right w:val="nil"/>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p>
        </w:tc>
        <w:tc>
          <w:tcPr>
            <w:tcW w:w="364" w:type="dxa"/>
            <w:tcBorders>
              <w:top w:val="nil"/>
              <w:left w:val="nil"/>
              <w:bottom w:val="nil"/>
              <w:right w:val="nil"/>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p>
        </w:tc>
      </w:tr>
      <w:tr w:rsidR="009A181B" w:rsidRPr="009A181B" w:rsidTr="009A181B">
        <w:trPr>
          <w:trHeight w:val="300"/>
        </w:trPr>
        <w:tc>
          <w:tcPr>
            <w:tcW w:w="1291" w:type="dxa"/>
            <w:tcBorders>
              <w:top w:val="nil"/>
              <w:left w:val="nil"/>
              <w:bottom w:val="nil"/>
              <w:right w:val="nil"/>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p>
        </w:tc>
        <w:tc>
          <w:tcPr>
            <w:tcW w:w="6860" w:type="dxa"/>
            <w:gridSpan w:val="10"/>
            <w:tcBorders>
              <w:top w:val="single" w:sz="4" w:space="0" w:color="auto"/>
              <w:left w:val="single" w:sz="4" w:space="0" w:color="auto"/>
              <w:bottom w:val="single" w:sz="4" w:space="0" w:color="auto"/>
              <w:right w:val="single" w:sz="4" w:space="0" w:color="000000"/>
            </w:tcBorders>
            <w:shd w:val="clear" w:color="000000" w:fill="16365C"/>
            <w:noWrap/>
            <w:vAlign w:val="bottom"/>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Afwijking gemiddelde procentuele verandering met Nederland</w:t>
            </w:r>
          </w:p>
        </w:tc>
      </w:tr>
      <w:tr w:rsidR="009A181B" w:rsidRPr="009A181B" w:rsidTr="009A181B">
        <w:trPr>
          <w:trHeight w:val="300"/>
        </w:trPr>
        <w:tc>
          <w:tcPr>
            <w:tcW w:w="1291" w:type="dxa"/>
            <w:tcBorders>
              <w:top w:val="nil"/>
              <w:left w:val="nil"/>
              <w:bottom w:val="nil"/>
              <w:right w:val="nil"/>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p>
        </w:tc>
        <w:tc>
          <w:tcPr>
            <w:tcW w:w="1102" w:type="dxa"/>
            <w:tcBorders>
              <w:top w:val="nil"/>
              <w:left w:val="single" w:sz="4" w:space="0" w:color="auto"/>
              <w:bottom w:val="single" w:sz="4" w:space="0" w:color="auto"/>
              <w:right w:val="single" w:sz="4" w:space="0" w:color="auto"/>
            </w:tcBorders>
            <w:shd w:val="clear" w:color="000000" w:fill="538DD5"/>
            <w:noWrap/>
            <w:vAlign w:val="center"/>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Nederland</w:t>
            </w:r>
          </w:p>
        </w:tc>
        <w:tc>
          <w:tcPr>
            <w:tcW w:w="1308" w:type="dxa"/>
            <w:gridSpan w:val="2"/>
            <w:tcBorders>
              <w:top w:val="nil"/>
              <w:left w:val="nil"/>
              <w:bottom w:val="single" w:sz="4" w:space="0" w:color="auto"/>
              <w:right w:val="single" w:sz="4" w:space="0" w:color="auto"/>
            </w:tcBorders>
            <w:shd w:val="clear" w:color="000000" w:fill="538DD5"/>
            <w:noWrap/>
            <w:vAlign w:val="center"/>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Duitsland</w:t>
            </w:r>
          </w:p>
        </w:tc>
        <w:tc>
          <w:tcPr>
            <w:tcW w:w="1276" w:type="dxa"/>
            <w:gridSpan w:val="2"/>
            <w:tcBorders>
              <w:top w:val="nil"/>
              <w:left w:val="nil"/>
              <w:bottom w:val="single" w:sz="4" w:space="0" w:color="auto"/>
              <w:right w:val="single" w:sz="4" w:space="0" w:color="auto"/>
            </w:tcBorders>
            <w:shd w:val="clear" w:color="000000" w:fill="538DD5"/>
            <w:noWrap/>
            <w:vAlign w:val="center"/>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Japan</w:t>
            </w:r>
          </w:p>
        </w:tc>
        <w:tc>
          <w:tcPr>
            <w:tcW w:w="1478" w:type="dxa"/>
            <w:gridSpan w:val="3"/>
            <w:tcBorders>
              <w:top w:val="nil"/>
              <w:left w:val="nil"/>
              <w:bottom w:val="single" w:sz="4" w:space="0" w:color="auto"/>
              <w:right w:val="single" w:sz="4" w:space="0" w:color="auto"/>
            </w:tcBorders>
            <w:shd w:val="clear" w:color="000000" w:fill="538DD5"/>
            <w:noWrap/>
            <w:vAlign w:val="center"/>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Zwitserland</w:t>
            </w:r>
          </w:p>
        </w:tc>
        <w:tc>
          <w:tcPr>
            <w:tcW w:w="1332" w:type="dxa"/>
            <w:tcBorders>
              <w:top w:val="nil"/>
              <w:left w:val="nil"/>
              <w:bottom w:val="single" w:sz="4" w:space="0" w:color="auto"/>
              <w:right w:val="single" w:sz="4" w:space="0" w:color="auto"/>
            </w:tcBorders>
            <w:shd w:val="clear" w:color="000000" w:fill="538DD5"/>
            <w:noWrap/>
            <w:vAlign w:val="bottom"/>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Trendlijn</w:t>
            </w:r>
          </w:p>
        </w:tc>
        <w:tc>
          <w:tcPr>
            <w:tcW w:w="364" w:type="dxa"/>
            <w:tcBorders>
              <w:top w:val="nil"/>
              <w:left w:val="nil"/>
              <w:bottom w:val="single" w:sz="4" w:space="0" w:color="auto"/>
              <w:right w:val="single" w:sz="4" w:space="0" w:color="auto"/>
            </w:tcBorders>
            <w:shd w:val="clear" w:color="000000" w:fill="538DD5"/>
            <w:noWrap/>
            <w:vAlign w:val="bottom"/>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N</w:t>
            </w:r>
          </w:p>
        </w:tc>
      </w:tr>
      <w:tr w:rsidR="009A181B" w:rsidRPr="009A181B" w:rsidTr="009A181B">
        <w:trPr>
          <w:trHeight w:val="300"/>
        </w:trPr>
        <w:tc>
          <w:tcPr>
            <w:tcW w:w="1291" w:type="dxa"/>
            <w:tcBorders>
              <w:top w:val="single" w:sz="4" w:space="0" w:color="auto"/>
              <w:left w:val="single" w:sz="4" w:space="0" w:color="auto"/>
              <w:bottom w:val="single" w:sz="4" w:space="0" w:color="auto"/>
              <w:right w:val="single" w:sz="4" w:space="0" w:color="auto"/>
            </w:tcBorders>
            <w:shd w:val="clear" w:color="000000" w:fill="538DD5"/>
            <w:noWrap/>
            <w:vAlign w:val="bottom"/>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1983-1987</w:t>
            </w:r>
          </w:p>
        </w:tc>
        <w:tc>
          <w:tcPr>
            <w:tcW w:w="1102" w:type="dxa"/>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xxx</w:t>
            </w:r>
          </w:p>
        </w:tc>
        <w:tc>
          <w:tcPr>
            <w:tcW w:w="1308" w:type="dxa"/>
            <w:gridSpan w:val="2"/>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-0,042102</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-0,032533</w:t>
            </w:r>
          </w:p>
        </w:tc>
        <w:tc>
          <w:tcPr>
            <w:tcW w:w="1478" w:type="dxa"/>
            <w:gridSpan w:val="3"/>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-0,028352</w:t>
            </w:r>
          </w:p>
        </w:tc>
        <w:tc>
          <w:tcPr>
            <w:tcW w:w="1332" w:type="dxa"/>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-0,040923</w:t>
            </w:r>
          </w:p>
        </w:tc>
        <w:tc>
          <w:tcPr>
            <w:tcW w:w="364" w:type="dxa"/>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5</w:t>
            </w:r>
          </w:p>
        </w:tc>
      </w:tr>
      <w:tr w:rsidR="009A181B" w:rsidRPr="009A181B" w:rsidTr="009A181B">
        <w:trPr>
          <w:trHeight w:val="300"/>
        </w:trPr>
        <w:tc>
          <w:tcPr>
            <w:tcW w:w="1291" w:type="dxa"/>
            <w:tcBorders>
              <w:top w:val="nil"/>
              <w:left w:val="single" w:sz="4" w:space="0" w:color="auto"/>
              <w:bottom w:val="single" w:sz="4" w:space="0" w:color="auto"/>
              <w:right w:val="single" w:sz="4" w:space="0" w:color="auto"/>
            </w:tcBorders>
            <w:shd w:val="clear" w:color="000000" w:fill="538DD5"/>
            <w:noWrap/>
            <w:vAlign w:val="bottom"/>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1988-1992</w:t>
            </w:r>
          </w:p>
        </w:tc>
        <w:tc>
          <w:tcPr>
            <w:tcW w:w="1102" w:type="dxa"/>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xxx</w:t>
            </w:r>
          </w:p>
        </w:tc>
        <w:tc>
          <w:tcPr>
            <w:tcW w:w="1308" w:type="dxa"/>
            <w:gridSpan w:val="2"/>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-0,004841</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0,021417</w:t>
            </w:r>
          </w:p>
        </w:tc>
        <w:tc>
          <w:tcPr>
            <w:tcW w:w="1478" w:type="dxa"/>
            <w:gridSpan w:val="3"/>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0,008275</w:t>
            </w:r>
          </w:p>
        </w:tc>
        <w:tc>
          <w:tcPr>
            <w:tcW w:w="1332" w:type="dxa"/>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0,011983</w:t>
            </w:r>
          </w:p>
        </w:tc>
        <w:tc>
          <w:tcPr>
            <w:tcW w:w="364" w:type="dxa"/>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5</w:t>
            </w:r>
          </w:p>
        </w:tc>
      </w:tr>
      <w:tr w:rsidR="009A181B" w:rsidRPr="009A181B" w:rsidTr="009A181B">
        <w:trPr>
          <w:trHeight w:val="300"/>
        </w:trPr>
        <w:tc>
          <w:tcPr>
            <w:tcW w:w="1291" w:type="dxa"/>
            <w:tcBorders>
              <w:top w:val="nil"/>
              <w:left w:val="single" w:sz="4" w:space="0" w:color="auto"/>
              <w:bottom w:val="single" w:sz="4" w:space="0" w:color="auto"/>
              <w:right w:val="single" w:sz="4" w:space="0" w:color="auto"/>
            </w:tcBorders>
            <w:shd w:val="clear" w:color="000000" w:fill="538DD5"/>
            <w:noWrap/>
            <w:vAlign w:val="bottom"/>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1983-1992</w:t>
            </w:r>
          </w:p>
        </w:tc>
        <w:tc>
          <w:tcPr>
            <w:tcW w:w="1102" w:type="dxa"/>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xxx</w:t>
            </w:r>
          </w:p>
        </w:tc>
        <w:tc>
          <w:tcPr>
            <w:tcW w:w="1308" w:type="dxa"/>
            <w:gridSpan w:val="2"/>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-0,023472</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-0,005558</w:t>
            </w:r>
          </w:p>
        </w:tc>
        <w:tc>
          <w:tcPr>
            <w:tcW w:w="1478" w:type="dxa"/>
            <w:gridSpan w:val="3"/>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-0,010038</w:t>
            </w:r>
          </w:p>
        </w:tc>
        <w:tc>
          <w:tcPr>
            <w:tcW w:w="1332" w:type="dxa"/>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-0,014470</w:t>
            </w:r>
          </w:p>
        </w:tc>
        <w:tc>
          <w:tcPr>
            <w:tcW w:w="364" w:type="dxa"/>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10</w:t>
            </w:r>
          </w:p>
        </w:tc>
      </w:tr>
      <w:tr w:rsidR="009A181B" w:rsidRPr="009A181B" w:rsidTr="009A181B">
        <w:trPr>
          <w:trHeight w:val="300"/>
        </w:trPr>
        <w:tc>
          <w:tcPr>
            <w:tcW w:w="1291" w:type="dxa"/>
            <w:tcBorders>
              <w:top w:val="nil"/>
              <w:left w:val="nil"/>
              <w:bottom w:val="nil"/>
              <w:right w:val="nil"/>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p>
        </w:tc>
        <w:tc>
          <w:tcPr>
            <w:tcW w:w="1102" w:type="dxa"/>
            <w:tcBorders>
              <w:top w:val="nil"/>
              <w:left w:val="nil"/>
              <w:bottom w:val="nil"/>
              <w:right w:val="nil"/>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p>
        </w:tc>
        <w:tc>
          <w:tcPr>
            <w:tcW w:w="1308" w:type="dxa"/>
            <w:gridSpan w:val="2"/>
            <w:tcBorders>
              <w:top w:val="nil"/>
              <w:left w:val="nil"/>
              <w:bottom w:val="nil"/>
              <w:right w:val="nil"/>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p>
        </w:tc>
        <w:tc>
          <w:tcPr>
            <w:tcW w:w="1276" w:type="dxa"/>
            <w:gridSpan w:val="2"/>
            <w:tcBorders>
              <w:top w:val="nil"/>
              <w:left w:val="nil"/>
              <w:bottom w:val="nil"/>
              <w:right w:val="nil"/>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p>
        </w:tc>
        <w:tc>
          <w:tcPr>
            <w:tcW w:w="1478" w:type="dxa"/>
            <w:gridSpan w:val="3"/>
            <w:tcBorders>
              <w:top w:val="nil"/>
              <w:left w:val="nil"/>
              <w:bottom w:val="nil"/>
              <w:right w:val="nil"/>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p>
        </w:tc>
        <w:tc>
          <w:tcPr>
            <w:tcW w:w="1332" w:type="dxa"/>
            <w:tcBorders>
              <w:top w:val="nil"/>
              <w:left w:val="nil"/>
              <w:bottom w:val="nil"/>
              <w:right w:val="nil"/>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p>
        </w:tc>
        <w:tc>
          <w:tcPr>
            <w:tcW w:w="364" w:type="dxa"/>
            <w:tcBorders>
              <w:top w:val="nil"/>
              <w:left w:val="nil"/>
              <w:bottom w:val="nil"/>
              <w:right w:val="nil"/>
            </w:tcBorders>
            <w:shd w:val="clear" w:color="auto" w:fill="auto"/>
            <w:noWrap/>
            <w:vAlign w:val="bottom"/>
            <w:hideMark/>
          </w:tcPr>
          <w:p w:rsidR="009A181B" w:rsidRPr="009A181B" w:rsidRDefault="009A181B" w:rsidP="002B6FE4">
            <w:pPr>
              <w:spacing w:after="0" w:line="360" w:lineRule="auto"/>
              <w:rPr>
                <w:rFonts w:ascii="Calibri" w:eastAsia="Times New Roman" w:hAnsi="Calibri" w:cs="Calibri"/>
                <w:color w:val="000000"/>
                <w:lang w:eastAsia="nl-NL"/>
              </w:rPr>
            </w:pPr>
          </w:p>
        </w:tc>
      </w:tr>
      <w:tr w:rsidR="009A181B" w:rsidRPr="009A181B" w:rsidTr="009A181B">
        <w:trPr>
          <w:trHeight w:val="300"/>
        </w:trPr>
        <w:tc>
          <w:tcPr>
            <w:tcW w:w="1291" w:type="dxa"/>
            <w:tcBorders>
              <w:top w:val="nil"/>
              <w:left w:val="nil"/>
              <w:bottom w:val="nil"/>
              <w:right w:val="nil"/>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p>
        </w:tc>
        <w:tc>
          <w:tcPr>
            <w:tcW w:w="6860" w:type="dxa"/>
            <w:gridSpan w:val="10"/>
            <w:tcBorders>
              <w:top w:val="single" w:sz="4" w:space="0" w:color="auto"/>
              <w:left w:val="single" w:sz="4" w:space="0" w:color="auto"/>
              <w:bottom w:val="single" w:sz="4" w:space="0" w:color="auto"/>
              <w:right w:val="single" w:sz="4" w:space="0" w:color="000000"/>
            </w:tcBorders>
            <w:shd w:val="clear" w:color="000000" w:fill="16365C"/>
            <w:noWrap/>
            <w:vAlign w:val="bottom"/>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Variantie (s^2)</w:t>
            </w:r>
          </w:p>
        </w:tc>
      </w:tr>
      <w:tr w:rsidR="009A181B" w:rsidRPr="009A181B" w:rsidTr="009A181B">
        <w:trPr>
          <w:trHeight w:val="300"/>
        </w:trPr>
        <w:tc>
          <w:tcPr>
            <w:tcW w:w="1291" w:type="dxa"/>
            <w:tcBorders>
              <w:top w:val="nil"/>
              <w:left w:val="nil"/>
              <w:bottom w:val="nil"/>
              <w:right w:val="nil"/>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p>
        </w:tc>
        <w:tc>
          <w:tcPr>
            <w:tcW w:w="1102" w:type="dxa"/>
            <w:tcBorders>
              <w:top w:val="nil"/>
              <w:left w:val="single" w:sz="4" w:space="0" w:color="auto"/>
              <w:bottom w:val="single" w:sz="4" w:space="0" w:color="auto"/>
              <w:right w:val="single" w:sz="4" w:space="0" w:color="auto"/>
            </w:tcBorders>
            <w:shd w:val="clear" w:color="000000" w:fill="538DD5"/>
            <w:noWrap/>
            <w:vAlign w:val="center"/>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Nederland</w:t>
            </w:r>
          </w:p>
        </w:tc>
        <w:tc>
          <w:tcPr>
            <w:tcW w:w="1308" w:type="dxa"/>
            <w:gridSpan w:val="2"/>
            <w:tcBorders>
              <w:top w:val="nil"/>
              <w:left w:val="nil"/>
              <w:bottom w:val="single" w:sz="4" w:space="0" w:color="auto"/>
              <w:right w:val="single" w:sz="4" w:space="0" w:color="auto"/>
            </w:tcBorders>
            <w:shd w:val="clear" w:color="000000" w:fill="538DD5"/>
            <w:noWrap/>
            <w:vAlign w:val="center"/>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Duitsland</w:t>
            </w:r>
          </w:p>
        </w:tc>
        <w:tc>
          <w:tcPr>
            <w:tcW w:w="1276" w:type="dxa"/>
            <w:gridSpan w:val="2"/>
            <w:tcBorders>
              <w:top w:val="nil"/>
              <w:left w:val="nil"/>
              <w:bottom w:val="single" w:sz="4" w:space="0" w:color="auto"/>
              <w:right w:val="single" w:sz="4" w:space="0" w:color="auto"/>
            </w:tcBorders>
            <w:shd w:val="clear" w:color="000000" w:fill="538DD5"/>
            <w:noWrap/>
            <w:vAlign w:val="center"/>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Japan</w:t>
            </w:r>
          </w:p>
        </w:tc>
        <w:tc>
          <w:tcPr>
            <w:tcW w:w="1417" w:type="dxa"/>
            <w:gridSpan w:val="2"/>
            <w:tcBorders>
              <w:top w:val="nil"/>
              <w:left w:val="nil"/>
              <w:bottom w:val="single" w:sz="4" w:space="0" w:color="auto"/>
              <w:right w:val="single" w:sz="4" w:space="0" w:color="auto"/>
            </w:tcBorders>
            <w:shd w:val="clear" w:color="000000" w:fill="538DD5"/>
            <w:noWrap/>
            <w:vAlign w:val="center"/>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Zwitserland</w:t>
            </w:r>
          </w:p>
        </w:tc>
        <w:tc>
          <w:tcPr>
            <w:tcW w:w="1393" w:type="dxa"/>
            <w:gridSpan w:val="2"/>
            <w:tcBorders>
              <w:top w:val="nil"/>
              <w:left w:val="nil"/>
              <w:bottom w:val="single" w:sz="4" w:space="0" w:color="auto"/>
              <w:right w:val="single" w:sz="4" w:space="0" w:color="auto"/>
            </w:tcBorders>
            <w:shd w:val="clear" w:color="000000" w:fill="538DD5"/>
            <w:noWrap/>
            <w:vAlign w:val="bottom"/>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Trendlijn</w:t>
            </w:r>
          </w:p>
        </w:tc>
        <w:tc>
          <w:tcPr>
            <w:tcW w:w="364" w:type="dxa"/>
            <w:tcBorders>
              <w:top w:val="nil"/>
              <w:left w:val="nil"/>
              <w:bottom w:val="single" w:sz="4" w:space="0" w:color="auto"/>
              <w:right w:val="single" w:sz="4" w:space="0" w:color="auto"/>
            </w:tcBorders>
            <w:shd w:val="clear" w:color="000000" w:fill="538DD5"/>
            <w:noWrap/>
            <w:vAlign w:val="bottom"/>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N</w:t>
            </w:r>
          </w:p>
        </w:tc>
      </w:tr>
      <w:tr w:rsidR="009A181B" w:rsidRPr="009A181B" w:rsidTr="009A181B">
        <w:trPr>
          <w:trHeight w:val="300"/>
        </w:trPr>
        <w:tc>
          <w:tcPr>
            <w:tcW w:w="1291" w:type="dxa"/>
            <w:tcBorders>
              <w:top w:val="single" w:sz="4" w:space="0" w:color="auto"/>
              <w:left w:val="single" w:sz="4" w:space="0" w:color="auto"/>
              <w:bottom w:val="single" w:sz="4" w:space="0" w:color="auto"/>
              <w:right w:val="single" w:sz="4" w:space="0" w:color="auto"/>
            </w:tcBorders>
            <w:shd w:val="clear" w:color="000000" w:fill="538DD5"/>
            <w:noWrap/>
            <w:vAlign w:val="bottom"/>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1983-1987</w:t>
            </w:r>
          </w:p>
        </w:tc>
        <w:tc>
          <w:tcPr>
            <w:tcW w:w="1102" w:type="dxa"/>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0,000507</w:t>
            </w:r>
          </w:p>
        </w:tc>
        <w:tc>
          <w:tcPr>
            <w:tcW w:w="1308" w:type="dxa"/>
            <w:gridSpan w:val="2"/>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0,000084</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0,000021</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0,000342</w:t>
            </w:r>
          </w:p>
        </w:tc>
        <w:tc>
          <w:tcPr>
            <w:tcW w:w="1393" w:type="dxa"/>
            <w:gridSpan w:val="2"/>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w:t>
            </w:r>
          </w:p>
        </w:tc>
        <w:tc>
          <w:tcPr>
            <w:tcW w:w="364" w:type="dxa"/>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5</w:t>
            </w:r>
          </w:p>
        </w:tc>
      </w:tr>
      <w:tr w:rsidR="009A181B" w:rsidRPr="009A181B" w:rsidTr="009A181B">
        <w:trPr>
          <w:trHeight w:val="300"/>
        </w:trPr>
        <w:tc>
          <w:tcPr>
            <w:tcW w:w="1291" w:type="dxa"/>
            <w:tcBorders>
              <w:top w:val="nil"/>
              <w:left w:val="single" w:sz="4" w:space="0" w:color="auto"/>
              <w:bottom w:val="single" w:sz="4" w:space="0" w:color="auto"/>
              <w:right w:val="single" w:sz="4" w:space="0" w:color="auto"/>
            </w:tcBorders>
            <w:shd w:val="clear" w:color="000000" w:fill="538DD5"/>
            <w:noWrap/>
            <w:vAlign w:val="bottom"/>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1988-1992</w:t>
            </w:r>
          </w:p>
        </w:tc>
        <w:tc>
          <w:tcPr>
            <w:tcW w:w="1102" w:type="dxa"/>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0,000277</w:t>
            </w:r>
          </w:p>
        </w:tc>
        <w:tc>
          <w:tcPr>
            <w:tcW w:w="1308" w:type="dxa"/>
            <w:gridSpan w:val="2"/>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0,007122</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0,000214</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0,000172</w:t>
            </w:r>
          </w:p>
        </w:tc>
        <w:tc>
          <w:tcPr>
            <w:tcW w:w="1393" w:type="dxa"/>
            <w:gridSpan w:val="2"/>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w:t>
            </w:r>
          </w:p>
        </w:tc>
        <w:tc>
          <w:tcPr>
            <w:tcW w:w="364" w:type="dxa"/>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5</w:t>
            </w:r>
          </w:p>
        </w:tc>
      </w:tr>
      <w:tr w:rsidR="009A181B" w:rsidRPr="009A181B" w:rsidTr="009A181B">
        <w:trPr>
          <w:trHeight w:val="300"/>
        </w:trPr>
        <w:tc>
          <w:tcPr>
            <w:tcW w:w="1291" w:type="dxa"/>
            <w:tcBorders>
              <w:top w:val="nil"/>
              <w:left w:val="single" w:sz="4" w:space="0" w:color="auto"/>
              <w:bottom w:val="single" w:sz="4" w:space="0" w:color="auto"/>
              <w:right w:val="single" w:sz="4" w:space="0" w:color="auto"/>
            </w:tcBorders>
            <w:shd w:val="clear" w:color="000000" w:fill="538DD5"/>
            <w:noWrap/>
            <w:vAlign w:val="bottom"/>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1983-1992</w:t>
            </w:r>
          </w:p>
        </w:tc>
        <w:tc>
          <w:tcPr>
            <w:tcW w:w="1102" w:type="dxa"/>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0,001126</w:t>
            </w:r>
          </w:p>
        </w:tc>
        <w:tc>
          <w:tcPr>
            <w:tcW w:w="1308" w:type="dxa"/>
            <w:gridSpan w:val="2"/>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0,003271</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0,000105</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0,000302</w:t>
            </w:r>
          </w:p>
        </w:tc>
        <w:tc>
          <w:tcPr>
            <w:tcW w:w="1393" w:type="dxa"/>
            <w:gridSpan w:val="2"/>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w:t>
            </w:r>
          </w:p>
        </w:tc>
        <w:tc>
          <w:tcPr>
            <w:tcW w:w="364" w:type="dxa"/>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10</w:t>
            </w:r>
          </w:p>
        </w:tc>
      </w:tr>
      <w:tr w:rsidR="009A181B" w:rsidRPr="009A181B" w:rsidTr="009A181B">
        <w:trPr>
          <w:trHeight w:val="300"/>
        </w:trPr>
        <w:tc>
          <w:tcPr>
            <w:tcW w:w="1291" w:type="dxa"/>
            <w:tcBorders>
              <w:top w:val="nil"/>
              <w:left w:val="nil"/>
              <w:bottom w:val="nil"/>
              <w:right w:val="nil"/>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p>
        </w:tc>
        <w:tc>
          <w:tcPr>
            <w:tcW w:w="1102" w:type="dxa"/>
            <w:tcBorders>
              <w:top w:val="nil"/>
              <w:left w:val="nil"/>
              <w:bottom w:val="nil"/>
              <w:right w:val="nil"/>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p>
        </w:tc>
        <w:tc>
          <w:tcPr>
            <w:tcW w:w="1308" w:type="dxa"/>
            <w:gridSpan w:val="2"/>
            <w:tcBorders>
              <w:top w:val="nil"/>
              <w:left w:val="nil"/>
              <w:bottom w:val="nil"/>
              <w:right w:val="nil"/>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p>
        </w:tc>
        <w:tc>
          <w:tcPr>
            <w:tcW w:w="1276" w:type="dxa"/>
            <w:gridSpan w:val="2"/>
            <w:tcBorders>
              <w:top w:val="nil"/>
              <w:left w:val="nil"/>
              <w:bottom w:val="nil"/>
              <w:right w:val="nil"/>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p>
        </w:tc>
        <w:tc>
          <w:tcPr>
            <w:tcW w:w="1417" w:type="dxa"/>
            <w:gridSpan w:val="2"/>
            <w:tcBorders>
              <w:top w:val="nil"/>
              <w:left w:val="nil"/>
              <w:bottom w:val="nil"/>
              <w:right w:val="nil"/>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p>
        </w:tc>
        <w:tc>
          <w:tcPr>
            <w:tcW w:w="1393" w:type="dxa"/>
            <w:gridSpan w:val="2"/>
            <w:tcBorders>
              <w:top w:val="nil"/>
              <w:left w:val="nil"/>
              <w:bottom w:val="nil"/>
              <w:right w:val="nil"/>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p>
        </w:tc>
        <w:tc>
          <w:tcPr>
            <w:tcW w:w="364" w:type="dxa"/>
            <w:tcBorders>
              <w:top w:val="nil"/>
              <w:left w:val="nil"/>
              <w:bottom w:val="nil"/>
              <w:right w:val="nil"/>
            </w:tcBorders>
            <w:shd w:val="clear" w:color="auto" w:fill="auto"/>
            <w:noWrap/>
            <w:vAlign w:val="bottom"/>
            <w:hideMark/>
          </w:tcPr>
          <w:p w:rsidR="009A181B" w:rsidRPr="009A181B" w:rsidRDefault="009A181B" w:rsidP="002B6FE4">
            <w:pPr>
              <w:spacing w:after="0" w:line="360" w:lineRule="auto"/>
              <w:rPr>
                <w:rFonts w:ascii="Calibri" w:eastAsia="Times New Roman" w:hAnsi="Calibri" w:cs="Calibri"/>
                <w:color w:val="000000"/>
                <w:lang w:eastAsia="nl-NL"/>
              </w:rPr>
            </w:pPr>
          </w:p>
        </w:tc>
      </w:tr>
      <w:tr w:rsidR="009A181B" w:rsidRPr="009A181B" w:rsidTr="009A181B">
        <w:trPr>
          <w:trHeight w:val="300"/>
        </w:trPr>
        <w:tc>
          <w:tcPr>
            <w:tcW w:w="1291" w:type="dxa"/>
            <w:tcBorders>
              <w:top w:val="nil"/>
              <w:left w:val="nil"/>
              <w:bottom w:val="nil"/>
              <w:right w:val="nil"/>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p>
        </w:tc>
        <w:tc>
          <w:tcPr>
            <w:tcW w:w="6860" w:type="dxa"/>
            <w:gridSpan w:val="10"/>
            <w:tcBorders>
              <w:top w:val="nil"/>
              <w:left w:val="single" w:sz="4" w:space="0" w:color="auto"/>
              <w:bottom w:val="single" w:sz="4" w:space="0" w:color="auto"/>
              <w:right w:val="nil"/>
            </w:tcBorders>
            <w:shd w:val="clear" w:color="000000" w:fill="16365C"/>
            <w:noWrap/>
            <w:vAlign w:val="bottom"/>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t-waarde</w:t>
            </w:r>
          </w:p>
        </w:tc>
      </w:tr>
      <w:tr w:rsidR="009A181B" w:rsidRPr="009A181B" w:rsidTr="009A181B">
        <w:trPr>
          <w:trHeight w:val="300"/>
        </w:trPr>
        <w:tc>
          <w:tcPr>
            <w:tcW w:w="1291" w:type="dxa"/>
            <w:tcBorders>
              <w:top w:val="nil"/>
              <w:left w:val="nil"/>
              <w:bottom w:val="nil"/>
              <w:right w:val="nil"/>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p>
        </w:tc>
        <w:tc>
          <w:tcPr>
            <w:tcW w:w="1102" w:type="dxa"/>
            <w:tcBorders>
              <w:top w:val="nil"/>
              <w:left w:val="single" w:sz="4" w:space="0" w:color="auto"/>
              <w:bottom w:val="single" w:sz="4" w:space="0" w:color="auto"/>
              <w:right w:val="single" w:sz="4" w:space="0" w:color="auto"/>
            </w:tcBorders>
            <w:shd w:val="clear" w:color="000000" w:fill="538DD5"/>
            <w:noWrap/>
            <w:vAlign w:val="center"/>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Nederland</w:t>
            </w:r>
          </w:p>
        </w:tc>
        <w:tc>
          <w:tcPr>
            <w:tcW w:w="1308" w:type="dxa"/>
            <w:gridSpan w:val="2"/>
            <w:tcBorders>
              <w:top w:val="nil"/>
              <w:left w:val="nil"/>
              <w:bottom w:val="single" w:sz="4" w:space="0" w:color="auto"/>
              <w:right w:val="single" w:sz="4" w:space="0" w:color="auto"/>
            </w:tcBorders>
            <w:shd w:val="clear" w:color="000000" w:fill="538DD5"/>
            <w:noWrap/>
            <w:vAlign w:val="center"/>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Duitsland</w:t>
            </w:r>
          </w:p>
        </w:tc>
        <w:tc>
          <w:tcPr>
            <w:tcW w:w="1276" w:type="dxa"/>
            <w:gridSpan w:val="2"/>
            <w:tcBorders>
              <w:top w:val="nil"/>
              <w:left w:val="nil"/>
              <w:bottom w:val="single" w:sz="4" w:space="0" w:color="auto"/>
              <w:right w:val="single" w:sz="4" w:space="0" w:color="auto"/>
            </w:tcBorders>
            <w:shd w:val="clear" w:color="000000" w:fill="538DD5"/>
            <w:noWrap/>
            <w:vAlign w:val="center"/>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Japan</w:t>
            </w:r>
          </w:p>
        </w:tc>
        <w:tc>
          <w:tcPr>
            <w:tcW w:w="1417" w:type="dxa"/>
            <w:gridSpan w:val="2"/>
            <w:tcBorders>
              <w:top w:val="nil"/>
              <w:left w:val="nil"/>
              <w:bottom w:val="single" w:sz="4" w:space="0" w:color="auto"/>
              <w:right w:val="single" w:sz="4" w:space="0" w:color="auto"/>
            </w:tcBorders>
            <w:shd w:val="clear" w:color="000000" w:fill="538DD5"/>
            <w:noWrap/>
            <w:vAlign w:val="center"/>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Zwitserland</w:t>
            </w:r>
          </w:p>
        </w:tc>
        <w:tc>
          <w:tcPr>
            <w:tcW w:w="1393" w:type="dxa"/>
            <w:gridSpan w:val="2"/>
            <w:tcBorders>
              <w:top w:val="nil"/>
              <w:left w:val="nil"/>
              <w:bottom w:val="single" w:sz="4" w:space="0" w:color="auto"/>
              <w:right w:val="single" w:sz="4" w:space="0" w:color="auto"/>
            </w:tcBorders>
            <w:shd w:val="clear" w:color="000000" w:fill="538DD5"/>
            <w:noWrap/>
            <w:vAlign w:val="bottom"/>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Trendlijn</w:t>
            </w:r>
          </w:p>
        </w:tc>
        <w:tc>
          <w:tcPr>
            <w:tcW w:w="364" w:type="dxa"/>
            <w:tcBorders>
              <w:top w:val="nil"/>
              <w:left w:val="nil"/>
              <w:bottom w:val="single" w:sz="4" w:space="0" w:color="auto"/>
              <w:right w:val="single" w:sz="4" w:space="0" w:color="auto"/>
            </w:tcBorders>
            <w:shd w:val="clear" w:color="000000" w:fill="538DD5"/>
            <w:noWrap/>
            <w:vAlign w:val="bottom"/>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N</w:t>
            </w:r>
          </w:p>
        </w:tc>
      </w:tr>
      <w:tr w:rsidR="009A181B" w:rsidRPr="009A181B" w:rsidTr="009A181B">
        <w:trPr>
          <w:trHeight w:val="300"/>
        </w:trPr>
        <w:tc>
          <w:tcPr>
            <w:tcW w:w="1291" w:type="dxa"/>
            <w:tcBorders>
              <w:top w:val="single" w:sz="4" w:space="0" w:color="auto"/>
              <w:left w:val="single" w:sz="4" w:space="0" w:color="auto"/>
              <w:bottom w:val="single" w:sz="4" w:space="0" w:color="auto"/>
              <w:right w:val="single" w:sz="4" w:space="0" w:color="auto"/>
            </w:tcBorders>
            <w:shd w:val="clear" w:color="000000" w:fill="538DD5"/>
            <w:noWrap/>
            <w:vAlign w:val="bottom"/>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1983-1987</w:t>
            </w:r>
          </w:p>
        </w:tc>
        <w:tc>
          <w:tcPr>
            <w:tcW w:w="1102" w:type="dxa"/>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xxx</w:t>
            </w:r>
          </w:p>
        </w:tc>
        <w:tc>
          <w:tcPr>
            <w:tcW w:w="1308" w:type="dxa"/>
            <w:gridSpan w:val="2"/>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-3,870002</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-3,163481</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-2,174833</w:t>
            </w:r>
          </w:p>
        </w:tc>
        <w:tc>
          <w:tcPr>
            <w:tcW w:w="1393" w:type="dxa"/>
            <w:gridSpan w:val="2"/>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-4,062327</w:t>
            </w:r>
          </w:p>
        </w:tc>
        <w:tc>
          <w:tcPr>
            <w:tcW w:w="364" w:type="dxa"/>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5</w:t>
            </w:r>
          </w:p>
        </w:tc>
      </w:tr>
      <w:tr w:rsidR="009A181B" w:rsidRPr="009A181B" w:rsidTr="009A181B">
        <w:trPr>
          <w:trHeight w:val="300"/>
        </w:trPr>
        <w:tc>
          <w:tcPr>
            <w:tcW w:w="1291" w:type="dxa"/>
            <w:tcBorders>
              <w:top w:val="nil"/>
              <w:left w:val="single" w:sz="4" w:space="0" w:color="auto"/>
              <w:bottom w:val="single" w:sz="4" w:space="0" w:color="auto"/>
              <w:right w:val="single" w:sz="4" w:space="0" w:color="auto"/>
            </w:tcBorders>
            <w:shd w:val="clear" w:color="000000" w:fill="538DD5"/>
            <w:noWrap/>
            <w:vAlign w:val="bottom"/>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1988-1992</w:t>
            </w:r>
          </w:p>
        </w:tc>
        <w:tc>
          <w:tcPr>
            <w:tcW w:w="1102" w:type="dxa"/>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xxx</w:t>
            </w:r>
          </w:p>
        </w:tc>
        <w:tc>
          <w:tcPr>
            <w:tcW w:w="1308" w:type="dxa"/>
            <w:gridSpan w:val="2"/>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-0,125835</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2,160136</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0,873156</w:t>
            </w:r>
          </w:p>
        </w:tc>
        <w:tc>
          <w:tcPr>
            <w:tcW w:w="1393" w:type="dxa"/>
            <w:gridSpan w:val="2"/>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1,609097</w:t>
            </w:r>
          </w:p>
        </w:tc>
        <w:tc>
          <w:tcPr>
            <w:tcW w:w="364" w:type="dxa"/>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5</w:t>
            </w:r>
          </w:p>
        </w:tc>
      </w:tr>
      <w:tr w:rsidR="009A181B" w:rsidRPr="009A181B" w:rsidTr="009A181B">
        <w:trPr>
          <w:trHeight w:val="300"/>
        </w:trPr>
        <w:tc>
          <w:tcPr>
            <w:tcW w:w="1291" w:type="dxa"/>
            <w:tcBorders>
              <w:top w:val="nil"/>
              <w:left w:val="single" w:sz="4" w:space="0" w:color="auto"/>
              <w:bottom w:val="single" w:sz="4" w:space="0" w:color="auto"/>
              <w:right w:val="single" w:sz="4" w:space="0" w:color="auto"/>
            </w:tcBorders>
            <w:shd w:val="clear" w:color="000000" w:fill="538DD5"/>
            <w:noWrap/>
            <w:vAlign w:val="bottom"/>
            <w:hideMark/>
          </w:tcPr>
          <w:p w:rsidR="009A181B" w:rsidRPr="009A181B" w:rsidRDefault="009A181B" w:rsidP="002B6FE4">
            <w:pPr>
              <w:spacing w:after="0" w:line="360" w:lineRule="auto"/>
              <w:jc w:val="center"/>
              <w:rPr>
                <w:rFonts w:ascii="Calibri" w:eastAsia="Times New Roman" w:hAnsi="Calibri" w:cs="Calibri"/>
                <w:b/>
                <w:bCs/>
                <w:color w:val="FFFFFF"/>
                <w:lang w:eastAsia="nl-NL"/>
              </w:rPr>
            </w:pPr>
            <w:r w:rsidRPr="009A181B">
              <w:rPr>
                <w:rFonts w:ascii="Calibri" w:eastAsia="Times New Roman" w:hAnsi="Calibri" w:cs="Calibri"/>
                <w:b/>
                <w:bCs/>
                <w:color w:val="FFFFFF"/>
                <w:lang w:eastAsia="nl-NL"/>
              </w:rPr>
              <w:t>1983-1992</w:t>
            </w:r>
          </w:p>
        </w:tc>
        <w:tc>
          <w:tcPr>
            <w:tcW w:w="1102" w:type="dxa"/>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xxx</w:t>
            </w:r>
          </w:p>
        </w:tc>
        <w:tc>
          <w:tcPr>
            <w:tcW w:w="1308" w:type="dxa"/>
            <w:gridSpan w:val="2"/>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-1,119322</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-0,500895</w:t>
            </w:r>
          </w:p>
        </w:tc>
        <w:tc>
          <w:tcPr>
            <w:tcW w:w="1417" w:type="dxa"/>
            <w:gridSpan w:val="2"/>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-0,839932</w:t>
            </w:r>
          </w:p>
        </w:tc>
        <w:tc>
          <w:tcPr>
            <w:tcW w:w="1393" w:type="dxa"/>
            <w:gridSpan w:val="2"/>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-1,363477</w:t>
            </w:r>
          </w:p>
        </w:tc>
        <w:tc>
          <w:tcPr>
            <w:tcW w:w="364" w:type="dxa"/>
            <w:tcBorders>
              <w:top w:val="nil"/>
              <w:left w:val="nil"/>
              <w:bottom w:val="single" w:sz="4" w:space="0" w:color="auto"/>
              <w:right w:val="single" w:sz="4" w:space="0" w:color="auto"/>
            </w:tcBorders>
            <w:shd w:val="clear" w:color="auto" w:fill="auto"/>
            <w:noWrap/>
            <w:vAlign w:val="bottom"/>
            <w:hideMark/>
          </w:tcPr>
          <w:p w:rsidR="009A181B" w:rsidRPr="009A181B" w:rsidRDefault="009A181B" w:rsidP="002B6FE4">
            <w:pPr>
              <w:spacing w:after="0" w:line="360" w:lineRule="auto"/>
              <w:jc w:val="center"/>
              <w:rPr>
                <w:rFonts w:ascii="Calibri" w:eastAsia="Times New Roman" w:hAnsi="Calibri" w:cs="Calibri"/>
                <w:color w:val="000000"/>
                <w:lang w:eastAsia="nl-NL"/>
              </w:rPr>
            </w:pPr>
            <w:r w:rsidRPr="009A181B">
              <w:rPr>
                <w:rFonts w:ascii="Calibri" w:eastAsia="Times New Roman" w:hAnsi="Calibri" w:cs="Calibri"/>
                <w:color w:val="000000"/>
                <w:lang w:eastAsia="nl-NL"/>
              </w:rPr>
              <w:t>10</w:t>
            </w:r>
          </w:p>
        </w:tc>
      </w:tr>
    </w:tbl>
    <w:p w:rsidR="00963306" w:rsidRPr="00A50523" w:rsidRDefault="00A50523" w:rsidP="00A50523">
      <w:pPr>
        <w:spacing w:line="360" w:lineRule="auto"/>
        <w:ind w:left="5664" w:hanging="5664"/>
        <w:rPr>
          <w:sz w:val="18"/>
          <w:szCs w:val="18"/>
        </w:rPr>
      </w:pPr>
      <w:r w:rsidRPr="00A50523">
        <w:rPr>
          <w:i/>
          <w:sz w:val="18"/>
          <w:szCs w:val="18"/>
        </w:rPr>
        <w:t>Opmerkingen.</w:t>
      </w:r>
      <w:r w:rsidRPr="00A50523">
        <w:rPr>
          <w:sz w:val="18"/>
          <w:szCs w:val="18"/>
        </w:rPr>
        <w:t xml:space="preserve"> </w:t>
      </w:r>
      <w:r w:rsidR="00421772" w:rsidRPr="00A50523">
        <w:rPr>
          <w:sz w:val="18"/>
          <w:szCs w:val="18"/>
        </w:rPr>
        <w:t>Extreme waarden betrouwbaarheidsinterval van 95%:</w:t>
      </w:r>
      <w:r w:rsidR="00421772" w:rsidRPr="00A50523">
        <w:rPr>
          <w:sz w:val="18"/>
          <w:szCs w:val="18"/>
        </w:rPr>
        <w:tab/>
      </w:r>
      <w:r w:rsidR="00681B37" w:rsidRPr="00A50523">
        <w:rPr>
          <w:sz w:val="18"/>
          <w:szCs w:val="18"/>
        </w:rPr>
        <w:t xml:space="preserve"> - </w:t>
      </w:r>
      <w:r w:rsidR="00421772" w:rsidRPr="00A50523">
        <w:rPr>
          <w:sz w:val="18"/>
          <w:szCs w:val="18"/>
        </w:rPr>
        <w:t xml:space="preserve">N=5, geeft df=4 </w:t>
      </w:r>
      <w:r w:rsidR="00681B37" w:rsidRPr="00A50523">
        <w:rPr>
          <w:rFonts w:cstheme="minorHAnsi"/>
          <w:sz w:val="18"/>
          <w:szCs w:val="18"/>
        </w:rPr>
        <w:t>»</w:t>
      </w:r>
      <w:r w:rsidR="00681B37" w:rsidRPr="00A50523">
        <w:rPr>
          <w:sz w:val="18"/>
          <w:szCs w:val="18"/>
        </w:rPr>
        <w:t xml:space="preserve"> [-2,776; 2,776]</w:t>
      </w:r>
      <w:r w:rsidR="00681B37" w:rsidRPr="00A50523">
        <w:rPr>
          <w:sz w:val="18"/>
          <w:szCs w:val="18"/>
        </w:rPr>
        <w:br/>
        <w:t xml:space="preserve"> - N=10, geeft df=9 </w:t>
      </w:r>
      <w:r w:rsidR="00681B37" w:rsidRPr="00A50523">
        <w:rPr>
          <w:rFonts w:cstheme="minorHAnsi"/>
          <w:sz w:val="18"/>
          <w:szCs w:val="18"/>
        </w:rPr>
        <w:t>»</w:t>
      </w:r>
      <w:r w:rsidR="00681B37" w:rsidRPr="00A50523">
        <w:rPr>
          <w:sz w:val="18"/>
          <w:szCs w:val="18"/>
        </w:rPr>
        <w:t xml:space="preserve"> [-2,262; 2,262]</w:t>
      </w:r>
      <w:r w:rsidR="00421772" w:rsidRPr="00A50523">
        <w:rPr>
          <w:sz w:val="18"/>
          <w:szCs w:val="18"/>
        </w:rPr>
        <w:br/>
      </w:r>
    </w:p>
    <w:p w:rsidR="009A1510" w:rsidRPr="009A1510" w:rsidRDefault="009A1510" w:rsidP="002B6FE4">
      <w:pPr>
        <w:spacing w:line="360" w:lineRule="auto"/>
        <w:ind w:left="4956" w:hanging="4956"/>
        <w:rPr>
          <w:b/>
          <w:szCs w:val="20"/>
        </w:rPr>
      </w:pPr>
      <w:r>
        <w:rPr>
          <w:b/>
          <w:szCs w:val="20"/>
        </w:rPr>
        <w:t>Bijlage C</w:t>
      </w:r>
    </w:p>
    <w:tbl>
      <w:tblPr>
        <w:tblW w:w="9320" w:type="dxa"/>
        <w:tblInd w:w="55" w:type="dxa"/>
        <w:tblCellMar>
          <w:left w:w="70" w:type="dxa"/>
          <w:right w:w="70" w:type="dxa"/>
        </w:tblCellMar>
        <w:tblLook w:val="04A0" w:firstRow="1" w:lastRow="0" w:firstColumn="1" w:lastColumn="0" w:noHBand="0" w:noVBand="1"/>
      </w:tblPr>
      <w:tblGrid>
        <w:gridCol w:w="1120"/>
        <w:gridCol w:w="864"/>
        <w:gridCol w:w="864"/>
        <w:gridCol w:w="864"/>
        <w:gridCol w:w="864"/>
        <w:gridCol w:w="864"/>
        <w:gridCol w:w="820"/>
        <w:gridCol w:w="864"/>
        <w:gridCol w:w="864"/>
        <w:gridCol w:w="864"/>
        <w:gridCol w:w="820"/>
      </w:tblGrid>
      <w:tr w:rsidR="00E22373" w:rsidRPr="00E22373" w:rsidTr="00E22373">
        <w:trPr>
          <w:trHeight w:val="300"/>
        </w:trPr>
        <w:tc>
          <w:tcPr>
            <w:tcW w:w="1120" w:type="dxa"/>
            <w:tcBorders>
              <w:top w:val="single" w:sz="4" w:space="0" w:color="auto"/>
              <w:left w:val="single" w:sz="4" w:space="0" w:color="auto"/>
              <w:bottom w:val="single" w:sz="4" w:space="0" w:color="auto"/>
              <w:right w:val="single" w:sz="4" w:space="0" w:color="auto"/>
            </w:tcBorders>
            <w:shd w:val="clear" w:color="4F81BD" w:fill="4F81BD"/>
            <w:noWrap/>
            <w:vAlign w:val="bottom"/>
            <w:hideMark/>
          </w:tcPr>
          <w:p w:rsidR="00E22373" w:rsidRPr="00E22373" w:rsidRDefault="00E22373" w:rsidP="00E22373">
            <w:pPr>
              <w:spacing w:after="0" w:line="240" w:lineRule="auto"/>
              <w:jc w:val="center"/>
              <w:rPr>
                <w:rFonts w:ascii="Calibri" w:eastAsia="Times New Roman" w:hAnsi="Calibri" w:cs="Calibri"/>
                <w:b/>
                <w:bCs/>
                <w:color w:val="FFFFFF"/>
                <w:lang w:eastAsia="nl-NL"/>
              </w:rPr>
            </w:pPr>
            <w:r w:rsidRPr="00E22373">
              <w:rPr>
                <w:rFonts w:ascii="Calibri" w:eastAsia="Times New Roman" w:hAnsi="Calibri" w:cs="Calibri"/>
                <w:b/>
                <w:bCs/>
                <w:color w:val="FFFFFF"/>
                <w:lang w:eastAsia="nl-NL"/>
              </w:rPr>
              <w:t>Variabele</w:t>
            </w:r>
          </w:p>
        </w:tc>
        <w:tc>
          <w:tcPr>
            <w:tcW w:w="820" w:type="dxa"/>
            <w:tcBorders>
              <w:top w:val="single" w:sz="4" w:space="0" w:color="auto"/>
              <w:left w:val="single" w:sz="4" w:space="0" w:color="auto"/>
              <w:bottom w:val="single" w:sz="4" w:space="0" w:color="auto"/>
              <w:right w:val="single" w:sz="4" w:space="0" w:color="auto"/>
            </w:tcBorders>
            <w:shd w:val="clear" w:color="4F81BD" w:fill="4F81BD"/>
            <w:noWrap/>
            <w:vAlign w:val="bottom"/>
            <w:hideMark/>
          </w:tcPr>
          <w:p w:rsidR="00E22373" w:rsidRPr="00E22373" w:rsidRDefault="00E22373" w:rsidP="00E22373">
            <w:pPr>
              <w:spacing w:after="0" w:line="240" w:lineRule="auto"/>
              <w:jc w:val="center"/>
              <w:rPr>
                <w:rFonts w:ascii="Calibri" w:eastAsia="Times New Roman" w:hAnsi="Calibri" w:cs="Calibri"/>
                <w:b/>
                <w:bCs/>
                <w:color w:val="FFFFFF"/>
                <w:lang w:eastAsia="nl-NL"/>
              </w:rPr>
            </w:pPr>
            <w:r w:rsidRPr="00E22373">
              <w:rPr>
                <w:rFonts w:ascii="Calibri" w:eastAsia="Times New Roman" w:hAnsi="Calibri" w:cs="Calibri"/>
                <w:b/>
                <w:bCs/>
                <w:color w:val="FFFFFF"/>
                <w:lang w:eastAsia="nl-NL"/>
              </w:rPr>
              <w:t>1983</w:t>
            </w:r>
          </w:p>
        </w:tc>
        <w:tc>
          <w:tcPr>
            <w:tcW w:w="820" w:type="dxa"/>
            <w:tcBorders>
              <w:top w:val="single" w:sz="4" w:space="0" w:color="auto"/>
              <w:left w:val="single" w:sz="4" w:space="0" w:color="auto"/>
              <w:bottom w:val="single" w:sz="4" w:space="0" w:color="auto"/>
              <w:right w:val="single" w:sz="4" w:space="0" w:color="auto"/>
            </w:tcBorders>
            <w:shd w:val="clear" w:color="4F81BD" w:fill="4F81BD"/>
            <w:noWrap/>
            <w:vAlign w:val="bottom"/>
            <w:hideMark/>
          </w:tcPr>
          <w:p w:rsidR="00E22373" w:rsidRPr="00E22373" w:rsidRDefault="00E22373" w:rsidP="00E22373">
            <w:pPr>
              <w:spacing w:after="0" w:line="240" w:lineRule="auto"/>
              <w:jc w:val="center"/>
              <w:rPr>
                <w:rFonts w:ascii="Calibri" w:eastAsia="Times New Roman" w:hAnsi="Calibri" w:cs="Calibri"/>
                <w:b/>
                <w:bCs/>
                <w:color w:val="FFFFFF"/>
                <w:lang w:eastAsia="nl-NL"/>
              </w:rPr>
            </w:pPr>
            <w:r w:rsidRPr="00E22373">
              <w:rPr>
                <w:rFonts w:ascii="Calibri" w:eastAsia="Times New Roman" w:hAnsi="Calibri" w:cs="Calibri"/>
                <w:b/>
                <w:bCs/>
                <w:color w:val="FFFFFF"/>
                <w:lang w:eastAsia="nl-NL"/>
              </w:rPr>
              <w:t>1984</w:t>
            </w:r>
          </w:p>
        </w:tc>
        <w:tc>
          <w:tcPr>
            <w:tcW w:w="820" w:type="dxa"/>
            <w:tcBorders>
              <w:top w:val="single" w:sz="4" w:space="0" w:color="auto"/>
              <w:left w:val="single" w:sz="4" w:space="0" w:color="auto"/>
              <w:bottom w:val="single" w:sz="4" w:space="0" w:color="auto"/>
              <w:right w:val="single" w:sz="4" w:space="0" w:color="auto"/>
            </w:tcBorders>
            <w:shd w:val="clear" w:color="4F81BD" w:fill="4F81BD"/>
            <w:noWrap/>
            <w:vAlign w:val="bottom"/>
            <w:hideMark/>
          </w:tcPr>
          <w:p w:rsidR="00E22373" w:rsidRPr="00E22373" w:rsidRDefault="00E22373" w:rsidP="00E22373">
            <w:pPr>
              <w:spacing w:after="0" w:line="240" w:lineRule="auto"/>
              <w:jc w:val="center"/>
              <w:rPr>
                <w:rFonts w:ascii="Calibri" w:eastAsia="Times New Roman" w:hAnsi="Calibri" w:cs="Calibri"/>
                <w:b/>
                <w:bCs/>
                <w:color w:val="FFFFFF"/>
                <w:lang w:eastAsia="nl-NL"/>
              </w:rPr>
            </w:pPr>
            <w:r w:rsidRPr="00E22373">
              <w:rPr>
                <w:rFonts w:ascii="Calibri" w:eastAsia="Times New Roman" w:hAnsi="Calibri" w:cs="Calibri"/>
                <w:b/>
                <w:bCs/>
                <w:color w:val="FFFFFF"/>
                <w:lang w:eastAsia="nl-NL"/>
              </w:rPr>
              <w:t>1985</w:t>
            </w:r>
          </w:p>
        </w:tc>
        <w:tc>
          <w:tcPr>
            <w:tcW w:w="820" w:type="dxa"/>
            <w:tcBorders>
              <w:top w:val="single" w:sz="4" w:space="0" w:color="auto"/>
              <w:left w:val="single" w:sz="4" w:space="0" w:color="auto"/>
              <w:bottom w:val="single" w:sz="4" w:space="0" w:color="auto"/>
              <w:right w:val="single" w:sz="4" w:space="0" w:color="auto"/>
            </w:tcBorders>
            <w:shd w:val="clear" w:color="4F81BD" w:fill="4F81BD"/>
            <w:noWrap/>
            <w:vAlign w:val="bottom"/>
            <w:hideMark/>
          </w:tcPr>
          <w:p w:rsidR="00E22373" w:rsidRPr="00E22373" w:rsidRDefault="00E22373" w:rsidP="00E22373">
            <w:pPr>
              <w:spacing w:after="0" w:line="240" w:lineRule="auto"/>
              <w:jc w:val="center"/>
              <w:rPr>
                <w:rFonts w:ascii="Calibri" w:eastAsia="Times New Roman" w:hAnsi="Calibri" w:cs="Calibri"/>
                <w:b/>
                <w:bCs/>
                <w:color w:val="FFFFFF"/>
                <w:lang w:eastAsia="nl-NL"/>
              </w:rPr>
            </w:pPr>
            <w:r w:rsidRPr="00E22373">
              <w:rPr>
                <w:rFonts w:ascii="Calibri" w:eastAsia="Times New Roman" w:hAnsi="Calibri" w:cs="Calibri"/>
                <w:b/>
                <w:bCs/>
                <w:color w:val="FFFFFF"/>
                <w:lang w:eastAsia="nl-NL"/>
              </w:rPr>
              <w:t>1986</w:t>
            </w:r>
          </w:p>
        </w:tc>
        <w:tc>
          <w:tcPr>
            <w:tcW w:w="820" w:type="dxa"/>
            <w:tcBorders>
              <w:top w:val="single" w:sz="4" w:space="0" w:color="auto"/>
              <w:left w:val="single" w:sz="4" w:space="0" w:color="auto"/>
              <w:bottom w:val="single" w:sz="4" w:space="0" w:color="auto"/>
              <w:right w:val="single" w:sz="4" w:space="0" w:color="auto"/>
            </w:tcBorders>
            <w:shd w:val="clear" w:color="4F81BD" w:fill="4F81BD"/>
            <w:noWrap/>
            <w:vAlign w:val="bottom"/>
            <w:hideMark/>
          </w:tcPr>
          <w:p w:rsidR="00E22373" w:rsidRPr="00E22373" w:rsidRDefault="00E22373" w:rsidP="00E22373">
            <w:pPr>
              <w:spacing w:after="0" w:line="240" w:lineRule="auto"/>
              <w:jc w:val="center"/>
              <w:rPr>
                <w:rFonts w:ascii="Calibri" w:eastAsia="Times New Roman" w:hAnsi="Calibri" w:cs="Calibri"/>
                <w:b/>
                <w:bCs/>
                <w:color w:val="FFFFFF"/>
                <w:lang w:eastAsia="nl-NL"/>
              </w:rPr>
            </w:pPr>
            <w:r w:rsidRPr="00E22373">
              <w:rPr>
                <w:rFonts w:ascii="Calibri" w:eastAsia="Times New Roman" w:hAnsi="Calibri" w:cs="Calibri"/>
                <w:b/>
                <w:bCs/>
                <w:color w:val="FFFFFF"/>
                <w:lang w:eastAsia="nl-NL"/>
              </w:rPr>
              <w:t>1987</w:t>
            </w:r>
          </w:p>
        </w:tc>
        <w:tc>
          <w:tcPr>
            <w:tcW w:w="820" w:type="dxa"/>
            <w:tcBorders>
              <w:top w:val="single" w:sz="4" w:space="0" w:color="auto"/>
              <w:left w:val="single" w:sz="4" w:space="0" w:color="auto"/>
              <w:bottom w:val="single" w:sz="4" w:space="0" w:color="auto"/>
              <w:right w:val="single" w:sz="4" w:space="0" w:color="auto"/>
            </w:tcBorders>
            <w:shd w:val="clear" w:color="4F81BD" w:fill="4F81BD"/>
            <w:noWrap/>
            <w:vAlign w:val="bottom"/>
            <w:hideMark/>
          </w:tcPr>
          <w:p w:rsidR="00E22373" w:rsidRPr="00E22373" w:rsidRDefault="00E22373" w:rsidP="00E22373">
            <w:pPr>
              <w:spacing w:after="0" w:line="240" w:lineRule="auto"/>
              <w:jc w:val="center"/>
              <w:rPr>
                <w:rFonts w:ascii="Calibri" w:eastAsia="Times New Roman" w:hAnsi="Calibri" w:cs="Calibri"/>
                <w:b/>
                <w:bCs/>
                <w:color w:val="FFFFFF"/>
                <w:lang w:eastAsia="nl-NL"/>
              </w:rPr>
            </w:pPr>
            <w:r w:rsidRPr="00E22373">
              <w:rPr>
                <w:rFonts w:ascii="Calibri" w:eastAsia="Times New Roman" w:hAnsi="Calibri" w:cs="Calibri"/>
                <w:b/>
                <w:bCs/>
                <w:color w:val="FFFFFF"/>
                <w:lang w:eastAsia="nl-NL"/>
              </w:rPr>
              <w:t>1988</w:t>
            </w:r>
          </w:p>
        </w:tc>
        <w:tc>
          <w:tcPr>
            <w:tcW w:w="820" w:type="dxa"/>
            <w:tcBorders>
              <w:top w:val="single" w:sz="4" w:space="0" w:color="auto"/>
              <w:left w:val="single" w:sz="4" w:space="0" w:color="auto"/>
              <w:bottom w:val="single" w:sz="4" w:space="0" w:color="auto"/>
              <w:right w:val="single" w:sz="4" w:space="0" w:color="auto"/>
            </w:tcBorders>
            <w:shd w:val="clear" w:color="4F81BD" w:fill="4F81BD"/>
            <w:noWrap/>
            <w:vAlign w:val="bottom"/>
            <w:hideMark/>
          </w:tcPr>
          <w:p w:rsidR="00E22373" w:rsidRPr="00E22373" w:rsidRDefault="00E22373" w:rsidP="00E22373">
            <w:pPr>
              <w:spacing w:after="0" w:line="240" w:lineRule="auto"/>
              <w:jc w:val="center"/>
              <w:rPr>
                <w:rFonts w:ascii="Calibri" w:eastAsia="Times New Roman" w:hAnsi="Calibri" w:cs="Calibri"/>
                <w:b/>
                <w:bCs/>
                <w:color w:val="FFFFFF"/>
                <w:lang w:eastAsia="nl-NL"/>
              </w:rPr>
            </w:pPr>
            <w:r w:rsidRPr="00E22373">
              <w:rPr>
                <w:rFonts w:ascii="Calibri" w:eastAsia="Times New Roman" w:hAnsi="Calibri" w:cs="Calibri"/>
                <w:b/>
                <w:bCs/>
                <w:color w:val="FFFFFF"/>
                <w:lang w:eastAsia="nl-NL"/>
              </w:rPr>
              <w:t>1989</w:t>
            </w:r>
          </w:p>
        </w:tc>
        <w:tc>
          <w:tcPr>
            <w:tcW w:w="820" w:type="dxa"/>
            <w:tcBorders>
              <w:top w:val="single" w:sz="4" w:space="0" w:color="auto"/>
              <w:left w:val="single" w:sz="4" w:space="0" w:color="auto"/>
              <w:bottom w:val="single" w:sz="4" w:space="0" w:color="auto"/>
              <w:right w:val="single" w:sz="4" w:space="0" w:color="auto"/>
            </w:tcBorders>
            <w:shd w:val="clear" w:color="4F81BD" w:fill="4F81BD"/>
            <w:noWrap/>
            <w:vAlign w:val="bottom"/>
            <w:hideMark/>
          </w:tcPr>
          <w:p w:rsidR="00E22373" w:rsidRPr="00E22373" w:rsidRDefault="00E22373" w:rsidP="00E22373">
            <w:pPr>
              <w:spacing w:after="0" w:line="240" w:lineRule="auto"/>
              <w:jc w:val="center"/>
              <w:rPr>
                <w:rFonts w:ascii="Calibri" w:eastAsia="Times New Roman" w:hAnsi="Calibri" w:cs="Calibri"/>
                <w:b/>
                <w:bCs/>
                <w:color w:val="FFFFFF"/>
                <w:lang w:eastAsia="nl-NL"/>
              </w:rPr>
            </w:pPr>
            <w:r w:rsidRPr="00E22373">
              <w:rPr>
                <w:rFonts w:ascii="Calibri" w:eastAsia="Times New Roman" w:hAnsi="Calibri" w:cs="Calibri"/>
                <w:b/>
                <w:bCs/>
                <w:color w:val="FFFFFF"/>
                <w:lang w:eastAsia="nl-NL"/>
              </w:rPr>
              <w:t>1990</w:t>
            </w:r>
          </w:p>
        </w:tc>
        <w:tc>
          <w:tcPr>
            <w:tcW w:w="820" w:type="dxa"/>
            <w:tcBorders>
              <w:top w:val="single" w:sz="4" w:space="0" w:color="auto"/>
              <w:left w:val="single" w:sz="4" w:space="0" w:color="auto"/>
              <w:bottom w:val="single" w:sz="4" w:space="0" w:color="auto"/>
              <w:right w:val="single" w:sz="4" w:space="0" w:color="auto"/>
            </w:tcBorders>
            <w:shd w:val="clear" w:color="4F81BD" w:fill="4F81BD"/>
            <w:noWrap/>
            <w:vAlign w:val="bottom"/>
            <w:hideMark/>
          </w:tcPr>
          <w:p w:rsidR="00E22373" w:rsidRPr="00E22373" w:rsidRDefault="00E22373" w:rsidP="00E22373">
            <w:pPr>
              <w:spacing w:after="0" w:line="240" w:lineRule="auto"/>
              <w:jc w:val="center"/>
              <w:rPr>
                <w:rFonts w:ascii="Calibri" w:eastAsia="Times New Roman" w:hAnsi="Calibri" w:cs="Calibri"/>
                <w:b/>
                <w:bCs/>
                <w:color w:val="FFFFFF"/>
                <w:lang w:eastAsia="nl-NL"/>
              </w:rPr>
            </w:pPr>
            <w:r w:rsidRPr="00E22373">
              <w:rPr>
                <w:rFonts w:ascii="Calibri" w:eastAsia="Times New Roman" w:hAnsi="Calibri" w:cs="Calibri"/>
                <w:b/>
                <w:bCs/>
                <w:color w:val="FFFFFF"/>
                <w:lang w:eastAsia="nl-NL"/>
              </w:rPr>
              <w:t>1991</w:t>
            </w:r>
          </w:p>
        </w:tc>
        <w:tc>
          <w:tcPr>
            <w:tcW w:w="820" w:type="dxa"/>
            <w:tcBorders>
              <w:top w:val="single" w:sz="4" w:space="0" w:color="auto"/>
              <w:left w:val="single" w:sz="4" w:space="0" w:color="auto"/>
              <w:bottom w:val="single" w:sz="4" w:space="0" w:color="auto"/>
              <w:right w:val="single" w:sz="4" w:space="0" w:color="auto"/>
            </w:tcBorders>
            <w:shd w:val="clear" w:color="4F81BD" w:fill="4F81BD"/>
            <w:noWrap/>
            <w:vAlign w:val="bottom"/>
            <w:hideMark/>
          </w:tcPr>
          <w:p w:rsidR="00E22373" w:rsidRPr="00E22373" w:rsidRDefault="00E22373" w:rsidP="00E22373">
            <w:pPr>
              <w:spacing w:after="0" w:line="240" w:lineRule="auto"/>
              <w:jc w:val="center"/>
              <w:rPr>
                <w:rFonts w:ascii="Calibri" w:eastAsia="Times New Roman" w:hAnsi="Calibri" w:cs="Calibri"/>
                <w:b/>
                <w:bCs/>
                <w:color w:val="FFFFFF"/>
                <w:lang w:eastAsia="nl-NL"/>
              </w:rPr>
            </w:pPr>
            <w:r w:rsidRPr="00E22373">
              <w:rPr>
                <w:rFonts w:ascii="Calibri" w:eastAsia="Times New Roman" w:hAnsi="Calibri" w:cs="Calibri"/>
                <w:b/>
                <w:bCs/>
                <w:color w:val="FFFFFF"/>
                <w:lang w:eastAsia="nl-NL"/>
              </w:rPr>
              <w:t>1992</w:t>
            </w:r>
          </w:p>
        </w:tc>
      </w:tr>
      <w:tr w:rsidR="00E22373" w:rsidRPr="00E22373" w:rsidTr="00E22373">
        <w:trPr>
          <w:trHeight w:val="300"/>
        </w:trPr>
        <w:tc>
          <w:tcPr>
            <w:tcW w:w="1120" w:type="dxa"/>
            <w:tcBorders>
              <w:top w:val="single" w:sz="4" w:space="0" w:color="auto"/>
              <w:left w:val="single" w:sz="4" w:space="0" w:color="auto"/>
              <w:bottom w:val="single" w:sz="4" w:space="0" w:color="auto"/>
              <w:right w:val="single" w:sz="4" w:space="0" w:color="auto"/>
            </w:tcBorders>
            <w:shd w:val="clear" w:color="DCE6F1" w:fill="DCE6F1"/>
            <w:noWrap/>
            <w:vAlign w:val="bottom"/>
            <w:hideMark/>
          </w:tcPr>
          <w:p w:rsidR="00E22373" w:rsidRPr="00E22373" w:rsidRDefault="00E22373" w:rsidP="00E22373">
            <w:pPr>
              <w:spacing w:after="0" w:line="240" w:lineRule="auto"/>
              <w:jc w:val="center"/>
              <w:rPr>
                <w:rFonts w:ascii="Calibri" w:eastAsia="Times New Roman" w:hAnsi="Calibri" w:cs="Calibri"/>
                <w:b/>
                <w:bCs/>
                <w:color w:val="000000"/>
                <w:lang w:eastAsia="nl-NL"/>
              </w:rPr>
            </w:pPr>
            <w:r w:rsidRPr="00E22373">
              <w:rPr>
                <w:rFonts w:ascii="Calibri" w:eastAsia="Times New Roman" w:hAnsi="Calibri" w:cs="Calibri"/>
                <w:b/>
                <w:bCs/>
                <w:color w:val="000000"/>
                <w:lang w:eastAsia="nl-NL"/>
              </w:rPr>
              <w:t>Infl</w:t>
            </w:r>
          </w:p>
        </w:tc>
        <w:tc>
          <w:tcPr>
            <w:tcW w:w="820" w:type="dxa"/>
            <w:tcBorders>
              <w:top w:val="single" w:sz="4" w:space="0" w:color="auto"/>
              <w:left w:val="single" w:sz="4" w:space="0" w:color="auto"/>
              <w:bottom w:val="single" w:sz="4" w:space="0" w:color="auto"/>
              <w:right w:val="single" w:sz="4" w:space="0" w:color="auto"/>
            </w:tcBorders>
            <w:shd w:val="clear" w:color="DCE6F1" w:fill="DCE6F1"/>
            <w:noWrap/>
            <w:vAlign w:val="center"/>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2,74</w:t>
            </w:r>
          </w:p>
        </w:tc>
        <w:tc>
          <w:tcPr>
            <w:tcW w:w="820" w:type="dxa"/>
            <w:tcBorders>
              <w:top w:val="single" w:sz="4" w:space="0" w:color="auto"/>
              <w:left w:val="single" w:sz="4" w:space="0" w:color="auto"/>
              <w:bottom w:val="single" w:sz="4" w:space="0" w:color="auto"/>
              <w:right w:val="single" w:sz="4" w:space="0" w:color="auto"/>
            </w:tcBorders>
            <w:shd w:val="clear" w:color="DCE6F1" w:fill="DCE6F1"/>
            <w:noWrap/>
            <w:vAlign w:val="center"/>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3,30</w:t>
            </w:r>
          </w:p>
        </w:tc>
        <w:tc>
          <w:tcPr>
            <w:tcW w:w="820" w:type="dxa"/>
            <w:tcBorders>
              <w:top w:val="single" w:sz="4" w:space="0" w:color="auto"/>
              <w:left w:val="single" w:sz="4" w:space="0" w:color="auto"/>
              <w:bottom w:val="single" w:sz="4" w:space="0" w:color="auto"/>
              <w:right w:val="single" w:sz="4" w:space="0" w:color="auto"/>
            </w:tcBorders>
            <w:shd w:val="clear" w:color="DCE6F1" w:fill="DCE6F1"/>
            <w:noWrap/>
            <w:vAlign w:val="center"/>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2,26</w:t>
            </w:r>
          </w:p>
        </w:tc>
        <w:tc>
          <w:tcPr>
            <w:tcW w:w="820" w:type="dxa"/>
            <w:tcBorders>
              <w:top w:val="single" w:sz="4" w:space="0" w:color="auto"/>
              <w:left w:val="single" w:sz="4" w:space="0" w:color="auto"/>
              <w:bottom w:val="single" w:sz="4" w:space="0" w:color="auto"/>
              <w:right w:val="single" w:sz="4" w:space="0" w:color="auto"/>
            </w:tcBorders>
            <w:shd w:val="clear" w:color="DCE6F1" w:fill="DCE6F1"/>
            <w:noWrap/>
            <w:vAlign w:val="center"/>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0,08</w:t>
            </w:r>
          </w:p>
        </w:tc>
        <w:tc>
          <w:tcPr>
            <w:tcW w:w="820" w:type="dxa"/>
            <w:tcBorders>
              <w:top w:val="single" w:sz="4" w:space="0" w:color="auto"/>
              <w:left w:val="single" w:sz="4" w:space="0" w:color="auto"/>
              <w:bottom w:val="single" w:sz="4" w:space="0" w:color="auto"/>
              <w:right w:val="single" w:sz="4" w:space="0" w:color="auto"/>
            </w:tcBorders>
            <w:shd w:val="clear" w:color="DCE6F1" w:fill="DCE6F1"/>
            <w:noWrap/>
            <w:vAlign w:val="center"/>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-0,69</w:t>
            </w:r>
          </w:p>
        </w:tc>
        <w:tc>
          <w:tcPr>
            <w:tcW w:w="820" w:type="dxa"/>
            <w:tcBorders>
              <w:top w:val="single" w:sz="4" w:space="0" w:color="auto"/>
              <w:left w:val="single" w:sz="4" w:space="0" w:color="auto"/>
              <w:bottom w:val="single" w:sz="4" w:space="0" w:color="auto"/>
              <w:right w:val="single" w:sz="4" w:space="0" w:color="auto"/>
            </w:tcBorders>
            <w:shd w:val="clear" w:color="DCE6F1" w:fill="DCE6F1"/>
            <w:noWrap/>
            <w:vAlign w:val="center"/>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0,74</w:t>
            </w:r>
          </w:p>
        </w:tc>
        <w:tc>
          <w:tcPr>
            <w:tcW w:w="820" w:type="dxa"/>
            <w:tcBorders>
              <w:top w:val="single" w:sz="4" w:space="0" w:color="auto"/>
              <w:left w:val="single" w:sz="4" w:space="0" w:color="auto"/>
              <w:bottom w:val="single" w:sz="4" w:space="0" w:color="auto"/>
              <w:right w:val="single" w:sz="4" w:space="0" w:color="auto"/>
            </w:tcBorders>
            <w:shd w:val="clear" w:color="DCE6F1" w:fill="DCE6F1"/>
            <w:noWrap/>
            <w:vAlign w:val="center"/>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1,08</w:t>
            </w:r>
          </w:p>
        </w:tc>
        <w:tc>
          <w:tcPr>
            <w:tcW w:w="820" w:type="dxa"/>
            <w:tcBorders>
              <w:top w:val="single" w:sz="4" w:space="0" w:color="auto"/>
              <w:left w:val="single" w:sz="4" w:space="0" w:color="auto"/>
              <w:bottom w:val="single" w:sz="4" w:space="0" w:color="auto"/>
              <w:right w:val="single" w:sz="4" w:space="0" w:color="auto"/>
            </w:tcBorders>
            <w:shd w:val="clear" w:color="DCE6F1" w:fill="DCE6F1"/>
            <w:noWrap/>
            <w:vAlign w:val="center"/>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2,45</w:t>
            </w:r>
          </w:p>
        </w:tc>
        <w:tc>
          <w:tcPr>
            <w:tcW w:w="820" w:type="dxa"/>
            <w:tcBorders>
              <w:top w:val="single" w:sz="4" w:space="0" w:color="auto"/>
              <w:left w:val="single" w:sz="4" w:space="0" w:color="auto"/>
              <w:bottom w:val="single" w:sz="4" w:space="0" w:color="auto"/>
              <w:right w:val="single" w:sz="4" w:space="0" w:color="auto"/>
            </w:tcBorders>
            <w:shd w:val="clear" w:color="DCE6F1" w:fill="DCE6F1"/>
            <w:noWrap/>
            <w:vAlign w:val="center"/>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3,16</w:t>
            </w:r>
          </w:p>
        </w:tc>
        <w:tc>
          <w:tcPr>
            <w:tcW w:w="820" w:type="dxa"/>
            <w:tcBorders>
              <w:top w:val="single" w:sz="4" w:space="0" w:color="auto"/>
              <w:left w:val="single" w:sz="4" w:space="0" w:color="auto"/>
              <w:bottom w:val="single" w:sz="4" w:space="0" w:color="auto"/>
              <w:right w:val="single" w:sz="4" w:space="0" w:color="auto"/>
            </w:tcBorders>
            <w:shd w:val="clear" w:color="DCE6F1" w:fill="DCE6F1"/>
            <w:noWrap/>
            <w:vAlign w:val="center"/>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3,18</w:t>
            </w:r>
          </w:p>
        </w:tc>
      </w:tr>
      <w:tr w:rsidR="00E22373" w:rsidRPr="00E22373" w:rsidTr="00E22373">
        <w:trPr>
          <w:trHeight w:val="30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22373" w:rsidRPr="00E22373" w:rsidRDefault="00E22373" w:rsidP="00E22373">
            <w:pPr>
              <w:spacing w:after="0" w:line="240" w:lineRule="auto"/>
              <w:jc w:val="center"/>
              <w:rPr>
                <w:rFonts w:ascii="Calibri" w:eastAsia="Times New Roman" w:hAnsi="Calibri" w:cs="Calibri"/>
                <w:b/>
                <w:bCs/>
                <w:color w:val="000000"/>
                <w:lang w:eastAsia="nl-NL"/>
              </w:rPr>
            </w:pPr>
            <w:r w:rsidRPr="00E22373">
              <w:rPr>
                <w:rFonts w:ascii="Calibri" w:eastAsia="Times New Roman" w:hAnsi="Calibri" w:cs="Calibri"/>
                <w:b/>
                <w:bCs/>
                <w:color w:val="000000"/>
                <w:lang w:eastAsia="nl-NL"/>
              </w:rPr>
              <w:t>Werkn</w:t>
            </w:r>
          </w:p>
        </w:tc>
        <w:tc>
          <w:tcPr>
            <w:tcW w:w="820" w:type="dxa"/>
            <w:tcBorders>
              <w:top w:val="nil"/>
              <w:left w:val="nil"/>
              <w:bottom w:val="single" w:sz="4" w:space="0" w:color="auto"/>
              <w:right w:val="single" w:sz="4" w:space="0" w:color="auto"/>
            </w:tcBorders>
            <w:shd w:val="clear" w:color="auto" w:fill="auto"/>
            <w:noWrap/>
            <w:vAlign w:val="center"/>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58,41</w:t>
            </w:r>
          </w:p>
        </w:tc>
        <w:tc>
          <w:tcPr>
            <w:tcW w:w="820" w:type="dxa"/>
            <w:tcBorders>
              <w:top w:val="nil"/>
              <w:left w:val="nil"/>
              <w:bottom w:val="single" w:sz="4" w:space="0" w:color="auto"/>
              <w:right w:val="single" w:sz="4" w:space="0" w:color="auto"/>
            </w:tcBorders>
            <w:shd w:val="clear" w:color="auto" w:fill="auto"/>
            <w:noWrap/>
            <w:vAlign w:val="center"/>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55,73</w:t>
            </w:r>
          </w:p>
        </w:tc>
        <w:tc>
          <w:tcPr>
            <w:tcW w:w="820" w:type="dxa"/>
            <w:tcBorders>
              <w:top w:val="nil"/>
              <w:left w:val="nil"/>
              <w:bottom w:val="single" w:sz="4" w:space="0" w:color="auto"/>
              <w:right w:val="single" w:sz="4" w:space="0" w:color="auto"/>
            </w:tcBorders>
            <w:shd w:val="clear" w:color="auto" w:fill="auto"/>
            <w:noWrap/>
            <w:vAlign w:val="center"/>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55,81</w:t>
            </w:r>
          </w:p>
        </w:tc>
        <w:tc>
          <w:tcPr>
            <w:tcW w:w="820" w:type="dxa"/>
            <w:tcBorders>
              <w:top w:val="nil"/>
              <w:left w:val="nil"/>
              <w:bottom w:val="single" w:sz="4" w:space="0" w:color="auto"/>
              <w:right w:val="single" w:sz="4" w:space="0" w:color="auto"/>
            </w:tcBorders>
            <w:shd w:val="clear" w:color="auto" w:fill="auto"/>
            <w:noWrap/>
            <w:vAlign w:val="center"/>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56,62</w:t>
            </w:r>
          </w:p>
        </w:tc>
        <w:tc>
          <w:tcPr>
            <w:tcW w:w="820" w:type="dxa"/>
            <w:tcBorders>
              <w:top w:val="nil"/>
              <w:left w:val="nil"/>
              <w:bottom w:val="single" w:sz="4" w:space="0" w:color="auto"/>
              <w:right w:val="single" w:sz="4" w:space="0" w:color="auto"/>
            </w:tcBorders>
            <w:shd w:val="clear" w:color="auto" w:fill="auto"/>
            <w:noWrap/>
            <w:vAlign w:val="center"/>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58,00</w:t>
            </w:r>
          </w:p>
        </w:tc>
        <w:tc>
          <w:tcPr>
            <w:tcW w:w="820" w:type="dxa"/>
            <w:tcBorders>
              <w:top w:val="nil"/>
              <w:left w:val="nil"/>
              <w:bottom w:val="single" w:sz="4" w:space="0" w:color="auto"/>
              <w:right w:val="single" w:sz="4" w:space="0" w:color="auto"/>
            </w:tcBorders>
            <w:shd w:val="clear" w:color="auto" w:fill="auto"/>
            <w:noWrap/>
            <w:vAlign w:val="center"/>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57,25</w:t>
            </w:r>
          </w:p>
        </w:tc>
        <w:tc>
          <w:tcPr>
            <w:tcW w:w="820" w:type="dxa"/>
            <w:tcBorders>
              <w:top w:val="nil"/>
              <w:left w:val="nil"/>
              <w:bottom w:val="single" w:sz="4" w:space="0" w:color="auto"/>
              <w:right w:val="single" w:sz="4" w:space="0" w:color="auto"/>
            </w:tcBorders>
            <w:shd w:val="clear" w:color="auto" w:fill="auto"/>
            <w:noWrap/>
            <w:vAlign w:val="center"/>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55,79</w:t>
            </w:r>
          </w:p>
        </w:tc>
        <w:tc>
          <w:tcPr>
            <w:tcW w:w="820" w:type="dxa"/>
            <w:tcBorders>
              <w:top w:val="nil"/>
              <w:left w:val="nil"/>
              <w:bottom w:val="single" w:sz="4" w:space="0" w:color="auto"/>
              <w:right w:val="single" w:sz="4" w:space="0" w:color="auto"/>
            </w:tcBorders>
            <w:shd w:val="clear" w:color="auto" w:fill="auto"/>
            <w:noWrap/>
            <w:vAlign w:val="center"/>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56,28</w:t>
            </w:r>
          </w:p>
        </w:tc>
        <w:tc>
          <w:tcPr>
            <w:tcW w:w="820" w:type="dxa"/>
            <w:tcBorders>
              <w:top w:val="nil"/>
              <w:left w:val="nil"/>
              <w:bottom w:val="single" w:sz="4" w:space="0" w:color="auto"/>
              <w:right w:val="single" w:sz="4" w:space="0" w:color="auto"/>
            </w:tcBorders>
            <w:shd w:val="clear" w:color="auto" w:fill="auto"/>
            <w:noWrap/>
            <w:vAlign w:val="center"/>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56,48</w:t>
            </w:r>
          </w:p>
        </w:tc>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57,55</w:t>
            </w:r>
          </w:p>
        </w:tc>
      </w:tr>
      <w:tr w:rsidR="00E22373" w:rsidRPr="00E22373" w:rsidTr="00E22373">
        <w:trPr>
          <w:trHeight w:val="300"/>
        </w:trPr>
        <w:tc>
          <w:tcPr>
            <w:tcW w:w="1120" w:type="dxa"/>
            <w:tcBorders>
              <w:top w:val="single" w:sz="4" w:space="0" w:color="auto"/>
              <w:left w:val="single" w:sz="4" w:space="0" w:color="auto"/>
              <w:bottom w:val="single" w:sz="4" w:space="0" w:color="auto"/>
              <w:right w:val="single" w:sz="4" w:space="0" w:color="auto"/>
            </w:tcBorders>
            <w:shd w:val="clear" w:color="DCE6F1" w:fill="DCE6F1"/>
            <w:noWrap/>
            <w:vAlign w:val="bottom"/>
            <w:hideMark/>
          </w:tcPr>
          <w:p w:rsidR="00E22373" w:rsidRPr="00E22373" w:rsidRDefault="00E22373" w:rsidP="00E22373">
            <w:pPr>
              <w:spacing w:after="0" w:line="240" w:lineRule="auto"/>
              <w:jc w:val="center"/>
              <w:rPr>
                <w:rFonts w:ascii="Calibri" w:eastAsia="Times New Roman" w:hAnsi="Calibri" w:cs="Calibri"/>
                <w:b/>
                <w:bCs/>
                <w:color w:val="000000"/>
                <w:lang w:eastAsia="nl-NL"/>
              </w:rPr>
            </w:pPr>
            <w:r w:rsidRPr="00E22373">
              <w:rPr>
                <w:rFonts w:ascii="Calibri" w:eastAsia="Times New Roman" w:hAnsi="Calibri" w:cs="Calibri"/>
                <w:b/>
                <w:bCs/>
                <w:color w:val="000000"/>
                <w:lang w:eastAsia="nl-NL"/>
              </w:rPr>
              <w:t>Werkl</w:t>
            </w:r>
          </w:p>
        </w:tc>
        <w:tc>
          <w:tcPr>
            <w:tcW w:w="820" w:type="dxa"/>
            <w:tcBorders>
              <w:top w:val="single" w:sz="4" w:space="0" w:color="auto"/>
              <w:left w:val="single" w:sz="4" w:space="0" w:color="auto"/>
              <w:bottom w:val="single" w:sz="4" w:space="0" w:color="auto"/>
              <w:right w:val="single" w:sz="4" w:space="0" w:color="auto"/>
            </w:tcBorders>
            <w:shd w:val="clear" w:color="DCE6F1" w:fill="DCE6F1"/>
            <w:noWrap/>
            <w:vAlign w:val="center"/>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10,7</w:t>
            </w:r>
          </w:p>
        </w:tc>
        <w:tc>
          <w:tcPr>
            <w:tcW w:w="820" w:type="dxa"/>
            <w:tcBorders>
              <w:top w:val="single" w:sz="4" w:space="0" w:color="auto"/>
              <w:left w:val="single" w:sz="4" w:space="0" w:color="auto"/>
              <w:bottom w:val="single" w:sz="4" w:space="0" w:color="auto"/>
              <w:right w:val="single" w:sz="4" w:space="0" w:color="auto"/>
            </w:tcBorders>
            <w:shd w:val="clear" w:color="DCE6F1" w:fill="DCE6F1"/>
            <w:noWrap/>
            <w:vAlign w:val="center"/>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10,5</w:t>
            </w:r>
          </w:p>
        </w:tc>
        <w:tc>
          <w:tcPr>
            <w:tcW w:w="820" w:type="dxa"/>
            <w:tcBorders>
              <w:top w:val="single" w:sz="4" w:space="0" w:color="auto"/>
              <w:left w:val="single" w:sz="4" w:space="0" w:color="auto"/>
              <w:bottom w:val="single" w:sz="4" w:space="0" w:color="auto"/>
              <w:right w:val="single" w:sz="4" w:space="0" w:color="auto"/>
            </w:tcBorders>
            <w:shd w:val="clear" w:color="DCE6F1" w:fill="DCE6F1"/>
            <w:noWrap/>
            <w:vAlign w:val="center"/>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9,6</w:t>
            </w:r>
          </w:p>
        </w:tc>
        <w:tc>
          <w:tcPr>
            <w:tcW w:w="820" w:type="dxa"/>
            <w:tcBorders>
              <w:top w:val="single" w:sz="4" w:space="0" w:color="auto"/>
              <w:left w:val="single" w:sz="4" w:space="0" w:color="auto"/>
              <w:bottom w:val="single" w:sz="4" w:space="0" w:color="auto"/>
              <w:right w:val="single" w:sz="4" w:space="0" w:color="auto"/>
            </w:tcBorders>
            <w:shd w:val="clear" w:color="DCE6F1" w:fill="DCE6F1"/>
            <w:noWrap/>
            <w:vAlign w:val="center"/>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8,6</w:t>
            </w:r>
          </w:p>
        </w:tc>
        <w:tc>
          <w:tcPr>
            <w:tcW w:w="820" w:type="dxa"/>
            <w:tcBorders>
              <w:top w:val="single" w:sz="4" w:space="0" w:color="auto"/>
              <w:left w:val="single" w:sz="4" w:space="0" w:color="auto"/>
              <w:bottom w:val="single" w:sz="4" w:space="0" w:color="auto"/>
              <w:right w:val="single" w:sz="4" w:space="0" w:color="auto"/>
            </w:tcBorders>
            <w:shd w:val="clear" w:color="DCE6F1" w:fill="DCE6F1"/>
            <w:noWrap/>
            <w:vAlign w:val="center"/>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8,5</w:t>
            </w:r>
          </w:p>
        </w:tc>
        <w:tc>
          <w:tcPr>
            <w:tcW w:w="820" w:type="dxa"/>
            <w:tcBorders>
              <w:top w:val="single" w:sz="4" w:space="0" w:color="auto"/>
              <w:left w:val="single" w:sz="4" w:space="0" w:color="auto"/>
              <w:bottom w:val="single" w:sz="4" w:space="0" w:color="auto"/>
              <w:right w:val="single" w:sz="4" w:space="0" w:color="auto"/>
            </w:tcBorders>
            <w:shd w:val="clear" w:color="DCE6F1" w:fill="DCE6F1"/>
            <w:noWrap/>
            <w:vAlign w:val="center"/>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8,3</w:t>
            </w:r>
          </w:p>
        </w:tc>
        <w:tc>
          <w:tcPr>
            <w:tcW w:w="820" w:type="dxa"/>
            <w:tcBorders>
              <w:top w:val="single" w:sz="4" w:space="0" w:color="auto"/>
              <w:left w:val="single" w:sz="4" w:space="0" w:color="auto"/>
              <w:bottom w:val="single" w:sz="4" w:space="0" w:color="auto"/>
              <w:right w:val="single" w:sz="4" w:space="0" w:color="auto"/>
            </w:tcBorders>
            <w:shd w:val="clear" w:color="DCE6F1" w:fill="DCE6F1"/>
            <w:noWrap/>
            <w:vAlign w:val="center"/>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7,6</w:t>
            </w:r>
          </w:p>
        </w:tc>
        <w:tc>
          <w:tcPr>
            <w:tcW w:w="820" w:type="dxa"/>
            <w:tcBorders>
              <w:top w:val="single" w:sz="4" w:space="0" w:color="auto"/>
              <w:left w:val="single" w:sz="4" w:space="0" w:color="auto"/>
              <w:bottom w:val="single" w:sz="4" w:space="0" w:color="auto"/>
              <w:right w:val="single" w:sz="4" w:space="0" w:color="auto"/>
            </w:tcBorders>
            <w:shd w:val="clear" w:color="DCE6F1" w:fill="DCE6F1"/>
            <w:noWrap/>
            <w:vAlign w:val="center"/>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6,9</w:t>
            </w:r>
          </w:p>
        </w:tc>
        <w:tc>
          <w:tcPr>
            <w:tcW w:w="820" w:type="dxa"/>
            <w:tcBorders>
              <w:top w:val="single" w:sz="4" w:space="0" w:color="auto"/>
              <w:left w:val="single" w:sz="4" w:space="0" w:color="auto"/>
              <w:bottom w:val="single" w:sz="4" w:space="0" w:color="auto"/>
              <w:right w:val="single" w:sz="4" w:space="0" w:color="auto"/>
            </w:tcBorders>
            <w:shd w:val="clear" w:color="DCE6F1" w:fill="DCE6F1"/>
            <w:noWrap/>
            <w:vAlign w:val="center"/>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6,5</w:t>
            </w:r>
          </w:p>
        </w:tc>
        <w:tc>
          <w:tcPr>
            <w:tcW w:w="820" w:type="dxa"/>
            <w:tcBorders>
              <w:top w:val="single" w:sz="4" w:space="0" w:color="auto"/>
              <w:left w:val="single" w:sz="4" w:space="0" w:color="auto"/>
              <w:bottom w:val="single" w:sz="4" w:space="0" w:color="auto"/>
              <w:right w:val="single" w:sz="4" w:space="0" w:color="auto"/>
            </w:tcBorders>
            <w:shd w:val="clear" w:color="DCE6F1" w:fill="DCE6F1"/>
            <w:noWrap/>
            <w:vAlign w:val="center"/>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6,5</w:t>
            </w:r>
          </w:p>
        </w:tc>
      </w:tr>
      <w:tr w:rsidR="00E22373" w:rsidRPr="00E22373" w:rsidTr="00E22373">
        <w:trPr>
          <w:trHeight w:val="30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22373" w:rsidRPr="00E22373" w:rsidRDefault="00E22373" w:rsidP="00E22373">
            <w:pPr>
              <w:spacing w:after="0" w:line="240" w:lineRule="auto"/>
              <w:jc w:val="center"/>
              <w:rPr>
                <w:rFonts w:ascii="Calibri" w:eastAsia="Times New Roman" w:hAnsi="Calibri" w:cs="Calibri"/>
                <w:b/>
                <w:bCs/>
                <w:color w:val="000000"/>
                <w:lang w:eastAsia="nl-NL"/>
              </w:rPr>
            </w:pPr>
            <w:r w:rsidRPr="00E22373">
              <w:rPr>
                <w:rFonts w:ascii="Calibri" w:eastAsia="Times New Roman" w:hAnsi="Calibri" w:cs="Calibri"/>
                <w:b/>
                <w:bCs/>
                <w:color w:val="000000"/>
                <w:lang w:eastAsia="nl-NL"/>
              </w:rPr>
              <w:t>Orggr</w:t>
            </w:r>
          </w:p>
        </w:tc>
        <w:tc>
          <w:tcPr>
            <w:tcW w:w="8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30,6694</w:t>
            </w:r>
          </w:p>
        </w:tc>
        <w:tc>
          <w:tcPr>
            <w:tcW w:w="8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29,2636</w:t>
            </w:r>
          </w:p>
        </w:tc>
        <w:tc>
          <w:tcPr>
            <w:tcW w:w="8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28,0169</w:t>
            </w:r>
          </w:p>
        </w:tc>
        <w:tc>
          <w:tcPr>
            <w:tcW w:w="8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27,1319</w:t>
            </w:r>
          </w:p>
        </w:tc>
        <w:tc>
          <w:tcPr>
            <w:tcW w:w="8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24,6778</w:t>
            </w:r>
          </w:p>
        </w:tc>
        <w:tc>
          <w:tcPr>
            <w:tcW w:w="8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24,235</w:t>
            </w:r>
          </w:p>
        </w:tc>
        <w:tc>
          <w:tcPr>
            <w:tcW w:w="8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24,3195</w:t>
            </w:r>
          </w:p>
        </w:tc>
        <w:tc>
          <w:tcPr>
            <w:tcW w:w="8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24,3373</w:t>
            </w:r>
          </w:p>
        </w:tc>
        <w:tc>
          <w:tcPr>
            <w:tcW w:w="8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24,1409</w:t>
            </w:r>
          </w:p>
        </w:tc>
        <w:tc>
          <w:tcPr>
            <w:tcW w:w="8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22373" w:rsidRPr="00E22373" w:rsidRDefault="00E22373" w:rsidP="00E22373">
            <w:pPr>
              <w:spacing w:after="0" w:line="240" w:lineRule="auto"/>
              <w:jc w:val="center"/>
              <w:rPr>
                <w:rFonts w:ascii="Calibri" w:eastAsia="Times New Roman" w:hAnsi="Calibri" w:cs="Calibri"/>
                <w:color w:val="000000"/>
                <w:lang w:eastAsia="nl-NL"/>
              </w:rPr>
            </w:pPr>
            <w:r w:rsidRPr="00E22373">
              <w:rPr>
                <w:rFonts w:ascii="Calibri" w:eastAsia="Times New Roman" w:hAnsi="Calibri" w:cs="Calibri"/>
                <w:color w:val="000000"/>
                <w:lang w:eastAsia="nl-NL"/>
              </w:rPr>
              <w:t>24,786</w:t>
            </w:r>
          </w:p>
        </w:tc>
      </w:tr>
    </w:tbl>
    <w:p w:rsidR="0034682C" w:rsidRPr="00A50523" w:rsidRDefault="00A50523" w:rsidP="002B6FE4">
      <w:pPr>
        <w:spacing w:line="360" w:lineRule="auto"/>
        <w:rPr>
          <w:sz w:val="18"/>
          <w:szCs w:val="18"/>
        </w:rPr>
      </w:pPr>
      <w:r w:rsidRPr="00A50523">
        <w:rPr>
          <w:i/>
          <w:sz w:val="18"/>
          <w:szCs w:val="18"/>
        </w:rPr>
        <w:t>Opmerkingen. Infla=</w:t>
      </w:r>
      <w:r w:rsidRPr="00A50523">
        <w:rPr>
          <w:sz w:val="18"/>
          <w:szCs w:val="18"/>
        </w:rPr>
        <w:t>inflatie;</w:t>
      </w:r>
      <w:r w:rsidR="009A1510" w:rsidRPr="00A50523">
        <w:rPr>
          <w:sz w:val="18"/>
          <w:szCs w:val="18"/>
        </w:rPr>
        <w:t xml:space="preserve"> </w:t>
      </w:r>
      <w:r w:rsidRPr="00A50523">
        <w:rPr>
          <w:sz w:val="18"/>
          <w:szCs w:val="18"/>
        </w:rPr>
        <w:t>Werkn=werknemerscompensatie; Werkl=</w:t>
      </w:r>
      <w:r w:rsidR="009A1510" w:rsidRPr="00A50523">
        <w:rPr>
          <w:sz w:val="18"/>
          <w:szCs w:val="18"/>
        </w:rPr>
        <w:t>werkloosheidspercentage</w:t>
      </w:r>
      <w:r w:rsidRPr="00A50523">
        <w:rPr>
          <w:sz w:val="18"/>
          <w:szCs w:val="18"/>
        </w:rPr>
        <w:t>; Orggr=</w:t>
      </w:r>
      <w:r w:rsidR="009A1510" w:rsidRPr="00A50523">
        <w:rPr>
          <w:sz w:val="18"/>
          <w:szCs w:val="18"/>
        </w:rPr>
        <w:t>organisatiegraad</w:t>
      </w:r>
      <w:r w:rsidRPr="00A50523">
        <w:rPr>
          <w:sz w:val="18"/>
          <w:szCs w:val="18"/>
        </w:rPr>
        <w:t>.</w:t>
      </w:r>
    </w:p>
    <w:p w:rsidR="00A50523" w:rsidRDefault="00A50523" w:rsidP="002B6FE4">
      <w:pPr>
        <w:spacing w:line="360" w:lineRule="auto"/>
        <w:rPr>
          <w:b/>
          <w:szCs w:val="20"/>
        </w:rPr>
      </w:pPr>
    </w:p>
    <w:p w:rsidR="00E23A11" w:rsidRPr="00E23A11" w:rsidRDefault="00E23A11" w:rsidP="002B6FE4">
      <w:pPr>
        <w:spacing w:line="360" w:lineRule="auto"/>
        <w:rPr>
          <w:b/>
          <w:szCs w:val="20"/>
        </w:rPr>
      </w:pPr>
      <w:r>
        <w:rPr>
          <w:b/>
          <w:szCs w:val="20"/>
        </w:rPr>
        <w:lastRenderedPageBreak/>
        <w:t>Bijlage D.1</w:t>
      </w:r>
    </w:p>
    <w:tbl>
      <w:tblPr>
        <w:tblW w:w="0" w:type="auto"/>
        <w:tblInd w:w="30" w:type="dxa"/>
        <w:tblLayout w:type="fixed"/>
        <w:tblCellMar>
          <w:left w:w="0" w:type="dxa"/>
          <w:right w:w="0" w:type="dxa"/>
        </w:tblCellMar>
        <w:tblLook w:val="0000" w:firstRow="0" w:lastRow="0" w:firstColumn="0" w:lastColumn="0" w:noHBand="0" w:noVBand="0"/>
      </w:tblPr>
      <w:tblGrid>
        <w:gridCol w:w="2017"/>
        <w:gridCol w:w="1103"/>
        <w:gridCol w:w="1207"/>
        <w:gridCol w:w="1208"/>
        <w:gridCol w:w="997"/>
      </w:tblGrid>
      <w:tr w:rsidR="00E23A11" w:rsidRPr="004B1334" w:rsidTr="00CE3832">
        <w:trPr>
          <w:trHeight w:val="225"/>
        </w:trPr>
        <w:tc>
          <w:tcPr>
            <w:tcW w:w="5535" w:type="dxa"/>
            <w:gridSpan w:val="4"/>
            <w:tcBorders>
              <w:top w:val="nil"/>
              <w:left w:val="nil"/>
              <w:bottom w:val="nil"/>
              <w:right w:val="nil"/>
            </w:tcBorders>
            <w:vAlign w:val="bottom"/>
          </w:tcPr>
          <w:p w:rsidR="00E23A11" w:rsidRPr="004B1334" w:rsidRDefault="00E23A11" w:rsidP="00CE3832">
            <w:pPr>
              <w:autoSpaceDE w:val="0"/>
              <w:autoSpaceDN w:val="0"/>
              <w:adjustRightInd w:val="0"/>
              <w:spacing w:after="0" w:line="240" w:lineRule="auto"/>
              <w:rPr>
                <w:rFonts w:ascii="Arial" w:hAnsi="Arial" w:cs="Arial"/>
                <w:color w:val="000000"/>
                <w:sz w:val="18"/>
                <w:szCs w:val="18"/>
                <w:lang w:val="en-US"/>
              </w:rPr>
            </w:pPr>
            <w:r w:rsidRPr="004B1334">
              <w:rPr>
                <w:rFonts w:ascii="Arial" w:hAnsi="Arial" w:cs="Arial"/>
                <w:color w:val="000000"/>
                <w:sz w:val="18"/>
                <w:szCs w:val="18"/>
                <w:lang w:val="en-US"/>
              </w:rPr>
              <w:t>Correlated Random Effects - Hausman Test</w:t>
            </w:r>
          </w:p>
        </w:tc>
        <w:tc>
          <w:tcPr>
            <w:tcW w:w="997" w:type="dxa"/>
            <w:tcBorders>
              <w:top w:val="nil"/>
              <w:left w:val="nil"/>
              <w:bottom w:val="nil"/>
              <w:right w:val="nil"/>
            </w:tcBorders>
            <w:vAlign w:val="bottom"/>
          </w:tcPr>
          <w:p w:rsidR="00E23A11" w:rsidRPr="004B1334" w:rsidRDefault="00E23A11" w:rsidP="00CE3832">
            <w:pPr>
              <w:autoSpaceDE w:val="0"/>
              <w:autoSpaceDN w:val="0"/>
              <w:adjustRightInd w:val="0"/>
              <w:spacing w:after="0" w:line="240" w:lineRule="auto"/>
              <w:jc w:val="center"/>
              <w:rPr>
                <w:rFonts w:ascii="Arial" w:hAnsi="Arial" w:cs="Arial"/>
                <w:color w:val="000000"/>
                <w:sz w:val="18"/>
                <w:szCs w:val="18"/>
                <w:lang w:val="en-US"/>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Equation: Untitled</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RPr="004B1334" w:rsidTr="00CE3832">
        <w:trPr>
          <w:trHeight w:val="225"/>
        </w:trPr>
        <w:tc>
          <w:tcPr>
            <w:tcW w:w="5535" w:type="dxa"/>
            <w:gridSpan w:val="4"/>
            <w:tcBorders>
              <w:top w:val="nil"/>
              <w:left w:val="nil"/>
              <w:bottom w:val="nil"/>
              <w:right w:val="nil"/>
            </w:tcBorders>
            <w:vAlign w:val="bottom"/>
          </w:tcPr>
          <w:p w:rsidR="00E23A11" w:rsidRPr="004B1334" w:rsidRDefault="00E23A11" w:rsidP="00CE3832">
            <w:pPr>
              <w:autoSpaceDE w:val="0"/>
              <w:autoSpaceDN w:val="0"/>
              <w:adjustRightInd w:val="0"/>
              <w:spacing w:after="0" w:line="240" w:lineRule="auto"/>
              <w:rPr>
                <w:rFonts w:ascii="Arial" w:hAnsi="Arial" w:cs="Arial"/>
                <w:color w:val="000000"/>
                <w:sz w:val="18"/>
                <w:szCs w:val="18"/>
                <w:lang w:val="en-US"/>
              </w:rPr>
            </w:pPr>
            <w:r w:rsidRPr="004B1334">
              <w:rPr>
                <w:rFonts w:ascii="Arial" w:hAnsi="Arial" w:cs="Arial"/>
                <w:color w:val="000000"/>
                <w:sz w:val="18"/>
                <w:szCs w:val="18"/>
                <w:lang w:val="en-US"/>
              </w:rPr>
              <w:t>Test cross-section random effects</w:t>
            </w:r>
          </w:p>
        </w:tc>
        <w:tc>
          <w:tcPr>
            <w:tcW w:w="997" w:type="dxa"/>
            <w:tcBorders>
              <w:top w:val="nil"/>
              <w:left w:val="nil"/>
              <w:bottom w:val="nil"/>
              <w:right w:val="nil"/>
            </w:tcBorders>
            <w:vAlign w:val="bottom"/>
          </w:tcPr>
          <w:p w:rsidR="00E23A11" w:rsidRPr="004B1334" w:rsidRDefault="00E23A11" w:rsidP="00CE3832">
            <w:pPr>
              <w:autoSpaceDE w:val="0"/>
              <w:autoSpaceDN w:val="0"/>
              <w:adjustRightInd w:val="0"/>
              <w:spacing w:after="0" w:line="240" w:lineRule="auto"/>
              <w:jc w:val="center"/>
              <w:rPr>
                <w:rFonts w:ascii="Arial" w:hAnsi="Arial" w:cs="Arial"/>
                <w:color w:val="000000"/>
                <w:sz w:val="18"/>
                <w:szCs w:val="18"/>
                <w:lang w:val="en-US"/>
              </w:rPr>
            </w:pPr>
          </w:p>
        </w:tc>
      </w:tr>
      <w:tr w:rsidR="00E23A11" w:rsidRPr="004B1334" w:rsidTr="00CE3832">
        <w:trPr>
          <w:trHeight w:hRule="exact" w:val="90"/>
        </w:trPr>
        <w:tc>
          <w:tcPr>
            <w:tcW w:w="2017" w:type="dxa"/>
            <w:tcBorders>
              <w:top w:val="nil"/>
              <w:left w:val="nil"/>
              <w:bottom w:val="double" w:sz="6" w:space="2" w:color="auto"/>
              <w:right w:val="nil"/>
            </w:tcBorders>
            <w:vAlign w:val="bottom"/>
          </w:tcPr>
          <w:p w:rsidR="00E23A11" w:rsidRPr="004B1334" w:rsidRDefault="00E23A11" w:rsidP="00CE3832">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2" w:color="auto"/>
              <w:right w:val="nil"/>
            </w:tcBorders>
            <w:vAlign w:val="bottom"/>
          </w:tcPr>
          <w:p w:rsidR="00E23A11" w:rsidRPr="004B1334" w:rsidRDefault="00E23A11" w:rsidP="00CE3832">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2" w:color="auto"/>
              <w:right w:val="nil"/>
            </w:tcBorders>
            <w:vAlign w:val="bottom"/>
          </w:tcPr>
          <w:p w:rsidR="00E23A11" w:rsidRPr="004B1334" w:rsidRDefault="00E23A11" w:rsidP="00CE3832">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2" w:color="auto"/>
              <w:right w:val="nil"/>
            </w:tcBorders>
            <w:vAlign w:val="bottom"/>
          </w:tcPr>
          <w:p w:rsidR="00E23A11" w:rsidRPr="004B1334" w:rsidRDefault="00E23A11" w:rsidP="00CE3832">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2" w:color="auto"/>
              <w:right w:val="nil"/>
            </w:tcBorders>
            <w:vAlign w:val="bottom"/>
          </w:tcPr>
          <w:p w:rsidR="00E23A11" w:rsidRPr="004B1334" w:rsidRDefault="00E23A11" w:rsidP="00CE3832">
            <w:pPr>
              <w:autoSpaceDE w:val="0"/>
              <w:autoSpaceDN w:val="0"/>
              <w:adjustRightInd w:val="0"/>
              <w:spacing w:after="0" w:line="240" w:lineRule="auto"/>
              <w:jc w:val="center"/>
              <w:rPr>
                <w:rFonts w:ascii="Arial" w:hAnsi="Arial" w:cs="Arial"/>
                <w:color w:val="000000"/>
                <w:sz w:val="18"/>
                <w:szCs w:val="18"/>
                <w:lang w:val="en-US"/>
              </w:rPr>
            </w:pPr>
          </w:p>
        </w:tc>
      </w:tr>
      <w:tr w:rsidR="00E23A11" w:rsidRPr="004B1334" w:rsidTr="00CE3832">
        <w:trPr>
          <w:trHeight w:hRule="exact" w:val="135"/>
        </w:trPr>
        <w:tc>
          <w:tcPr>
            <w:tcW w:w="2017" w:type="dxa"/>
            <w:tcBorders>
              <w:top w:val="nil"/>
              <w:left w:val="nil"/>
              <w:bottom w:val="nil"/>
              <w:right w:val="nil"/>
            </w:tcBorders>
            <w:vAlign w:val="bottom"/>
          </w:tcPr>
          <w:p w:rsidR="00E23A11" w:rsidRPr="004B1334" w:rsidRDefault="00E23A11" w:rsidP="00CE3832">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nil"/>
              <w:right w:val="nil"/>
            </w:tcBorders>
            <w:vAlign w:val="bottom"/>
          </w:tcPr>
          <w:p w:rsidR="00E23A11" w:rsidRPr="004B1334" w:rsidRDefault="00E23A11" w:rsidP="00CE3832">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nil"/>
              <w:right w:val="nil"/>
            </w:tcBorders>
            <w:vAlign w:val="bottom"/>
          </w:tcPr>
          <w:p w:rsidR="00E23A11" w:rsidRPr="004B1334" w:rsidRDefault="00E23A11" w:rsidP="00CE3832">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nil"/>
              <w:right w:val="nil"/>
            </w:tcBorders>
            <w:vAlign w:val="bottom"/>
          </w:tcPr>
          <w:p w:rsidR="00E23A11" w:rsidRPr="004B1334" w:rsidRDefault="00E23A11" w:rsidP="00CE3832">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nil"/>
              <w:right w:val="nil"/>
            </w:tcBorders>
            <w:vAlign w:val="bottom"/>
          </w:tcPr>
          <w:p w:rsidR="00E23A11" w:rsidRPr="004B1334" w:rsidRDefault="00E23A11" w:rsidP="00CE3832">
            <w:pPr>
              <w:autoSpaceDE w:val="0"/>
              <w:autoSpaceDN w:val="0"/>
              <w:adjustRightInd w:val="0"/>
              <w:spacing w:after="0" w:line="240" w:lineRule="auto"/>
              <w:jc w:val="center"/>
              <w:rPr>
                <w:rFonts w:ascii="Arial" w:hAnsi="Arial" w:cs="Arial"/>
                <w:color w:val="000000"/>
                <w:sz w:val="18"/>
                <w:szCs w:val="18"/>
                <w:lang w:val="en-US"/>
              </w:rPr>
            </w:pPr>
          </w:p>
        </w:tc>
      </w:tr>
      <w:tr w:rsidR="00E23A11" w:rsidTr="00CE3832">
        <w:trPr>
          <w:trHeight w:val="225"/>
        </w:trPr>
        <w:tc>
          <w:tcPr>
            <w:tcW w:w="3120"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Test Summary</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Chi-Sq. Statistic</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Chi-Sq. d.f.</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Prob. </w:t>
            </w: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3120"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Cross-section random</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45.968196</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3</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w:t>
            </w: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RPr="004B1334" w:rsidTr="00CE3832">
        <w:trPr>
          <w:trHeight w:val="225"/>
        </w:trPr>
        <w:tc>
          <w:tcPr>
            <w:tcW w:w="6532" w:type="dxa"/>
            <w:gridSpan w:val="5"/>
            <w:tcBorders>
              <w:top w:val="nil"/>
              <w:left w:val="nil"/>
              <w:bottom w:val="nil"/>
              <w:right w:val="nil"/>
            </w:tcBorders>
            <w:vAlign w:val="bottom"/>
          </w:tcPr>
          <w:p w:rsidR="00E23A11" w:rsidRPr="008548EC" w:rsidRDefault="00E23A11" w:rsidP="00CE3832">
            <w:pPr>
              <w:autoSpaceDE w:val="0"/>
              <w:autoSpaceDN w:val="0"/>
              <w:adjustRightInd w:val="0"/>
              <w:spacing w:after="0" w:line="240" w:lineRule="auto"/>
              <w:rPr>
                <w:rFonts w:ascii="Arial" w:hAnsi="Arial" w:cs="Arial"/>
                <w:color w:val="000000"/>
                <w:sz w:val="18"/>
                <w:szCs w:val="18"/>
                <w:lang w:val="en-US"/>
              </w:rPr>
            </w:pPr>
            <w:r w:rsidRPr="008548EC">
              <w:rPr>
                <w:rFonts w:ascii="Arial" w:hAnsi="Arial" w:cs="Arial"/>
                <w:color w:val="000000"/>
                <w:sz w:val="18"/>
                <w:szCs w:val="18"/>
                <w:lang w:val="en-US"/>
              </w:rPr>
              <w:t>Cross-section random effects test comparisons:</w:t>
            </w:r>
          </w:p>
        </w:tc>
      </w:tr>
      <w:tr w:rsidR="00E23A11" w:rsidRPr="004B1334" w:rsidTr="00CE3832">
        <w:trPr>
          <w:trHeight w:val="225"/>
        </w:trPr>
        <w:tc>
          <w:tcPr>
            <w:tcW w:w="2017" w:type="dxa"/>
            <w:tcBorders>
              <w:top w:val="nil"/>
              <w:left w:val="nil"/>
              <w:bottom w:val="nil"/>
              <w:right w:val="nil"/>
            </w:tcBorders>
            <w:vAlign w:val="bottom"/>
          </w:tcPr>
          <w:p w:rsidR="00E23A11" w:rsidRPr="008548EC" w:rsidRDefault="00E23A11" w:rsidP="00CE3832">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nil"/>
              <w:right w:val="nil"/>
            </w:tcBorders>
            <w:vAlign w:val="bottom"/>
          </w:tcPr>
          <w:p w:rsidR="00E23A11" w:rsidRPr="008548EC" w:rsidRDefault="00E23A11" w:rsidP="00CE3832">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nil"/>
              <w:right w:val="nil"/>
            </w:tcBorders>
            <w:vAlign w:val="bottom"/>
          </w:tcPr>
          <w:p w:rsidR="00E23A11" w:rsidRPr="008548EC" w:rsidRDefault="00E23A11" w:rsidP="00CE3832">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nil"/>
              <w:right w:val="nil"/>
            </w:tcBorders>
            <w:vAlign w:val="bottom"/>
          </w:tcPr>
          <w:p w:rsidR="00E23A11" w:rsidRPr="008548EC" w:rsidRDefault="00E23A11" w:rsidP="00CE3832">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nil"/>
              <w:right w:val="nil"/>
            </w:tcBorders>
            <w:vAlign w:val="bottom"/>
          </w:tcPr>
          <w:p w:rsidR="00E23A11" w:rsidRPr="008548EC" w:rsidRDefault="00E23A11" w:rsidP="00CE3832">
            <w:pPr>
              <w:autoSpaceDE w:val="0"/>
              <w:autoSpaceDN w:val="0"/>
              <w:adjustRightInd w:val="0"/>
              <w:spacing w:after="0" w:line="240" w:lineRule="auto"/>
              <w:jc w:val="center"/>
              <w:rPr>
                <w:rFonts w:ascii="Arial" w:hAnsi="Arial" w:cs="Arial"/>
                <w:color w:val="000000"/>
                <w:sz w:val="18"/>
                <w:szCs w:val="18"/>
                <w:lang w:val="en-US"/>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Variable</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Fixed  </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Random </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Var(Diff.) </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Prob. </w:t>
            </w: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INFL</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0.887303</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1.131570</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0.002587</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WERKL</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-0.573834</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-0.161097</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0.018570</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0.0025</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WERKN</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0.761530</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0.260124</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0.012132</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w:t>
            </w: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bl>
    <w:p w:rsidR="00E23A11" w:rsidRDefault="00E23A11" w:rsidP="002B6FE4">
      <w:pPr>
        <w:spacing w:line="360" w:lineRule="auto"/>
        <w:rPr>
          <w:b/>
          <w:szCs w:val="20"/>
        </w:rPr>
      </w:pPr>
      <w:r>
        <w:rPr>
          <w:b/>
          <w:szCs w:val="20"/>
        </w:rPr>
        <w:t>Bijlage D.2</w:t>
      </w:r>
    </w:p>
    <w:tbl>
      <w:tblPr>
        <w:tblW w:w="0" w:type="auto"/>
        <w:tblInd w:w="30" w:type="dxa"/>
        <w:tblLayout w:type="fixed"/>
        <w:tblCellMar>
          <w:left w:w="0" w:type="dxa"/>
          <w:right w:w="0" w:type="dxa"/>
        </w:tblCellMar>
        <w:tblLook w:val="0000" w:firstRow="0" w:lastRow="0" w:firstColumn="0" w:lastColumn="0" w:noHBand="0" w:noVBand="0"/>
      </w:tblPr>
      <w:tblGrid>
        <w:gridCol w:w="2017"/>
        <w:gridCol w:w="1103"/>
        <w:gridCol w:w="1207"/>
        <w:gridCol w:w="1208"/>
        <w:gridCol w:w="997"/>
      </w:tblGrid>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Dependent Variable: ORGGR</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Method: Panel Least Squares</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Date: 07/21/15   Time: 09:37</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Sample (adjusted): 1970 2011</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Periods included: 42</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Cross-sections included: 4</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5535" w:type="dxa"/>
            <w:gridSpan w:val="4"/>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Total panel (unbalanced) observations: 155</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Variable</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Coefficient</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Std. Error</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t-Statistic</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Prob.  </w:t>
            </w: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C</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-16.01408</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8.281250</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-1.933775</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0.0550</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INFL</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0.887303</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0.124588</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7.121905</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WERKN</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0.761530</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0.144588</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5.266875</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WERKL</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-0.573834</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0.190809</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-3.007370</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0.0031</w:t>
            </w: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2310"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Effects Specification</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RPr="004B1334" w:rsidTr="00CE3832">
        <w:trPr>
          <w:trHeight w:val="225"/>
        </w:trPr>
        <w:tc>
          <w:tcPr>
            <w:tcW w:w="5535" w:type="dxa"/>
            <w:gridSpan w:val="4"/>
            <w:tcBorders>
              <w:top w:val="nil"/>
              <w:left w:val="nil"/>
              <w:bottom w:val="nil"/>
              <w:right w:val="nil"/>
            </w:tcBorders>
            <w:vAlign w:val="bottom"/>
          </w:tcPr>
          <w:p w:rsidR="00E23A11" w:rsidRPr="00D02844" w:rsidRDefault="00E23A11" w:rsidP="00CE3832">
            <w:pPr>
              <w:autoSpaceDE w:val="0"/>
              <w:autoSpaceDN w:val="0"/>
              <w:adjustRightInd w:val="0"/>
              <w:spacing w:after="0" w:line="240" w:lineRule="auto"/>
              <w:rPr>
                <w:rFonts w:ascii="Arial" w:hAnsi="Arial" w:cs="Arial"/>
                <w:color w:val="000000"/>
                <w:sz w:val="18"/>
                <w:szCs w:val="18"/>
                <w:lang w:val="en-US"/>
              </w:rPr>
            </w:pPr>
            <w:r w:rsidRPr="00D02844">
              <w:rPr>
                <w:rFonts w:ascii="Arial" w:hAnsi="Arial" w:cs="Arial"/>
                <w:color w:val="000000"/>
                <w:sz w:val="18"/>
                <w:szCs w:val="18"/>
                <w:lang w:val="en-US"/>
              </w:rPr>
              <w:t>Cross-section fixed (dummy variables)</w:t>
            </w:r>
          </w:p>
        </w:tc>
        <w:tc>
          <w:tcPr>
            <w:tcW w:w="997" w:type="dxa"/>
            <w:tcBorders>
              <w:top w:val="nil"/>
              <w:left w:val="nil"/>
              <w:bottom w:val="nil"/>
              <w:right w:val="nil"/>
            </w:tcBorders>
            <w:vAlign w:val="bottom"/>
          </w:tcPr>
          <w:p w:rsidR="00E23A11" w:rsidRPr="00D02844" w:rsidRDefault="00E23A11" w:rsidP="00CE3832">
            <w:pPr>
              <w:autoSpaceDE w:val="0"/>
              <w:autoSpaceDN w:val="0"/>
              <w:adjustRightInd w:val="0"/>
              <w:spacing w:after="0" w:line="240" w:lineRule="auto"/>
              <w:jc w:val="center"/>
              <w:rPr>
                <w:rFonts w:ascii="Arial" w:hAnsi="Arial" w:cs="Arial"/>
                <w:color w:val="000000"/>
                <w:sz w:val="18"/>
                <w:szCs w:val="18"/>
                <w:lang w:val="en-US"/>
              </w:rPr>
            </w:pPr>
          </w:p>
        </w:tc>
      </w:tr>
      <w:tr w:rsidR="00E23A11" w:rsidRPr="004B1334" w:rsidTr="00CE3832">
        <w:trPr>
          <w:trHeight w:hRule="exact" w:val="90"/>
        </w:trPr>
        <w:tc>
          <w:tcPr>
            <w:tcW w:w="2017" w:type="dxa"/>
            <w:tcBorders>
              <w:top w:val="nil"/>
              <w:left w:val="nil"/>
              <w:bottom w:val="double" w:sz="6" w:space="2" w:color="auto"/>
              <w:right w:val="nil"/>
            </w:tcBorders>
            <w:vAlign w:val="bottom"/>
          </w:tcPr>
          <w:p w:rsidR="00E23A11" w:rsidRPr="00D02844" w:rsidRDefault="00E23A11" w:rsidP="00CE3832">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2" w:color="auto"/>
              <w:right w:val="nil"/>
            </w:tcBorders>
            <w:vAlign w:val="bottom"/>
          </w:tcPr>
          <w:p w:rsidR="00E23A11" w:rsidRPr="00D02844" w:rsidRDefault="00E23A11" w:rsidP="00CE3832">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2" w:color="auto"/>
              <w:right w:val="nil"/>
            </w:tcBorders>
            <w:vAlign w:val="bottom"/>
          </w:tcPr>
          <w:p w:rsidR="00E23A11" w:rsidRPr="00D02844" w:rsidRDefault="00E23A11" w:rsidP="00CE3832">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2" w:color="auto"/>
              <w:right w:val="nil"/>
            </w:tcBorders>
            <w:vAlign w:val="bottom"/>
          </w:tcPr>
          <w:p w:rsidR="00E23A11" w:rsidRPr="00D02844" w:rsidRDefault="00E23A11" w:rsidP="00CE3832">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2" w:color="auto"/>
              <w:right w:val="nil"/>
            </w:tcBorders>
            <w:vAlign w:val="bottom"/>
          </w:tcPr>
          <w:p w:rsidR="00E23A11" w:rsidRPr="00D02844" w:rsidRDefault="00E23A11" w:rsidP="00CE3832">
            <w:pPr>
              <w:autoSpaceDE w:val="0"/>
              <w:autoSpaceDN w:val="0"/>
              <w:adjustRightInd w:val="0"/>
              <w:spacing w:after="0" w:line="240" w:lineRule="auto"/>
              <w:jc w:val="center"/>
              <w:rPr>
                <w:rFonts w:ascii="Arial" w:hAnsi="Arial" w:cs="Arial"/>
                <w:color w:val="000000"/>
                <w:sz w:val="18"/>
                <w:szCs w:val="18"/>
                <w:lang w:val="en-US"/>
              </w:rPr>
            </w:pPr>
          </w:p>
        </w:tc>
      </w:tr>
      <w:tr w:rsidR="00E23A11" w:rsidRPr="004B1334" w:rsidTr="00CE3832">
        <w:trPr>
          <w:trHeight w:hRule="exact" w:val="135"/>
        </w:trPr>
        <w:tc>
          <w:tcPr>
            <w:tcW w:w="2017" w:type="dxa"/>
            <w:tcBorders>
              <w:top w:val="nil"/>
              <w:left w:val="nil"/>
              <w:bottom w:val="nil"/>
              <w:right w:val="nil"/>
            </w:tcBorders>
            <w:vAlign w:val="bottom"/>
          </w:tcPr>
          <w:p w:rsidR="00E23A11" w:rsidRPr="00D02844" w:rsidRDefault="00E23A11" w:rsidP="00CE3832">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nil"/>
              <w:right w:val="nil"/>
            </w:tcBorders>
            <w:vAlign w:val="bottom"/>
          </w:tcPr>
          <w:p w:rsidR="00E23A11" w:rsidRPr="00D02844" w:rsidRDefault="00E23A11" w:rsidP="00CE3832">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nil"/>
              <w:right w:val="nil"/>
            </w:tcBorders>
            <w:vAlign w:val="bottom"/>
          </w:tcPr>
          <w:p w:rsidR="00E23A11" w:rsidRPr="00D02844" w:rsidRDefault="00E23A11" w:rsidP="00CE3832">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nil"/>
              <w:right w:val="nil"/>
            </w:tcBorders>
            <w:vAlign w:val="bottom"/>
          </w:tcPr>
          <w:p w:rsidR="00E23A11" w:rsidRPr="00D02844" w:rsidRDefault="00E23A11" w:rsidP="00CE3832">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nil"/>
              <w:right w:val="nil"/>
            </w:tcBorders>
            <w:vAlign w:val="bottom"/>
          </w:tcPr>
          <w:p w:rsidR="00E23A11" w:rsidRPr="00D02844" w:rsidRDefault="00E23A11" w:rsidP="00CE3832">
            <w:pPr>
              <w:autoSpaceDE w:val="0"/>
              <w:autoSpaceDN w:val="0"/>
              <w:adjustRightInd w:val="0"/>
              <w:spacing w:after="0" w:line="240" w:lineRule="auto"/>
              <w:jc w:val="center"/>
              <w:rPr>
                <w:rFonts w:ascii="Arial" w:hAnsi="Arial" w:cs="Arial"/>
                <w:color w:val="000000"/>
                <w:sz w:val="18"/>
                <w:szCs w:val="18"/>
                <w:lang w:val="en-US"/>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R-squared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0.549615</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Mean dependent var</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26.98297</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Adjusted R-squared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0.531356</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S.D. dependent var</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5.952487</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S.E. of regression</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4.074928</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Akaike info criterion</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5.691693</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Sum squared resid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2457.546</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Schwarz criterion</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5.829138</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Log likelihood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-434.1062</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Hannan-Quinn criter.</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5.747520</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F-statistic</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30.10128</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Durbin-Watson stat</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0.351477</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Prob(F-statistic)</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0.000000</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center"/>
              <w:rPr>
                <w:rFonts w:ascii="Arial" w:hAnsi="Arial" w:cs="Arial"/>
                <w:color w:val="000000"/>
                <w:sz w:val="18"/>
                <w:szCs w:val="18"/>
              </w:rPr>
            </w:pPr>
          </w:p>
        </w:tc>
      </w:tr>
    </w:tbl>
    <w:p w:rsidR="00A50523" w:rsidRDefault="00E23A11" w:rsidP="002B6FE4">
      <w:pPr>
        <w:spacing w:line="360" w:lineRule="auto"/>
        <w:rPr>
          <w:b/>
          <w:szCs w:val="20"/>
        </w:rPr>
      </w:pPr>
      <w:r>
        <w:rPr>
          <w:b/>
          <w:szCs w:val="20"/>
        </w:rPr>
        <w:br/>
      </w:r>
    </w:p>
    <w:p w:rsidR="00A50523" w:rsidRDefault="00A50523" w:rsidP="002B6FE4">
      <w:pPr>
        <w:spacing w:line="360" w:lineRule="auto"/>
        <w:rPr>
          <w:b/>
          <w:szCs w:val="20"/>
        </w:rPr>
      </w:pPr>
    </w:p>
    <w:p w:rsidR="00A50523" w:rsidRDefault="00A50523" w:rsidP="002B6FE4">
      <w:pPr>
        <w:spacing w:line="360" w:lineRule="auto"/>
        <w:rPr>
          <w:b/>
          <w:szCs w:val="20"/>
        </w:rPr>
      </w:pPr>
    </w:p>
    <w:p w:rsidR="00A50523" w:rsidRDefault="00A50523" w:rsidP="002B6FE4">
      <w:pPr>
        <w:spacing w:line="360" w:lineRule="auto"/>
        <w:rPr>
          <w:b/>
          <w:szCs w:val="20"/>
        </w:rPr>
      </w:pPr>
    </w:p>
    <w:p w:rsidR="00E23A11" w:rsidRDefault="00E23A11" w:rsidP="002B6FE4">
      <w:pPr>
        <w:spacing w:line="360" w:lineRule="auto"/>
        <w:rPr>
          <w:b/>
          <w:szCs w:val="20"/>
        </w:rPr>
      </w:pPr>
      <w:r>
        <w:rPr>
          <w:b/>
          <w:szCs w:val="20"/>
        </w:rPr>
        <w:lastRenderedPageBreak/>
        <w:t>Bijlage E</w:t>
      </w:r>
    </w:p>
    <w:tbl>
      <w:tblPr>
        <w:tblW w:w="0" w:type="auto"/>
        <w:tblInd w:w="30" w:type="dxa"/>
        <w:tblLayout w:type="fixed"/>
        <w:tblCellMar>
          <w:left w:w="0" w:type="dxa"/>
          <w:right w:w="0" w:type="dxa"/>
        </w:tblCellMar>
        <w:tblLook w:val="0000" w:firstRow="0" w:lastRow="0" w:firstColumn="0" w:lastColumn="0" w:noHBand="0" w:noVBand="0"/>
      </w:tblPr>
      <w:tblGrid>
        <w:gridCol w:w="2017"/>
        <w:gridCol w:w="1103"/>
        <w:gridCol w:w="1207"/>
        <w:gridCol w:w="1208"/>
        <w:gridCol w:w="997"/>
      </w:tblGrid>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Dependent Variable: ORGGR</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Method: Least Squares</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Date: 07/21/15   Time: 10:18</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Sample (adjusted): 1970 1982</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5535" w:type="dxa"/>
            <w:gridSpan w:val="4"/>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Included observations: 13 after adjustments</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Variable</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Coefficient</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Std. Error</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t-Statistic</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Prob.  </w:t>
            </w: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C</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-2.095429</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9.367136</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-0.223700</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0.8280</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INFL</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0.150870</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0.107129</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1.408303</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0.1926</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WERKL</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-0.692500</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0.117221</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-5.907653</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0.0002</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WERKN</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0.654390</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0.153841</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4.253689</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0.0021</w:t>
            </w: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R-squared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0.846385</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Mean dependent var</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36.08874</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Adjusted R-squared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0.795180</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S.D. dependent var</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1.689354</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S.E. of regression</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0.764551</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Akaike info criterion</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2.548605</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Sum squared resid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5.260850</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Schwarz criterion</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2.722436</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Log likelihood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-12.56593</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Hannan-Quinn criter.</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2.512875</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F-statistic</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16.52936</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Durbin-Watson stat</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1.638258</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Prob(F-statistic)</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0.000528</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center"/>
              <w:rPr>
                <w:rFonts w:ascii="Arial" w:hAnsi="Arial" w:cs="Arial"/>
                <w:color w:val="000000"/>
                <w:sz w:val="18"/>
                <w:szCs w:val="18"/>
              </w:rPr>
            </w:pPr>
          </w:p>
        </w:tc>
      </w:tr>
      <w:tr w:rsidR="00E23A11" w:rsidTr="00CE3832">
        <w:trPr>
          <w:trHeight w:hRule="exact" w:val="90"/>
        </w:trPr>
        <w:tc>
          <w:tcPr>
            <w:tcW w:w="2017"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bl>
    <w:p w:rsidR="00E23A11" w:rsidRDefault="00E23A11" w:rsidP="00E23A11">
      <w:pPr>
        <w:autoSpaceDE w:val="0"/>
        <w:autoSpaceDN w:val="0"/>
        <w:adjustRightInd w:val="0"/>
        <w:spacing w:after="0" w:line="240" w:lineRule="auto"/>
        <w:rPr>
          <w:rFonts w:ascii="Arial" w:hAnsi="Arial" w:cs="Arial"/>
          <w:sz w:val="18"/>
          <w:szCs w:val="18"/>
        </w:rPr>
      </w:pPr>
      <w:r>
        <w:rPr>
          <w:rFonts w:ascii="Arial" w:hAnsi="Arial" w:cs="Arial"/>
          <w:sz w:val="18"/>
          <w:szCs w:val="18"/>
        </w:rPr>
        <w:br/>
      </w:r>
    </w:p>
    <w:p w:rsidR="00E23A11" w:rsidRDefault="00E23A11" w:rsidP="00E23A11">
      <w:pPr>
        <w:autoSpaceDE w:val="0"/>
        <w:autoSpaceDN w:val="0"/>
        <w:adjustRightInd w:val="0"/>
        <w:spacing w:after="0" w:line="240" w:lineRule="auto"/>
        <w:rPr>
          <w:rFonts w:ascii="Arial" w:hAnsi="Arial" w:cs="Arial"/>
          <w:sz w:val="18"/>
          <w:szCs w:val="18"/>
        </w:rPr>
      </w:pPr>
    </w:p>
    <w:tbl>
      <w:tblPr>
        <w:tblW w:w="0" w:type="auto"/>
        <w:tblInd w:w="30" w:type="dxa"/>
        <w:tblLayout w:type="fixed"/>
        <w:tblCellMar>
          <w:left w:w="0" w:type="dxa"/>
          <w:right w:w="0" w:type="dxa"/>
        </w:tblCellMar>
        <w:tblLook w:val="0000" w:firstRow="0" w:lastRow="0" w:firstColumn="0" w:lastColumn="0" w:noHBand="0" w:noVBand="0"/>
      </w:tblPr>
      <w:tblGrid>
        <w:gridCol w:w="2017"/>
        <w:gridCol w:w="1103"/>
        <w:gridCol w:w="1207"/>
        <w:gridCol w:w="1208"/>
        <w:gridCol w:w="997"/>
      </w:tblGrid>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Dependent Variable: ORGGR</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Method: Least Squares</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Date: 07/21/15   Time: 10:02</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Sample: 1983 1987</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Included observations: 5</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Variable</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Coefficient</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Std. Error</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t-Statistic</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Prob.  </w:t>
            </w: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C</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13.50429</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13.85424</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0.974741</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0.5081</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INFL</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0.727985</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1.095225</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0.664690</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0.6265</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WERKL</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-0.335477</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1.738882</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-0.192927</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0.8787</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WERKN</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0.336579</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0.479600</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0.701790</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0.6104</w:t>
            </w: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R-squared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0.961103</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Mean dependent var</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30.56611</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Adjusted R-squared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0.844413</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S.D. dependent var</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0.860949</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S.E. of regression</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0.339598</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Akaike info criterion</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0.668453</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Sum squared resid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0.115327</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Schwarz criterion</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0.356003</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Log likelihood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2.328868</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Hannan-Quinn criter.</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-0.170131</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F-statistic</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8.236340</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Durbin-Watson stat</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2.818548</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Prob(F-statistic)</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0.249474</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center"/>
              <w:rPr>
                <w:rFonts w:ascii="Arial" w:hAnsi="Arial" w:cs="Arial"/>
                <w:color w:val="000000"/>
                <w:sz w:val="18"/>
                <w:szCs w:val="18"/>
              </w:rPr>
            </w:pPr>
          </w:p>
        </w:tc>
      </w:tr>
      <w:tr w:rsidR="00E23A11" w:rsidTr="00CE3832">
        <w:trPr>
          <w:trHeight w:hRule="exact" w:val="90"/>
        </w:trPr>
        <w:tc>
          <w:tcPr>
            <w:tcW w:w="2017"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bl>
    <w:p w:rsidR="00E23A11" w:rsidRDefault="00E23A11" w:rsidP="00E23A11">
      <w:pPr>
        <w:autoSpaceDE w:val="0"/>
        <w:autoSpaceDN w:val="0"/>
        <w:adjustRightInd w:val="0"/>
        <w:spacing w:after="0" w:line="240" w:lineRule="auto"/>
        <w:rPr>
          <w:rFonts w:ascii="Arial" w:hAnsi="Arial" w:cs="Arial"/>
          <w:sz w:val="18"/>
          <w:szCs w:val="18"/>
        </w:rPr>
      </w:pPr>
      <w:r>
        <w:rPr>
          <w:rFonts w:ascii="Arial" w:hAnsi="Arial" w:cs="Arial"/>
          <w:sz w:val="18"/>
          <w:szCs w:val="18"/>
        </w:rPr>
        <w:br/>
      </w:r>
    </w:p>
    <w:p w:rsidR="00E23A11" w:rsidRDefault="00E23A11"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E23A11" w:rsidRDefault="00E23A11" w:rsidP="00E23A11">
      <w:pPr>
        <w:autoSpaceDE w:val="0"/>
        <w:autoSpaceDN w:val="0"/>
        <w:adjustRightInd w:val="0"/>
        <w:spacing w:after="0" w:line="240" w:lineRule="auto"/>
        <w:rPr>
          <w:rFonts w:ascii="Arial" w:hAnsi="Arial" w:cs="Arial"/>
          <w:sz w:val="18"/>
          <w:szCs w:val="18"/>
        </w:rPr>
      </w:pPr>
    </w:p>
    <w:tbl>
      <w:tblPr>
        <w:tblW w:w="0" w:type="auto"/>
        <w:tblInd w:w="30" w:type="dxa"/>
        <w:tblLayout w:type="fixed"/>
        <w:tblCellMar>
          <w:left w:w="0" w:type="dxa"/>
          <w:right w:w="0" w:type="dxa"/>
        </w:tblCellMar>
        <w:tblLook w:val="0000" w:firstRow="0" w:lastRow="0" w:firstColumn="0" w:lastColumn="0" w:noHBand="0" w:noVBand="0"/>
      </w:tblPr>
      <w:tblGrid>
        <w:gridCol w:w="2017"/>
        <w:gridCol w:w="1103"/>
        <w:gridCol w:w="1207"/>
        <w:gridCol w:w="1208"/>
        <w:gridCol w:w="997"/>
      </w:tblGrid>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lastRenderedPageBreak/>
              <w:t>Dependent Variable: ORGGR</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Method: Least Squares</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Date: 07/21/15   Time: 10:04</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Sample: 1988 1992</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Included observations: 5</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Variable</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Coefficient</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Std. Error</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t-Statistic</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Prob.  </w:t>
            </w: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C</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34.57110</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19.62133</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1.761914</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0.3286</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INFL</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1.309580</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1.647943</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0.794675</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0.5725</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WERKL</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2.860645</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2.375995</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1.203978</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0.4412</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WERKN</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-0.534576</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0.578957</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-0.923344</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0.5254</w:t>
            </w: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R-squared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0.923827</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Mean dependent var</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27.53782</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Adjusted R-squared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0.695310</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S.D. dependent var</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0.834842</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S.E. of regression</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0.460823</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Akaike info criterion</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1.278955</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Sum squared resid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0.212357</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Schwarz criterion</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0.966505</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Log likelihood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0.802613</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Hannan-Quinn criter.</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0.440371</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F-statistic</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4.042694</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Durbin-Watson stat</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3.265453</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Prob(F-statistic)</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0.346893</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center"/>
              <w:rPr>
                <w:rFonts w:ascii="Arial" w:hAnsi="Arial" w:cs="Arial"/>
                <w:color w:val="000000"/>
                <w:sz w:val="18"/>
                <w:szCs w:val="18"/>
              </w:rPr>
            </w:pPr>
          </w:p>
        </w:tc>
      </w:tr>
      <w:tr w:rsidR="00E23A11" w:rsidTr="00CE3832">
        <w:trPr>
          <w:trHeight w:hRule="exact" w:val="90"/>
        </w:trPr>
        <w:tc>
          <w:tcPr>
            <w:tcW w:w="2017"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bl>
    <w:p w:rsidR="00E23A11" w:rsidRDefault="00E23A11" w:rsidP="00E23A11">
      <w:pPr>
        <w:autoSpaceDE w:val="0"/>
        <w:autoSpaceDN w:val="0"/>
        <w:adjustRightInd w:val="0"/>
        <w:spacing w:after="0" w:line="240" w:lineRule="auto"/>
        <w:rPr>
          <w:rFonts w:ascii="Arial" w:hAnsi="Arial" w:cs="Arial"/>
          <w:sz w:val="18"/>
          <w:szCs w:val="18"/>
        </w:rPr>
      </w:pPr>
    </w:p>
    <w:tbl>
      <w:tblPr>
        <w:tblW w:w="0" w:type="auto"/>
        <w:tblInd w:w="30" w:type="dxa"/>
        <w:tblLayout w:type="fixed"/>
        <w:tblCellMar>
          <w:left w:w="0" w:type="dxa"/>
          <w:right w:w="0" w:type="dxa"/>
        </w:tblCellMar>
        <w:tblLook w:val="0000" w:firstRow="0" w:lastRow="0" w:firstColumn="0" w:lastColumn="0" w:noHBand="0" w:noVBand="0"/>
      </w:tblPr>
      <w:tblGrid>
        <w:gridCol w:w="2017"/>
        <w:gridCol w:w="1103"/>
        <w:gridCol w:w="1207"/>
        <w:gridCol w:w="1208"/>
        <w:gridCol w:w="997"/>
      </w:tblGrid>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Dependent Variable: ORGGR</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Method: Least Squares</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Date: 07/21/15   Time: 10:22</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Sample: 1983 1992</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Included observations: 10</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Variable</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Coefficient</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Std. Error</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t-Statistic</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Prob.  </w:t>
            </w: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C</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20.82918</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8.300356</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2.509432</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0.0459</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INFL</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-0.117799</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0.098166</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-1.200003</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0.2754</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WERKL</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1.134430</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0.089096</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12.73264</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WERKN</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-0.018609</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0.145873</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-0.127568</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0.9027</w:t>
            </w: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R-squared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0.964856</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Mean dependent var</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29.05197</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Adjusted R-squared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0.947284</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S.D. dependent var</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1.785095</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S.E. of regression</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0.409856</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Akaike info criterion</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1.343154</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Sum squared resid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1.007893</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Schwarz criterion</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1.464188</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Log likelihood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-2.715771</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Hannan-Quinn criter.</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1.210380</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F-statistic</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54.90898</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Durbin-Watson stat</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1.904136</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Prob(F-statistic)</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0.000094</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center"/>
              <w:rPr>
                <w:rFonts w:ascii="Arial" w:hAnsi="Arial" w:cs="Arial"/>
                <w:color w:val="000000"/>
                <w:sz w:val="18"/>
                <w:szCs w:val="18"/>
              </w:rPr>
            </w:pPr>
          </w:p>
        </w:tc>
      </w:tr>
      <w:tr w:rsidR="00E23A11" w:rsidTr="00CE3832">
        <w:trPr>
          <w:trHeight w:hRule="exact" w:val="90"/>
        </w:trPr>
        <w:tc>
          <w:tcPr>
            <w:tcW w:w="2017"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bl>
    <w:p w:rsidR="00E23A11" w:rsidRDefault="00E23A11" w:rsidP="00E23A11">
      <w:pPr>
        <w:autoSpaceDE w:val="0"/>
        <w:autoSpaceDN w:val="0"/>
        <w:adjustRightInd w:val="0"/>
        <w:spacing w:after="0" w:line="240" w:lineRule="auto"/>
        <w:rPr>
          <w:rFonts w:ascii="Arial" w:hAnsi="Arial" w:cs="Arial"/>
          <w:sz w:val="18"/>
          <w:szCs w:val="18"/>
        </w:rPr>
      </w:pPr>
      <w:r>
        <w:rPr>
          <w:rFonts w:ascii="Arial" w:hAnsi="Arial" w:cs="Arial"/>
          <w:sz w:val="18"/>
          <w:szCs w:val="18"/>
        </w:rPr>
        <w:br/>
      </w: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tbl>
      <w:tblPr>
        <w:tblW w:w="0" w:type="auto"/>
        <w:tblInd w:w="30" w:type="dxa"/>
        <w:tblLayout w:type="fixed"/>
        <w:tblCellMar>
          <w:left w:w="0" w:type="dxa"/>
          <w:right w:w="0" w:type="dxa"/>
        </w:tblCellMar>
        <w:tblLook w:val="0000" w:firstRow="0" w:lastRow="0" w:firstColumn="0" w:lastColumn="0" w:noHBand="0" w:noVBand="0"/>
      </w:tblPr>
      <w:tblGrid>
        <w:gridCol w:w="2017"/>
        <w:gridCol w:w="1103"/>
        <w:gridCol w:w="1207"/>
        <w:gridCol w:w="1208"/>
        <w:gridCol w:w="997"/>
      </w:tblGrid>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lastRenderedPageBreak/>
              <w:t>Dependent Variable: ORGGR</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Method: Least Squares</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Date: 07/21/15   Time: 10:19</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Sample (adjusted): 1970 2011</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5535" w:type="dxa"/>
            <w:gridSpan w:val="4"/>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Included observations: 42 after adjustments</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Variable</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Coefficient</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Std. Error</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t-Statistic</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Prob.  </w:t>
            </w: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C</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-78.33494</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13.90870</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-5.632083</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INFL</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0.601097</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0.280368</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2.143957</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0.0385</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WERKL</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0.561469</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0.226871</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2.474835</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0.0179</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WERKN</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1.752889</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0.254370</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6.891105</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w:t>
            </w: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R-squared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0.813401</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Mean dependent var</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28.12373</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Adjusted R-squared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0.798669</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S.D. dependent var</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6.350630</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S.E. of regression</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2.849519</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Akaike info criterion</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5.022571</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Sum squared resid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308.5509</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Schwarz criterion</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5.188063</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Log likelihood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-101.4740</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Hannan-Quinn criter.</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5.083230</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F-statistic</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55.21506</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Durbin-Watson stat</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0.492520</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Prob(F-statistic)</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0.000000</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center"/>
              <w:rPr>
                <w:rFonts w:ascii="Arial" w:hAnsi="Arial" w:cs="Arial"/>
                <w:color w:val="000000"/>
                <w:sz w:val="18"/>
                <w:szCs w:val="18"/>
              </w:rPr>
            </w:pPr>
          </w:p>
        </w:tc>
      </w:tr>
      <w:tr w:rsidR="00E23A11" w:rsidTr="00CE3832">
        <w:trPr>
          <w:trHeight w:hRule="exact" w:val="90"/>
        </w:trPr>
        <w:tc>
          <w:tcPr>
            <w:tcW w:w="2017"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bl>
    <w:p w:rsidR="00E23A11" w:rsidRDefault="00E23A11" w:rsidP="00E23A11"/>
    <w:p w:rsidR="00E23A11" w:rsidRDefault="00E23A11" w:rsidP="00E23A11">
      <w:pPr>
        <w:autoSpaceDE w:val="0"/>
        <w:autoSpaceDN w:val="0"/>
        <w:adjustRightInd w:val="0"/>
        <w:spacing w:after="0" w:line="240" w:lineRule="auto"/>
        <w:rPr>
          <w:rFonts w:ascii="Arial" w:hAnsi="Arial" w:cs="Arial"/>
          <w:sz w:val="18"/>
          <w:szCs w:val="18"/>
        </w:rPr>
      </w:pPr>
    </w:p>
    <w:tbl>
      <w:tblPr>
        <w:tblW w:w="0" w:type="auto"/>
        <w:tblInd w:w="30" w:type="dxa"/>
        <w:tblLayout w:type="fixed"/>
        <w:tblCellMar>
          <w:left w:w="0" w:type="dxa"/>
          <w:right w:w="0" w:type="dxa"/>
        </w:tblCellMar>
        <w:tblLook w:val="0000" w:firstRow="0" w:lastRow="0" w:firstColumn="0" w:lastColumn="0" w:noHBand="0" w:noVBand="0"/>
      </w:tblPr>
      <w:tblGrid>
        <w:gridCol w:w="2017"/>
        <w:gridCol w:w="1103"/>
        <w:gridCol w:w="1207"/>
        <w:gridCol w:w="1208"/>
        <w:gridCol w:w="997"/>
      </w:tblGrid>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Dependent Variable: ORGGR</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Method: Panel Least Squares</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Date: 07/21/15   Time: 10:29</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Sample (adjusted): 1970 2011</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Periods included: 42</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Cross-sections included: 3</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5535" w:type="dxa"/>
            <w:gridSpan w:val="4"/>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Total panel (unbalanced) observations: 113</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Variable</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Coefficient</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Std. Error</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t-Statistic</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Prob.  </w:t>
            </w: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C</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20.27710</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6.594091</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3.075041</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0.0027</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INFL</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0.971840</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0.146266</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6.644335</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WERKL</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-0.337160</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0.181926</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-1.853285</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0.0665</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WERKN</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0.088445</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0.119176</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0.742137</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0.4596</w:t>
            </w: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R-squared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0.361999</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Mean dependent var</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26.55897</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Adjusted R-squared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0.344440</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S.D. dependent var</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5.769395</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S.E. of regression</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4.671288</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Akaike info criterion</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5.955503</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Sum squared resid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2378.482</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Schwarz criterion</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6.052048</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Log likelihood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-332.4859</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Hannan-Quinn criter.</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5.994680</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F-statistic</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20.61539</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Durbin-Watson stat</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0.316686</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Prob(F-statistic)</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0.000000</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center"/>
              <w:rPr>
                <w:rFonts w:ascii="Arial" w:hAnsi="Arial" w:cs="Arial"/>
                <w:color w:val="000000"/>
                <w:sz w:val="18"/>
                <w:szCs w:val="18"/>
              </w:rPr>
            </w:pPr>
          </w:p>
        </w:tc>
      </w:tr>
      <w:tr w:rsidR="00E23A11" w:rsidTr="00CE3832">
        <w:trPr>
          <w:trHeight w:hRule="exact" w:val="90"/>
        </w:trPr>
        <w:tc>
          <w:tcPr>
            <w:tcW w:w="2017"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bl>
    <w:p w:rsidR="00E23A11" w:rsidRDefault="00E23A11" w:rsidP="00E23A11">
      <w:pPr>
        <w:autoSpaceDE w:val="0"/>
        <w:autoSpaceDN w:val="0"/>
        <w:adjustRightInd w:val="0"/>
        <w:spacing w:after="0" w:line="240" w:lineRule="auto"/>
        <w:rPr>
          <w:rFonts w:ascii="Arial" w:hAnsi="Arial" w:cs="Arial"/>
          <w:sz w:val="18"/>
          <w:szCs w:val="18"/>
        </w:rPr>
      </w:pPr>
      <w:r>
        <w:rPr>
          <w:rFonts w:ascii="Arial" w:hAnsi="Arial" w:cs="Arial"/>
          <w:sz w:val="18"/>
          <w:szCs w:val="18"/>
        </w:rPr>
        <w:br/>
      </w: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tbl>
      <w:tblPr>
        <w:tblW w:w="0" w:type="auto"/>
        <w:tblInd w:w="30" w:type="dxa"/>
        <w:tblLayout w:type="fixed"/>
        <w:tblCellMar>
          <w:left w:w="0" w:type="dxa"/>
          <w:right w:w="0" w:type="dxa"/>
        </w:tblCellMar>
        <w:tblLook w:val="0000" w:firstRow="0" w:lastRow="0" w:firstColumn="0" w:lastColumn="0" w:noHBand="0" w:noVBand="0"/>
      </w:tblPr>
      <w:tblGrid>
        <w:gridCol w:w="2017"/>
        <w:gridCol w:w="1103"/>
        <w:gridCol w:w="1207"/>
        <w:gridCol w:w="1208"/>
        <w:gridCol w:w="997"/>
      </w:tblGrid>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lastRenderedPageBreak/>
              <w:t>Dependent Variable: ORGGR</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Method: Panel Least Squares</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Date: 07/21/15   Time: 10:30</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Sample (adjusted): 1970 1982</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Periods included: 13</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Cross-sections included: 3</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5535" w:type="dxa"/>
            <w:gridSpan w:val="4"/>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Total panel (unbalanced) observations: 29</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Variable</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Coefficient</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Std. Error</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t-Statistic</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Prob.  </w:t>
            </w: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C</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37.74466</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4.383147</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8.611315</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INFL</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0.128946</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0.091261</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1.412945</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0.1700</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WERKL</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1.198622</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0.233690</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5.129119</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WERKN</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-0.153281</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0.079948</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-1.917266</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0.0667</w:t>
            </w: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R-squared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0.532257</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Mean dependent var</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32.92642</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Adjusted R-squared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0.476128</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S.D. dependent var</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2.471515</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S.E. of regression</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1.788858</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Akaike info criterion</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4.128474</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Sum squared resid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80.00030</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Schwarz criterion</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4.317066</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Log likelihood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-55.86287</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Hannan-Quinn criter.</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4.187539</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F-statistic</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9.482725</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Durbin-Watson stat</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0.290293</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Prob(F-statistic)</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0.000232</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center"/>
              <w:rPr>
                <w:rFonts w:ascii="Arial" w:hAnsi="Arial" w:cs="Arial"/>
                <w:color w:val="000000"/>
                <w:sz w:val="18"/>
                <w:szCs w:val="18"/>
              </w:rPr>
            </w:pPr>
          </w:p>
        </w:tc>
      </w:tr>
      <w:tr w:rsidR="00E23A11" w:rsidTr="00CE3832">
        <w:trPr>
          <w:trHeight w:hRule="exact" w:val="90"/>
        </w:trPr>
        <w:tc>
          <w:tcPr>
            <w:tcW w:w="2017"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bl>
    <w:p w:rsidR="00E23A11" w:rsidRDefault="00E23A11" w:rsidP="00E23A11">
      <w:pPr>
        <w:autoSpaceDE w:val="0"/>
        <w:autoSpaceDN w:val="0"/>
        <w:adjustRightInd w:val="0"/>
        <w:spacing w:after="0" w:line="240" w:lineRule="auto"/>
        <w:rPr>
          <w:rFonts w:ascii="Arial" w:hAnsi="Arial" w:cs="Arial"/>
          <w:sz w:val="18"/>
          <w:szCs w:val="18"/>
        </w:rPr>
      </w:pPr>
      <w:r>
        <w:rPr>
          <w:rFonts w:ascii="Arial" w:hAnsi="Arial" w:cs="Arial"/>
          <w:sz w:val="18"/>
          <w:szCs w:val="18"/>
        </w:rPr>
        <w:br/>
      </w:r>
    </w:p>
    <w:tbl>
      <w:tblPr>
        <w:tblW w:w="0" w:type="auto"/>
        <w:tblInd w:w="30" w:type="dxa"/>
        <w:tblLayout w:type="fixed"/>
        <w:tblCellMar>
          <w:left w:w="0" w:type="dxa"/>
          <w:right w:w="0" w:type="dxa"/>
        </w:tblCellMar>
        <w:tblLook w:val="0000" w:firstRow="0" w:lastRow="0" w:firstColumn="0" w:lastColumn="0" w:noHBand="0" w:noVBand="0"/>
      </w:tblPr>
      <w:tblGrid>
        <w:gridCol w:w="2017"/>
        <w:gridCol w:w="1103"/>
        <w:gridCol w:w="1207"/>
        <w:gridCol w:w="1208"/>
        <w:gridCol w:w="997"/>
      </w:tblGrid>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Dependent Variable: ORGGR</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Method: Panel Least Squares</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Date: 07/21/15   Time: 10:31</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Sample: 1983 1987</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Periods included: 5</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Cross-sections included: 3</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5535" w:type="dxa"/>
            <w:gridSpan w:val="4"/>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Total panel (balanced) observations: 15</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Variable</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Coefficient</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Std. Error</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t-Statistic</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Prob.  </w:t>
            </w: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C</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95.39559</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8.724558</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10.93415</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INFL</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1.149600</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0.325217</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3.534869</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0.0047</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WERKN</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-1.226784</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0.163752</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-7.491698</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WERKL</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0.657613</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0.207198</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3.173830</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0.0089</w:t>
            </w: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R-squared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0.849732</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Mean dependent var</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30.22311</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Adjusted R-squared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0.808749</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S.D. dependent var</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3.098800</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S.E. of regression</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1.355174</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Akaike info criterion</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3.668915</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Sum squared resid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20.20145</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Schwarz criterion</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3.857728</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Log likelihood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-23.51686</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Hannan-Quinn criter.</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3.666904</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F-statistic</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20.73412</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Durbin-Watson stat</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1.771238</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Prob(F-statistic)</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0.000078</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center"/>
              <w:rPr>
                <w:rFonts w:ascii="Arial" w:hAnsi="Arial" w:cs="Arial"/>
                <w:color w:val="000000"/>
                <w:sz w:val="18"/>
                <w:szCs w:val="18"/>
              </w:rPr>
            </w:pPr>
          </w:p>
        </w:tc>
      </w:tr>
      <w:tr w:rsidR="00E23A11" w:rsidTr="00CE3832">
        <w:trPr>
          <w:trHeight w:hRule="exact" w:val="90"/>
        </w:trPr>
        <w:tc>
          <w:tcPr>
            <w:tcW w:w="2017"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bl>
    <w:p w:rsidR="00E23A11" w:rsidRDefault="00E23A11" w:rsidP="00E23A11">
      <w:pPr>
        <w:autoSpaceDE w:val="0"/>
        <w:autoSpaceDN w:val="0"/>
        <w:adjustRightInd w:val="0"/>
        <w:spacing w:after="0" w:line="240" w:lineRule="auto"/>
        <w:rPr>
          <w:rFonts w:ascii="Arial" w:hAnsi="Arial" w:cs="Arial"/>
          <w:sz w:val="18"/>
          <w:szCs w:val="18"/>
        </w:rPr>
      </w:pPr>
      <w:r>
        <w:rPr>
          <w:rFonts w:ascii="Arial" w:hAnsi="Arial" w:cs="Arial"/>
          <w:sz w:val="18"/>
          <w:szCs w:val="18"/>
        </w:rPr>
        <w:br/>
      </w: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p w:rsidR="00A50523" w:rsidRDefault="00A50523" w:rsidP="00E23A11">
      <w:pPr>
        <w:autoSpaceDE w:val="0"/>
        <w:autoSpaceDN w:val="0"/>
        <w:adjustRightInd w:val="0"/>
        <w:spacing w:after="0" w:line="240" w:lineRule="auto"/>
        <w:rPr>
          <w:rFonts w:ascii="Arial" w:hAnsi="Arial" w:cs="Arial"/>
          <w:sz w:val="18"/>
          <w:szCs w:val="18"/>
        </w:rPr>
      </w:pPr>
    </w:p>
    <w:tbl>
      <w:tblPr>
        <w:tblW w:w="0" w:type="auto"/>
        <w:tblInd w:w="30" w:type="dxa"/>
        <w:tblLayout w:type="fixed"/>
        <w:tblCellMar>
          <w:left w:w="0" w:type="dxa"/>
          <w:right w:w="0" w:type="dxa"/>
        </w:tblCellMar>
        <w:tblLook w:val="0000" w:firstRow="0" w:lastRow="0" w:firstColumn="0" w:lastColumn="0" w:noHBand="0" w:noVBand="0"/>
      </w:tblPr>
      <w:tblGrid>
        <w:gridCol w:w="2017"/>
        <w:gridCol w:w="1103"/>
        <w:gridCol w:w="1207"/>
        <w:gridCol w:w="1208"/>
        <w:gridCol w:w="997"/>
      </w:tblGrid>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lastRenderedPageBreak/>
              <w:t>Dependent Variable: ORGGR</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Method: Panel Least Squares</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Date: 07/21/15   Time: 10:33</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Sample: 1988 1992</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Periods included: 5</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Cross-sections included: 3</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5535" w:type="dxa"/>
            <w:gridSpan w:val="4"/>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Total panel (balanced) observations: 15</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Variable</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Coefficient</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Std. Error</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t-Statistic</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Prob.  </w:t>
            </w: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C</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87.14178</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8.322101</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10.47113</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INFL</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0.232276</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0.349657</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0.664296</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0.5202</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WERKL</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-0.107354</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0.232189</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-0.462357</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0.6528</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WERKN</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-1.060542</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0.163367</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-6.491779</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w:t>
            </w: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R-squared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0.865842</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Mean dependent var</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27.81864</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Adjusted R-squared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0.829253</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S.D. dependent var</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3.900826</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S.E. of regression</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1.611881</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Akaike info criterion</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4.015860</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Sum squared resid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28.57978</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Schwarz criterion</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4.204673</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Log likelihood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-26.11895</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Hannan-Quinn criter.</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4.013848</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F-statistic</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23.66422</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Durbin-Watson stat</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1.810762</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Prob(F-statistic)</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0.000042</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center"/>
              <w:rPr>
                <w:rFonts w:ascii="Arial" w:hAnsi="Arial" w:cs="Arial"/>
                <w:color w:val="000000"/>
                <w:sz w:val="18"/>
                <w:szCs w:val="18"/>
              </w:rPr>
            </w:pPr>
          </w:p>
        </w:tc>
      </w:tr>
      <w:tr w:rsidR="00E23A11" w:rsidTr="00CE3832">
        <w:trPr>
          <w:trHeight w:hRule="exact" w:val="90"/>
        </w:trPr>
        <w:tc>
          <w:tcPr>
            <w:tcW w:w="2017"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bl>
    <w:p w:rsidR="00E23A11" w:rsidRDefault="00E23A11" w:rsidP="00E23A11">
      <w:pPr>
        <w:autoSpaceDE w:val="0"/>
        <w:autoSpaceDN w:val="0"/>
        <w:adjustRightInd w:val="0"/>
        <w:spacing w:after="0" w:line="240" w:lineRule="auto"/>
        <w:rPr>
          <w:rFonts w:ascii="Arial" w:hAnsi="Arial" w:cs="Arial"/>
          <w:sz w:val="18"/>
          <w:szCs w:val="18"/>
        </w:rPr>
      </w:pPr>
      <w:r>
        <w:rPr>
          <w:rFonts w:ascii="Arial" w:hAnsi="Arial" w:cs="Arial"/>
          <w:sz w:val="18"/>
          <w:szCs w:val="18"/>
        </w:rPr>
        <w:br/>
      </w:r>
    </w:p>
    <w:tbl>
      <w:tblPr>
        <w:tblW w:w="0" w:type="auto"/>
        <w:tblInd w:w="30" w:type="dxa"/>
        <w:tblLayout w:type="fixed"/>
        <w:tblCellMar>
          <w:left w:w="0" w:type="dxa"/>
          <w:right w:w="0" w:type="dxa"/>
        </w:tblCellMar>
        <w:tblLook w:val="0000" w:firstRow="0" w:lastRow="0" w:firstColumn="0" w:lastColumn="0" w:noHBand="0" w:noVBand="0"/>
      </w:tblPr>
      <w:tblGrid>
        <w:gridCol w:w="2017"/>
        <w:gridCol w:w="1103"/>
        <w:gridCol w:w="1207"/>
        <w:gridCol w:w="1208"/>
        <w:gridCol w:w="997"/>
      </w:tblGrid>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Dependent Variable: ORGGR</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Method: Panel Least Squares</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Date: 07/21/15   Time: 10:34</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Sample: 1983 1992</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Periods included: 10</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4327" w:type="dxa"/>
            <w:gridSpan w:val="3"/>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Cross-sections included: 3</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5535" w:type="dxa"/>
            <w:gridSpan w:val="4"/>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Total panel (balanced) observations: 30</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Variable</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Coefficient</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Std. Error</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t-Statistic</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Prob.  </w:t>
            </w: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C</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85.20731</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8.726237</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9.764497</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INFL</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-0.031905</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0.306458</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-0.104108</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0.9179</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WERKL</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0.160641</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0.230953</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0.695554</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0.4929</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WERKN</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-1.003453</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0.165909</w:t>
            </w: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-6.048205</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w:t>
            </w:r>
          </w:p>
        </w:tc>
      </w:tr>
      <w:tr w:rsidR="00E23A11" w:rsidTr="00CE3832">
        <w:trPr>
          <w:trHeight w:hRule="exact" w:val="90"/>
        </w:trPr>
        <w:tc>
          <w:tcPr>
            <w:tcW w:w="201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R-squared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0.666412</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Mean dependent var</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29.02087</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Adjusted R-squared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0.627921</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S.D. dependent var</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3.671075</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S.E. of regression</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2.239292</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Akaike info criterion</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4.573762</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Sum squared resid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130.3752</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Schwarz criterion</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4.760589</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Log likelihood</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-64.60644</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Hannan-Quinn criter.</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4.633530</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F-statistic</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17.31349</w:t>
            </w:r>
          </w:p>
        </w:tc>
        <w:tc>
          <w:tcPr>
            <w:tcW w:w="2415" w:type="dxa"/>
            <w:gridSpan w:val="2"/>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Durbin-Watson stat</w:t>
            </w: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0.523588</w:t>
            </w:r>
          </w:p>
        </w:tc>
      </w:tr>
      <w:tr w:rsidR="00E23A11" w:rsidTr="00CE3832">
        <w:trPr>
          <w:trHeight w:val="22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Prob(F-statistic)</w:t>
            </w: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0.000002</w:t>
            </w: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ind w:right="10"/>
              <w:jc w:val="center"/>
              <w:rPr>
                <w:rFonts w:ascii="Arial" w:hAnsi="Arial" w:cs="Arial"/>
                <w:color w:val="000000"/>
                <w:sz w:val="18"/>
                <w:szCs w:val="18"/>
              </w:rPr>
            </w:pPr>
          </w:p>
        </w:tc>
      </w:tr>
      <w:tr w:rsidR="00E23A11" w:rsidTr="00CE3832">
        <w:trPr>
          <w:trHeight w:hRule="exact" w:val="90"/>
        </w:trPr>
        <w:tc>
          <w:tcPr>
            <w:tcW w:w="2017"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0" w:color="auto"/>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r w:rsidR="00E23A11" w:rsidTr="00CE3832">
        <w:trPr>
          <w:trHeight w:hRule="exact" w:val="135"/>
        </w:trPr>
        <w:tc>
          <w:tcPr>
            <w:tcW w:w="201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E23A11" w:rsidRDefault="00E23A11" w:rsidP="00CE3832">
            <w:pPr>
              <w:autoSpaceDE w:val="0"/>
              <w:autoSpaceDN w:val="0"/>
              <w:adjustRightInd w:val="0"/>
              <w:spacing w:after="0" w:line="240" w:lineRule="auto"/>
              <w:jc w:val="center"/>
              <w:rPr>
                <w:rFonts w:ascii="Arial" w:hAnsi="Arial" w:cs="Arial"/>
                <w:color w:val="000000"/>
                <w:sz w:val="18"/>
                <w:szCs w:val="18"/>
              </w:rPr>
            </w:pPr>
          </w:p>
        </w:tc>
      </w:tr>
    </w:tbl>
    <w:p w:rsidR="00E23A11" w:rsidRPr="00E23A11" w:rsidRDefault="00E23A11" w:rsidP="002B6FE4">
      <w:pPr>
        <w:spacing w:line="360" w:lineRule="auto"/>
        <w:rPr>
          <w:b/>
          <w:szCs w:val="20"/>
        </w:rPr>
      </w:pPr>
    </w:p>
    <w:sectPr w:rsidR="00E23A11" w:rsidRPr="00E23A11" w:rsidSect="00AA321E">
      <w:footerReference w:type="default" r:id="rId16"/>
      <w:footerReference w:type="first" r:id="rId17"/>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042F" w:rsidRDefault="00F5042F" w:rsidP="000D2530">
      <w:pPr>
        <w:spacing w:after="0" w:line="240" w:lineRule="auto"/>
      </w:pPr>
      <w:r>
        <w:separator/>
      </w:r>
    </w:p>
  </w:endnote>
  <w:endnote w:type="continuationSeparator" w:id="0">
    <w:p w:rsidR="00F5042F" w:rsidRDefault="00F5042F" w:rsidP="000D25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6710829"/>
      <w:docPartObj>
        <w:docPartGallery w:val="Page Numbers (Bottom of Page)"/>
        <w:docPartUnique/>
      </w:docPartObj>
    </w:sdtPr>
    <w:sdtEndPr/>
    <w:sdtContent>
      <w:p w:rsidR="00A50523" w:rsidRDefault="00A50523" w:rsidP="00A50523">
        <w:pPr>
          <w:pStyle w:val="Footer"/>
        </w:pPr>
        <w:r>
          <w:fldChar w:fldCharType="begin"/>
        </w:r>
        <w:r>
          <w:instrText>PAGE   \* MERGEFORMAT</w:instrText>
        </w:r>
        <w:r>
          <w:fldChar w:fldCharType="separate"/>
        </w:r>
        <w:r w:rsidR="00804374">
          <w:rPr>
            <w:noProof/>
          </w:rPr>
          <w:t>19</w:t>
        </w:r>
        <w:r>
          <w:fldChar w:fldCharType="end"/>
        </w:r>
      </w:p>
    </w:sdtContent>
  </w:sdt>
  <w:p w:rsidR="00A50523" w:rsidRDefault="00A5052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0523" w:rsidRDefault="00A5052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042F" w:rsidRDefault="00F5042F" w:rsidP="000D2530">
      <w:pPr>
        <w:spacing w:after="0" w:line="240" w:lineRule="auto"/>
      </w:pPr>
      <w:r>
        <w:separator/>
      </w:r>
    </w:p>
  </w:footnote>
  <w:footnote w:type="continuationSeparator" w:id="0">
    <w:p w:rsidR="00F5042F" w:rsidRDefault="00F5042F" w:rsidP="000D2530">
      <w:pPr>
        <w:spacing w:after="0" w:line="240" w:lineRule="auto"/>
      </w:pPr>
      <w:r>
        <w:continuationSeparator/>
      </w:r>
    </w:p>
  </w:footnote>
  <w:footnote w:id="1">
    <w:p w:rsidR="00A50523" w:rsidRPr="00D56303" w:rsidRDefault="00A50523">
      <w:pPr>
        <w:pStyle w:val="FootnoteText"/>
        <w:rPr>
          <w:lang w:val="en-US"/>
        </w:rPr>
      </w:pPr>
      <w:r>
        <w:rPr>
          <w:rStyle w:val="FootnoteReference"/>
        </w:rPr>
        <w:footnoteRef/>
      </w:r>
      <w:r w:rsidRPr="00D56303">
        <w:rPr>
          <w:lang w:val="en-US"/>
        </w:rPr>
        <w:t xml:space="preserve"> Art. 5:6 Wet LV</w:t>
      </w:r>
    </w:p>
  </w:footnote>
  <w:footnote w:id="2">
    <w:p w:rsidR="00A50523" w:rsidRPr="00D56303" w:rsidRDefault="00A50523">
      <w:pPr>
        <w:pStyle w:val="FootnoteText"/>
        <w:rPr>
          <w:lang w:val="en-US"/>
        </w:rPr>
      </w:pPr>
      <w:r>
        <w:rPr>
          <w:rStyle w:val="FootnoteReference"/>
        </w:rPr>
        <w:footnoteRef/>
      </w:r>
      <w:r w:rsidRPr="00D56303">
        <w:rPr>
          <w:lang w:val="en-US"/>
        </w:rPr>
        <w:t xml:space="preserve"> Art. 1 Wet CAO</w:t>
      </w:r>
    </w:p>
  </w:footnote>
  <w:footnote w:id="3">
    <w:p w:rsidR="00A50523" w:rsidRDefault="00A50523">
      <w:pPr>
        <w:pStyle w:val="FootnoteText"/>
      </w:pPr>
      <w:r>
        <w:rPr>
          <w:rStyle w:val="FootnoteReference"/>
        </w:rPr>
        <w:footnoteRef/>
      </w:r>
      <w:r>
        <w:t xml:space="preserve"> Art. 2 Wet AVV</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235F22"/>
    <w:multiLevelType w:val="hybridMultilevel"/>
    <w:tmpl w:val="8C5E8786"/>
    <w:lvl w:ilvl="0" w:tplc="6BE254EE">
      <w:start w:val="6"/>
      <w:numFmt w:val="upperRoman"/>
      <w:lvlText w:val="%1."/>
      <w:lvlJc w:val="left"/>
      <w:pPr>
        <w:ind w:left="1080" w:hanging="720"/>
      </w:pPr>
      <w:rPr>
        <w:rFonts w:asciiTheme="minorHAnsi" w:eastAsiaTheme="minorHAnsi" w:hAnsiTheme="minorHAnsi" w:cstheme="minorBidi" w:hint="default"/>
        <w:b w:val="0"/>
        <w:sz w:val="22"/>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1DB3103A"/>
    <w:multiLevelType w:val="hybridMultilevel"/>
    <w:tmpl w:val="A4083D40"/>
    <w:lvl w:ilvl="0" w:tplc="E1421E66">
      <w:start w:val="1"/>
      <w:numFmt w:val="upperRoman"/>
      <w:lvlText w:val="%1."/>
      <w:lvlJc w:val="left"/>
      <w:pPr>
        <w:ind w:left="1080" w:hanging="720"/>
      </w:pPr>
      <w:rPr>
        <w:rFonts w:hint="default"/>
        <w:b/>
        <w:sz w:val="24"/>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71F47CE8"/>
    <w:multiLevelType w:val="hybridMultilevel"/>
    <w:tmpl w:val="A04C08A0"/>
    <w:lvl w:ilvl="0" w:tplc="ED6E253A">
      <w:start w:val="1"/>
      <w:numFmt w:val="upperRoman"/>
      <w:lvlText w:val="%1."/>
      <w:lvlJc w:val="left"/>
      <w:pPr>
        <w:ind w:left="1080" w:hanging="720"/>
      </w:pPr>
      <w:rPr>
        <w:rFonts w:hint="default"/>
        <w:b/>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7478793A"/>
    <w:multiLevelType w:val="hybridMultilevel"/>
    <w:tmpl w:val="57DAD41C"/>
    <w:lvl w:ilvl="0" w:tplc="9D485848">
      <w:start w:val="1"/>
      <w:numFmt w:val="upperRoman"/>
      <w:lvlText w:val="%1."/>
      <w:lvlJc w:val="left"/>
      <w:pPr>
        <w:ind w:left="1080" w:hanging="720"/>
      </w:pPr>
      <w:rPr>
        <w:rFonts w:hint="default"/>
        <w:b/>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00FD"/>
    <w:rsid w:val="00002344"/>
    <w:rsid w:val="00002BC6"/>
    <w:rsid w:val="000151DA"/>
    <w:rsid w:val="0001553A"/>
    <w:rsid w:val="000157A4"/>
    <w:rsid w:val="00016152"/>
    <w:rsid w:val="000172A6"/>
    <w:rsid w:val="000239A7"/>
    <w:rsid w:val="0003027C"/>
    <w:rsid w:val="00032CDD"/>
    <w:rsid w:val="00034528"/>
    <w:rsid w:val="00044A1C"/>
    <w:rsid w:val="00045B03"/>
    <w:rsid w:val="00047308"/>
    <w:rsid w:val="0005148B"/>
    <w:rsid w:val="00052C93"/>
    <w:rsid w:val="00056A87"/>
    <w:rsid w:val="00062644"/>
    <w:rsid w:val="000703CF"/>
    <w:rsid w:val="00073B5B"/>
    <w:rsid w:val="0007476F"/>
    <w:rsid w:val="000748F2"/>
    <w:rsid w:val="00077695"/>
    <w:rsid w:val="000811C3"/>
    <w:rsid w:val="00091347"/>
    <w:rsid w:val="0009196D"/>
    <w:rsid w:val="00096884"/>
    <w:rsid w:val="000A480C"/>
    <w:rsid w:val="000B210A"/>
    <w:rsid w:val="000B2AD6"/>
    <w:rsid w:val="000C00D6"/>
    <w:rsid w:val="000C1871"/>
    <w:rsid w:val="000C1F1D"/>
    <w:rsid w:val="000C5C55"/>
    <w:rsid w:val="000C5F08"/>
    <w:rsid w:val="000D0BF1"/>
    <w:rsid w:val="000D2530"/>
    <w:rsid w:val="000D4F0D"/>
    <w:rsid w:val="000D52AF"/>
    <w:rsid w:val="000D6147"/>
    <w:rsid w:val="000D6342"/>
    <w:rsid w:val="000D6894"/>
    <w:rsid w:val="000E37B7"/>
    <w:rsid w:val="00100982"/>
    <w:rsid w:val="00104108"/>
    <w:rsid w:val="00105B37"/>
    <w:rsid w:val="00112A3E"/>
    <w:rsid w:val="00113C06"/>
    <w:rsid w:val="001177EE"/>
    <w:rsid w:val="00123319"/>
    <w:rsid w:val="00123535"/>
    <w:rsid w:val="00131EE0"/>
    <w:rsid w:val="00141C6C"/>
    <w:rsid w:val="00145BE6"/>
    <w:rsid w:val="00151496"/>
    <w:rsid w:val="00152E3A"/>
    <w:rsid w:val="001666D5"/>
    <w:rsid w:val="001674A1"/>
    <w:rsid w:val="0017089D"/>
    <w:rsid w:val="0017180F"/>
    <w:rsid w:val="0017191B"/>
    <w:rsid w:val="00174F34"/>
    <w:rsid w:val="00175F25"/>
    <w:rsid w:val="001761EB"/>
    <w:rsid w:val="0018236D"/>
    <w:rsid w:val="00187A2A"/>
    <w:rsid w:val="00195D24"/>
    <w:rsid w:val="00197AA0"/>
    <w:rsid w:val="001A07EF"/>
    <w:rsid w:val="001A136F"/>
    <w:rsid w:val="001A13B4"/>
    <w:rsid w:val="001A267A"/>
    <w:rsid w:val="001A438D"/>
    <w:rsid w:val="001A6446"/>
    <w:rsid w:val="001B4301"/>
    <w:rsid w:val="001C1F24"/>
    <w:rsid w:val="001C24A6"/>
    <w:rsid w:val="001C645C"/>
    <w:rsid w:val="001D02D6"/>
    <w:rsid w:val="001D1425"/>
    <w:rsid w:val="001D18B2"/>
    <w:rsid w:val="001E28CA"/>
    <w:rsid w:val="001E295E"/>
    <w:rsid w:val="001E3861"/>
    <w:rsid w:val="001E6383"/>
    <w:rsid w:val="001F053F"/>
    <w:rsid w:val="001F09DD"/>
    <w:rsid w:val="001F166A"/>
    <w:rsid w:val="001F4E1A"/>
    <w:rsid w:val="001F69B0"/>
    <w:rsid w:val="00203E02"/>
    <w:rsid w:val="00206334"/>
    <w:rsid w:val="002064A1"/>
    <w:rsid w:val="002075AB"/>
    <w:rsid w:val="002100E3"/>
    <w:rsid w:val="00210555"/>
    <w:rsid w:val="0021116E"/>
    <w:rsid w:val="00211CFF"/>
    <w:rsid w:val="002132BE"/>
    <w:rsid w:val="0022129B"/>
    <w:rsid w:val="002239BF"/>
    <w:rsid w:val="00226871"/>
    <w:rsid w:val="0023084B"/>
    <w:rsid w:val="002323B0"/>
    <w:rsid w:val="0023297B"/>
    <w:rsid w:val="00232DFF"/>
    <w:rsid w:val="00234098"/>
    <w:rsid w:val="002345A8"/>
    <w:rsid w:val="002423C9"/>
    <w:rsid w:val="00246D5A"/>
    <w:rsid w:val="00252991"/>
    <w:rsid w:val="00253F9D"/>
    <w:rsid w:val="0025732E"/>
    <w:rsid w:val="00257B11"/>
    <w:rsid w:val="0026091E"/>
    <w:rsid w:val="00264EE0"/>
    <w:rsid w:val="00266F4C"/>
    <w:rsid w:val="0028025A"/>
    <w:rsid w:val="002845F3"/>
    <w:rsid w:val="00285172"/>
    <w:rsid w:val="00293327"/>
    <w:rsid w:val="00293AE2"/>
    <w:rsid w:val="0029622C"/>
    <w:rsid w:val="00296DC5"/>
    <w:rsid w:val="00297982"/>
    <w:rsid w:val="002A052C"/>
    <w:rsid w:val="002A66B8"/>
    <w:rsid w:val="002B6FE4"/>
    <w:rsid w:val="002C2DE3"/>
    <w:rsid w:val="002C3234"/>
    <w:rsid w:val="002C55CE"/>
    <w:rsid w:val="002D2896"/>
    <w:rsid w:val="002E619A"/>
    <w:rsid w:val="002F111D"/>
    <w:rsid w:val="002F40EF"/>
    <w:rsid w:val="0030063E"/>
    <w:rsid w:val="00301048"/>
    <w:rsid w:val="0031636F"/>
    <w:rsid w:val="00317DB4"/>
    <w:rsid w:val="00327B1D"/>
    <w:rsid w:val="00332FC7"/>
    <w:rsid w:val="00333454"/>
    <w:rsid w:val="003365F6"/>
    <w:rsid w:val="00337CE9"/>
    <w:rsid w:val="00342CFA"/>
    <w:rsid w:val="00344CBE"/>
    <w:rsid w:val="0034682C"/>
    <w:rsid w:val="00346ADF"/>
    <w:rsid w:val="00350FBA"/>
    <w:rsid w:val="003534CA"/>
    <w:rsid w:val="00355249"/>
    <w:rsid w:val="00361D93"/>
    <w:rsid w:val="00363A0F"/>
    <w:rsid w:val="00363D4A"/>
    <w:rsid w:val="00370273"/>
    <w:rsid w:val="003713B8"/>
    <w:rsid w:val="003749F4"/>
    <w:rsid w:val="00380B75"/>
    <w:rsid w:val="00391E42"/>
    <w:rsid w:val="00392172"/>
    <w:rsid w:val="00393242"/>
    <w:rsid w:val="00393E26"/>
    <w:rsid w:val="00395AA4"/>
    <w:rsid w:val="00397918"/>
    <w:rsid w:val="00397C5B"/>
    <w:rsid w:val="00397DB8"/>
    <w:rsid w:val="003A00F1"/>
    <w:rsid w:val="003A299B"/>
    <w:rsid w:val="003A6DDA"/>
    <w:rsid w:val="003B0464"/>
    <w:rsid w:val="003B1D4C"/>
    <w:rsid w:val="003B4E86"/>
    <w:rsid w:val="003B57E5"/>
    <w:rsid w:val="003C0504"/>
    <w:rsid w:val="003C49C8"/>
    <w:rsid w:val="003C5DD0"/>
    <w:rsid w:val="003D05F0"/>
    <w:rsid w:val="003D2114"/>
    <w:rsid w:val="003D4891"/>
    <w:rsid w:val="003E0EA6"/>
    <w:rsid w:val="003E4362"/>
    <w:rsid w:val="003F3392"/>
    <w:rsid w:val="003F46DF"/>
    <w:rsid w:val="003F51D4"/>
    <w:rsid w:val="003F6D68"/>
    <w:rsid w:val="00401803"/>
    <w:rsid w:val="00405F05"/>
    <w:rsid w:val="004117FD"/>
    <w:rsid w:val="0041217A"/>
    <w:rsid w:val="00413C26"/>
    <w:rsid w:val="00415CF0"/>
    <w:rsid w:val="00416A6B"/>
    <w:rsid w:val="00421772"/>
    <w:rsid w:val="0042472A"/>
    <w:rsid w:val="00424C57"/>
    <w:rsid w:val="004279FD"/>
    <w:rsid w:val="00432D74"/>
    <w:rsid w:val="00434845"/>
    <w:rsid w:val="00436658"/>
    <w:rsid w:val="00436856"/>
    <w:rsid w:val="00447E17"/>
    <w:rsid w:val="00453105"/>
    <w:rsid w:val="004553C7"/>
    <w:rsid w:val="004557EA"/>
    <w:rsid w:val="00455D8D"/>
    <w:rsid w:val="00465FE7"/>
    <w:rsid w:val="0047416A"/>
    <w:rsid w:val="00476C4A"/>
    <w:rsid w:val="0048371F"/>
    <w:rsid w:val="00490F14"/>
    <w:rsid w:val="00491D21"/>
    <w:rsid w:val="00493BCA"/>
    <w:rsid w:val="00494834"/>
    <w:rsid w:val="004A3E46"/>
    <w:rsid w:val="004A6747"/>
    <w:rsid w:val="004B0371"/>
    <w:rsid w:val="004B1334"/>
    <w:rsid w:val="004B1679"/>
    <w:rsid w:val="004B2564"/>
    <w:rsid w:val="004C6E8F"/>
    <w:rsid w:val="004D0B56"/>
    <w:rsid w:val="004D3804"/>
    <w:rsid w:val="004D50BA"/>
    <w:rsid w:val="004D66AF"/>
    <w:rsid w:val="004E44D3"/>
    <w:rsid w:val="004E5BFA"/>
    <w:rsid w:val="004E7768"/>
    <w:rsid w:val="004F60B7"/>
    <w:rsid w:val="004F635C"/>
    <w:rsid w:val="004F753E"/>
    <w:rsid w:val="0051059A"/>
    <w:rsid w:val="00511548"/>
    <w:rsid w:val="00522AAB"/>
    <w:rsid w:val="00530259"/>
    <w:rsid w:val="00530608"/>
    <w:rsid w:val="00534B45"/>
    <w:rsid w:val="005376D6"/>
    <w:rsid w:val="005474E5"/>
    <w:rsid w:val="005517A5"/>
    <w:rsid w:val="005526C3"/>
    <w:rsid w:val="0055451D"/>
    <w:rsid w:val="00556AB5"/>
    <w:rsid w:val="0056240B"/>
    <w:rsid w:val="00563B99"/>
    <w:rsid w:val="00564E81"/>
    <w:rsid w:val="00565642"/>
    <w:rsid w:val="00566D8A"/>
    <w:rsid w:val="00580964"/>
    <w:rsid w:val="005820BC"/>
    <w:rsid w:val="005827EF"/>
    <w:rsid w:val="00583E20"/>
    <w:rsid w:val="005905B4"/>
    <w:rsid w:val="00594D39"/>
    <w:rsid w:val="0059514E"/>
    <w:rsid w:val="00597813"/>
    <w:rsid w:val="005A1624"/>
    <w:rsid w:val="005A29B1"/>
    <w:rsid w:val="005B30BF"/>
    <w:rsid w:val="005B4545"/>
    <w:rsid w:val="005B5566"/>
    <w:rsid w:val="005B680E"/>
    <w:rsid w:val="005C1084"/>
    <w:rsid w:val="005C2AB9"/>
    <w:rsid w:val="005C37C1"/>
    <w:rsid w:val="005D5EB7"/>
    <w:rsid w:val="005E0E28"/>
    <w:rsid w:val="005E1338"/>
    <w:rsid w:val="005E2BD7"/>
    <w:rsid w:val="005E2D82"/>
    <w:rsid w:val="005E3E75"/>
    <w:rsid w:val="005F01EA"/>
    <w:rsid w:val="005F04D9"/>
    <w:rsid w:val="005F0C50"/>
    <w:rsid w:val="005F2228"/>
    <w:rsid w:val="005F53E4"/>
    <w:rsid w:val="005F6ED1"/>
    <w:rsid w:val="006008DF"/>
    <w:rsid w:val="00602259"/>
    <w:rsid w:val="00603E45"/>
    <w:rsid w:val="0060411C"/>
    <w:rsid w:val="00606E76"/>
    <w:rsid w:val="00606F71"/>
    <w:rsid w:val="0061033F"/>
    <w:rsid w:val="00613397"/>
    <w:rsid w:val="0061630C"/>
    <w:rsid w:val="00617269"/>
    <w:rsid w:val="0061770D"/>
    <w:rsid w:val="00626218"/>
    <w:rsid w:val="0063252B"/>
    <w:rsid w:val="00645537"/>
    <w:rsid w:val="00645F67"/>
    <w:rsid w:val="0065447B"/>
    <w:rsid w:val="00661D88"/>
    <w:rsid w:val="00662E3B"/>
    <w:rsid w:val="00665BDE"/>
    <w:rsid w:val="00670265"/>
    <w:rsid w:val="00671380"/>
    <w:rsid w:val="006747A2"/>
    <w:rsid w:val="00675A8F"/>
    <w:rsid w:val="00681B37"/>
    <w:rsid w:val="00682524"/>
    <w:rsid w:val="006834FA"/>
    <w:rsid w:val="00684445"/>
    <w:rsid w:val="00690830"/>
    <w:rsid w:val="00690E0D"/>
    <w:rsid w:val="00691828"/>
    <w:rsid w:val="00691A7D"/>
    <w:rsid w:val="0069268B"/>
    <w:rsid w:val="00694CB6"/>
    <w:rsid w:val="00696A2A"/>
    <w:rsid w:val="006A1C6C"/>
    <w:rsid w:val="006A1FE0"/>
    <w:rsid w:val="006A5CEC"/>
    <w:rsid w:val="006A62B3"/>
    <w:rsid w:val="006B4282"/>
    <w:rsid w:val="006B5511"/>
    <w:rsid w:val="006B5CE5"/>
    <w:rsid w:val="006B6195"/>
    <w:rsid w:val="006B6D31"/>
    <w:rsid w:val="006B7D39"/>
    <w:rsid w:val="006C0DE8"/>
    <w:rsid w:val="006C1C02"/>
    <w:rsid w:val="006C5681"/>
    <w:rsid w:val="006D2B65"/>
    <w:rsid w:val="006D3D21"/>
    <w:rsid w:val="006D4CA0"/>
    <w:rsid w:val="006D759A"/>
    <w:rsid w:val="006D7747"/>
    <w:rsid w:val="006E3867"/>
    <w:rsid w:val="006E7915"/>
    <w:rsid w:val="006F2E76"/>
    <w:rsid w:val="006F32B2"/>
    <w:rsid w:val="006F5432"/>
    <w:rsid w:val="00703029"/>
    <w:rsid w:val="00703C0B"/>
    <w:rsid w:val="0072119D"/>
    <w:rsid w:val="0072276F"/>
    <w:rsid w:val="00722BD8"/>
    <w:rsid w:val="00722D52"/>
    <w:rsid w:val="00723CAD"/>
    <w:rsid w:val="007244DE"/>
    <w:rsid w:val="00725670"/>
    <w:rsid w:val="00736CB2"/>
    <w:rsid w:val="00736DD7"/>
    <w:rsid w:val="00740656"/>
    <w:rsid w:val="00744EC3"/>
    <w:rsid w:val="00756E22"/>
    <w:rsid w:val="00757CAD"/>
    <w:rsid w:val="007600C5"/>
    <w:rsid w:val="00764CCA"/>
    <w:rsid w:val="007658FB"/>
    <w:rsid w:val="0077004B"/>
    <w:rsid w:val="00771C92"/>
    <w:rsid w:val="007725D7"/>
    <w:rsid w:val="00774478"/>
    <w:rsid w:val="00780FF2"/>
    <w:rsid w:val="00787583"/>
    <w:rsid w:val="00795094"/>
    <w:rsid w:val="007953A9"/>
    <w:rsid w:val="007A5446"/>
    <w:rsid w:val="007B2745"/>
    <w:rsid w:val="007B2C24"/>
    <w:rsid w:val="007B7467"/>
    <w:rsid w:val="007D0248"/>
    <w:rsid w:val="007D0560"/>
    <w:rsid w:val="007D07EB"/>
    <w:rsid w:val="007D0DDB"/>
    <w:rsid w:val="007D117E"/>
    <w:rsid w:val="007D18BB"/>
    <w:rsid w:val="007D2C45"/>
    <w:rsid w:val="007D5781"/>
    <w:rsid w:val="007E09DC"/>
    <w:rsid w:val="007E5795"/>
    <w:rsid w:val="007F2B0E"/>
    <w:rsid w:val="007F45B0"/>
    <w:rsid w:val="00800394"/>
    <w:rsid w:val="00802B91"/>
    <w:rsid w:val="00804374"/>
    <w:rsid w:val="0080780F"/>
    <w:rsid w:val="00814C96"/>
    <w:rsid w:val="00817B59"/>
    <w:rsid w:val="0082078F"/>
    <w:rsid w:val="008232B2"/>
    <w:rsid w:val="00823C8D"/>
    <w:rsid w:val="00824056"/>
    <w:rsid w:val="008253BD"/>
    <w:rsid w:val="00825A65"/>
    <w:rsid w:val="008277EF"/>
    <w:rsid w:val="00827AD4"/>
    <w:rsid w:val="008379A0"/>
    <w:rsid w:val="00840D00"/>
    <w:rsid w:val="0084279B"/>
    <w:rsid w:val="00843E84"/>
    <w:rsid w:val="008475F3"/>
    <w:rsid w:val="008526BD"/>
    <w:rsid w:val="0085291C"/>
    <w:rsid w:val="00855C15"/>
    <w:rsid w:val="00857E9E"/>
    <w:rsid w:val="008607D8"/>
    <w:rsid w:val="008623C7"/>
    <w:rsid w:val="00862D6D"/>
    <w:rsid w:val="00864B45"/>
    <w:rsid w:val="00866EDB"/>
    <w:rsid w:val="00870FF3"/>
    <w:rsid w:val="00871665"/>
    <w:rsid w:val="00871D0A"/>
    <w:rsid w:val="00876EDB"/>
    <w:rsid w:val="00877BE2"/>
    <w:rsid w:val="0088075F"/>
    <w:rsid w:val="00883768"/>
    <w:rsid w:val="00883771"/>
    <w:rsid w:val="00883AAF"/>
    <w:rsid w:val="00885FAB"/>
    <w:rsid w:val="0088751A"/>
    <w:rsid w:val="00887C38"/>
    <w:rsid w:val="00890920"/>
    <w:rsid w:val="00891185"/>
    <w:rsid w:val="008952A9"/>
    <w:rsid w:val="008A0062"/>
    <w:rsid w:val="008A0FB1"/>
    <w:rsid w:val="008B0F5E"/>
    <w:rsid w:val="008B56C4"/>
    <w:rsid w:val="008B585A"/>
    <w:rsid w:val="008B6DEE"/>
    <w:rsid w:val="008D1951"/>
    <w:rsid w:val="008D1BEA"/>
    <w:rsid w:val="008D3146"/>
    <w:rsid w:val="008D714A"/>
    <w:rsid w:val="008D789F"/>
    <w:rsid w:val="008E0EEC"/>
    <w:rsid w:val="008E15A3"/>
    <w:rsid w:val="008E3044"/>
    <w:rsid w:val="008F03C3"/>
    <w:rsid w:val="00900100"/>
    <w:rsid w:val="00903661"/>
    <w:rsid w:val="00906912"/>
    <w:rsid w:val="00906C97"/>
    <w:rsid w:val="00912888"/>
    <w:rsid w:val="00922648"/>
    <w:rsid w:val="00922EBD"/>
    <w:rsid w:val="00931A47"/>
    <w:rsid w:val="009321F8"/>
    <w:rsid w:val="00932B42"/>
    <w:rsid w:val="0093411A"/>
    <w:rsid w:val="009443A7"/>
    <w:rsid w:val="00947A56"/>
    <w:rsid w:val="009502BE"/>
    <w:rsid w:val="009543FB"/>
    <w:rsid w:val="00956D98"/>
    <w:rsid w:val="009600FD"/>
    <w:rsid w:val="00963306"/>
    <w:rsid w:val="0096383F"/>
    <w:rsid w:val="00965251"/>
    <w:rsid w:val="00965AB3"/>
    <w:rsid w:val="009707F0"/>
    <w:rsid w:val="00971951"/>
    <w:rsid w:val="00973299"/>
    <w:rsid w:val="009747F2"/>
    <w:rsid w:val="00975089"/>
    <w:rsid w:val="0098082C"/>
    <w:rsid w:val="00981E52"/>
    <w:rsid w:val="0098451A"/>
    <w:rsid w:val="00993BB5"/>
    <w:rsid w:val="00995C2C"/>
    <w:rsid w:val="00996631"/>
    <w:rsid w:val="009A0ED0"/>
    <w:rsid w:val="009A1510"/>
    <w:rsid w:val="009A1614"/>
    <w:rsid w:val="009A181B"/>
    <w:rsid w:val="009A482B"/>
    <w:rsid w:val="009A4DC2"/>
    <w:rsid w:val="009A56CD"/>
    <w:rsid w:val="009B6548"/>
    <w:rsid w:val="009C308E"/>
    <w:rsid w:val="009C3179"/>
    <w:rsid w:val="009C3EDF"/>
    <w:rsid w:val="009C6E84"/>
    <w:rsid w:val="009D2F34"/>
    <w:rsid w:val="009D7A1A"/>
    <w:rsid w:val="009D7C25"/>
    <w:rsid w:val="009F08EF"/>
    <w:rsid w:val="009F1B92"/>
    <w:rsid w:val="009F1BCA"/>
    <w:rsid w:val="009F1D56"/>
    <w:rsid w:val="009F33EE"/>
    <w:rsid w:val="009F5A93"/>
    <w:rsid w:val="009F703C"/>
    <w:rsid w:val="009F75EE"/>
    <w:rsid w:val="00A051EA"/>
    <w:rsid w:val="00A10B87"/>
    <w:rsid w:val="00A11012"/>
    <w:rsid w:val="00A129F5"/>
    <w:rsid w:val="00A14730"/>
    <w:rsid w:val="00A15009"/>
    <w:rsid w:val="00A16F26"/>
    <w:rsid w:val="00A304B3"/>
    <w:rsid w:val="00A3427F"/>
    <w:rsid w:val="00A37EEB"/>
    <w:rsid w:val="00A45EC9"/>
    <w:rsid w:val="00A5000C"/>
    <w:rsid w:val="00A50523"/>
    <w:rsid w:val="00A562C6"/>
    <w:rsid w:val="00A60AB6"/>
    <w:rsid w:val="00A62FEC"/>
    <w:rsid w:val="00A75AE9"/>
    <w:rsid w:val="00A8046B"/>
    <w:rsid w:val="00A85895"/>
    <w:rsid w:val="00A8610A"/>
    <w:rsid w:val="00A91039"/>
    <w:rsid w:val="00A92C4B"/>
    <w:rsid w:val="00A942A7"/>
    <w:rsid w:val="00A94F36"/>
    <w:rsid w:val="00A97FAD"/>
    <w:rsid w:val="00AA321E"/>
    <w:rsid w:val="00AA5718"/>
    <w:rsid w:val="00AA6B5C"/>
    <w:rsid w:val="00AB00B0"/>
    <w:rsid w:val="00AB4A14"/>
    <w:rsid w:val="00AD0A67"/>
    <w:rsid w:val="00AD253F"/>
    <w:rsid w:val="00AE0FE7"/>
    <w:rsid w:val="00AE2DE3"/>
    <w:rsid w:val="00AE51E4"/>
    <w:rsid w:val="00AE7BFB"/>
    <w:rsid w:val="00AE7D3E"/>
    <w:rsid w:val="00AF3E33"/>
    <w:rsid w:val="00AF5833"/>
    <w:rsid w:val="00AF74C8"/>
    <w:rsid w:val="00B06111"/>
    <w:rsid w:val="00B06CB1"/>
    <w:rsid w:val="00B0709B"/>
    <w:rsid w:val="00B07BE5"/>
    <w:rsid w:val="00B101EA"/>
    <w:rsid w:val="00B10AFE"/>
    <w:rsid w:val="00B111F5"/>
    <w:rsid w:val="00B1409F"/>
    <w:rsid w:val="00B32168"/>
    <w:rsid w:val="00B345D7"/>
    <w:rsid w:val="00B350D1"/>
    <w:rsid w:val="00B36AC4"/>
    <w:rsid w:val="00B37A54"/>
    <w:rsid w:val="00B42F69"/>
    <w:rsid w:val="00B47E6F"/>
    <w:rsid w:val="00B54AD7"/>
    <w:rsid w:val="00B54B74"/>
    <w:rsid w:val="00B554E7"/>
    <w:rsid w:val="00B614AE"/>
    <w:rsid w:val="00B619DA"/>
    <w:rsid w:val="00B63FFC"/>
    <w:rsid w:val="00B67E25"/>
    <w:rsid w:val="00B71F7B"/>
    <w:rsid w:val="00B81D52"/>
    <w:rsid w:val="00B8481B"/>
    <w:rsid w:val="00B857D8"/>
    <w:rsid w:val="00B876C8"/>
    <w:rsid w:val="00B9144C"/>
    <w:rsid w:val="00B91868"/>
    <w:rsid w:val="00B95E33"/>
    <w:rsid w:val="00B96F55"/>
    <w:rsid w:val="00BA1DD4"/>
    <w:rsid w:val="00BA2EF6"/>
    <w:rsid w:val="00BA4AE6"/>
    <w:rsid w:val="00BA736D"/>
    <w:rsid w:val="00BA7A7B"/>
    <w:rsid w:val="00BB0A5C"/>
    <w:rsid w:val="00BB2A7F"/>
    <w:rsid w:val="00BB6529"/>
    <w:rsid w:val="00BC03C5"/>
    <w:rsid w:val="00BD04BC"/>
    <w:rsid w:val="00BD0888"/>
    <w:rsid w:val="00BD2676"/>
    <w:rsid w:val="00BD3878"/>
    <w:rsid w:val="00BD5108"/>
    <w:rsid w:val="00BE09C4"/>
    <w:rsid w:val="00BE12A7"/>
    <w:rsid w:val="00BE4D8B"/>
    <w:rsid w:val="00BE5B89"/>
    <w:rsid w:val="00BE5DDE"/>
    <w:rsid w:val="00BE6A9C"/>
    <w:rsid w:val="00BF07F1"/>
    <w:rsid w:val="00BF28D8"/>
    <w:rsid w:val="00BF37B0"/>
    <w:rsid w:val="00BF3CFE"/>
    <w:rsid w:val="00BF4BF0"/>
    <w:rsid w:val="00BF79C9"/>
    <w:rsid w:val="00C021D4"/>
    <w:rsid w:val="00C110A4"/>
    <w:rsid w:val="00C11D04"/>
    <w:rsid w:val="00C14269"/>
    <w:rsid w:val="00C1588F"/>
    <w:rsid w:val="00C15C8F"/>
    <w:rsid w:val="00C1704B"/>
    <w:rsid w:val="00C210B2"/>
    <w:rsid w:val="00C22ADE"/>
    <w:rsid w:val="00C24184"/>
    <w:rsid w:val="00C24560"/>
    <w:rsid w:val="00C24830"/>
    <w:rsid w:val="00C3103C"/>
    <w:rsid w:val="00C31C5B"/>
    <w:rsid w:val="00C31E0F"/>
    <w:rsid w:val="00C334F4"/>
    <w:rsid w:val="00C3648C"/>
    <w:rsid w:val="00C372C1"/>
    <w:rsid w:val="00C41080"/>
    <w:rsid w:val="00C441C3"/>
    <w:rsid w:val="00C44387"/>
    <w:rsid w:val="00C50BC6"/>
    <w:rsid w:val="00C51E2F"/>
    <w:rsid w:val="00C55E89"/>
    <w:rsid w:val="00C568CB"/>
    <w:rsid w:val="00C607DC"/>
    <w:rsid w:val="00C63855"/>
    <w:rsid w:val="00C644C2"/>
    <w:rsid w:val="00C66042"/>
    <w:rsid w:val="00C724DA"/>
    <w:rsid w:val="00C80078"/>
    <w:rsid w:val="00C80274"/>
    <w:rsid w:val="00C82963"/>
    <w:rsid w:val="00C908DD"/>
    <w:rsid w:val="00C93524"/>
    <w:rsid w:val="00CA5443"/>
    <w:rsid w:val="00CA7051"/>
    <w:rsid w:val="00CB097B"/>
    <w:rsid w:val="00CB3319"/>
    <w:rsid w:val="00CB7884"/>
    <w:rsid w:val="00CC4704"/>
    <w:rsid w:val="00CC4956"/>
    <w:rsid w:val="00CC49CA"/>
    <w:rsid w:val="00CC542F"/>
    <w:rsid w:val="00CD2784"/>
    <w:rsid w:val="00CD3078"/>
    <w:rsid w:val="00CD4E0F"/>
    <w:rsid w:val="00CD4EBB"/>
    <w:rsid w:val="00CD7FD0"/>
    <w:rsid w:val="00CE2300"/>
    <w:rsid w:val="00CE238C"/>
    <w:rsid w:val="00CE3832"/>
    <w:rsid w:val="00CE4613"/>
    <w:rsid w:val="00CE6FF0"/>
    <w:rsid w:val="00CE7026"/>
    <w:rsid w:val="00CF37A6"/>
    <w:rsid w:val="00CF6F77"/>
    <w:rsid w:val="00D02594"/>
    <w:rsid w:val="00D028B7"/>
    <w:rsid w:val="00D03674"/>
    <w:rsid w:val="00D20DB8"/>
    <w:rsid w:val="00D22571"/>
    <w:rsid w:val="00D25159"/>
    <w:rsid w:val="00D25866"/>
    <w:rsid w:val="00D25A13"/>
    <w:rsid w:val="00D275D6"/>
    <w:rsid w:val="00D40529"/>
    <w:rsid w:val="00D4066C"/>
    <w:rsid w:val="00D412DE"/>
    <w:rsid w:val="00D432E0"/>
    <w:rsid w:val="00D45FFD"/>
    <w:rsid w:val="00D56303"/>
    <w:rsid w:val="00D57373"/>
    <w:rsid w:val="00D615FD"/>
    <w:rsid w:val="00D61985"/>
    <w:rsid w:val="00D63732"/>
    <w:rsid w:val="00D638F2"/>
    <w:rsid w:val="00D645A5"/>
    <w:rsid w:val="00D6612C"/>
    <w:rsid w:val="00D702B2"/>
    <w:rsid w:val="00D83408"/>
    <w:rsid w:val="00D8704C"/>
    <w:rsid w:val="00D9340C"/>
    <w:rsid w:val="00D9552C"/>
    <w:rsid w:val="00D95EA1"/>
    <w:rsid w:val="00DA05A1"/>
    <w:rsid w:val="00DA2113"/>
    <w:rsid w:val="00DB3DF2"/>
    <w:rsid w:val="00DC10B4"/>
    <w:rsid w:val="00DC4642"/>
    <w:rsid w:val="00DC66CD"/>
    <w:rsid w:val="00DC787D"/>
    <w:rsid w:val="00DD285C"/>
    <w:rsid w:val="00DD4343"/>
    <w:rsid w:val="00DE6C06"/>
    <w:rsid w:val="00DF37B3"/>
    <w:rsid w:val="00DF6EC3"/>
    <w:rsid w:val="00E06A06"/>
    <w:rsid w:val="00E06CA2"/>
    <w:rsid w:val="00E10056"/>
    <w:rsid w:val="00E10CEA"/>
    <w:rsid w:val="00E152B7"/>
    <w:rsid w:val="00E21E4E"/>
    <w:rsid w:val="00E22373"/>
    <w:rsid w:val="00E23A11"/>
    <w:rsid w:val="00E24E2B"/>
    <w:rsid w:val="00E25105"/>
    <w:rsid w:val="00E3669F"/>
    <w:rsid w:val="00E40E56"/>
    <w:rsid w:val="00E52716"/>
    <w:rsid w:val="00E62B38"/>
    <w:rsid w:val="00E62D43"/>
    <w:rsid w:val="00E66B70"/>
    <w:rsid w:val="00E70F16"/>
    <w:rsid w:val="00E71525"/>
    <w:rsid w:val="00E727F9"/>
    <w:rsid w:val="00E77B3A"/>
    <w:rsid w:val="00E8054F"/>
    <w:rsid w:val="00E80E8C"/>
    <w:rsid w:val="00E8290C"/>
    <w:rsid w:val="00E97BB2"/>
    <w:rsid w:val="00EA1E3D"/>
    <w:rsid w:val="00EA38D8"/>
    <w:rsid w:val="00EB7B0F"/>
    <w:rsid w:val="00EC140E"/>
    <w:rsid w:val="00EC228E"/>
    <w:rsid w:val="00EC3BF6"/>
    <w:rsid w:val="00EC4387"/>
    <w:rsid w:val="00EE2691"/>
    <w:rsid w:val="00EE2CC9"/>
    <w:rsid w:val="00EE2CF8"/>
    <w:rsid w:val="00EF0470"/>
    <w:rsid w:val="00EF2B7F"/>
    <w:rsid w:val="00EF42F4"/>
    <w:rsid w:val="00EF5C8C"/>
    <w:rsid w:val="00F013A6"/>
    <w:rsid w:val="00F032FD"/>
    <w:rsid w:val="00F04202"/>
    <w:rsid w:val="00F04AF0"/>
    <w:rsid w:val="00F05B1C"/>
    <w:rsid w:val="00F062B0"/>
    <w:rsid w:val="00F14775"/>
    <w:rsid w:val="00F2303A"/>
    <w:rsid w:val="00F24FF9"/>
    <w:rsid w:val="00F3309F"/>
    <w:rsid w:val="00F333B1"/>
    <w:rsid w:val="00F4031A"/>
    <w:rsid w:val="00F5042F"/>
    <w:rsid w:val="00F511F6"/>
    <w:rsid w:val="00F530AF"/>
    <w:rsid w:val="00F63C8C"/>
    <w:rsid w:val="00F6532E"/>
    <w:rsid w:val="00F66888"/>
    <w:rsid w:val="00F73291"/>
    <w:rsid w:val="00F76B4C"/>
    <w:rsid w:val="00F80133"/>
    <w:rsid w:val="00F821E4"/>
    <w:rsid w:val="00F833D4"/>
    <w:rsid w:val="00F91604"/>
    <w:rsid w:val="00F93C16"/>
    <w:rsid w:val="00FA416F"/>
    <w:rsid w:val="00FA5F3A"/>
    <w:rsid w:val="00FB2C11"/>
    <w:rsid w:val="00FB384D"/>
    <w:rsid w:val="00FB54AF"/>
    <w:rsid w:val="00FC2FF2"/>
    <w:rsid w:val="00FD0798"/>
    <w:rsid w:val="00FD1D68"/>
    <w:rsid w:val="00FD4673"/>
    <w:rsid w:val="00FD7CEE"/>
    <w:rsid w:val="00FE1427"/>
    <w:rsid w:val="00FE2839"/>
    <w:rsid w:val="00FE32C1"/>
    <w:rsid w:val="00FE5683"/>
    <w:rsid w:val="00FF151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0CDAE4F-FDA7-47AC-AA12-AE04EA6279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600FD"/>
  </w:style>
  <w:style w:type="paragraph" w:styleId="Heading1">
    <w:name w:val="heading 1"/>
    <w:basedOn w:val="Normal"/>
    <w:next w:val="Normal"/>
    <w:link w:val="Heading1Char"/>
    <w:uiPriority w:val="9"/>
    <w:qFormat/>
    <w:rsid w:val="00B06CB1"/>
    <w:pPr>
      <w:keepNext/>
      <w:keepLines/>
      <w:spacing w:before="480" w:after="0"/>
      <w:outlineLvl w:val="0"/>
    </w:pPr>
    <w:rPr>
      <w:rFonts w:asciiTheme="majorHAnsi" w:eastAsiaTheme="majorEastAsia" w:hAnsiTheme="majorHAnsi" w:cstheme="majorBidi"/>
      <w:b/>
      <w:bCs/>
      <w:color w:val="365F91" w:themeColor="accent1" w:themeShade="BF"/>
      <w:sz w:val="28"/>
      <w:szCs w:val="28"/>
      <w:lang w:eastAsia="nl-NL"/>
    </w:rPr>
  </w:style>
  <w:style w:type="paragraph" w:styleId="Heading2">
    <w:name w:val="heading 2"/>
    <w:basedOn w:val="Normal"/>
    <w:link w:val="Heading2Char"/>
    <w:uiPriority w:val="9"/>
    <w:qFormat/>
    <w:rsid w:val="00B06CB1"/>
    <w:pPr>
      <w:spacing w:before="100" w:beforeAutospacing="1" w:after="100" w:afterAutospacing="1" w:line="240" w:lineRule="auto"/>
      <w:outlineLvl w:val="1"/>
    </w:pPr>
    <w:rPr>
      <w:rFonts w:ascii="Times New Roman" w:eastAsia="Times New Roman" w:hAnsi="Times New Roman" w:cs="Times New Roman"/>
      <w:b/>
      <w:bCs/>
      <w:sz w:val="36"/>
      <w:szCs w:val="36"/>
      <w:lang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53F9D"/>
    <w:rPr>
      <w:color w:val="0000FF" w:themeColor="hyperlink"/>
      <w:u w:val="single"/>
    </w:rPr>
  </w:style>
  <w:style w:type="paragraph" w:styleId="BalloonText">
    <w:name w:val="Balloon Text"/>
    <w:basedOn w:val="Normal"/>
    <w:link w:val="BalloonTextChar"/>
    <w:uiPriority w:val="99"/>
    <w:semiHidden/>
    <w:unhideWhenUsed/>
    <w:rsid w:val="008D1B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1BEA"/>
    <w:rPr>
      <w:rFonts w:ascii="Tahoma" w:hAnsi="Tahoma" w:cs="Tahoma"/>
      <w:sz w:val="16"/>
      <w:szCs w:val="16"/>
    </w:rPr>
  </w:style>
  <w:style w:type="paragraph" w:styleId="FootnoteText">
    <w:name w:val="footnote text"/>
    <w:basedOn w:val="Normal"/>
    <w:link w:val="FootnoteTextChar"/>
    <w:uiPriority w:val="99"/>
    <w:semiHidden/>
    <w:unhideWhenUsed/>
    <w:rsid w:val="000D253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D2530"/>
    <w:rPr>
      <w:sz w:val="20"/>
      <w:szCs w:val="20"/>
    </w:rPr>
  </w:style>
  <w:style w:type="character" w:styleId="FootnoteReference">
    <w:name w:val="footnote reference"/>
    <w:basedOn w:val="DefaultParagraphFont"/>
    <w:uiPriority w:val="99"/>
    <w:semiHidden/>
    <w:unhideWhenUsed/>
    <w:rsid w:val="000D2530"/>
    <w:rPr>
      <w:vertAlign w:val="superscript"/>
    </w:rPr>
  </w:style>
  <w:style w:type="character" w:customStyle="1" w:styleId="Heading2Char">
    <w:name w:val="Heading 2 Char"/>
    <w:basedOn w:val="DefaultParagraphFont"/>
    <w:link w:val="Heading2"/>
    <w:uiPriority w:val="9"/>
    <w:rsid w:val="00B06CB1"/>
    <w:rPr>
      <w:rFonts w:ascii="Times New Roman" w:eastAsia="Times New Roman" w:hAnsi="Times New Roman" w:cs="Times New Roman"/>
      <w:b/>
      <w:bCs/>
      <w:sz w:val="36"/>
      <w:szCs w:val="36"/>
      <w:lang w:eastAsia="nl-NL"/>
    </w:rPr>
  </w:style>
  <w:style w:type="character" w:customStyle="1" w:styleId="Heading1Char">
    <w:name w:val="Heading 1 Char"/>
    <w:basedOn w:val="DefaultParagraphFont"/>
    <w:link w:val="Heading1"/>
    <w:uiPriority w:val="9"/>
    <w:rsid w:val="00B06CB1"/>
    <w:rPr>
      <w:rFonts w:asciiTheme="majorHAnsi" w:eastAsiaTheme="majorEastAsia" w:hAnsiTheme="majorHAnsi" w:cstheme="majorBidi"/>
      <w:b/>
      <w:bCs/>
      <w:color w:val="365F91" w:themeColor="accent1" w:themeShade="BF"/>
      <w:sz w:val="28"/>
      <w:szCs w:val="28"/>
      <w:lang w:eastAsia="nl-NL"/>
    </w:rPr>
  </w:style>
  <w:style w:type="paragraph" w:styleId="Bibliography">
    <w:name w:val="Bibliography"/>
    <w:basedOn w:val="Normal"/>
    <w:next w:val="Normal"/>
    <w:uiPriority w:val="37"/>
    <w:unhideWhenUsed/>
    <w:rsid w:val="00B06CB1"/>
  </w:style>
  <w:style w:type="paragraph" w:styleId="NoSpacing">
    <w:name w:val="No Spacing"/>
    <w:link w:val="NoSpacingChar"/>
    <w:uiPriority w:val="1"/>
    <w:qFormat/>
    <w:rsid w:val="00691828"/>
    <w:pPr>
      <w:spacing w:after="0" w:line="240" w:lineRule="auto"/>
    </w:pPr>
  </w:style>
  <w:style w:type="character" w:styleId="PlaceholderText">
    <w:name w:val="Placeholder Text"/>
    <w:basedOn w:val="DefaultParagraphFont"/>
    <w:uiPriority w:val="99"/>
    <w:semiHidden/>
    <w:rsid w:val="005C37C1"/>
    <w:rPr>
      <w:color w:val="808080"/>
    </w:rPr>
  </w:style>
  <w:style w:type="paragraph" w:styleId="ListParagraph">
    <w:name w:val="List Paragraph"/>
    <w:basedOn w:val="Normal"/>
    <w:uiPriority w:val="34"/>
    <w:qFormat/>
    <w:rsid w:val="00756E22"/>
    <w:pPr>
      <w:ind w:left="720"/>
      <w:contextualSpacing/>
    </w:pPr>
  </w:style>
  <w:style w:type="paragraph" w:styleId="Header">
    <w:name w:val="header"/>
    <w:basedOn w:val="Normal"/>
    <w:link w:val="HeaderChar"/>
    <w:uiPriority w:val="99"/>
    <w:unhideWhenUsed/>
    <w:rsid w:val="00AA321E"/>
    <w:pPr>
      <w:tabs>
        <w:tab w:val="center" w:pos="4536"/>
        <w:tab w:val="right" w:pos="9072"/>
      </w:tabs>
      <w:spacing w:after="0" w:line="240" w:lineRule="auto"/>
    </w:pPr>
  </w:style>
  <w:style w:type="character" w:customStyle="1" w:styleId="HeaderChar">
    <w:name w:val="Header Char"/>
    <w:basedOn w:val="DefaultParagraphFont"/>
    <w:link w:val="Header"/>
    <w:uiPriority w:val="99"/>
    <w:rsid w:val="00AA321E"/>
  </w:style>
  <w:style w:type="paragraph" w:styleId="Footer">
    <w:name w:val="footer"/>
    <w:basedOn w:val="Normal"/>
    <w:link w:val="FooterChar"/>
    <w:uiPriority w:val="99"/>
    <w:unhideWhenUsed/>
    <w:rsid w:val="00AA321E"/>
    <w:pPr>
      <w:tabs>
        <w:tab w:val="center" w:pos="4536"/>
        <w:tab w:val="right" w:pos="9072"/>
      </w:tabs>
      <w:spacing w:after="0" w:line="240" w:lineRule="auto"/>
    </w:pPr>
  </w:style>
  <w:style w:type="character" w:customStyle="1" w:styleId="FooterChar">
    <w:name w:val="Footer Char"/>
    <w:basedOn w:val="DefaultParagraphFont"/>
    <w:link w:val="Footer"/>
    <w:uiPriority w:val="99"/>
    <w:rsid w:val="00AA321E"/>
  </w:style>
  <w:style w:type="character" w:customStyle="1" w:styleId="NoSpacingChar">
    <w:name w:val="No Spacing Char"/>
    <w:basedOn w:val="DefaultParagraphFont"/>
    <w:link w:val="NoSpacing"/>
    <w:uiPriority w:val="1"/>
    <w:rsid w:val="00AA321E"/>
  </w:style>
  <w:style w:type="paragraph" w:styleId="TOCHeading">
    <w:name w:val="TOC Heading"/>
    <w:basedOn w:val="Heading1"/>
    <w:next w:val="Normal"/>
    <w:uiPriority w:val="39"/>
    <w:semiHidden/>
    <w:unhideWhenUsed/>
    <w:qFormat/>
    <w:rsid w:val="00F511F6"/>
    <w:pPr>
      <w:outlineLvl w:val="9"/>
    </w:pPr>
  </w:style>
  <w:style w:type="paragraph" w:styleId="TOC2">
    <w:name w:val="toc 2"/>
    <w:basedOn w:val="Normal"/>
    <w:next w:val="Normal"/>
    <w:autoRedefine/>
    <w:uiPriority w:val="39"/>
    <w:unhideWhenUsed/>
    <w:qFormat/>
    <w:rsid w:val="00F511F6"/>
    <w:pPr>
      <w:spacing w:after="100"/>
      <w:ind w:left="220"/>
    </w:pPr>
  </w:style>
  <w:style w:type="paragraph" w:styleId="TOC1">
    <w:name w:val="toc 1"/>
    <w:basedOn w:val="Normal"/>
    <w:next w:val="Normal"/>
    <w:autoRedefine/>
    <w:uiPriority w:val="39"/>
    <w:unhideWhenUsed/>
    <w:qFormat/>
    <w:rsid w:val="00346ADF"/>
    <w:pPr>
      <w:tabs>
        <w:tab w:val="right" w:leader="dot" w:pos="9072"/>
      </w:tabs>
      <w:spacing w:after="100" w:line="360" w:lineRule="auto"/>
    </w:pPr>
    <w:rPr>
      <w:b/>
      <w:bCs/>
      <w:sz w:val="24"/>
    </w:rPr>
  </w:style>
  <w:style w:type="paragraph" w:styleId="TOC3">
    <w:name w:val="toc 3"/>
    <w:basedOn w:val="Normal"/>
    <w:next w:val="Normal"/>
    <w:autoRedefine/>
    <w:uiPriority w:val="39"/>
    <w:unhideWhenUsed/>
    <w:qFormat/>
    <w:rsid w:val="00346ADF"/>
    <w:pPr>
      <w:tabs>
        <w:tab w:val="right" w:leader="dot" w:pos="9072"/>
      </w:tabs>
      <w:spacing w:after="100" w:line="480" w:lineRule="auto"/>
      <w:ind w:left="446"/>
    </w:pPr>
    <w:rPr>
      <w:rFonts w:eastAsiaTheme="minorEastAsia"/>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1704535">
      <w:bodyDiv w:val="1"/>
      <w:marLeft w:val="0"/>
      <w:marRight w:val="0"/>
      <w:marTop w:val="0"/>
      <w:marBottom w:val="0"/>
      <w:divBdr>
        <w:top w:val="none" w:sz="0" w:space="0" w:color="auto"/>
        <w:left w:val="none" w:sz="0" w:space="0" w:color="auto"/>
        <w:bottom w:val="none" w:sz="0" w:space="0" w:color="auto"/>
        <w:right w:val="none" w:sz="0" w:space="0" w:color="auto"/>
      </w:divBdr>
    </w:div>
    <w:div w:id="175273584">
      <w:bodyDiv w:val="1"/>
      <w:marLeft w:val="0"/>
      <w:marRight w:val="0"/>
      <w:marTop w:val="0"/>
      <w:marBottom w:val="0"/>
      <w:divBdr>
        <w:top w:val="none" w:sz="0" w:space="0" w:color="auto"/>
        <w:left w:val="none" w:sz="0" w:space="0" w:color="auto"/>
        <w:bottom w:val="none" w:sz="0" w:space="0" w:color="auto"/>
        <w:right w:val="none" w:sz="0" w:space="0" w:color="auto"/>
      </w:divBdr>
    </w:div>
    <w:div w:id="221525711">
      <w:bodyDiv w:val="1"/>
      <w:marLeft w:val="0"/>
      <w:marRight w:val="0"/>
      <w:marTop w:val="0"/>
      <w:marBottom w:val="0"/>
      <w:divBdr>
        <w:top w:val="none" w:sz="0" w:space="0" w:color="auto"/>
        <w:left w:val="none" w:sz="0" w:space="0" w:color="auto"/>
        <w:bottom w:val="none" w:sz="0" w:space="0" w:color="auto"/>
        <w:right w:val="none" w:sz="0" w:space="0" w:color="auto"/>
      </w:divBdr>
    </w:div>
    <w:div w:id="236133419">
      <w:bodyDiv w:val="1"/>
      <w:marLeft w:val="0"/>
      <w:marRight w:val="0"/>
      <w:marTop w:val="0"/>
      <w:marBottom w:val="0"/>
      <w:divBdr>
        <w:top w:val="none" w:sz="0" w:space="0" w:color="auto"/>
        <w:left w:val="none" w:sz="0" w:space="0" w:color="auto"/>
        <w:bottom w:val="none" w:sz="0" w:space="0" w:color="auto"/>
        <w:right w:val="none" w:sz="0" w:space="0" w:color="auto"/>
      </w:divBdr>
    </w:div>
    <w:div w:id="246617838">
      <w:bodyDiv w:val="1"/>
      <w:marLeft w:val="0"/>
      <w:marRight w:val="0"/>
      <w:marTop w:val="0"/>
      <w:marBottom w:val="0"/>
      <w:divBdr>
        <w:top w:val="none" w:sz="0" w:space="0" w:color="auto"/>
        <w:left w:val="none" w:sz="0" w:space="0" w:color="auto"/>
        <w:bottom w:val="none" w:sz="0" w:space="0" w:color="auto"/>
        <w:right w:val="none" w:sz="0" w:space="0" w:color="auto"/>
      </w:divBdr>
    </w:div>
    <w:div w:id="262341045">
      <w:bodyDiv w:val="1"/>
      <w:marLeft w:val="0"/>
      <w:marRight w:val="0"/>
      <w:marTop w:val="0"/>
      <w:marBottom w:val="0"/>
      <w:divBdr>
        <w:top w:val="none" w:sz="0" w:space="0" w:color="auto"/>
        <w:left w:val="none" w:sz="0" w:space="0" w:color="auto"/>
        <w:bottom w:val="none" w:sz="0" w:space="0" w:color="auto"/>
        <w:right w:val="none" w:sz="0" w:space="0" w:color="auto"/>
      </w:divBdr>
    </w:div>
    <w:div w:id="300421565">
      <w:bodyDiv w:val="1"/>
      <w:marLeft w:val="0"/>
      <w:marRight w:val="0"/>
      <w:marTop w:val="0"/>
      <w:marBottom w:val="0"/>
      <w:divBdr>
        <w:top w:val="none" w:sz="0" w:space="0" w:color="auto"/>
        <w:left w:val="none" w:sz="0" w:space="0" w:color="auto"/>
        <w:bottom w:val="none" w:sz="0" w:space="0" w:color="auto"/>
        <w:right w:val="none" w:sz="0" w:space="0" w:color="auto"/>
      </w:divBdr>
    </w:div>
    <w:div w:id="629745660">
      <w:bodyDiv w:val="1"/>
      <w:marLeft w:val="0"/>
      <w:marRight w:val="0"/>
      <w:marTop w:val="0"/>
      <w:marBottom w:val="0"/>
      <w:divBdr>
        <w:top w:val="none" w:sz="0" w:space="0" w:color="auto"/>
        <w:left w:val="none" w:sz="0" w:space="0" w:color="auto"/>
        <w:bottom w:val="none" w:sz="0" w:space="0" w:color="auto"/>
        <w:right w:val="none" w:sz="0" w:space="0" w:color="auto"/>
      </w:divBdr>
    </w:div>
    <w:div w:id="631785931">
      <w:bodyDiv w:val="1"/>
      <w:marLeft w:val="0"/>
      <w:marRight w:val="0"/>
      <w:marTop w:val="0"/>
      <w:marBottom w:val="0"/>
      <w:divBdr>
        <w:top w:val="none" w:sz="0" w:space="0" w:color="auto"/>
        <w:left w:val="none" w:sz="0" w:space="0" w:color="auto"/>
        <w:bottom w:val="none" w:sz="0" w:space="0" w:color="auto"/>
        <w:right w:val="none" w:sz="0" w:space="0" w:color="auto"/>
      </w:divBdr>
    </w:div>
    <w:div w:id="777213509">
      <w:bodyDiv w:val="1"/>
      <w:marLeft w:val="0"/>
      <w:marRight w:val="0"/>
      <w:marTop w:val="0"/>
      <w:marBottom w:val="0"/>
      <w:divBdr>
        <w:top w:val="none" w:sz="0" w:space="0" w:color="auto"/>
        <w:left w:val="none" w:sz="0" w:space="0" w:color="auto"/>
        <w:bottom w:val="none" w:sz="0" w:space="0" w:color="auto"/>
        <w:right w:val="none" w:sz="0" w:space="0" w:color="auto"/>
      </w:divBdr>
    </w:div>
    <w:div w:id="777987170">
      <w:bodyDiv w:val="1"/>
      <w:marLeft w:val="0"/>
      <w:marRight w:val="0"/>
      <w:marTop w:val="0"/>
      <w:marBottom w:val="0"/>
      <w:divBdr>
        <w:top w:val="none" w:sz="0" w:space="0" w:color="auto"/>
        <w:left w:val="none" w:sz="0" w:space="0" w:color="auto"/>
        <w:bottom w:val="none" w:sz="0" w:space="0" w:color="auto"/>
        <w:right w:val="none" w:sz="0" w:space="0" w:color="auto"/>
      </w:divBdr>
    </w:div>
    <w:div w:id="842088521">
      <w:bodyDiv w:val="1"/>
      <w:marLeft w:val="0"/>
      <w:marRight w:val="0"/>
      <w:marTop w:val="0"/>
      <w:marBottom w:val="0"/>
      <w:divBdr>
        <w:top w:val="none" w:sz="0" w:space="0" w:color="auto"/>
        <w:left w:val="none" w:sz="0" w:space="0" w:color="auto"/>
        <w:bottom w:val="none" w:sz="0" w:space="0" w:color="auto"/>
        <w:right w:val="none" w:sz="0" w:space="0" w:color="auto"/>
      </w:divBdr>
    </w:div>
    <w:div w:id="851846238">
      <w:bodyDiv w:val="1"/>
      <w:marLeft w:val="0"/>
      <w:marRight w:val="0"/>
      <w:marTop w:val="0"/>
      <w:marBottom w:val="0"/>
      <w:divBdr>
        <w:top w:val="none" w:sz="0" w:space="0" w:color="auto"/>
        <w:left w:val="none" w:sz="0" w:space="0" w:color="auto"/>
        <w:bottom w:val="none" w:sz="0" w:space="0" w:color="auto"/>
        <w:right w:val="none" w:sz="0" w:space="0" w:color="auto"/>
      </w:divBdr>
    </w:div>
    <w:div w:id="957641113">
      <w:bodyDiv w:val="1"/>
      <w:marLeft w:val="0"/>
      <w:marRight w:val="0"/>
      <w:marTop w:val="0"/>
      <w:marBottom w:val="0"/>
      <w:divBdr>
        <w:top w:val="none" w:sz="0" w:space="0" w:color="auto"/>
        <w:left w:val="none" w:sz="0" w:space="0" w:color="auto"/>
        <w:bottom w:val="none" w:sz="0" w:space="0" w:color="auto"/>
        <w:right w:val="none" w:sz="0" w:space="0" w:color="auto"/>
      </w:divBdr>
    </w:div>
    <w:div w:id="1015420004">
      <w:bodyDiv w:val="1"/>
      <w:marLeft w:val="0"/>
      <w:marRight w:val="0"/>
      <w:marTop w:val="0"/>
      <w:marBottom w:val="0"/>
      <w:divBdr>
        <w:top w:val="none" w:sz="0" w:space="0" w:color="auto"/>
        <w:left w:val="none" w:sz="0" w:space="0" w:color="auto"/>
        <w:bottom w:val="none" w:sz="0" w:space="0" w:color="auto"/>
        <w:right w:val="none" w:sz="0" w:space="0" w:color="auto"/>
      </w:divBdr>
    </w:div>
    <w:div w:id="1037315978">
      <w:bodyDiv w:val="1"/>
      <w:marLeft w:val="0"/>
      <w:marRight w:val="0"/>
      <w:marTop w:val="0"/>
      <w:marBottom w:val="0"/>
      <w:divBdr>
        <w:top w:val="none" w:sz="0" w:space="0" w:color="auto"/>
        <w:left w:val="none" w:sz="0" w:space="0" w:color="auto"/>
        <w:bottom w:val="none" w:sz="0" w:space="0" w:color="auto"/>
        <w:right w:val="none" w:sz="0" w:space="0" w:color="auto"/>
      </w:divBdr>
    </w:div>
    <w:div w:id="1311861193">
      <w:bodyDiv w:val="1"/>
      <w:marLeft w:val="0"/>
      <w:marRight w:val="0"/>
      <w:marTop w:val="0"/>
      <w:marBottom w:val="0"/>
      <w:divBdr>
        <w:top w:val="none" w:sz="0" w:space="0" w:color="auto"/>
        <w:left w:val="none" w:sz="0" w:space="0" w:color="auto"/>
        <w:bottom w:val="none" w:sz="0" w:space="0" w:color="auto"/>
        <w:right w:val="none" w:sz="0" w:space="0" w:color="auto"/>
      </w:divBdr>
    </w:div>
    <w:div w:id="1746687623">
      <w:bodyDiv w:val="1"/>
      <w:marLeft w:val="0"/>
      <w:marRight w:val="0"/>
      <w:marTop w:val="0"/>
      <w:marBottom w:val="0"/>
      <w:divBdr>
        <w:top w:val="none" w:sz="0" w:space="0" w:color="auto"/>
        <w:left w:val="none" w:sz="0" w:space="0" w:color="auto"/>
        <w:bottom w:val="none" w:sz="0" w:space="0" w:color="auto"/>
        <w:right w:val="none" w:sz="0" w:space="0" w:color="auto"/>
      </w:divBdr>
    </w:div>
    <w:div w:id="1762874510">
      <w:bodyDiv w:val="1"/>
      <w:marLeft w:val="0"/>
      <w:marRight w:val="0"/>
      <w:marTop w:val="0"/>
      <w:marBottom w:val="0"/>
      <w:divBdr>
        <w:top w:val="none" w:sz="0" w:space="0" w:color="auto"/>
        <w:left w:val="none" w:sz="0" w:space="0" w:color="auto"/>
        <w:bottom w:val="none" w:sz="0" w:space="0" w:color="auto"/>
        <w:right w:val="none" w:sz="0" w:space="0" w:color="auto"/>
      </w:divBdr>
    </w:div>
    <w:div w:id="1793984696">
      <w:bodyDiv w:val="1"/>
      <w:marLeft w:val="0"/>
      <w:marRight w:val="0"/>
      <w:marTop w:val="0"/>
      <w:marBottom w:val="0"/>
      <w:divBdr>
        <w:top w:val="none" w:sz="0" w:space="0" w:color="auto"/>
        <w:left w:val="none" w:sz="0" w:space="0" w:color="auto"/>
        <w:bottom w:val="none" w:sz="0" w:space="0" w:color="auto"/>
        <w:right w:val="none" w:sz="0" w:space="0" w:color="auto"/>
      </w:divBdr>
    </w:div>
    <w:div w:id="1802962550">
      <w:bodyDiv w:val="1"/>
      <w:marLeft w:val="0"/>
      <w:marRight w:val="0"/>
      <w:marTop w:val="0"/>
      <w:marBottom w:val="0"/>
      <w:divBdr>
        <w:top w:val="none" w:sz="0" w:space="0" w:color="auto"/>
        <w:left w:val="none" w:sz="0" w:space="0" w:color="auto"/>
        <w:bottom w:val="none" w:sz="0" w:space="0" w:color="auto"/>
        <w:right w:val="none" w:sz="0" w:space="0" w:color="auto"/>
      </w:divBdr>
    </w:div>
    <w:div w:id="1820801361">
      <w:bodyDiv w:val="1"/>
      <w:marLeft w:val="0"/>
      <w:marRight w:val="0"/>
      <w:marTop w:val="0"/>
      <w:marBottom w:val="0"/>
      <w:divBdr>
        <w:top w:val="none" w:sz="0" w:space="0" w:color="auto"/>
        <w:left w:val="none" w:sz="0" w:space="0" w:color="auto"/>
        <w:bottom w:val="none" w:sz="0" w:space="0" w:color="auto"/>
        <w:right w:val="none" w:sz="0" w:space="0" w:color="auto"/>
      </w:divBdr>
    </w:div>
    <w:div w:id="1847091295">
      <w:bodyDiv w:val="1"/>
      <w:marLeft w:val="0"/>
      <w:marRight w:val="0"/>
      <w:marTop w:val="0"/>
      <w:marBottom w:val="0"/>
      <w:divBdr>
        <w:top w:val="none" w:sz="0" w:space="0" w:color="auto"/>
        <w:left w:val="none" w:sz="0" w:space="0" w:color="auto"/>
        <w:bottom w:val="none" w:sz="0" w:space="0" w:color="auto"/>
        <w:right w:val="none" w:sz="0" w:space="0" w:color="auto"/>
      </w:divBdr>
    </w:div>
    <w:div w:id="1884563708">
      <w:bodyDiv w:val="1"/>
      <w:marLeft w:val="0"/>
      <w:marRight w:val="0"/>
      <w:marTop w:val="0"/>
      <w:marBottom w:val="0"/>
      <w:divBdr>
        <w:top w:val="none" w:sz="0" w:space="0" w:color="auto"/>
        <w:left w:val="none" w:sz="0" w:space="0" w:color="auto"/>
        <w:bottom w:val="none" w:sz="0" w:space="0" w:color="auto"/>
        <w:right w:val="none" w:sz="0" w:space="0" w:color="auto"/>
      </w:divBdr>
    </w:div>
    <w:div w:id="1966080643">
      <w:bodyDiv w:val="1"/>
      <w:marLeft w:val="0"/>
      <w:marRight w:val="0"/>
      <w:marTop w:val="0"/>
      <w:marBottom w:val="0"/>
      <w:divBdr>
        <w:top w:val="none" w:sz="0" w:space="0" w:color="auto"/>
        <w:left w:val="none" w:sz="0" w:space="0" w:color="auto"/>
        <w:bottom w:val="none" w:sz="0" w:space="0" w:color="auto"/>
        <w:right w:val="none" w:sz="0" w:space="0" w:color="auto"/>
      </w:divBdr>
    </w:div>
    <w:div w:id="2034920999">
      <w:bodyDiv w:val="1"/>
      <w:marLeft w:val="0"/>
      <w:marRight w:val="0"/>
      <w:marTop w:val="0"/>
      <w:marBottom w:val="0"/>
      <w:divBdr>
        <w:top w:val="none" w:sz="0" w:space="0" w:color="auto"/>
        <w:left w:val="none" w:sz="0" w:space="0" w:color="auto"/>
        <w:bottom w:val="none" w:sz="0" w:space="0" w:color="auto"/>
        <w:right w:val="none" w:sz="0" w:space="0" w:color="auto"/>
      </w:divBdr>
    </w:div>
    <w:div w:id="2093309194">
      <w:bodyDiv w:val="1"/>
      <w:marLeft w:val="0"/>
      <w:marRight w:val="0"/>
      <w:marTop w:val="0"/>
      <w:marBottom w:val="0"/>
      <w:divBdr>
        <w:top w:val="none" w:sz="0" w:space="0" w:color="auto"/>
        <w:left w:val="none" w:sz="0" w:space="0" w:color="auto"/>
        <w:bottom w:val="none" w:sz="0" w:space="0" w:color="auto"/>
        <w:right w:val="none" w:sz="0" w:space="0" w:color="auto"/>
      </w:divBdr>
    </w:div>
    <w:div w:id="2123307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3.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image" Target="media/image3.gif"/><Relationship Id="rId10" Type="http://schemas.openxmlformats.org/officeDocument/2006/relationships/chart" Target="charts/chart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chart" Target="charts/chart4.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Gebruiker\Documents\Studie%20Economie\Jaar%203\Scriptie\Data%20E&amp;B-model.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Gebruiker\Documents\Studie%20Economie\Jaar%203\Scriptie\Data%20E&amp;B-model.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Gebruiker\Documents\Studie%20Economie\Jaar%203\Scriptie\Trends%20Organisatiegraad%20Wereldwijd.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Gebruiker\Documents\Studie%20Economie\Jaar%203\Scriptie\Trends%20Organisatiegraad%20Wereldwijd.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nl-NL"/>
              <a:t>Inflatie</a:t>
            </a:r>
            <a:r>
              <a:rPr lang="nl-NL" baseline="0"/>
              <a:t> 1960-1982</a:t>
            </a:r>
            <a:endParaRPr lang="nl-NL"/>
          </a:p>
        </c:rich>
      </c:tx>
      <c:layout/>
      <c:overlay val="0"/>
    </c:title>
    <c:autoTitleDeleted val="0"/>
    <c:plotArea>
      <c:layout/>
      <c:lineChart>
        <c:grouping val="standard"/>
        <c:varyColors val="0"/>
        <c:ser>
          <c:idx val="0"/>
          <c:order val="0"/>
          <c:tx>
            <c:strRef>
              <c:f>Inflatie!$B$3</c:f>
              <c:strCache>
                <c:ptCount val="1"/>
                <c:pt idx="0">
                  <c:v>Duitsland</c:v>
                </c:pt>
              </c:strCache>
            </c:strRef>
          </c:tx>
          <c:marker>
            <c:symbol val="none"/>
          </c:marker>
          <c:cat>
            <c:numRef>
              <c:f>Inflatie!$C$2:$Y$2</c:f>
              <c:numCache>
                <c:formatCode>General</c:formatCode>
                <c:ptCount val="23"/>
                <c:pt idx="0">
                  <c:v>1960</c:v>
                </c:pt>
                <c:pt idx="1">
                  <c:v>1961</c:v>
                </c:pt>
                <c:pt idx="2">
                  <c:v>1962</c:v>
                </c:pt>
                <c:pt idx="3">
                  <c:v>1963</c:v>
                </c:pt>
                <c:pt idx="4">
                  <c:v>1964</c:v>
                </c:pt>
                <c:pt idx="5">
                  <c:v>1965</c:v>
                </c:pt>
                <c:pt idx="6">
                  <c:v>1966</c:v>
                </c:pt>
                <c:pt idx="7">
                  <c:v>1967</c:v>
                </c:pt>
                <c:pt idx="8">
                  <c:v>1968</c:v>
                </c:pt>
                <c:pt idx="9">
                  <c:v>1969</c:v>
                </c:pt>
                <c:pt idx="10">
                  <c:v>1970</c:v>
                </c:pt>
                <c:pt idx="11">
                  <c:v>1971</c:v>
                </c:pt>
                <c:pt idx="12">
                  <c:v>1972</c:v>
                </c:pt>
                <c:pt idx="13">
                  <c:v>1973</c:v>
                </c:pt>
                <c:pt idx="14">
                  <c:v>1974</c:v>
                </c:pt>
                <c:pt idx="15">
                  <c:v>1975</c:v>
                </c:pt>
                <c:pt idx="16">
                  <c:v>1976</c:v>
                </c:pt>
                <c:pt idx="17">
                  <c:v>1977</c:v>
                </c:pt>
                <c:pt idx="18">
                  <c:v>1978</c:v>
                </c:pt>
                <c:pt idx="19">
                  <c:v>1979</c:v>
                </c:pt>
                <c:pt idx="20">
                  <c:v>1980</c:v>
                </c:pt>
                <c:pt idx="21">
                  <c:v>1981</c:v>
                </c:pt>
                <c:pt idx="22">
                  <c:v>1982</c:v>
                </c:pt>
              </c:numCache>
            </c:numRef>
          </c:cat>
          <c:val>
            <c:numRef>
              <c:f>Inflatie!$C$3:$Y$3</c:f>
              <c:numCache>
                <c:formatCode>General</c:formatCode>
                <c:ptCount val="23"/>
                <c:pt idx="0">
                  <c:v>1.54</c:v>
                </c:pt>
                <c:pt idx="1">
                  <c:v>2.29</c:v>
                </c:pt>
                <c:pt idx="2">
                  <c:v>2.84</c:v>
                </c:pt>
                <c:pt idx="3">
                  <c:v>2.97</c:v>
                </c:pt>
                <c:pt idx="4">
                  <c:v>2.34</c:v>
                </c:pt>
                <c:pt idx="5">
                  <c:v>3.24</c:v>
                </c:pt>
                <c:pt idx="6">
                  <c:v>3.53</c:v>
                </c:pt>
                <c:pt idx="7">
                  <c:v>1.8</c:v>
                </c:pt>
                <c:pt idx="8">
                  <c:v>1.47</c:v>
                </c:pt>
                <c:pt idx="9">
                  <c:v>1.91</c:v>
                </c:pt>
                <c:pt idx="10">
                  <c:v>3.45</c:v>
                </c:pt>
                <c:pt idx="11">
                  <c:v>5.24</c:v>
                </c:pt>
                <c:pt idx="12">
                  <c:v>5.48</c:v>
                </c:pt>
                <c:pt idx="13">
                  <c:v>7.03</c:v>
                </c:pt>
                <c:pt idx="14">
                  <c:v>6.99</c:v>
                </c:pt>
                <c:pt idx="15">
                  <c:v>5.91</c:v>
                </c:pt>
                <c:pt idx="16">
                  <c:v>4.25</c:v>
                </c:pt>
                <c:pt idx="17">
                  <c:v>3.73</c:v>
                </c:pt>
                <c:pt idx="18">
                  <c:v>2.72</c:v>
                </c:pt>
                <c:pt idx="19">
                  <c:v>4.04</c:v>
                </c:pt>
                <c:pt idx="20">
                  <c:v>5.44</c:v>
                </c:pt>
                <c:pt idx="21">
                  <c:v>6.34</c:v>
                </c:pt>
                <c:pt idx="22">
                  <c:v>5.24</c:v>
                </c:pt>
              </c:numCache>
            </c:numRef>
          </c:val>
          <c:smooth val="0"/>
        </c:ser>
        <c:ser>
          <c:idx val="1"/>
          <c:order val="1"/>
          <c:tx>
            <c:strRef>
              <c:f>Inflatie!$B$4</c:f>
              <c:strCache>
                <c:ptCount val="1"/>
                <c:pt idx="0">
                  <c:v>Japan</c:v>
                </c:pt>
              </c:strCache>
            </c:strRef>
          </c:tx>
          <c:marker>
            <c:symbol val="none"/>
          </c:marker>
          <c:cat>
            <c:numRef>
              <c:f>Inflatie!$C$2:$Y$2</c:f>
              <c:numCache>
                <c:formatCode>General</c:formatCode>
                <c:ptCount val="23"/>
                <c:pt idx="0">
                  <c:v>1960</c:v>
                </c:pt>
                <c:pt idx="1">
                  <c:v>1961</c:v>
                </c:pt>
                <c:pt idx="2">
                  <c:v>1962</c:v>
                </c:pt>
                <c:pt idx="3">
                  <c:v>1963</c:v>
                </c:pt>
                <c:pt idx="4">
                  <c:v>1964</c:v>
                </c:pt>
                <c:pt idx="5">
                  <c:v>1965</c:v>
                </c:pt>
                <c:pt idx="6">
                  <c:v>1966</c:v>
                </c:pt>
                <c:pt idx="7">
                  <c:v>1967</c:v>
                </c:pt>
                <c:pt idx="8">
                  <c:v>1968</c:v>
                </c:pt>
                <c:pt idx="9">
                  <c:v>1969</c:v>
                </c:pt>
                <c:pt idx="10">
                  <c:v>1970</c:v>
                </c:pt>
                <c:pt idx="11">
                  <c:v>1971</c:v>
                </c:pt>
                <c:pt idx="12">
                  <c:v>1972</c:v>
                </c:pt>
                <c:pt idx="13">
                  <c:v>1973</c:v>
                </c:pt>
                <c:pt idx="14">
                  <c:v>1974</c:v>
                </c:pt>
                <c:pt idx="15">
                  <c:v>1975</c:v>
                </c:pt>
                <c:pt idx="16">
                  <c:v>1976</c:v>
                </c:pt>
                <c:pt idx="17">
                  <c:v>1977</c:v>
                </c:pt>
                <c:pt idx="18">
                  <c:v>1978</c:v>
                </c:pt>
                <c:pt idx="19">
                  <c:v>1979</c:v>
                </c:pt>
                <c:pt idx="20">
                  <c:v>1980</c:v>
                </c:pt>
                <c:pt idx="21">
                  <c:v>1981</c:v>
                </c:pt>
                <c:pt idx="22">
                  <c:v>1982</c:v>
                </c:pt>
              </c:numCache>
            </c:numRef>
          </c:cat>
          <c:val>
            <c:numRef>
              <c:f>Inflatie!$C$4:$Y$4</c:f>
              <c:numCache>
                <c:formatCode>General</c:formatCode>
                <c:ptCount val="23"/>
                <c:pt idx="0">
                  <c:v>3.57</c:v>
                </c:pt>
                <c:pt idx="1">
                  <c:v>5.37</c:v>
                </c:pt>
                <c:pt idx="2">
                  <c:v>6.84</c:v>
                </c:pt>
                <c:pt idx="3">
                  <c:v>6.71</c:v>
                </c:pt>
                <c:pt idx="4">
                  <c:v>3.8</c:v>
                </c:pt>
                <c:pt idx="5">
                  <c:v>6.66</c:v>
                </c:pt>
                <c:pt idx="6">
                  <c:v>5.04</c:v>
                </c:pt>
                <c:pt idx="7">
                  <c:v>3.99</c:v>
                </c:pt>
                <c:pt idx="8">
                  <c:v>5.34</c:v>
                </c:pt>
                <c:pt idx="9">
                  <c:v>5.25</c:v>
                </c:pt>
                <c:pt idx="10">
                  <c:v>6.97</c:v>
                </c:pt>
                <c:pt idx="11">
                  <c:v>6.35</c:v>
                </c:pt>
                <c:pt idx="12">
                  <c:v>4.84</c:v>
                </c:pt>
                <c:pt idx="13">
                  <c:v>11.62</c:v>
                </c:pt>
                <c:pt idx="14">
                  <c:v>23.18</c:v>
                </c:pt>
                <c:pt idx="15">
                  <c:v>11.78</c:v>
                </c:pt>
                <c:pt idx="16">
                  <c:v>9.39</c:v>
                </c:pt>
                <c:pt idx="17">
                  <c:v>8.14</c:v>
                </c:pt>
                <c:pt idx="18">
                  <c:v>4.21</c:v>
                </c:pt>
                <c:pt idx="19">
                  <c:v>3.69</c:v>
                </c:pt>
                <c:pt idx="20">
                  <c:v>7.81</c:v>
                </c:pt>
                <c:pt idx="21">
                  <c:v>4.91</c:v>
                </c:pt>
                <c:pt idx="22">
                  <c:v>2.72</c:v>
                </c:pt>
              </c:numCache>
            </c:numRef>
          </c:val>
          <c:smooth val="0"/>
        </c:ser>
        <c:ser>
          <c:idx val="2"/>
          <c:order val="2"/>
          <c:tx>
            <c:strRef>
              <c:f>Inflatie!$B$5</c:f>
              <c:strCache>
                <c:ptCount val="1"/>
                <c:pt idx="0">
                  <c:v>Nederland</c:v>
                </c:pt>
              </c:strCache>
            </c:strRef>
          </c:tx>
          <c:marker>
            <c:symbol val="none"/>
          </c:marker>
          <c:cat>
            <c:numRef>
              <c:f>Inflatie!$C$2:$Y$2</c:f>
              <c:numCache>
                <c:formatCode>General</c:formatCode>
                <c:ptCount val="23"/>
                <c:pt idx="0">
                  <c:v>1960</c:v>
                </c:pt>
                <c:pt idx="1">
                  <c:v>1961</c:v>
                </c:pt>
                <c:pt idx="2">
                  <c:v>1962</c:v>
                </c:pt>
                <c:pt idx="3">
                  <c:v>1963</c:v>
                </c:pt>
                <c:pt idx="4">
                  <c:v>1964</c:v>
                </c:pt>
                <c:pt idx="5">
                  <c:v>1965</c:v>
                </c:pt>
                <c:pt idx="6">
                  <c:v>1966</c:v>
                </c:pt>
                <c:pt idx="7">
                  <c:v>1967</c:v>
                </c:pt>
                <c:pt idx="8">
                  <c:v>1968</c:v>
                </c:pt>
                <c:pt idx="9">
                  <c:v>1969</c:v>
                </c:pt>
                <c:pt idx="10">
                  <c:v>1970</c:v>
                </c:pt>
                <c:pt idx="11">
                  <c:v>1971</c:v>
                </c:pt>
                <c:pt idx="12">
                  <c:v>1972</c:v>
                </c:pt>
                <c:pt idx="13">
                  <c:v>1973</c:v>
                </c:pt>
                <c:pt idx="14">
                  <c:v>1974</c:v>
                </c:pt>
                <c:pt idx="15">
                  <c:v>1975</c:v>
                </c:pt>
                <c:pt idx="16">
                  <c:v>1976</c:v>
                </c:pt>
                <c:pt idx="17">
                  <c:v>1977</c:v>
                </c:pt>
                <c:pt idx="18">
                  <c:v>1978</c:v>
                </c:pt>
                <c:pt idx="19">
                  <c:v>1979</c:v>
                </c:pt>
                <c:pt idx="20">
                  <c:v>1980</c:v>
                </c:pt>
                <c:pt idx="21">
                  <c:v>1981</c:v>
                </c:pt>
                <c:pt idx="22">
                  <c:v>1982</c:v>
                </c:pt>
              </c:numCache>
            </c:numRef>
          </c:cat>
          <c:val>
            <c:numRef>
              <c:f>Inflatie!$C$5:$Y$5</c:f>
              <c:numCache>
                <c:formatCode>General</c:formatCode>
                <c:ptCount val="23"/>
                <c:pt idx="1">
                  <c:v>0.56999999999999995</c:v>
                </c:pt>
                <c:pt idx="2">
                  <c:v>2.4300000000000002</c:v>
                </c:pt>
                <c:pt idx="3">
                  <c:v>3.24</c:v>
                </c:pt>
                <c:pt idx="4">
                  <c:v>5.82</c:v>
                </c:pt>
                <c:pt idx="5">
                  <c:v>3.91</c:v>
                </c:pt>
                <c:pt idx="6">
                  <c:v>5.76</c:v>
                </c:pt>
                <c:pt idx="7">
                  <c:v>3.46</c:v>
                </c:pt>
                <c:pt idx="8">
                  <c:v>3.72</c:v>
                </c:pt>
                <c:pt idx="9">
                  <c:v>7.42</c:v>
                </c:pt>
                <c:pt idx="10">
                  <c:v>3.67</c:v>
                </c:pt>
                <c:pt idx="11">
                  <c:v>7.48</c:v>
                </c:pt>
                <c:pt idx="12">
                  <c:v>7.8</c:v>
                </c:pt>
                <c:pt idx="13">
                  <c:v>8.02</c:v>
                </c:pt>
                <c:pt idx="14">
                  <c:v>9.59</c:v>
                </c:pt>
                <c:pt idx="15">
                  <c:v>10.220000000000001</c:v>
                </c:pt>
                <c:pt idx="16">
                  <c:v>8.83</c:v>
                </c:pt>
                <c:pt idx="17">
                  <c:v>6.4</c:v>
                </c:pt>
                <c:pt idx="18">
                  <c:v>4.1100000000000003</c:v>
                </c:pt>
                <c:pt idx="19">
                  <c:v>4.2</c:v>
                </c:pt>
                <c:pt idx="20">
                  <c:v>6.51</c:v>
                </c:pt>
                <c:pt idx="21">
                  <c:v>6.74</c:v>
                </c:pt>
                <c:pt idx="22">
                  <c:v>5.91</c:v>
                </c:pt>
              </c:numCache>
            </c:numRef>
          </c:val>
          <c:smooth val="0"/>
        </c:ser>
        <c:ser>
          <c:idx val="3"/>
          <c:order val="3"/>
          <c:tx>
            <c:strRef>
              <c:f>Inflatie!$B$6</c:f>
              <c:strCache>
                <c:ptCount val="1"/>
                <c:pt idx="0">
                  <c:v>Zwitserland</c:v>
                </c:pt>
              </c:strCache>
            </c:strRef>
          </c:tx>
          <c:marker>
            <c:symbol val="none"/>
          </c:marker>
          <c:cat>
            <c:numRef>
              <c:f>Inflatie!$C$2:$Y$2</c:f>
              <c:numCache>
                <c:formatCode>General</c:formatCode>
                <c:ptCount val="23"/>
                <c:pt idx="0">
                  <c:v>1960</c:v>
                </c:pt>
                <c:pt idx="1">
                  <c:v>1961</c:v>
                </c:pt>
                <c:pt idx="2">
                  <c:v>1962</c:v>
                </c:pt>
                <c:pt idx="3">
                  <c:v>1963</c:v>
                </c:pt>
                <c:pt idx="4">
                  <c:v>1964</c:v>
                </c:pt>
                <c:pt idx="5">
                  <c:v>1965</c:v>
                </c:pt>
                <c:pt idx="6">
                  <c:v>1966</c:v>
                </c:pt>
                <c:pt idx="7">
                  <c:v>1967</c:v>
                </c:pt>
                <c:pt idx="8">
                  <c:v>1968</c:v>
                </c:pt>
                <c:pt idx="9">
                  <c:v>1969</c:v>
                </c:pt>
                <c:pt idx="10">
                  <c:v>1970</c:v>
                </c:pt>
                <c:pt idx="11">
                  <c:v>1971</c:v>
                </c:pt>
                <c:pt idx="12">
                  <c:v>1972</c:v>
                </c:pt>
                <c:pt idx="13">
                  <c:v>1973</c:v>
                </c:pt>
                <c:pt idx="14">
                  <c:v>1974</c:v>
                </c:pt>
                <c:pt idx="15">
                  <c:v>1975</c:v>
                </c:pt>
                <c:pt idx="16">
                  <c:v>1976</c:v>
                </c:pt>
                <c:pt idx="17">
                  <c:v>1977</c:v>
                </c:pt>
                <c:pt idx="18">
                  <c:v>1978</c:v>
                </c:pt>
                <c:pt idx="19">
                  <c:v>1979</c:v>
                </c:pt>
                <c:pt idx="20">
                  <c:v>1980</c:v>
                </c:pt>
                <c:pt idx="21">
                  <c:v>1981</c:v>
                </c:pt>
                <c:pt idx="22">
                  <c:v>1982</c:v>
                </c:pt>
              </c:numCache>
            </c:numRef>
          </c:cat>
          <c:val>
            <c:numRef>
              <c:f>Inflatie!$C$6:$Y$6</c:f>
              <c:numCache>
                <c:formatCode>General</c:formatCode>
                <c:ptCount val="23"/>
                <c:pt idx="0">
                  <c:v>1.44</c:v>
                </c:pt>
                <c:pt idx="1">
                  <c:v>1.85</c:v>
                </c:pt>
                <c:pt idx="2">
                  <c:v>4.32</c:v>
                </c:pt>
                <c:pt idx="3">
                  <c:v>3.44</c:v>
                </c:pt>
                <c:pt idx="4">
                  <c:v>3.08</c:v>
                </c:pt>
                <c:pt idx="5">
                  <c:v>3.41</c:v>
                </c:pt>
                <c:pt idx="6">
                  <c:v>4.78</c:v>
                </c:pt>
                <c:pt idx="7">
                  <c:v>4.01</c:v>
                </c:pt>
                <c:pt idx="8">
                  <c:v>2.4</c:v>
                </c:pt>
                <c:pt idx="9">
                  <c:v>2.4900000000000002</c:v>
                </c:pt>
                <c:pt idx="10">
                  <c:v>3.62</c:v>
                </c:pt>
                <c:pt idx="11">
                  <c:v>6.57</c:v>
                </c:pt>
                <c:pt idx="12">
                  <c:v>6.66</c:v>
                </c:pt>
                <c:pt idx="13">
                  <c:v>8.75</c:v>
                </c:pt>
                <c:pt idx="14">
                  <c:v>9.77</c:v>
                </c:pt>
                <c:pt idx="15">
                  <c:v>6.7</c:v>
                </c:pt>
                <c:pt idx="16">
                  <c:v>1.72</c:v>
                </c:pt>
                <c:pt idx="17">
                  <c:v>1.3</c:v>
                </c:pt>
                <c:pt idx="18">
                  <c:v>1.03</c:v>
                </c:pt>
                <c:pt idx="19">
                  <c:v>3.65</c:v>
                </c:pt>
                <c:pt idx="20">
                  <c:v>4.0199999999999996</c:v>
                </c:pt>
                <c:pt idx="21">
                  <c:v>6.49</c:v>
                </c:pt>
                <c:pt idx="22">
                  <c:v>5.66</c:v>
                </c:pt>
              </c:numCache>
            </c:numRef>
          </c:val>
          <c:smooth val="0"/>
        </c:ser>
        <c:dLbls>
          <c:showLegendKey val="0"/>
          <c:showVal val="0"/>
          <c:showCatName val="0"/>
          <c:showSerName val="0"/>
          <c:showPercent val="0"/>
          <c:showBubbleSize val="0"/>
        </c:dLbls>
        <c:smooth val="0"/>
        <c:axId val="145496224"/>
        <c:axId val="145496616"/>
      </c:lineChart>
      <c:catAx>
        <c:axId val="145496224"/>
        <c:scaling>
          <c:orientation val="minMax"/>
        </c:scaling>
        <c:delete val="0"/>
        <c:axPos val="b"/>
        <c:numFmt formatCode="General" sourceLinked="1"/>
        <c:majorTickMark val="none"/>
        <c:minorTickMark val="none"/>
        <c:tickLblPos val="nextTo"/>
        <c:crossAx val="145496616"/>
        <c:crosses val="autoZero"/>
        <c:auto val="1"/>
        <c:lblAlgn val="ctr"/>
        <c:lblOffset val="100"/>
        <c:noMultiLvlLbl val="0"/>
      </c:catAx>
      <c:valAx>
        <c:axId val="145496616"/>
        <c:scaling>
          <c:orientation val="minMax"/>
        </c:scaling>
        <c:delete val="0"/>
        <c:axPos val="l"/>
        <c:majorGridlines/>
        <c:title>
          <c:tx>
            <c:rich>
              <a:bodyPr/>
              <a:lstStyle/>
              <a:p>
                <a:pPr>
                  <a:defRPr/>
                </a:pPr>
                <a:r>
                  <a:rPr lang="nl-NL"/>
                  <a:t>Procent</a:t>
                </a:r>
              </a:p>
            </c:rich>
          </c:tx>
          <c:layout/>
          <c:overlay val="0"/>
        </c:title>
        <c:numFmt formatCode="General" sourceLinked="1"/>
        <c:majorTickMark val="none"/>
        <c:minorTickMark val="none"/>
        <c:tickLblPos val="nextTo"/>
        <c:crossAx val="145496224"/>
        <c:crosses val="autoZero"/>
        <c:crossBetween val="between"/>
      </c:valAx>
    </c:plotArea>
    <c:legend>
      <c:legendPos val="r"/>
      <c:layout/>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nl-NL"/>
              <a:t>Werknemerscompensatie 1970-1982</a:t>
            </a:r>
            <a:br>
              <a:rPr lang="nl-NL"/>
            </a:br>
            <a:r>
              <a:rPr lang="nl-NL"/>
              <a:t>(% bruto toegevoegde waarde)</a:t>
            </a:r>
          </a:p>
        </c:rich>
      </c:tx>
      <c:layout/>
      <c:overlay val="0"/>
    </c:title>
    <c:autoTitleDeleted val="0"/>
    <c:plotArea>
      <c:layout/>
      <c:lineChart>
        <c:grouping val="standard"/>
        <c:varyColors val="0"/>
        <c:ser>
          <c:idx val="0"/>
          <c:order val="0"/>
          <c:tx>
            <c:strRef>
              <c:f>Wage!$B$3</c:f>
              <c:strCache>
                <c:ptCount val="1"/>
                <c:pt idx="0">
                  <c:v>Duitsland</c:v>
                </c:pt>
              </c:strCache>
            </c:strRef>
          </c:tx>
          <c:marker>
            <c:symbol val="none"/>
          </c:marker>
          <c:cat>
            <c:numRef>
              <c:f>Wage!$C$2:$O$2</c:f>
              <c:numCache>
                <c:formatCode>General</c:formatCode>
                <c:ptCount val="13"/>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numCache>
            </c:numRef>
          </c:cat>
          <c:val>
            <c:numRef>
              <c:f>Wage!$C$3:$O$3</c:f>
              <c:numCache>
                <c:formatCode>General</c:formatCode>
                <c:ptCount val="13"/>
                <c:pt idx="0">
                  <c:v>56.57</c:v>
                </c:pt>
                <c:pt idx="1">
                  <c:v>57.86</c:v>
                </c:pt>
                <c:pt idx="2">
                  <c:v>58.7</c:v>
                </c:pt>
                <c:pt idx="3">
                  <c:v>59.71</c:v>
                </c:pt>
                <c:pt idx="4">
                  <c:v>60.7</c:v>
                </c:pt>
                <c:pt idx="5">
                  <c:v>60.63</c:v>
                </c:pt>
                <c:pt idx="6">
                  <c:v>60.44</c:v>
                </c:pt>
                <c:pt idx="7">
                  <c:v>60.82</c:v>
                </c:pt>
                <c:pt idx="8">
                  <c:v>61.07</c:v>
                </c:pt>
                <c:pt idx="9">
                  <c:v>61.03</c:v>
                </c:pt>
                <c:pt idx="10">
                  <c:v>62.04</c:v>
                </c:pt>
                <c:pt idx="11">
                  <c:v>62.11</c:v>
                </c:pt>
                <c:pt idx="12">
                  <c:v>61.42</c:v>
                </c:pt>
              </c:numCache>
            </c:numRef>
          </c:val>
          <c:smooth val="0"/>
        </c:ser>
        <c:ser>
          <c:idx val="1"/>
          <c:order val="1"/>
          <c:tx>
            <c:strRef>
              <c:f>Wage!$B$4</c:f>
              <c:strCache>
                <c:ptCount val="1"/>
                <c:pt idx="0">
                  <c:v>Japan</c:v>
                </c:pt>
              </c:strCache>
            </c:strRef>
          </c:tx>
          <c:marker>
            <c:symbol val="none"/>
          </c:marker>
          <c:cat>
            <c:numRef>
              <c:f>Wage!$C$2:$O$2</c:f>
              <c:numCache>
                <c:formatCode>General</c:formatCode>
                <c:ptCount val="13"/>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numCache>
            </c:numRef>
          </c:cat>
          <c:val>
            <c:numRef>
              <c:f>Wage!$C$4:$O$4</c:f>
              <c:numCache>
                <c:formatCode>General</c:formatCode>
                <c:ptCount val="13"/>
                <c:pt idx="0">
                  <c:v>42.53</c:v>
                </c:pt>
                <c:pt idx="1">
                  <c:v>45.83</c:v>
                </c:pt>
                <c:pt idx="2">
                  <c:v>46.25</c:v>
                </c:pt>
                <c:pt idx="3">
                  <c:v>47.2</c:v>
                </c:pt>
                <c:pt idx="4">
                  <c:v>50.49</c:v>
                </c:pt>
                <c:pt idx="5">
                  <c:v>53.45</c:v>
                </c:pt>
                <c:pt idx="6">
                  <c:v>53.58</c:v>
                </c:pt>
                <c:pt idx="7">
                  <c:v>54.04</c:v>
                </c:pt>
                <c:pt idx="8">
                  <c:v>53.03</c:v>
                </c:pt>
                <c:pt idx="9">
                  <c:v>52.71</c:v>
                </c:pt>
                <c:pt idx="10">
                  <c:v>52.89</c:v>
                </c:pt>
                <c:pt idx="11">
                  <c:v>53.58</c:v>
                </c:pt>
                <c:pt idx="12">
                  <c:v>53.82</c:v>
                </c:pt>
              </c:numCache>
            </c:numRef>
          </c:val>
          <c:smooth val="0"/>
        </c:ser>
        <c:ser>
          <c:idx val="2"/>
          <c:order val="2"/>
          <c:tx>
            <c:strRef>
              <c:f>Wage!$B$5</c:f>
              <c:strCache>
                <c:ptCount val="1"/>
                <c:pt idx="0">
                  <c:v>Nederland</c:v>
                </c:pt>
              </c:strCache>
            </c:strRef>
          </c:tx>
          <c:marker>
            <c:symbol val="none"/>
          </c:marker>
          <c:cat>
            <c:numRef>
              <c:f>Wage!$C$2:$O$2</c:f>
              <c:numCache>
                <c:formatCode>General</c:formatCode>
                <c:ptCount val="13"/>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numCache>
            </c:numRef>
          </c:cat>
          <c:val>
            <c:numRef>
              <c:f>Wage!$C$5:$O$5</c:f>
              <c:numCache>
                <c:formatCode>General</c:formatCode>
                <c:ptCount val="13"/>
                <c:pt idx="0">
                  <c:v>59.02</c:v>
                </c:pt>
                <c:pt idx="1">
                  <c:v>60.19</c:v>
                </c:pt>
                <c:pt idx="2">
                  <c:v>60.03</c:v>
                </c:pt>
                <c:pt idx="3">
                  <c:v>60.9</c:v>
                </c:pt>
                <c:pt idx="4">
                  <c:v>60.08</c:v>
                </c:pt>
                <c:pt idx="5">
                  <c:v>63.06</c:v>
                </c:pt>
                <c:pt idx="6">
                  <c:v>61.79</c:v>
                </c:pt>
                <c:pt idx="7">
                  <c:v>62.77</c:v>
                </c:pt>
                <c:pt idx="8">
                  <c:v>62.82</c:v>
                </c:pt>
                <c:pt idx="9">
                  <c:v>63.1</c:v>
                </c:pt>
                <c:pt idx="10">
                  <c:v>62.17</c:v>
                </c:pt>
                <c:pt idx="11">
                  <c:v>60.04</c:v>
                </c:pt>
                <c:pt idx="12">
                  <c:v>59.74</c:v>
                </c:pt>
              </c:numCache>
            </c:numRef>
          </c:val>
          <c:smooth val="0"/>
        </c:ser>
        <c:ser>
          <c:idx val="3"/>
          <c:order val="3"/>
          <c:tx>
            <c:strRef>
              <c:f>Wage!$B$6</c:f>
              <c:strCache>
                <c:ptCount val="1"/>
                <c:pt idx="0">
                  <c:v>Zwitserland</c:v>
                </c:pt>
              </c:strCache>
            </c:strRef>
          </c:tx>
          <c:marker>
            <c:symbol val="none"/>
          </c:marker>
          <c:cat>
            <c:numRef>
              <c:f>Wage!$C$2:$O$2</c:f>
              <c:numCache>
                <c:formatCode>General</c:formatCode>
                <c:ptCount val="13"/>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numCache>
            </c:numRef>
          </c:cat>
          <c:val>
            <c:numRef>
              <c:f>Wage!$C$6:$O$6</c:f>
              <c:numCache>
                <c:formatCode>General</c:formatCode>
                <c:ptCount val="13"/>
                <c:pt idx="10">
                  <c:v>55.27</c:v>
                </c:pt>
                <c:pt idx="11">
                  <c:v>55.89</c:v>
                </c:pt>
                <c:pt idx="12">
                  <c:v>56.55</c:v>
                </c:pt>
              </c:numCache>
            </c:numRef>
          </c:val>
          <c:smooth val="0"/>
        </c:ser>
        <c:dLbls>
          <c:showLegendKey val="0"/>
          <c:showVal val="0"/>
          <c:showCatName val="0"/>
          <c:showSerName val="0"/>
          <c:showPercent val="0"/>
          <c:showBubbleSize val="0"/>
        </c:dLbls>
        <c:smooth val="0"/>
        <c:axId val="144534200"/>
        <c:axId val="144533808"/>
      </c:lineChart>
      <c:catAx>
        <c:axId val="144534200"/>
        <c:scaling>
          <c:orientation val="minMax"/>
        </c:scaling>
        <c:delete val="0"/>
        <c:axPos val="b"/>
        <c:numFmt formatCode="General" sourceLinked="1"/>
        <c:majorTickMark val="none"/>
        <c:minorTickMark val="none"/>
        <c:tickLblPos val="nextTo"/>
        <c:crossAx val="144533808"/>
        <c:crosses val="autoZero"/>
        <c:auto val="1"/>
        <c:lblAlgn val="ctr"/>
        <c:lblOffset val="100"/>
        <c:noMultiLvlLbl val="0"/>
      </c:catAx>
      <c:valAx>
        <c:axId val="144533808"/>
        <c:scaling>
          <c:orientation val="minMax"/>
          <c:min val="40"/>
        </c:scaling>
        <c:delete val="0"/>
        <c:axPos val="l"/>
        <c:majorGridlines/>
        <c:title>
          <c:tx>
            <c:rich>
              <a:bodyPr/>
              <a:lstStyle/>
              <a:p>
                <a:pPr>
                  <a:defRPr/>
                </a:pPr>
                <a:r>
                  <a:rPr lang="nl-NL"/>
                  <a:t>Procent</a:t>
                </a:r>
              </a:p>
            </c:rich>
          </c:tx>
          <c:layout/>
          <c:overlay val="0"/>
        </c:title>
        <c:numFmt formatCode="General" sourceLinked="1"/>
        <c:majorTickMark val="none"/>
        <c:minorTickMark val="none"/>
        <c:tickLblPos val="nextTo"/>
        <c:crossAx val="144534200"/>
        <c:crosses val="autoZero"/>
        <c:crossBetween val="between"/>
      </c:valAx>
    </c:plotArea>
    <c:legend>
      <c:legendPos val="r"/>
      <c:layout/>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nl-NL"/>
              <a:t>Organisatiegraad met trendlijn 1960-2011</a:t>
            </a:r>
          </a:p>
        </c:rich>
      </c:tx>
      <c:layout/>
      <c:overlay val="0"/>
    </c:title>
    <c:autoTitleDeleted val="0"/>
    <c:plotArea>
      <c:layout/>
      <c:lineChart>
        <c:grouping val="standard"/>
        <c:varyColors val="0"/>
        <c:ser>
          <c:idx val="0"/>
          <c:order val="0"/>
          <c:tx>
            <c:strRef>
              <c:f>'1960-2011'!$B$1</c:f>
              <c:strCache>
                <c:ptCount val="1"/>
                <c:pt idx="0">
                  <c:v>Duitsland</c:v>
                </c:pt>
              </c:strCache>
            </c:strRef>
          </c:tx>
          <c:marker>
            <c:symbol val="none"/>
          </c:marker>
          <c:trendline>
            <c:spPr>
              <a:ln w="25400"/>
            </c:spPr>
            <c:trendlineType val="linear"/>
            <c:dispRSqr val="0"/>
            <c:dispEq val="0"/>
          </c:trendline>
          <c:cat>
            <c:numRef>
              <c:f>'1960-2011'!$A$2:$A$53</c:f>
              <c:numCache>
                <c:formatCode>General</c:formatCode>
                <c:ptCount val="52"/>
                <c:pt idx="0">
                  <c:v>1960</c:v>
                </c:pt>
                <c:pt idx="1">
                  <c:v>1961</c:v>
                </c:pt>
                <c:pt idx="2">
                  <c:v>1962</c:v>
                </c:pt>
                <c:pt idx="3">
                  <c:v>1963</c:v>
                </c:pt>
                <c:pt idx="4">
                  <c:v>1964</c:v>
                </c:pt>
                <c:pt idx="5">
                  <c:v>1965</c:v>
                </c:pt>
                <c:pt idx="6">
                  <c:v>1966</c:v>
                </c:pt>
                <c:pt idx="7">
                  <c:v>1967</c:v>
                </c:pt>
                <c:pt idx="8">
                  <c:v>1968</c:v>
                </c:pt>
                <c:pt idx="9">
                  <c:v>1969</c:v>
                </c:pt>
                <c:pt idx="10">
                  <c:v>1970</c:v>
                </c:pt>
                <c:pt idx="11">
                  <c:v>1971</c:v>
                </c:pt>
                <c:pt idx="12">
                  <c:v>1972</c:v>
                </c:pt>
                <c:pt idx="13">
                  <c:v>1973</c:v>
                </c:pt>
                <c:pt idx="14">
                  <c:v>1974</c:v>
                </c:pt>
                <c:pt idx="15">
                  <c:v>1975</c:v>
                </c:pt>
                <c:pt idx="16">
                  <c:v>1976</c:v>
                </c:pt>
                <c:pt idx="17">
                  <c:v>1977</c:v>
                </c:pt>
                <c:pt idx="18">
                  <c:v>1978</c:v>
                </c:pt>
                <c:pt idx="19">
                  <c:v>1979</c:v>
                </c:pt>
                <c:pt idx="20">
                  <c:v>1980</c:v>
                </c:pt>
                <c:pt idx="21">
                  <c:v>1981</c:v>
                </c:pt>
                <c:pt idx="22">
                  <c:v>1982</c:v>
                </c:pt>
                <c:pt idx="23">
                  <c:v>1983</c:v>
                </c:pt>
                <c:pt idx="24">
                  <c:v>1984</c:v>
                </c:pt>
                <c:pt idx="25">
                  <c:v>1985</c:v>
                </c:pt>
                <c:pt idx="26">
                  <c:v>1986</c:v>
                </c:pt>
                <c:pt idx="27">
                  <c:v>1987</c:v>
                </c:pt>
                <c:pt idx="28">
                  <c:v>1988</c:v>
                </c:pt>
                <c:pt idx="29">
                  <c:v>1989</c:v>
                </c:pt>
                <c:pt idx="30">
                  <c:v>1990</c:v>
                </c:pt>
                <c:pt idx="31">
                  <c:v>1991</c:v>
                </c:pt>
                <c:pt idx="32">
                  <c:v>1992</c:v>
                </c:pt>
                <c:pt idx="33">
                  <c:v>1993</c:v>
                </c:pt>
                <c:pt idx="34">
                  <c:v>1994</c:v>
                </c:pt>
                <c:pt idx="35">
                  <c:v>1995</c:v>
                </c:pt>
                <c:pt idx="36">
                  <c:v>1996</c:v>
                </c:pt>
                <c:pt idx="37">
                  <c:v>1997</c:v>
                </c:pt>
                <c:pt idx="38">
                  <c:v>1998</c:v>
                </c:pt>
                <c:pt idx="39">
                  <c:v>1999</c:v>
                </c:pt>
                <c:pt idx="40">
                  <c:v>2000</c:v>
                </c:pt>
                <c:pt idx="41">
                  <c:v>2001</c:v>
                </c:pt>
                <c:pt idx="42">
                  <c:v>2002</c:v>
                </c:pt>
                <c:pt idx="43">
                  <c:v>2003</c:v>
                </c:pt>
                <c:pt idx="44">
                  <c:v>2004</c:v>
                </c:pt>
                <c:pt idx="45">
                  <c:v>2005</c:v>
                </c:pt>
                <c:pt idx="46">
                  <c:v>2006</c:v>
                </c:pt>
                <c:pt idx="47">
                  <c:v>2007</c:v>
                </c:pt>
                <c:pt idx="48">
                  <c:v>2008</c:v>
                </c:pt>
                <c:pt idx="49">
                  <c:v>2009</c:v>
                </c:pt>
                <c:pt idx="50">
                  <c:v>2010</c:v>
                </c:pt>
                <c:pt idx="51">
                  <c:v>2011</c:v>
                </c:pt>
              </c:numCache>
            </c:numRef>
          </c:cat>
          <c:val>
            <c:numRef>
              <c:f>'1960-2011'!$B$2:$B$53</c:f>
              <c:numCache>
                <c:formatCode>#,##0.0</c:formatCode>
                <c:ptCount val="52"/>
                <c:pt idx="0">
                  <c:v>34.672966363908571</c:v>
                </c:pt>
                <c:pt idx="1">
                  <c:v>34.184448152328606</c:v>
                </c:pt>
                <c:pt idx="2">
                  <c:v>33.839998061170085</c:v>
                </c:pt>
                <c:pt idx="3">
                  <c:v>33.374126511806487</c:v>
                </c:pt>
                <c:pt idx="4">
                  <c:v>33.073444930568769</c:v>
                </c:pt>
                <c:pt idx="5">
                  <c:v>32.886814786979187</c:v>
                </c:pt>
                <c:pt idx="6">
                  <c:v>32.466853035143771</c:v>
                </c:pt>
                <c:pt idx="7">
                  <c:v>32.809817651349384</c:v>
                </c:pt>
                <c:pt idx="8">
                  <c:v>32.246358543417372</c:v>
                </c:pt>
                <c:pt idx="9">
                  <c:v>31.724846005548503</c:v>
                </c:pt>
                <c:pt idx="10">
                  <c:v>32.029981146824852</c:v>
                </c:pt>
                <c:pt idx="11">
                  <c:v>32.133078489029629</c:v>
                </c:pt>
                <c:pt idx="12">
                  <c:v>32.365801622518042</c:v>
                </c:pt>
                <c:pt idx="13">
                  <c:v>32.432261899520057</c:v>
                </c:pt>
                <c:pt idx="14">
                  <c:v>33.745279665911411</c:v>
                </c:pt>
                <c:pt idx="15">
                  <c:v>34.579363777230881</c:v>
                </c:pt>
                <c:pt idx="16">
                  <c:v>35.10615104640582</c:v>
                </c:pt>
                <c:pt idx="17">
                  <c:v>35.244039182052092</c:v>
                </c:pt>
                <c:pt idx="18">
                  <c:v>35.538041103829521</c:v>
                </c:pt>
                <c:pt idx="19">
                  <c:v>35.303862249346118</c:v>
                </c:pt>
                <c:pt idx="20">
                  <c:v>34.895288025335958</c:v>
                </c:pt>
                <c:pt idx="21">
                  <c:v>35.145982372069149</c:v>
                </c:pt>
                <c:pt idx="22">
                  <c:v>35.021733673778513</c:v>
                </c:pt>
                <c:pt idx="23">
                  <c:v>34.999085915183478</c:v>
                </c:pt>
                <c:pt idx="24">
                  <c:v>34.897784993105901</c:v>
                </c:pt>
                <c:pt idx="25">
                  <c:v>34.66611033028812</c:v>
                </c:pt>
                <c:pt idx="26">
                  <c:v>33.915741974300566</c:v>
                </c:pt>
                <c:pt idx="27">
                  <c:v>33.330164781632568</c:v>
                </c:pt>
                <c:pt idx="28">
                  <c:v>33.112421291243386</c:v>
                </c:pt>
                <c:pt idx="29">
                  <c:v>32.409968056351879</c:v>
                </c:pt>
                <c:pt idx="30">
                  <c:v>31.219696910670454</c:v>
                </c:pt>
                <c:pt idx="31">
                  <c:v>35.987480457005411</c:v>
                </c:pt>
                <c:pt idx="32">
                  <c:v>33.860091042404989</c:v>
                </c:pt>
                <c:pt idx="33">
                  <c:v>31.822116129832285</c:v>
                </c:pt>
                <c:pt idx="34">
                  <c:v>30.379268483464223</c:v>
                </c:pt>
                <c:pt idx="35">
                  <c:v>29.217737644370715</c:v>
                </c:pt>
                <c:pt idx="36">
                  <c:v>27.752788957363855</c:v>
                </c:pt>
                <c:pt idx="37">
                  <c:v>26.982128748854407</c:v>
                </c:pt>
                <c:pt idx="38">
                  <c:v>25.943234570209054</c:v>
                </c:pt>
                <c:pt idx="39">
                  <c:v>25.322836605781497</c:v>
                </c:pt>
                <c:pt idx="40">
                  <c:v>24.570755594123845</c:v>
                </c:pt>
                <c:pt idx="41">
                  <c:v>23.747600470617375</c:v>
                </c:pt>
                <c:pt idx="42">
                  <c:v>23.507346045639263</c:v>
                </c:pt>
                <c:pt idx="43">
                  <c:v>23.018389346861127</c:v>
                </c:pt>
                <c:pt idx="44">
                  <c:v>22.171008470513026</c:v>
                </c:pt>
                <c:pt idx="45">
                  <c:v>21.678629019508648</c:v>
                </c:pt>
                <c:pt idx="46">
                  <c:v>20.716465764404845</c:v>
                </c:pt>
                <c:pt idx="47">
                  <c:v>19.887373144216582</c:v>
                </c:pt>
                <c:pt idx="48">
                  <c:v>19.128078602233121</c:v>
                </c:pt>
                <c:pt idx="49">
                  <c:v>18.926697131874629</c:v>
                </c:pt>
                <c:pt idx="50">
                  <c:v>18.564480598767247</c:v>
                </c:pt>
                <c:pt idx="51">
                  <c:v>18.045888115493685</c:v>
                </c:pt>
              </c:numCache>
            </c:numRef>
          </c:val>
          <c:smooth val="0"/>
        </c:ser>
        <c:ser>
          <c:idx val="1"/>
          <c:order val="1"/>
          <c:tx>
            <c:strRef>
              <c:f>'1960-2011'!$C$1</c:f>
              <c:strCache>
                <c:ptCount val="1"/>
                <c:pt idx="0">
                  <c:v>Japan</c:v>
                </c:pt>
              </c:strCache>
            </c:strRef>
          </c:tx>
          <c:marker>
            <c:symbol val="none"/>
          </c:marker>
          <c:trendline>
            <c:spPr>
              <a:ln w="25400"/>
            </c:spPr>
            <c:trendlineType val="linear"/>
            <c:dispRSqr val="0"/>
            <c:dispEq val="0"/>
          </c:trendline>
          <c:cat>
            <c:numRef>
              <c:f>'1960-2011'!$A$2:$A$53</c:f>
              <c:numCache>
                <c:formatCode>General</c:formatCode>
                <c:ptCount val="52"/>
                <c:pt idx="0">
                  <c:v>1960</c:v>
                </c:pt>
                <c:pt idx="1">
                  <c:v>1961</c:v>
                </c:pt>
                <c:pt idx="2">
                  <c:v>1962</c:v>
                </c:pt>
                <c:pt idx="3">
                  <c:v>1963</c:v>
                </c:pt>
                <c:pt idx="4">
                  <c:v>1964</c:v>
                </c:pt>
                <c:pt idx="5">
                  <c:v>1965</c:v>
                </c:pt>
                <c:pt idx="6">
                  <c:v>1966</c:v>
                </c:pt>
                <c:pt idx="7">
                  <c:v>1967</c:v>
                </c:pt>
                <c:pt idx="8">
                  <c:v>1968</c:v>
                </c:pt>
                <c:pt idx="9">
                  <c:v>1969</c:v>
                </c:pt>
                <c:pt idx="10">
                  <c:v>1970</c:v>
                </c:pt>
                <c:pt idx="11">
                  <c:v>1971</c:v>
                </c:pt>
                <c:pt idx="12">
                  <c:v>1972</c:v>
                </c:pt>
                <c:pt idx="13">
                  <c:v>1973</c:v>
                </c:pt>
                <c:pt idx="14">
                  <c:v>1974</c:v>
                </c:pt>
                <c:pt idx="15">
                  <c:v>1975</c:v>
                </c:pt>
                <c:pt idx="16">
                  <c:v>1976</c:v>
                </c:pt>
                <c:pt idx="17">
                  <c:v>1977</c:v>
                </c:pt>
                <c:pt idx="18">
                  <c:v>1978</c:v>
                </c:pt>
                <c:pt idx="19">
                  <c:v>1979</c:v>
                </c:pt>
                <c:pt idx="20">
                  <c:v>1980</c:v>
                </c:pt>
                <c:pt idx="21">
                  <c:v>1981</c:v>
                </c:pt>
                <c:pt idx="22">
                  <c:v>1982</c:v>
                </c:pt>
                <c:pt idx="23">
                  <c:v>1983</c:v>
                </c:pt>
                <c:pt idx="24">
                  <c:v>1984</c:v>
                </c:pt>
                <c:pt idx="25">
                  <c:v>1985</c:v>
                </c:pt>
                <c:pt idx="26">
                  <c:v>1986</c:v>
                </c:pt>
                <c:pt idx="27">
                  <c:v>1987</c:v>
                </c:pt>
                <c:pt idx="28">
                  <c:v>1988</c:v>
                </c:pt>
                <c:pt idx="29">
                  <c:v>1989</c:v>
                </c:pt>
                <c:pt idx="30">
                  <c:v>1990</c:v>
                </c:pt>
                <c:pt idx="31">
                  <c:v>1991</c:v>
                </c:pt>
                <c:pt idx="32">
                  <c:v>1992</c:v>
                </c:pt>
                <c:pt idx="33">
                  <c:v>1993</c:v>
                </c:pt>
                <c:pt idx="34">
                  <c:v>1994</c:v>
                </c:pt>
                <c:pt idx="35">
                  <c:v>1995</c:v>
                </c:pt>
                <c:pt idx="36">
                  <c:v>1996</c:v>
                </c:pt>
                <c:pt idx="37">
                  <c:v>1997</c:v>
                </c:pt>
                <c:pt idx="38">
                  <c:v>1998</c:v>
                </c:pt>
                <c:pt idx="39">
                  <c:v>1999</c:v>
                </c:pt>
                <c:pt idx="40">
                  <c:v>2000</c:v>
                </c:pt>
                <c:pt idx="41">
                  <c:v>2001</c:v>
                </c:pt>
                <c:pt idx="42">
                  <c:v>2002</c:v>
                </c:pt>
                <c:pt idx="43">
                  <c:v>2003</c:v>
                </c:pt>
                <c:pt idx="44">
                  <c:v>2004</c:v>
                </c:pt>
                <c:pt idx="45">
                  <c:v>2005</c:v>
                </c:pt>
                <c:pt idx="46">
                  <c:v>2006</c:v>
                </c:pt>
                <c:pt idx="47">
                  <c:v>2007</c:v>
                </c:pt>
                <c:pt idx="48">
                  <c:v>2008</c:v>
                </c:pt>
                <c:pt idx="49">
                  <c:v>2009</c:v>
                </c:pt>
                <c:pt idx="50">
                  <c:v>2010</c:v>
                </c:pt>
                <c:pt idx="51">
                  <c:v>2011</c:v>
                </c:pt>
              </c:numCache>
            </c:numRef>
          </c:cat>
          <c:val>
            <c:numRef>
              <c:f>'1960-2011'!$C$2:$C$53</c:f>
              <c:numCache>
                <c:formatCode>#,##0.0</c:formatCode>
                <c:ptCount val="52"/>
                <c:pt idx="0">
                  <c:v>32.894936708860762</c:v>
                </c:pt>
                <c:pt idx="1">
                  <c:v>33.802259887005654</c:v>
                </c:pt>
                <c:pt idx="2">
                  <c:v>34.596991901272659</c:v>
                </c:pt>
                <c:pt idx="3">
                  <c:v>35.018712574850298</c:v>
                </c:pt>
                <c:pt idx="4">
                  <c:v>35.468693449149477</c:v>
                </c:pt>
                <c:pt idx="5">
                  <c:v>35.281641168289291</c:v>
                </c:pt>
                <c:pt idx="6">
                  <c:v>34.749498997995993</c:v>
                </c:pt>
                <c:pt idx="7">
                  <c:v>34.405731032237057</c:v>
                </c:pt>
                <c:pt idx="8">
                  <c:v>34.507623888182977</c:v>
                </c:pt>
                <c:pt idx="9">
                  <c:v>35.164113785557987</c:v>
                </c:pt>
                <c:pt idx="10">
                  <c:v>35.102843315184515</c:v>
                </c:pt>
                <c:pt idx="11">
                  <c:v>34.572098475967174</c:v>
                </c:pt>
                <c:pt idx="12">
                  <c:v>34.311688311688314</c:v>
                </c:pt>
                <c:pt idx="13">
                  <c:v>33.466113416320887</c:v>
                </c:pt>
                <c:pt idx="14">
                  <c:v>34.264503711850423</c:v>
                </c:pt>
                <c:pt idx="15">
                  <c:v>34.530992868897421</c:v>
                </c:pt>
                <c:pt idx="16">
                  <c:v>33.698814655172413</c:v>
                </c:pt>
                <c:pt idx="17">
                  <c:v>32.99814274343327</c:v>
                </c:pt>
                <c:pt idx="18">
                  <c:v>32.595419847328245</c:v>
                </c:pt>
                <c:pt idx="19">
                  <c:v>31.756965944272444</c:v>
                </c:pt>
                <c:pt idx="20">
                  <c:v>31.148325358851675</c:v>
                </c:pt>
                <c:pt idx="21">
                  <c:v>30.891751300470645</c:v>
                </c:pt>
                <c:pt idx="22">
                  <c:v>30.566129819424109</c:v>
                </c:pt>
                <c:pt idx="23">
                  <c:v>29.752851711026615</c:v>
                </c:pt>
                <c:pt idx="24">
                  <c:v>29.223915592028135</c:v>
                </c:pt>
                <c:pt idx="25">
                  <c:v>28.792024113146301</c:v>
                </c:pt>
                <c:pt idx="26">
                  <c:v>28.186800639415392</c:v>
                </c:pt>
                <c:pt idx="27">
                  <c:v>27.714543812104786</c:v>
                </c:pt>
                <c:pt idx="28">
                  <c:v>26.943587483472896</c:v>
                </c:pt>
                <c:pt idx="29">
                  <c:v>26.131652062406499</c:v>
                </c:pt>
                <c:pt idx="30">
                  <c:v>26.132368148914168</c:v>
                </c:pt>
                <c:pt idx="31">
                  <c:v>25.243102758896441</c:v>
                </c:pt>
                <c:pt idx="32">
                  <c:v>24.985544051572571</c:v>
                </c:pt>
                <c:pt idx="33">
                  <c:v>24.834678969627067</c:v>
                </c:pt>
                <c:pt idx="34">
                  <c:v>24.726317799847212</c:v>
                </c:pt>
                <c:pt idx="35">
                  <c:v>24.380771423142694</c:v>
                </c:pt>
                <c:pt idx="36">
                  <c:v>23.395340097707628</c:v>
                </c:pt>
                <c:pt idx="37">
                  <c:v>22.787979966611019</c:v>
                </c:pt>
                <c:pt idx="38">
                  <c:v>22.527943368107302</c:v>
                </c:pt>
                <c:pt idx="39">
                  <c:v>22.181579441005439</c:v>
                </c:pt>
                <c:pt idx="40">
                  <c:v>21.544062733383122</c:v>
                </c:pt>
                <c:pt idx="41">
                  <c:v>20.882845967591731</c:v>
                </c:pt>
                <c:pt idx="42">
                  <c:v>20.260739073344588</c:v>
                </c:pt>
                <c:pt idx="43">
                  <c:v>19.739456419868791</c:v>
                </c:pt>
                <c:pt idx="44">
                  <c:v>19.064425770308123</c:v>
                </c:pt>
                <c:pt idx="45">
                  <c:v>18.798442425366215</c:v>
                </c:pt>
                <c:pt idx="46">
                  <c:v>18.349780701754387</c:v>
                </c:pt>
                <c:pt idx="47">
                  <c:v>18.250950570342205</c:v>
                </c:pt>
                <c:pt idx="48">
                  <c:v>18.220492396813903</c:v>
                </c:pt>
                <c:pt idx="49">
                  <c:v>18.457875457875456</c:v>
                </c:pt>
                <c:pt idx="50">
                  <c:v>18.387332967234119</c:v>
                </c:pt>
                <c:pt idx="51">
                  <c:v>18.995041952707858</c:v>
                </c:pt>
              </c:numCache>
            </c:numRef>
          </c:val>
          <c:smooth val="0"/>
        </c:ser>
        <c:ser>
          <c:idx val="2"/>
          <c:order val="2"/>
          <c:tx>
            <c:strRef>
              <c:f>'1960-2011'!$D$1</c:f>
              <c:strCache>
                <c:ptCount val="1"/>
                <c:pt idx="0">
                  <c:v>Nederland</c:v>
                </c:pt>
              </c:strCache>
            </c:strRef>
          </c:tx>
          <c:marker>
            <c:symbol val="none"/>
          </c:marker>
          <c:trendline>
            <c:spPr>
              <a:ln w="25400"/>
            </c:spPr>
            <c:trendlineType val="linear"/>
            <c:dispRSqr val="0"/>
            <c:dispEq val="0"/>
          </c:trendline>
          <c:cat>
            <c:numRef>
              <c:f>'1960-2011'!$A$2:$A$53</c:f>
              <c:numCache>
                <c:formatCode>General</c:formatCode>
                <c:ptCount val="52"/>
                <c:pt idx="0">
                  <c:v>1960</c:v>
                </c:pt>
                <c:pt idx="1">
                  <c:v>1961</c:v>
                </c:pt>
                <c:pt idx="2">
                  <c:v>1962</c:v>
                </c:pt>
                <c:pt idx="3">
                  <c:v>1963</c:v>
                </c:pt>
                <c:pt idx="4">
                  <c:v>1964</c:v>
                </c:pt>
                <c:pt idx="5">
                  <c:v>1965</c:v>
                </c:pt>
                <c:pt idx="6">
                  <c:v>1966</c:v>
                </c:pt>
                <c:pt idx="7">
                  <c:v>1967</c:v>
                </c:pt>
                <c:pt idx="8">
                  <c:v>1968</c:v>
                </c:pt>
                <c:pt idx="9">
                  <c:v>1969</c:v>
                </c:pt>
                <c:pt idx="10">
                  <c:v>1970</c:v>
                </c:pt>
                <c:pt idx="11">
                  <c:v>1971</c:v>
                </c:pt>
                <c:pt idx="12">
                  <c:v>1972</c:v>
                </c:pt>
                <c:pt idx="13">
                  <c:v>1973</c:v>
                </c:pt>
                <c:pt idx="14">
                  <c:v>1974</c:v>
                </c:pt>
                <c:pt idx="15">
                  <c:v>1975</c:v>
                </c:pt>
                <c:pt idx="16">
                  <c:v>1976</c:v>
                </c:pt>
                <c:pt idx="17">
                  <c:v>1977</c:v>
                </c:pt>
                <c:pt idx="18">
                  <c:v>1978</c:v>
                </c:pt>
                <c:pt idx="19">
                  <c:v>1979</c:v>
                </c:pt>
                <c:pt idx="20">
                  <c:v>1980</c:v>
                </c:pt>
                <c:pt idx="21">
                  <c:v>1981</c:v>
                </c:pt>
                <c:pt idx="22">
                  <c:v>1982</c:v>
                </c:pt>
                <c:pt idx="23">
                  <c:v>1983</c:v>
                </c:pt>
                <c:pt idx="24">
                  <c:v>1984</c:v>
                </c:pt>
                <c:pt idx="25">
                  <c:v>1985</c:v>
                </c:pt>
                <c:pt idx="26">
                  <c:v>1986</c:v>
                </c:pt>
                <c:pt idx="27">
                  <c:v>1987</c:v>
                </c:pt>
                <c:pt idx="28">
                  <c:v>1988</c:v>
                </c:pt>
                <c:pt idx="29">
                  <c:v>1989</c:v>
                </c:pt>
                <c:pt idx="30">
                  <c:v>1990</c:v>
                </c:pt>
                <c:pt idx="31">
                  <c:v>1991</c:v>
                </c:pt>
                <c:pt idx="32">
                  <c:v>1992</c:v>
                </c:pt>
                <c:pt idx="33">
                  <c:v>1993</c:v>
                </c:pt>
                <c:pt idx="34">
                  <c:v>1994</c:v>
                </c:pt>
                <c:pt idx="35">
                  <c:v>1995</c:v>
                </c:pt>
                <c:pt idx="36">
                  <c:v>1996</c:v>
                </c:pt>
                <c:pt idx="37">
                  <c:v>1997</c:v>
                </c:pt>
                <c:pt idx="38">
                  <c:v>1998</c:v>
                </c:pt>
                <c:pt idx="39">
                  <c:v>1999</c:v>
                </c:pt>
                <c:pt idx="40">
                  <c:v>2000</c:v>
                </c:pt>
                <c:pt idx="41">
                  <c:v>2001</c:v>
                </c:pt>
                <c:pt idx="42">
                  <c:v>2002</c:v>
                </c:pt>
                <c:pt idx="43">
                  <c:v>2003</c:v>
                </c:pt>
                <c:pt idx="44">
                  <c:v>2004</c:v>
                </c:pt>
                <c:pt idx="45">
                  <c:v>2005</c:v>
                </c:pt>
                <c:pt idx="46">
                  <c:v>2006</c:v>
                </c:pt>
                <c:pt idx="47">
                  <c:v>2007</c:v>
                </c:pt>
                <c:pt idx="48">
                  <c:v>2008</c:v>
                </c:pt>
                <c:pt idx="49">
                  <c:v>2009</c:v>
                </c:pt>
                <c:pt idx="50">
                  <c:v>2010</c:v>
                </c:pt>
                <c:pt idx="51">
                  <c:v>2011</c:v>
                </c:pt>
              </c:numCache>
            </c:numRef>
          </c:cat>
          <c:val>
            <c:numRef>
              <c:f>'1960-2011'!$D$2:$D$53</c:f>
              <c:numCache>
                <c:formatCode>#,##0.0</c:formatCode>
                <c:ptCount val="52"/>
                <c:pt idx="0">
                  <c:v>40.018143203883497</c:v>
                </c:pt>
                <c:pt idx="1">
                  <c:v>39.520510537251404</c:v>
                </c:pt>
                <c:pt idx="2">
                  <c:v>38.782261321026816</c:v>
                </c:pt>
                <c:pt idx="3">
                  <c:v>38.836612948826691</c:v>
                </c:pt>
                <c:pt idx="4">
                  <c:v>37.627131782945732</c:v>
                </c:pt>
                <c:pt idx="5">
                  <c:v>37.388695652173908</c:v>
                </c:pt>
                <c:pt idx="6">
                  <c:v>38.104861670695676</c:v>
                </c:pt>
                <c:pt idx="7">
                  <c:v>38.269774314884472</c:v>
                </c:pt>
                <c:pt idx="8">
                  <c:v>37.491183478951541</c:v>
                </c:pt>
                <c:pt idx="9">
                  <c:v>36.450882658359291</c:v>
                </c:pt>
                <c:pt idx="10">
                  <c:v>36.50497829971917</c:v>
                </c:pt>
                <c:pt idx="11">
                  <c:v>36.233635448136958</c:v>
                </c:pt>
                <c:pt idx="12">
                  <c:v>36.616046570488486</c:v>
                </c:pt>
                <c:pt idx="13">
                  <c:v>37.146426786606696</c:v>
                </c:pt>
                <c:pt idx="14">
                  <c:v>36.941351150705273</c:v>
                </c:pt>
                <c:pt idx="15">
                  <c:v>37.758492437391517</c:v>
                </c:pt>
                <c:pt idx="16">
                  <c:v>37.116141732283467</c:v>
                </c:pt>
                <c:pt idx="17">
                  <c:v>37.179176755447941</c:v>
                </c:pt>
                <c:pt idx="18">
                  <c:v>37.010778443113772</c:v>
                </c:pt>
                <c:pt idx="19">
                  <c:v>36.585481201229605</c:v>
                </c:pt>
                <c:pt idx="20">
                  <c:v>34.782209995414945</c:v>
                </c:pt>
                <c:pt idx="21">
                  <c:v>33.025039476652381</c:v>
                </c:pt>
                <c:pt idx="22">
                  <c:v>32.253874202370099</c:v>
                </c:pt>
                <c:pt idx="23">
                  <c:v>30.66941769830353</c:v>
                </c:pt>
                <c:pt idx="24">
                  <c:v>29.263565891472869</c:v>
                </c:pt>
                <c:pt idx="25">
                  <c:v>28.016934046345813</c:v>
                </c:pt>
                <c:pt idx="26">
                  <c:v>27.131918617370378</c:v>
                </c:pt>
                <c:pt idx="27">
                  <c:v>24.677832512315273</c:v>
                </c:pt>
                <c:pt idx="28">
                  <c:v>24.234957020057308</c:v>
                </c:pt>
                <c:pt idx="29">
                  <c:v>24.319537658463833</c:v>
                </c:pt>
                <c:pt idx="30">
                  <c:v>24.337305886601662</c:v>
                </c:pt>
                <c:pt idx="31">
                  <c:v>24.14088446075861</c:v>
                </c:pt>
                <c:pt idx="32">
                  <c:v>24.785985502243701</c:v>
                </c:pt>
                <c:pt idx="33">
                  <c:v>25.344471236651739</c:v>
                </c:pt>
                <c:pt idx="34">
                  <c:v>25.557847687811588</c:v>
                </c:pt>
                <c:pt idx="35">
                  <c:v>25.246367128779021</c:v>
                </c:pt>
                <c:pt idx="36">
                  <c:v>24.857610474631752</c:v>
                </c:pt>
                <c:pt idx="37">
                  <c:v>24.427686934434035</c:v>
                </c:pt>
                <c:pt idx="38">
                  <c:v>23.82617992973881</c:v>
                </c:pt>
                <c:pt idx="39">
                  <c:v>23.464951197870452</c:v>
                </c:pt>
                <c:pt idx="40">
                  <c:v>22.611469544350726</c:v>
                </c:pt>
                <c:pt idx="41">
                  <c:v>21.790875057837102</c:v>
                </c:pt>
                <c:pt idx="42">
                  <c:v>21.573822714681441</c:v>
                </c:pt>
                <c:pt idx="43">
                  <c:v>21.347930588938137</c:v>
                </c:pt>
                <c:pt idx="44">
                  <c:v>21.626176098862519</c:v>
                </c:pt>
                <c:pt idx="45">
                  <c:v>21.380251952987543</c:v>
                </c:pt>
                <c:pt idx="46">
                  <c:v>20.711510711510712</c:v>
                </c:pt>
                <c:pt idx="47">
                  <c:v>20.188028954744606</c:v>
                </c:pt>
                <c:pt idx="48">
                  <c:v>19.714392934207179</c:v>
                </c:pt>
                <c:pt idx="49">
                  <c:v>19.543141950064566</c:v>
                </c:pt>
                <c:pt idx="50">
                  <c:v>19.326985532919988</c:v>
                </c:pt>
                <c:pt idx="51">
                  <c:v>18.983538805403654</c:v>
                </c:pt>
              </c:numCache>
            </c:numRef>
          </c:val>
          <c:smooth val="0"/>
        </c:ser>
        <c:ser>
          <c:idx val="3"/>
          <c:order val="3"/>
          <c:tx>
            <c:strRef>
              <c:f>'1960-2011'!$E$1</c:f>
              <c:strCache>
                <c:ptCount val="1"/>
                <c:pt idx="0">
                  <c:v>Zwitserland</c:v>
                </c:pt>
              </c:strCache>
            </c:strRef>
          </c:tx>
          <c:marker>
            <c:symbol val="none"/>
          </c:marker>
          <c:trendline>
            <c:spPr>
              <a:ln w="25400"/>
            </c:spPr>
            <c:trendlineType val="linear"/>
            <c:dispRSqr val="0"/>
            <c:dispEq val="0"/>
          </c:trendline>
          <c:cat>
            <c:numRef>
              <c:f>'1960-2011'!$A$2:$A$53</c:f>
              <c:numCache>
                <c:formatCode>General</c:formatCode>
                <c:ptCount val="52"/>
                <c:pt idx="0">
                  <c:v>1960</c:v>
                </c:pt>
                <c:pt idx="1">
                  <c:v>1961</c:v>
                </c:pt>
                <c:pt idx="2">
                  <c:v>1962</c:v>
                </c:pt>
                <c:pt idx="3">
                  <c:v>1963</c:v>
                </c:pt>
                <c:pt idx="4">
                  <c:v>1964</c:v>
                </c:pt>
                <c:pt idx="5">
                  <c:v>1965</c:v>
                </c:pt>
                <c:pt idx="6">
                  <c:v>1966</c:v>
                </c:pt>
                <c:pt idx="7">
                  <c:v>1967</c:v>
                </c:pt>
                <c:pt idx="8">
                  <c:v>1968</c:v>
                </c:pt>
                <c:pt idx="9">
                  <c:v>1969</c:v>
                </c:pt>
                <c:pt idx="10">
                  <c:v>1970</c:v>
                </c:pt>
                <c:pt idx="11">
                  <c:v>1971</c:v>
                </c:pt>
                <c:pt idx="12">
                  <c:v>1972</c:v>
                </c:pt>
                <c:pt idx="13">
                  <c:v>1973</c:v>
                </c:pt>
                <c:pt idx="14">
                  <c:v>1974</c:v>
                </c:pt>
                <c:pt idx="15">
                  <c:v>1975</c:v>
                </c:pt>
                <c:pt idx="16">
                  <c:v>1976</c:v>
                </c:pt>
                <c:pt idx="17">
                  <c:v>1977</c:v>
                </c:pt>
                <c:pt idx="18">
                  <c:v>1978</c:v>
                </c:pt>
                <c:pt idx="19">
                  <c:v>1979</c:v>
                </c:pt>
                <c:pt idx="20">
                  <c:v>1980</c:v>
                </c:pt>
                <c:pt idx="21">
                  <c:v>1981</c:v>
                </c:pt>
                <c:pt idx="22">
                  <c:v>1982</c:v>
                </c:pt>
                <c:pt idx="23">
                  <c:v>1983</c:v>
                </c:pt>
                <c:pt idx="24">
                  <c:v>1984</c:v>
                </c:pt>
                <c:pt idx="25">
                  <c:v>1985</c:v>
                </c:pt>
                <c:pt idx="26">
                  <c:v>1986</c:v>
                </c:pt>
                <c:pt idx="27">
                  <c:v>1987</c:v>
                </c:pt>
                <c:pt idx="28">
                  <c:v>1988</c:v>
                </c:pt>
                <c:pt idx="29">
                  <c:v>1989</c:v>
                </c:pt>
                <c:pt idx="30">
                  <c:v>1990</c:v>
                </c:pt>
                <c:pt idx="31">
                  <c:v>1991</c:v>
                </c:pt>
                <c:pt idx="32">
                  <c:v>1992</c:v>
                </c:pt>
                <c:pt idx="33">
                  <c:v>1993</c:v>
                </c:pt>
                <c:pt idx="34">
                  <c:v>1994</c:v>
                </c:pt>
                <c:pt idx="35">
                  <c:v>1995</c:v>
                </c:pt>
                <c:pt idx="36">
                  <c:v>1996</c:v>
                </c:pt>
                <c:pt idx="37">
                  <c:v>1997</c:v>
                </c:pt>
                <c:pt idx="38">
                  <c:v>1998</c:v>
                </c:pt>
                <c:pt idx="39">
                  <c:v>1999</c:v>
                </c:pt>
                <c:pt idx="40">
                  <c:v>2000</c:v>
                </c:pt>
                <c:pt idx="41">
                  <c:v>2001</c:v>
                </c:pt>
                <c:pt idx="42">
                  <c:v>2002</c:v>
                </c:pt>
                <c:pt idx="43">
                  <c:v>2003</c:v>
                </c:pt>
                <c:pt idx="44">
                  <c:v>2004</c:v>
                </c:pt>
                <c:pt idx="45">
                  <c:v>2005</c:v>
                </c:pt>
                <c:pt idx="46">
                  <c:v>2006</c:v>
                </c:pt>
                <c:pt idx="47">
                  <c:v>2007</c:v>
                </c:pt>
                <c:pt idx="48">
                  <c:v>2008</c:v>
                </c:pt>
                <c:pt idx="49">
                  <c:v>2009</c:v>
                </c:pt>
                <c:pt idx="50">
                  <c:v>2010</c:v>
                </c:pt>
                <c:pt idx="51">
                  <c:v>2011</c:v>
                </c:pt>
              </c:numCache>
            </c:numRef>
          </c:cat>
          <c:val>
            <c:numRef>
              <c:f>'1960-2011'!$E$2:$E$53</c:f>
              <c:numCache>
                <c:formatCode>#,##0.0</c:formatCode>
                <c:ptCount val="52"/>
                <c:pt idx="0">
                  <c:v>36.098522167487687</c:v>
                </c:pt>
                <c:pt idx="1">
                  <c:v>35.173708920187792</c:v>
                </c:pt>
                <c:pt idx="2">
                  <c:v>34.409377817853922</c:v>
                </c:pt>
                <c:pt idx="3">
                  <c:v>33.643919510061245</c:v>
                </c:pt>
                <c:pt idx="4">
                  <c:v>33.154965753424655</c:v>
                </c:pt>
                <c:pt idx="5">
                  <c:v>32.840861122836642</c:v>
                </c:pt>
                <c:pt idx="6">
                  <c:v>32.362040133779267</c:v>
                </c:pt>
                <c:pt idx="7">
                  <c:v>31.292544570502432</c:v>
                </c:pt>
                <c:pt idx="8">
                  <c:v>30.589406610911986</c:v>
                </c:pt>
                <c:pt idx="9">
                  <c:v>30.125687352710134</c:v>
                </c:pt>
                <c:pt idx="10">
                  <c:v>28.924324324324324</c:v>
                </c:pt>
                <c:pt idx="11">
                  <c:v>29.171129707112968</c:v>
                </c:pt>
                <c:pt idx="12">
                  <c:v>28.870055658627088</c:v>
                </c:pt>
                <c:pt idx="13">
                  <c:v>28.654611474219319</c:v>
                </c:pt>
                <c:pt idx="14">
                  <c:v>28.956421356421355</c:v>
                </c:pt>
                <c:pt idx="15">
                  <c:v>32.338423645320191</c:v>
                </c:pt>
                <c:pt idx="16">
                  <c:v>33.812203653322968</c:v>
                </c:pt>
                <c:pt idx="17">
                  <c:v>33.052900499423743</c:v>
                </c:pt>
                <c:pt idx="18">
                  <c:v>32.523771428571429</c:v>
                </c:pt>
                <c:pt idx="19">
                  <c:v>31.891506952273584</c:v>
                </c:pt>
                <c:pt idx="20">
                  <c:v>27.654557249432372</c:v>
                </c:pt>
                <c:pt idx="21">
                  <c:v>27.044483306836245</c:v>
                </c:pt>
                <c:pt idx="22">
                  <c:v>26.722355921469283</c:v>
                </c:pt>
                <c:pt idx="23">
                  <c:v>26.590932149651238</c:v>
                </c:pt>
                <c:pt idx="24">
                  <c:v>26.224104336895035</c:v>
                </c:pt>
                <c:pt idx="25">
                  <c:v>24.942769041011406</c:v>
                </c:pt>
                <c:pt idx="26">
                  <c:v>24.020018143332326</c:v>
                </c:pt>
                <c:pt idx="27">
                  <c:v>23.701155555555555</c:v>
                </c:pt>
                <c:pt idx="28">
                  <c:v>23.281617860249344</c:v>
                </c:pt>
                <c:pt idx="29">
                  <c:v>22.897051318400909</c:v>
                </c:pt>
                <c:pt idx="30">
                  <c:v>22.662862669245651</c:v>
                </c:pt>
                <c:pt idx="31">
                  <c:v>22.51041821475205</c:v>
                </c:pt>
                <c:pt idx="32">
                  <c:v>22.841879304148499</c:v>
                </c:pt>
                <c:pt idx="33">
                  <c:v>22.967891539698122</c:v>
                </c:pt>
                <c:pt idx="34">
                  <c:v>23.112921279736888</c:v>
                </c:pt>
                <c:pt idx="35">
                  <c:v>22.667786559846085</c:v>
                </c:pt>
                <c:pt idx="36">
                  <c:v>22.218515120877683</c:v>
                </c:pt>
                <c:pt idx="37">
                  <c:v>21.802641716441286</c:v>
                </c:pt>
                <c:pt idx="38">
                  <c:v>21.474079588775115</c:v>
                </c:pt>
                <c:pt idx="39">
                  <c:v>20.907980874985423</c:v>
                </c:pt>
                <c:pt idx="40">
                  <c:v>20.183144281835396</c:v>
                </c:pt>
                <c:pt idx="41">
                  <c:v>19.727030517727218</c:v>
                </c:pt>
                <c:pt idx="42">
                  <c:v>19.893122372193009</c:v>
                </c:pt>
                <c:pt idx="43">
                  <c:v>19.917791673127027</c:v>
                </c:pt>
                <c:pt idx="44">
                  <c:v>19.458007320595051</c:v>
                </c:pt>
                <c:pt idx="45">
                  <c:v>19.314410476853528</c:v>
                </c:pt>
                <c:pt idx="46">
                  <c:v>18.859413428310301</c:v>
                </c:pt>
                <c:pt idx="47">
                  <c:v>18.45331528781669</c:v>
                </c:pt>
                <c:pt idx="48">
                  <c:v>17.544538809413204</c:v>
                </c:pt>
                <c:pt idx="49">
                  <c:v>17.338504131262631</c:v>
                </c:pt>
                <c:pt idx="50" formatCode="0.0">
                  <c:v>17.151792756202617</c:v>
                </c:pt>
              </c:numCache>
            </c:numRef>
          </c:val>
          <c:smooth val="0"/>
        </c:ser>
        <c:dLbls>
          <c:showLegendKey val="0"/>
          <c:showVal val="0"/>
          <c:showCatName val="0"/>
          <c:showSerName val="0"/>
          <c:showPercent val="0"/>
          <c:showBubbleSize val="0"/>
        </c:dLbls>
        <c:smooth val="0"/>
        <c:axId val="145497400"/>
        <c:axId val="145497792"/>
      </c:lineChart>
      <c:catAx>
        <c:axId val="145497400"/>
        <c:scaling>
          <c:orientation val="minMax"/>
        </c:scaling>
        <c:delete val="0"/>
        <c:axPos val="b"/>
        <c:numFmt formatCode="General" sourceLinked="1"/>
        <c:majorTickMark val="none"/>
        <c:minorTickMark val="none"/>
        <c:tickLblPos val="nextTo"/>
        <c:crossAx val="145497792"/>
        <c:crosses val="autoZero"/>
        <c:auto val="1"/>
        <c:lblAlgn val="ctr"/>
        <c:lblOffset val="100"/>
        <c:noMultiLvlLbl val="0"/>
      </c:catAx>
      <c:valAx>
        <c:axId val="145497792"/>
        <c:scaling>
          <c:orientation val="minMax"/>
          <c:min val="15"/>
        </c:scaling>
        <c:delete val="0"/>
        <c:axPos val="l"/>
        <c:majorGridlines/>
        <c:title>
          <c:tx>
            <c:rich>
              <a:bodyPr/>
              <a:lstStyle/>
              <a:p>
                <a:pPr>
                  <a:defRPr/>
                </a:pPr>
                <a:r>
                  <a:rPr lang="nl-NL"/>
                  <a:t>Procent</a:t>
                </a:r>
              </a:p>
            </c:rich>
          </c:tx>
          <c:layout/>
          <c:overlay val="0"/>
        </c:title>
        <c:numFmt formatCode="#,##0.0" sourceLinked="1"/>
        <c:majorTickMark val="none"/>
        <c:minorTickMark val="none"/>
        <c:tickLblPos val="nextTo"/>
        <c:crossAx val="145497400"/>
        <c:crosses val="autoZero"/>
        <c:crossBetween val="between"/>
      </c:valAx>
    </c:plotArea>
    <c:legend>
      <c:legendPos val="r"/>
      <c:legendEntry>
        <c:idx val="4"/>
        <c:delete val="1"/>
      </c:legendEntry>
      <c:legendEntry>
        <c:idx val="5"/>
        <c:delete val="1"/>
      </c:legendEntry>
      <c:legendEntry>
        <c:idx val="6"/>
        <c:delete val="1"/>
      </c:legendEntry>
      <c:legendEntry>
        <c:idx val="7"/>
        <c:delete val="1"/>
      </c:legendEntry>
      <c:layout/>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nl-NL"/>
              <a:t>Gecorrigeerde organisatiegraad</a:t>
            </a:r>
            <a:r>
              <a:rPr lang="nl-NL" baseline="0"/>
              <a:t> 1960-2011</a:t>
            </a:r>
            <a:endParaRPr lang="nl-NL"/>
          </a:p>
        </c:rich>
      </c:tx>
      <c:layout/>
      <c:overlay val="0"/>
    </c:title>
    <c:autoTitleDeleted val="0"/>
    <c:plotArea>
      <c:layout/>
      <c:lineChart>
        <c:grouping val="standard"/>
        <c:varyColors val="0"/>
        <c:ser>
          <c:idx val="0"/>
          <c:order val="0"/>
          <c:tx>
            <c:strRef>
              <c:f>'1960-2011'!$P$1</c:f>
              <c:strCache>
                <c:ptCount val="1"/>
                <c:pt idx="0">
                  <c:v>Duitsland</c:v>
                </c:pt>
              </c:strCache>
            </c:strRef>
          </c:tx>
          <c:marker>
            <c:symbol val="none"/>
          </c:marker>
          <c:cat>
            <c:numRef>
              <c:f>'1960-2011'!$O$2:$O$53</c:f>
              <c:numCache>
                <c:formatCode>General</c:formatCode>
                <c:ptCount val="52"/>
                <c:pt idx="0">
                  <c:v>1960</c:v>
                </c:pt>
                <c:pt idx="1">
                  <c:v>1961</c:v>
                </c:pt>
                <c:pt idx="2">
                  <c:v>1962</c:v>
                </c:pt>
                <c:pt idx="3">
                  <c:v>1963</c:v>
                </c:pt>
                <c:pt idx="4">
                  <c:v>1964</c:v>
                </c:pt>
                <c:pt idx="5">
                  <c:v>1965</c:v>
                </c:pt>
                <c:pt idx="6">
                  <c:v>1966</c:v>
                </c:pt>
                <c:pt idx="7">
                  <c:v>1967</c:v>
                </c:pt>
                <c:pt idx="8">
                  <c:v>1968</c:v>
                </c:pt>
                <c:pt idx="9">
                  <c:v>1969</c:v>
                </c:pt>
                <c:pt idx="10">
                  <c:v>1970</c:v>
                </c:pt>
                <c:pt idx="11">
                  <c:v>1971</c:v>
                </c:pt>
                <c:pt idx="12">
                  <c:v>1972</c:v>
                </c:pt>
                <c:pt idx="13">
                  <c:v>1973</c:v>
                </c:pt>
                <c:pt idx="14">
                  <c:v>1974</c:v>
                </c:pt>
                <c:pt idx="15">
                  <c:v>1975</c:v>
                </c:pt>
                <c:pt idx="16">
                  <c:v>1976</c:v>
                </c:pt>
                <c:pt idx="17">
                  <c:v>1977</c:v>
                </c:pt>
                <c:pt idx="18">
                  <c:v>1978</c:v>
                </c:pt>
                <c:pt idx="19">
                  <c:v>1979</c:v>
                </c:pt>
                <c:pt idx="20">
                  <c:v>1980</c:v>
                </c:pt>
                <c:pt idx="21">
                  <c:v>1981</c:v>
                </c:pt>
                <c:pt idx="22">
                  <c:v>1982</c:v>
                </c:pt>
                <c:pt idx="23">
                  <c:v>1983</c:v>
                </c:pt>
                <c:pt idx="24">
                  <c:v>1984</c:v>
                </c:pt>
                <c:pt idx="25">
                  <c:v>1985</c:v>
                </c:pt>
                <c:pt idx="26">
                  <c:v>1986</c:v>
                </c:pt>
                <c:pt idx="27">
                  <c:v>1987</c:v>
                </c:pt>
                <c:pt idx="28">
                  <c:v>1988</c:v>
                </c:pt>
                <c:pt idx="29">
                  <c:v>1989</c:v>
                </c:pt>
                <c:pt idx="30">
                  <c:v>1990</c:v>
                </c:pt>
                <c:pt idx="31">
                  <c:v>1991</c:v>
                </c:pt>
                <c:pt idx="32">
                  <c:v>1992</c:v>
                </c:pt>
                <c:pt idx="33">
                  <c:v>1993</c:v>
                </c:pt>
                <c:pt idx="34">
                  <c:v>1994</c:v>
                </c:pt>
                <c:pt idx="35">
                  <c:v>1995</c:v>
                </c:pt>
                <c:pt idx="36">
                  <c:v>1996</c:v>
                </c:pt>
                <c:pt idx="37">
                  <c:v>1997</c:v>
                </c:pt>
                <c:pt idx="38">
                  <c:v>1998</c:v>
                </c:pt>
                <c:pt idx="39">
                  <c:v>1999</c:v>
                </c:pt>
                <c:pt idx="40">
                  <c:v>2000</c:v>
                </c:pt>
                <c:pt idx="41">
                  <c:v>2001</c:v>
                </c:pt>
                <c:pt idx="42">
                  <c:v>2002</c:v>
                </c:pt>
                <c:pt idx="43">
                  <c:v>2003</c:v>
                </c:pt>
                <c:pt idx="44">
                  <c:v>2004</c:v>
                </c:pt>
                <c:pt idx="45">
                  <c:v>2005</c:v>
                </c:pt>
                <c:pt idx="46">
                  <c:v>2006</c:v>
                </c:pt>
                <c:pt idx="47">
                  <c:v>2007</c:v>
                </c:pt>
                <c:pt idx="48">
                  <c:v>2008</c:v>
                </c:pt>
                <c:pt idx="49">
                  <c:v>2009</c:v>
                </c:pt>
                <c:pt idx="50">
                  <c:v>2010</c:v>
                </c:pt>
                <c:pt idx="51">
                  <c:v>2011</c:v>
                </c:pt>
              </c:numCache>
            </c:numRef>
          </c:cat>
          <c:val>
            <c:numRef>
              <c:f>'1960-2011'!$P$2:$P$53</c:f>
              <c:numCache>
                <c:formatCode>#,##0.0</c:formatCode>
                <c:ptCount val="52"/>
                <c:pt idx="0">
                  <c:v>34.205461462306147</c:v>
                </c:pt>
                <c:pt idx="1">
                  <c:v>33.723530072748808</c:v>
                </c:pt>
                <c:pt idx="2">
                  <c:v>33.383724294519382</c:v>
                </c:pt>
                <c:pt idx="3">
                  <c:v>32.924134216159985</c:v>
                </c:pt>
                <c:pt idx="4">
                  <c:v>32.627506805297394</c:v>
                </c:pt>
                <c:pt idx="5">
                  <c:v>32.443393045970964</c:v>
                </c:pt>
                <c:pt idx="6">
                  <c:v>32.029093751030871</c:v>
                </c:pt>
                <c:pt idx="7">
                  <c:v>32.367434083364444</c:v>
                </c:pt>
                <c:pt idx="8">
                  <c:v>31.811572245652869</c:v>
                </c:pt>
                <c:pt idx="9">
                  <c:v>31.297091401154045</c:v>
                </c:pt>
                <c:pt idx="10">
                  <c:v>31.598112323511231</c:v>
                </c:pt>
                <c:pt idx="11">
                  <c:v>31.699819576609784</c:v>
                </c:pt>
                <c:pt idx="12">
                  <c:v>31.929404841694318</c:v>
                </c:pt>
                <c:pt idx="13">
                  <c:v>31.994969016962948</c:v>
                </c:pt>
                <c:pt idx="14">
                  <c:v>33.290283012778794</c:v>
                </c:pt>
                <c:pt idx="15">
                  <c:v>34.113120944400279</c:v>
                </c:pt>
                <c:pt idx="16">
                  <c:v>34.632805399588776</c:v>
                </c:pt>
                <c:pt idx="17">
                  <c:v>34.76883435253314</c:v>
                </c:pt>
                <c:pt idx="18">
                  <c:v>35.058872167574826</c:v>
                </c:pt>
                <c:pt idx="19">
                  <c:v>34.827850809371768</c:v>
                </c:pt>
                <c:pt idx="20">
                  <c:v>34.42478550116617</c:v>
                </c:pt>
                <c:pt idx="21">
                  <c:v>34.672099668809068</c:v>
                </c:pt>
                <c:pt idx="22">
                  <c:v>34.549526249029618</c:v>
                </c:pt>
                <c:pt idx="23">
                  <c:v>34.52718385623578</c:v>
                </c:pt>
                <c:pt idx="24">
                  <c:v>34.427248801650215</c:v>
                </c:pt>
                <c:pt idx="25">
                  <c:v>34.198697870425157</c:v>
                </c:pt>
                <c:pt idx="26">
                  <c:v>33.458446932161536</c:v>
                </c:pt>
                <c:pt idx="27">
                  <c:v>32.880765233780515</c:v>
                </c:pt>
                <c:pt idx="28">
                  <c:v>32.66595763725114</c:v>
                </c:pt>
                <c:pt idx="29">
                  <c:v>31.972975767659374</c:v>
                </c:pt>
                <c:pt idx="30">
                  <c:v>30.798753366957012</c:v>
                </c:pt>
                <c:pt idx="31">
                  <c:v>35.502251609453324</c:v>
                </c:pt>
                <c:pt idx="32">
                  <c:v>33.403546356701199</c:v>
                </c:pt>
                <c:pt idx="33">
                  <c:v>31.393050006273157</c:v>
                </c:pt>
                <c:pt idx="34">
                  <c:v>29.96965666156083</c:v>
                </c:pt>
                <c:pt idx="35">
                  <c:v>28.823787054187139</c:v>
                </c:pt>
                <c:pt idx="36">
                  <c:v>27.378590663092421</c:v>
                </c:pt>
                <c:pt idx="37">
                  <c:v>26.618321472794879</c:v>
                </c:pt>
                <c:pt idx="38">
                  <c:v>25.593434982896586</c:v>
                </c:pt>
                <c:pt idx="39">
                  <c:v>24.981402010557389</c:v>
                </c:pt>
                <c:pt idx="40">
                  <c:v>24.239461508819247</c:v>
                </c:pt>
                <c:pt idx="41">
                  <c:v>23.427405206537919</c:v>
                </c:pt>
                <c:pt idx="42">
                  <c:v>23.190390196386048</c:v>
                </c:pt>
                <c:pt idx="43">
                  <c:v>22.708026231870996</c:v>
                </c:pt>
                <c:pt idx="44">
                  <c:v>21.872070819068735</c:v>
                </c:pt>
                <c:pt idx="45">
                  <c:v>21.386330252213376</c:v>
                </c:pt>
                <c:pt idx="46">
                  <c:v>20.437140102242306</c:v>
                </c:pt>
                <c:pt idx="47">
                  <c:v>19.619226360138843</c:v>
                </c:pt>
                <c:pt idx="48">
                  <c:v>18.870169590038284</c:v>
                </c:pt>
                <c:pt idx="49">
                  <c:v>18.671503400036723</c:v>
                </c:pt>
                <c:pt idx="50">
                  <c:v>18.314170729558569</c:v>
                </c:pt>
                <c:pt idx="51">
                  <c:v>17.802570567776051</c:v>
                </c:pt>
              </c:numCache>
            </c:numRef>
          </c:val>
          <c:smooth val="0"/>
        </c:ser>
        <c:ser>
          <c:idx val="1"/>
          <c:order val="1"/>
          <c:tx>
            <c:strRef>
              <c:f>'1960-2011'!$Q$1</c:f>
              <c:strCache>
                <c:ptCount val="1"/>
                <c:pt idx="0">
                  <c:v>Japan</c:v>
                </c:pt>
              </c:strCache>
            </c:strRef>
          </c:tx>
          <c:marker>
            <c:symbol val="none"/>
          </c:marker>
          <c:cat>
            <c:numRef>
              <c:f>'1960-2011'!$O$2:$O$53</c:f>
              <c:numCache>
                <c:formatCode>General</c:formatCode>
                <c:ptCount val="52"/>
                <c:pt idx="0">
                  <c:v>1960</c:v>
                </c:pt>
                <c:pt idx="1">
                  <c:v>1961</c:v>
                </c:pt>
                <c:pt idx="2">
                  <c:v>1962</c:v>
                </c:pt>
                <c:pt idx="3">
                  <c:v>1963</c:v>
                </c:pt>
                <c:pt idx="4">
                  <c:v>1964</c:v>
                </c:pt>
                <c:pt idx="5">
                  <c:v>1965</c:v>
                </c:pt>
                <c:pt idx="6">
                  <c:v>1966</c:v>
                </c:pt>
                <c:pt idx="7">
                  <c:v>1967</c:v>
                </c:pt>
                <c:pt idx="8">
                  <c:v>1968</c:v>
                </c:pt>
                <c:pt idx="9">
                  <c:v>1969</c:v>
                </c:pt>
                <c:pt idx="10">
                  <c:v>1970</c:v>
                </c:pt>
                <c:pt idx="11">
                  <c:v>1971</c:v>
                </c:pt>
                <c:pt idx="12">
                  <c:v>1972</c:v>
                </c:pt>
                <c:pt idx="13">
                  <c:v>1973</c:v>
                </c:pt>
                <c:pt idx="14">
                  <c:v>1974</c:v>
                </c:pt>
                <c:pt idx="15">
                  <c:v>1975</c:v>
                </c:pt>
                <c:pt idx="16">
                  <c:v>1976</c:v>
                </c:pt>
                <c:pt idx="17">
                  <c:v>1977</c:v>
                </c:pt>
                <c:pt idx="18">
                  <c:v>1978</c:v>
                </c:pt>
                <c:pt idx="19">
                  <c:v>1979</c:v>
                </c:pt>
                <c:pt idx="20">
                  <c:v>1980</c:v>
                </c:pt>
                <c:pt idx="21">
                  <c:v>1981</c:v>
                </c:pt>
                <c:pt idx="22">
                  <c:v>1982</c:v>
                </c:pt>
                <c:pt idx="23">
                  <c:v>1983</c:v>
                </c:pt>
                <c:pt idx="24">
                  <c:v>1984</c:v>
                </c:pt>
                <c:pt idx="25">
                  <c:v>1985</c:v>
                </c:pt>
                <c:pt idx="26">
                  <c:v>1986</c:v>
                </c:pt>
                <c:pt idx="27">
                  <c:v>1987</c:v>
                </c:pt>
                <c:pt idx="28">
                  <c:v>1988</c:v>
                </c:pt>
                <c:pt idx="29">
                  <c:v>1989</c:v>
                </c:pt>
                <c:pt idx="30">
                  <c:v>1990</c:v>
                </c:pt>
                <c:pt idx="31">
                  <c:v>1991</c:v>
                </c:pt>
                <c:pt idx="32">
                  <c:v>1992</c:v>
                </c:pt>
                <c:pt idx="33">
                  <c:v>1993</c:v>
                </c:pt>
                <c:pt idx="34">
                  <c:v>1994</c:v>
                </c:pt>
                <c:pt idx="35">
                  <c:v>1995</c:v>
                </c:pt>
                <c:pt idx="36">
                  <c:v>1996</c:v>
                </c:pt>
                <c:pt idx="37">
                  <c:v>1997</c:v>
                </c:pt>
                <c:pt idx="38">
                  <c:v>1998</c:v>
                </c:pt>
                <c:pt idx="39">
                  <c:v>1999</c:v>
                </c:pt>
                <c:pt idx="40">
                  <c:v>2000</c:v>
                </c:pt>
                <c:pt idx="41">
                  <c:v>2001</c:v>
                </c:pt>
                <c:pt idx="42">
                  <c:v>2002</c:v>
                </c:pt>
                <c:pt idx="43">
                  <c:v>2003</c:v>
                </c:pt>
                <c:pt idx="44">
                  <c:v>2004</c:v>
                </c:pt>
                <c:pt idx="45">
                  <c:v>2005</c:v>
                </c:pt>
                <c:pt idx="46">
                  <c:v>2006</c:v>
                </c:pt>
                <c:pt idx="47">
                  <c:v>2007</c:v>
                </c:pt>
                <c:pt idx="48">
                  <c:v>2008</c:v>
                </c:pt>
                <c:pt idx="49">
                  <c:v>2009</c:v>
                </c:pt>
                <c:pt idx="50">
                  <c:v>2010</c:v>
                </c:pt>
                <c:pt idx="51">
                  <c:v>2011</c:v>
                </c:pt>
              </c:numCache>
            </c:numRef>
          </c:cat>
          <c:val>
            <c:numRef>
              <c:f>'1960-2011'!$Q$2:$Q$53</c:f>
              <c:numCache>
                <c:formatCode>#,##0.0</c:formatCode>
                <c:ptCount val="52"/>
                <c:pt idx="0">
                  <c:v>34.992319540583154</c:v>
                </c:pt>
                <c:pt idx="1">
                  <c:v>35.957493690551082</c:v>
                </c:pt>
                <c:pt idx="2">
                  <c:v>36.802897858325977</c:v>
                </c:pt>
                <c:pt idx="3">
                  <c:v>37.251507463424367</c:v>
                </c:pt>
                <c:pt idx="4">
                  <c:v>37.730179141074579</c:v>
                </c:pt>
                <c:pt idx="5">
                  <c:v>37.531200397306655</c:v>
                </c:pt>
                <c:pt idx="6">
                  <c:v>36.965128815265679</c:v>
                </c:pt>
                <c:pt idx="7">
                  <c:v>36.599442186587275</c:v>
                </c:pt>
                <c:pt idx="8">
                  <c:v>36.707831736192389</c:v>
                </c:pt>
                <c:pt idx="9">
                  <c:v>37.406179462695938</c:v>
                </c:pt>
                <c:pt idx="10">
                  <c:v>37.341002384026169</c:v>
                </c:pt>
                <c:pt idx="11">
                  <c:v>36.776417226961378</c:v>
                </c:pt>
                <c:pt idx="12">
                  <c:v>36.499403297410112</c:v>
                </c:pt>
                <c:pt idx="13">
                  <c:v>35.59991450385904</c:v>
                </c:pt>
                <c:pt idx="14">
                  <c:v>36.44921020509517</c:v>
                </c:pt>
                <c:pt idx="15">
                  <c:v>36.732690724301563</c:v>
                </c:pt>
                <c:pt idx="16">
                  <c:v>35.847452785493388</c:v>
                </c:pt>
                <c:pt idx="17">
                  <c:v>35.102105997150638</c:v>
                </c:pt>
                <c:pt idx="18">
                  <c:v>34.673705468779353</c:v>
                </c:pt>
                <c:pt idx="19">
                  <c:v>33.78179170237059</c:v>
                </c:pt>
                <c:pt idx="20">
                  <c:v>33.134344162376564</c:v>
                </c:pt>
                <c:pt idx="21">
                  <c:v>32.861410929029596</c:v>
                </c:pt>
                <c:pt idx="22">
                  <c:v>32.51502780584854</c:v>
                </c:pt>
                <c:pt idx="23">
                  <c:v>31.64989504404145</c:v>
                </c:pt>
                <c:pt idx="24">
                  <c:v>31.087233931288342</c:v>
                </c:pt>
                <c:pt idx="25">
                  <c:v>30.627805029824085</c:v>
                </c:pt>
                <c:pt idx="26">
                  <c:v>29.983992476734446</c:v>
                </c:pt>
                <c:pt idx="27">
                  <c:v>29.481624530179822</c:v>
                </c:pt>
                <c:pt idx="28">
                  <c:v>28.661511986961123</c:v>
                </c:pt>
                <c:pt idx="29">
                  <c:v>27.797807522297411</c:v>
                </c:pt>
                <c:pt idx="30">
                  <c:v>27.798569266517102</c:v>
                </c:pt>
                <c:pt idx="31">
                  <c:v>26.852604270162523</c:v>
                </c:pt>
                <c:pt idx="32">
                  <c:v>26.578623606606214</c:v>
                </c:pt>
                <c:pt idx="33">
                  <c:v>26.418139359389794</c:v>
                </c:pt>
                <c:pt idx="34">
                  <c:v>26.302869075932865</c:v>
                </c:pt>
                <c:pt idx="35">
                  <c:v>25.935290644736853</c:v>
                </c:pt>
                <c:pt idx="36">
                  <c:v>24.887028168048886</c:v>
                </c:pt>
                <c:pt idx="37">
                  <c:v>24.240942724211624</c:v>
                </c:pt>
                <c:pt idx="38">
                  <c:v>23.964326179008257</c:v>
                </c:pt>
                <c:pt idx="39">
                  <c:v>23.595878070360129</c:v>
                </c:pt>
                <c:pt idx="40">
                  <c:v>22.917713265149498</c:v>
                </c:pt>
                <c:pt idx="41">
                  <c:v>22.214337284859777</c:v>
                </c:pt>
                <c:pt idx="42">
                  <c:v>21.552564823506113</c:v>
                </c:pt>
                <c:pt idx="43">
                  <c:v>20.998045161625299</c:v>
                </c:pt>
                <c:pt idx="44">
                  <c:v>20.279974523637065</c:v>
                </c:pt>
                <c:pt idx="45">
                  <c:v>19.99703206714122</c:v>
                </c:pt>
                <c:pt idx="46">
                  <c:v>19.519763649293044</c:v>
                </c:pt>
                <c:pt idx="47">
                  <c:v>19.414632103693158</c:v>
                </c:pt>
                <c:pt idx="48">
                  <c:v>19.382231915477025</c:v>
                </c:pt>
                <c:pt idx="49">
                  <c:v>19.6347505325428</c:v>
                </c:pt>
                <c:pt idx="50">
                  <c:v>19.559710249122968</c:v>
                </c:pt>
                <c:pt idx="51">
                  <c:v>20.206166790310128</c:v>
                </c:pt>
              </c:numCache>
            </c:numRef>
          </c:val>
          <c:smooth val="0"/>
        </c:ser>
        <c:ser>
          <c:idx val="2"/>
          <c:order val="2"/>
          <c:tx>
            <c:strRef>
              <c:f>'1960-2011'!$R$1</c:f>
              <c:strCache>
                <c:ptCount val="1"/>
                <c:pt idx="0">
                  <c:v>Nederland</c:v>
                </c:pt>
              </c:strCache>
            </c:strRef>
          </c:tx>
          <c:marker>
            <c:symbol val="none"/>
          </c:marker>
          <c:cat>
            <c:numRef>
              <c:f>'1960-2011'!$O$2:$O$53</c:f>
              <c:numCache>
                <c:formatCode>General</c:formatCode>
                <c:ptCount val="52"/>
                <c:pt idx="0">
                  <c:v>1960</c:v>
                </c:pt>
                <c:pt idx="1">
                  <c:v>1961</c:v>
                </c:pt>
                <c:pt idx="2">
                  <c:v>1962</c:v>
                </c:pt>
                <c:pt idx="3">
                  <c:v>1963</c:v>
                </c:pt>
                <c:pt idx="4">
                  <c:v>1964</c:v>
                </c:pt>
                <c:pt idx="5">
                  <c:v>1965</c:v>
                </c:pt>
                <c:pt idx="6">
                  <c:v>1966</c:v>
                </c:pt>
                <c:pt idx="7">
                  <c:v>1967</c:v>
                </c:pt>
                <c:pt idx="8">
                  <c:v>1968</c:v>
                </c:pt>
                <c:pt idx="9">
                  <c:v>1969</c:v>
                </c:pt>
                <c:pt idx="10">
                  <c:v>1970</c:v>
                </c:pt>
                <c:pt idx="11">
                  <c:v>1971</c:v>
                </c:pt>
                <c:pt idx="12">
                  <c:v>1972</c:v>
                </c:pt>
                <c:pt idx="13">
                  <c:v>1973</c:v>
                </c:pt>
                <c:pt idx="14">
                  <c:v>1974</c:v>
                </c:pt>
                <c:pt idx="15">
                  <c:v>1975</c:v>
                </c:pt>
                <c:pt idx="16">
                  <c:v>1976</c:v>
                </c:pt>
                <c:pt idx="17">
                  <c:v>1977</c:v>
                </c:pt>
                <c:pt idx="18">
                  <c:v>1978</c:v>
                </c:pt>
                <c:pt idx="19">
                  <c:v>1979</c:v>
                </c:pt>
                <c:pt idx="20">
                  <c:v>1980</c:v>
                </c:pt>
                <c:pt idx="21">
                  <c:v>1981</c:v>
                </c:pt>
                <c:pt idx="22">
                  <c:v>1982</c:v>
                </c:pt>
                <c:pt idx="23">
                  <c:v>1983</c:v>
                </c:pt>
                <c:pt idx="24">
                  <c:v>1984</c:v>
                </c:pt>
                <c:pt idx="25">
                  <c:v>1985</c:v>
                </c:pt>
                <c:pt idx="26">
                  <c:v>1986</c:v>
                </c:pt>
                <c:pt idx="27">
                  <c:v>1987</c:v>
                </c:pt>
                <c:pt idx="28">
                  <c:v>1988</c:v>
                </c:pt>
                <c:pt idx="29">
                  <c:v>1989</c:v>
                </c:pt>
                <c:pt idx="30">
                  <c:v>1990</c:v>
                </c:pt>
                <c:pt idx="31">
                  <c:v>1991</c:v>
                </c:pt>
                <c:pt idx="32">
                  <c:v>1992</c:v>
                </c:pt>
                <c:pt idx="33">
                  <c:v>1993</c:v>
                </c:pt>
                <c:pt idx="34">
                  <c:v>1994</c:v>
                </c:pt>
                <c:pt idx="35">
                  <c:v>1995</c:v>
                </c:pt>
                <c:pt idx="36">
                  <c:v>1996</c:v>
                </c:pt>
                <c:pt idx="37">
                  <c:v>1997</c:v>
                </c:pt>
                <c:pt idx="38">
                  <c:v>1998</c:v>
                </c:pt>
                <c:pt idx="39">
                  <c:v>1999</c:v>
                </c:pt>
                <c:pt idx="40">
                  <c:v>2000</c:v>
                </c:pt>
                <c:pt idx="41">
                  <c:v>2001</c:v>
                </c:pt>
                <c:pt idx="42">
                  <c:v>2002</c:v>
                </c:pt>
                <c:pt idx="43">
                  <c:v>2003</c:v>
                </c:pt>
                <c:pt idx="44">
                  <c:v>2004</c:v>
                </c:pt>
                <c:pt idx="45">
                  <c:v>2005</c:v>
                </c:pt>
                <c:pt idx="46">
                  <c:v>2006</c:v>
                </c:pt>
                <c:pt idx="47">
                  <c:v>2007</c:v>
                </c:pt>
                <c:pt idx="48">
                  <c:v>2008</c:v>
                </c:pt>
                <c:pt idx="49">
                  <c:v>2009</c:v>
                </c:pt>
                <c:pt idx="50">
                  <c:v>2010</c:v>
                </c:pt>
                <c:pt idx="51">
                  <c:v>2011</c:v>
                </c:pt>
              </c:numCache>
            </c:numRef>
          </c:cat>
          <c:val>
            <c:numRef>
              <c:f>'1960-2011'!$R$2:$R$53</c:f>
              <c:numCache>
                <c:formatCode>#,##0.0</c:formatCode>
                <c:ptCount val="52"/>
                <c:pt idx="0">
                  <c:v>40.018143203883497</c:v>
                </c:pt>
                <c:pt idx="1">
                  <c:v>39.520510537251404</c:v>
                </c:pt>
                <c:pt idx="2">
                  <c:v>38.782261321026816</c:v>
                </c:pt>
                <c:pt idx="3">
                  <c:v>38.836612948826691</c:v>
                </c:pt>
                <c:pt idx="4">
                  <c:v>37.627131782945732</c:v>
                </c:pt>
                <c:pt idx="5">
                  <c:v>37.388695652173908</c:v>
                </c:pt>
                <c:pt idx="6">
                  <c:v>38.104861670695676</c:v>
                </c:pt>
                <c:pt idx="7">
                  <c:v>38.269774314884472</c:v>
                </c:pt>
                <c:pt idx="8">
                  <c:v>37.491183478951541</c:v>
                </c:pt>
                <c:pt idx="9">
                  <c:v>36.450882658359291</c:v>
                </c:pt>
                <c:pt idx="10">
                  <c:v>36.50497829971917</c:v>
                </c:pt>
                <c:pt idx="11">
                  <c:v>36.233635448136958</c:v>
                </c:pt>
                <c:pt idx="12">
                  <c:v>36.616046570488486</c:v>
                </c:pt>
                <c:pt idx="13">
                  <c:v>37.146426786606696</c:v>
                </c:pt>
                <c:pt idx="14">
                  <c:v>36.941351150705273</c:v>
                </c:pt>
                <c:pt idx="15">
                  <c:v>37.758492437391517</c:v>
                </c:pt>
                <c:pt idx="16">
                  <c:v>37.116141732283467</c:v>
                </c:pt>
                <c:pt idx="17">
                  <c:v>37.179176755447941</c:v>
                </c:pt>
                <c:pt idx="18">
                  <c:v>37.010778443113772</c:v>
                </c:pt>
                <c:pt idx="19">
                  <c:v>36.585481201229605</c:v>
                </c:pt>
                <c:pt idx="20">
                  <c:v>34.782209995414945</c:v>
                </c:pt>
                <c:pt idx="21">
                  <c:v>33.025039476652381</c:v>
                </c:pt>
                <c:pt idx="22">
                  <c:v>32.253874202370099</c:v>
                </c:pt>
                <c:pt idx="23">
                  <c:v>30.66941769830353</c:v>
                </c:pt>
                <c:pt idx="24">
                  <c:v>29.263565891472869</c:v>
                </c:pt>
                <c:pt idx="25">
                  <c:v>28.016934046345813</c:v>
                </c:pt>
                <c:pt idx="26">
                  <c:v>27.131918617370378</c:v>
                </c:pt>
                <c:pt idx="27">
                  <c:v>24.677832512315273</c:v>
                </c:pt>
                <c:pt idx="28">
                  <c:v>24.234957020057308</c:v>
                </c:pt>
                <c:pt idx="29">
                  <c:v>24.319537658463833</c:v>
                </c:pt>
                <c:pt idx="30">
                  <c:v>24.337305886601662</c:v>
                </c:pt>
                <c:pt idx="31">
                  <c:v>24.14088446075861</c:v>
                </c:pt>
                <c:pt idx="32">
                  <c:v>24.785985502243701</c:v>
                </c:pt>
                <c:pt idx="33">
                  <c:v>25.344471236651739</c:v>
                </c:pt>
                <c:pt idx="34">
                  <c:v>25.557847687811588</c:v>
                </c:pt>
                <c:pt idx="35">
                  <c:v>25.246367128779021</c:v>
                </c:pt>
                <c:pt idx="36">
                  <c:v>24.857610474631752</c:v>
                </c:pt>
                <c:pt idx="37">
                  <c:v>24.427686934434035</c:v>
                </c:pt>
                <c:pt idx="38">
                  <c:v>23.82617992973881</c:v>
                </c:pt>
                <c:pt idx="39">
                  <c:v>23.464951197870452</c:v>
                </c:pt>
                <c:pt idx="40">
                  <c:v>22.611469544350726</c:v>
                </c:pt>
                <c:pt idx="41">
                  <c:v>21.790875057837102</c:v>
                </c:pt>
                <c:pt idx="42">
                  <c:v>21.573822714681441</c:v>
                </c:pt>
                <c:pt idx="43">
                  <c:v>21.347930588938137</c:v>
                </c:pt>
                <c:pt idx="44">
                  <c:v>21.626176098862519</c:v>
                </c:pt>
                <c:pt idx="45">
                  <c:v>21.380251952987543</c:v>
                </c:pt>
                <c:pt idx="46">
                  <c:v>20.711510711510712</c:v>
                </c:pt>
                <c:pt idx="47">
                  <c:v>20.188028954744606</c:v>
                </c:pt>
                <c:pt idx="48">
                  <c:v>19.714392934207179</c:v>
                </c:pt>
                <c:pt idx="49">
                  <c:v>19.543141950064566</c:v>
                </c:pt>
                <c:pt idx="50">
                  <c:v>19.326985532919988</c:v>
                </c:pt>
                <c:pt idx="51">
                  <c:v>18.983538805403654</c:v>
                </c:pt>
              </c:numCache>
            </c:numRef>
          </c:val>
          <c:smooth val="0"/>
        </c:ser>
        <c:ser>
          <c:idx val="3"/>
          <c:order val="3"/>
          <c:tx>
            <c:strRef>
              <c:f>'1960-2011'!$S$1</c:f>
              <c:strCache>
                <c:ptCount val="1"/>
                <c:pt idx="0">
                  <c:v>Zwitserland</c:v>
                </c:pt>
              </c:strCache>
            </c:strRef>
          </c:tx>
          <c:marker>
            <c:symbol val="none"/>
          </c:marker>
          <c:cat>
            <c:numRef>
              <c:f>'1960-2011'!$O$2:$O$53</c:f>
              <c:numCache>
                <c:formatCode>General</c:formatCode>
                <c:ptCount val="52"/>
                <c:pt idx="0">
                  <c:v>1960</c:v>
                </c:pt>
                <c:pt idx="1">
                  <c:v>1961</c:v>
                </c:pt>
                <c:pt idx="2">
                  <c:v>1962</c:v>
                </c:pt>
                <c:pt idx="3">
                  <c:v>1963</c:v>
                </c:pt>
                <c:pt idx="4">
                  <c:v>1964</c:v>
                </c:pt>
                <c:pt idx="5">
                  <c:v>1965</c:v>
                </c:pt>
                <c:pt idx="6">
                  <c:v>1966</c:v>
                </c:pt>
                <c:pt idx="7">
                  <c:v>1967</c:v>
                </c:pt>
                <c:pt idx="8">
                  <c:v>1968</c:v>
                </c:pt>
                <c:pt idx="9">
                  <c:v>1969</c:v>
                </c:pt>
                <c:pt idx="10">
                  <c:v>1970</c:v>
                </c:pt>
                <c:pt idx="11">
                  <c:v>1971</c:v>
                </c:pt>
                <c:pt idx="12">
                  <c:v>1972</c:v>
                </c:pt>
                <c:pt idx="13">
                  <c:v>1973</c:v>
                </c:pt>
                <c:pt idx="14">
                  <c:v>1974</c:v>
                </c:pt>
                <c:pt idx="15">
                  <c:v>1975</c:v>
                </c:pt>
                <c:pt idx="16">
                  <c:v>1976</c:v>
                </c:pt>
                <c:pt idx="17">
                  <c:v>1977</c:v>
                </c:pt>
                <c:pt idx="18">
                  <c:v>1978</c:v>
                </c:pt>
                <c:pt idx="19">
                  <c:v>1979</c:v>
                </c:pt>
                <c:pt idx="20">
                  <c:v>1980</c:v>
                </c:pt>
                <c:pt idx="21">
                  <c:v>1981</c:v>
                </c:pt>
                <c:pt idx="22">
                  <c:v>1982</c:v>
                </c:pt>
                <c:pt idx="23">
                  <c:v>1983</c:v>
                </c:pt>
                <c:pt idx="24">
                  <c:v>1984</c:v>
                </c:pt>
                <c:pt idx="25">
                  <c:v>1985</c:v>
                </c:pt>
                <c:pt idx="26">
                  <c:v>1986</c:v>
                </c:pt>
                <c:pt idx="27">
                  <c:v>1987</c:v>
                </c:pt>
                <c:pt idx="28">
                  <c:v>1988</c:v>
                </c:pt>
                <c:pt idx="29">
                  <c:v>1989</c:v>
                </c:pt>
                <c:pt idx="30">
                  <c:v>1990</c:v>
                </c:pt>
                <c:pt idx="31">
                  <c:v>1991</c:v>
                </c:pt>
                <c:pt idx="32">
                  <c:v>1992</c:v>
                </c:pt>
                <c:pt idx="33">
                  <c:v>1993</c:v>
                </c:pt>
                <c:pt idx="34">
                  <c:v>1994</c:v>
                </c:pt>
                <c:pt idx="35">
                  <c:v>1995</c:v>
                </c:pt>
                <c:pt idx="36">
                  <c:v>1996</c:v>
                </c:pt>
                <c:pt idx="37">
                  <c:v>1997</c:v>
                </c:pt>
                <c:pt idx="38">
                  <c:v>1998</c:v>
                </c:pt>
                <c:pt idx="39">
                  <c:v>1999</c:v>
                </c:pt>
                <c:pt idx="40">
                  <c:v>2000</c:v>
                </c:pt>
                <c:pt idx="41">
                  <c:v>2001</c:v>
                </c:pt>
                <c:pt idx="42">
                  <c:v>2002</c:v>
                </c:pt>
                <c:pt idx="43">
                  <c:v>2003</c:v>
                </c:pt>
                <c:pt idx="44">
                  <c:v>2004</c:v>
                </c:pt>
                <c:pt idx="45">
                  <c:v>2005</c:v>
                </c:pt>
                <c:pt idx="46">
                  <c:v>2006</c:v>
                </c:pt>
                <c:pt idx="47">
                  <c:v>2007</c:v>
                </c:pt>
                <c:pt idx="48">
                  <c:v>2008</c:v>
                </c:pt>
                <c:pt idx="49">
                  <c:v>2009</c:v>
                </c:pt>
                <c:pt idx="50">
                  <c:v>2010</c:v>
                </c:pt>
                <c:pt idx="51">
                  <c:v>2011</c:v>
                </c:pt>
              </c:numCache>
            </c:numRef>
          </c:cat>
          <c:val>
            <c:numRef>
              <c:f>'1960-2011'!$S$2:$S$53</c:f>
              <c:numCache>
                <c:formatCode>#,##0.0</c:formatCode>
                <c:ptCount val="52"/>
                <c:pt idx="0">
                  <c:v>41.453973737425109</c:v>
                </c:pt>
                <c:pt idx="1">
                  <c:v>40.391958403730335</c:v>
                </c:pt>
                <c:pt idx="2">
                  <c:v>39.514233789524873</c:v>
                </c:pt>
                <c:pt idx="3">
                  <c:v>38.635214741567545</c:v>
                </c:pt>
                <c:pt idx="4">
                  <c:v>38.073721501141101</c:v>
                </c:pt>
                <c:pt idx="5">
                  <c:v>37.713017396779549</c:v>
                </c:pt>
                <c:pt idx="6">
                  <c:v>37.163160186192975</c:v>
                </c:pt>
                <c:pt idx="7">
                  <c:v>35.934997969837731</c:v>
                </c:pt>
                <c:pt idx="8">
                  <c:v>35.127544900833676</c:v>
                </c:pt>
                <c:pt idx="9">
                  <c:v>34.595029861524083</c:v>
                </c:pt>
                <c:pt idx="10">
                  <c:v>33.215436780213054</c:v>
                </c:pt>
                <c:pt idx="11">
                  <c:v>33.498857353745294</c:v>
                </c:pt>
                <c:pt idx="12">
                  <c:v>33.153117003460409</c:v>
                </c:pt>
                <c:pt idx="13">
                  <c:v>32.905710266949612</c:v>
                </c:pt>
                <c:pt idx="14">
                  <c:v>33.252295616689132</c:v>
                </c:pt>
                <c:pt idx="15">
                  <c:v>37.136040037401003</c:v>
                </c:pt>
                <c:pt idx="16">
                  <c:v>38.828464936764718</c:v>
                </c:pt>
                <c:pt idx="17">
                  <c:v>37.956514199988248</c:v>
                </c:pt>
                <c:pt idx="18">
                  <c:v>37.348885375044958</c:v>
                </c:pt>
                <c:pt idx="19">
                  <c:v>36.622820333546841</c:v>
                </c:pt>
                <c:pt idx="20">
                  <c:v>31.757291465260916</c:v>
                </c:pt>
                <c:pt idx="21">
                  <c:v>31.056709068094396</c:v>
                </c:pt>
                <c:pt idx="22">
                  <c:v>30.686791980875398</c:v>
                </c:pt>
                <c:pt idx="23">
                  <c:v>30.535870634008589</c:v>
                </c:pt>
                <c:pt idx="24">
                  <c:v>30.11462151900054</c:v>
                </c:pt>
                <c:pt idx="25">
                  <c:v>28.643191761905513</c:v>
                </c:pt>
                <c:pt idx="26">
                  <c:v>27.583544740869687</c:v>
                </c:pt>
                <c:pt idx="27">
                  <c:v>27.217376805290026</c:v>
                </c:pt>
                <c:pt idx="28">
                  <c:v>26.735597952338885</c:v>
                </c:pt>
                <c:pt idx="29">
                  <c:v>26.293978451903062</c:v>
                </c:pt>
                <c:pt idx="30">
                  <c:v>26.025046386855017</c:v>
                </c:pt>
                <c:pt idx="31">
                  <c:v>25.849985801724319</c:v>
                </c:pt>
                <c:pt idx="32">
                  <c:v>26.230621308936136</c:v>
                </c:pt>
                <c:pt idx="33">
                  <c:v>26.375328282779321</c:v>
                </c:pt>
                <c:pt idx="34">
                  <c:v>26.541874132130665</c:v>
                </c:pt>
                <c:pt idx="35">
                  <c:v>26.030700768790357</c:v>
                </c:pt>
                <c:pt idx="36">
                  <c:v>25.514776977074995</c:v>
                </c:pt>
                <c:pt idx="37">
                  <c:v>25.037206036480452</c:v>
                </c:pt>
                <c:pt idx="38">
                  <c:v>24.65989957090849</c:v>
                </c:pt>
                <c:pt idx="39">
                  <c:v>24.009816415001243</c:v>
                </c:pt>
                <c:pt idx="40">
                  <c:v>23.177445578407045</c:v>
                </c:pt>
                <c:pt idx="41">
                  <c:v>22.653664357921301</c:v>
                </c:pt>
                <c:pt idx="42">
                  <c:v>22.844397023958976</c:v>
                </c:pt>
                <c:pt idx="43">
                  <c:v>22.87272617683384</c:v>
                </c:pt>
                <c:pt idx="44">
                  <c:v>22.344729812154238</c:v>
                </c:pt>
                <c:pt idx="45">
                  <c:v>22.179829438625941</c:v>
                </c:pt>
                <c:pt idx="46">
                  <c:v>21.657330605753927</c:v>
                </c:pt>
                <c:pt idx="47">
                  <c:v>21.190985153363044</c:v>
                </c:pt>
                <c:pt idx="48">
                  <c:v>20.147385747987453</c:v>
                </c:pt>
                <c:pt idx="49">
                  <c:v>19.910784479452833</c:v>
                </c:pt>
                <c:pt idx="50">
                  <c:v>19.696373252247877</c:v>
                </c:pt>
              </c:numCache>
            </c:numRef>
          </c:val>
          <c:smooth val="0"/>
        </c:ser>
        <c:dLbls>
          <c:showLegendKey val="0"/>
          <c:showVal val="0"/>
          <c:showCatName val="0"/>
          <c:showSerName val="0"/>
          <c:showPercent val="0"/>
          <c:showBubbleSize val="0"/>
        </c:dLbls>
        <c:smooth val="0"/>
        <c:axId val="145498576"/>
        <c:axId val="145498968"/>
      </c:lineChart>
      <c:catAx>
        <c:axId val="145498576"/>
        <c:scaling>
          <c:orientation val="minMax"/>
        </c:scaling>
        <c:delete val="0"/>
        <c:axPos val="b"/>
        <c:numFmt formatCode="General" sourceLinked="1"/>
        <c:majorTickMark val="none"/>
        <c:minorTickMark val="none"/>
        <c:tickLblPos val="nextTo"/>
        <c:crossAx val="145498968"/>
        <c:crosses val="autoZero"/>
        <c:auto val="1"/>
        <c:lblAlgn val="ctr"/>
        <c:lblOffset val="100"/>
        <c:noMultiLvlLbl val="0"/>
      </c:catAx>
      <c:valAx>
        <c:axId val="145498968"/>
        <c:scaling>
          <c:orientation val="minMax"/>
          <c:min val="15"/>
        </c:scaling>
        <c:delete val="0"/>
        <c:axPos val="l"/>
        <c:majorGridlines/>
        <c:title>
          <c:tx>
            <c:rich>
              <a:bodyPr/>
              <a:lstStyle/>
              <a:p>
                <a:pPr>
                  <a:defRPr/>
                </a:pPr>
                <a:r>
                  <a:rPr lang="nl-NL"/>
                  <a:t>Procent</a:t>
                </a:r>
              </a:p>
            </c:rich>
          </c:tx>
          <c:layout/>
          <c:overlay val="0"/>
        </c:title>
        <c:numFmt formatCode="#,##0.0" sourceLinked="1"/>
        <c:majorTickMark val="none"/>
        <c:minorTickMark val="none"/>
        <c:tickLblPos val="nextTo"/>
        <c:crossAx val="145498576"/>
        <c:crosses val="autoZero"/>
        <c:crossBetween val="between"/>
      </c:valAx>
    </c:plotArea>
    <c:legend>
      <c:legendPos val="r"/>
      <c:layout/>
      <c:overlay val="0"/>
    </c:legend>
    <c:plotVisOnly val="1"/>
    <c:dispBlanksAs val="gap"/>
    <c:showDLblsOverMax val="0"/>
  </c:chart>
  <c:externalData r:id="rId1">
    <c:autoUpdate val="0"/>
  </c:externalData>
</c:chartSpace>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2015</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b:Source>
    <b:Tag>Jan00</b:Tag>
    <b:SourceType>JournalArticle</b:SourceType>
    <b:Guid>{2597A208-E392-4D25-854C-60B9E4E27A41}</b:Guid>
    <b:Title>Post-war european economic development as an out of equilibrium growth path. The case of the Netherlands</b:Title>
    <b:Year>2000</b:Year>
    <b:Author>
      <b:Author>
        <b:NameList>
          <b:Person>
            <b:Last>Luiten van Zanden</b:Last>
            <b:First>Jan</b:First>
          </b:Person>
        </b:NameList>
      </b:Author>
    </b:Author>
    <b:JournalName>De Economist</b:JournalName>
    <b:Pages>540-553</b:Pages>
    <b:RefOrder>17</b:RefOrder>
  </b:Source>
  <b:Source>
    <b:Tag>Moo11</b:Tag>
    <b:SourceType>Book</b:SourceType>
    <b:Guid>{0482F748-5E62-4753-82FC-64538DAF82B3}</b:Guid>
    <b:Author>
      <b:Author>
        <b:NameList>
          <b:Person>
            <b:Last>Moore</b:Last>
            <b:First>David</b:First>
            <b:Middle>S.</b:Middle>
          </b:Person>
          <b:Person>
            <b:Last>McCabe</b:Last>
            <b:First>George</b:First>
            <b:Middle>P.</b:Middle>
          </b:Person>
          <b:Person>
            <b:Last>Alwan</b:Last>
            <b:First>Layth</b:First>
            <b:Middle>C.</b:Middle>
          </b:Person>
          <b:Person>
            <b:Last>Craig</b:Last>
            <b:First>Bruce</b:First>
            <b:Middle>A.</b:Middle>
          </b:Person>
          <b:Person>
            <b:Last>Duckworth</b:Last>
            <b:First>William</b:First>
            <b:Middle>M.</b:Middle>
          </b:Person>
        </b:NameList>
      </b:Author>
    </b:Author>
    <b:Title>The Practise of Statistics for Business and Economics</b:Title>
    <b:Year>2011</b:Year>
    <b:URL>https://www.google.nl/search?q=two+sample+z-test+for+comparing+two+means&amp;oq=two+sample+z-test+for+comparing+two+means&amp;aqs=chrome..69i57j0l3.444j0j4&amp;sourceid=chrome&amp;es_sm=0&amp;ie=UTF-8</b:URL>
    <b:City>New York</b:City>
    <b:Publisher>W.H. Freeman and Company</b:Publisher>
    <b:RefOrder>40</b:RefOrder>
  </b:Source>
  <b:Source>
    <b:Tag>deV13</b:Tag>
    <b:SourceType>InternetSite</b:SourceType>
    <b:Guid>{9C482010-F4DB-455A-A8DA-3EF402947957}</b:Guid>
    <b:Author>
      <b:Author>
        <b:Corporate>de Volkskrant</b:Corporate>
      </b:Author>
    </b:Author>
    <b:Title>Vakbonden verliezen 52.000 leden</b:Title>
    <b:InternetSiteTitle>de Volkskrant</b:InternetSiteTitle>
    <b:Year>2013</b:Year>
    <b:Month>Oktober</b:Month>
    <b:Day>31</b:Day>
    <b:YearAccessed>2015</b:YearAccessed>
    <b:MonthAccessed>16</b:MonthAccessed>
    <b:DayAccessed>Juni</b:DayAccessed>
    <b:URL>http://www.volkskrant.nl/economie/vakbonden-verliezen-52000-leden~a3536498/</b:URL>
    <b:RefOrder>1</b:RefOrder>
  </b:Source>
  <b:Source>
    <b:Tag>Jer12</b:Tag>
    <b:SourceType>InternetSite</b:SourceType>
    <b:Guid>{D08A1025-EC25-4CF8-9082-63D14270F1D9}</b:Guid>
    <b:Author>
      <b:Author>
        <b:NameList>
          <b:Person>
            <b:Last>Langelaar</b:Last>
            <b:First>Jeroen</b:First>
          </b:Person>
        </b:NameList>
      </b:Author>
    </b:Author>
    <b:Title>CBS: Ledental vakbonden op historisch dieptepunt</b:Title>
    <b:InternetSiteTitle>Elsevier</b:InternetSiteTitle>
    <b:Year>2012</b:Year>
    <b:Month>September</b:Month>
    <b:Day>17</b:Day>
    <b:YearAccessed>2015</b:YearAccessed>
    <b:MonthAccessed>Juni</b:MonthAccessed>
    <b:DayAccessed>14</b:DayAccessed>
    <b:URL>http://www.elsevier.nl/Economie/nieuws/2012/9/CBS-Ledental-vakbonden-op-historisch-dieptepunt-ELSEVIER349624W/</b:URL>
    <b:RefOrder>3</b:RefOrder>
  </b:Source>
  <b:Source>
    <b:Tag>Nun13</b:Tag>
    <b:SourceType>InternetSite</b:SourceType>
    <b:Guid>{02BF779F-4DB6-4306-8C0E-0050284EC3C4}</b:Guid>
    <b:Author>
      <b:Author>
        <b:Corporate>Nu.nl</b:Corporate>
      </b:Author>
    </b:Author>
    <b:Title>Jongeren keren vakbonden de rug toe</b:Title>
    <b:InternetSiteTitle>NU.nl</b:InternetSiteTitle>
    <b:Year>2013</b:Year>
    <b:Month>Oktober</b:Month>
    <b:Day>31</b:Day>
    <b:YearAccessed>2015</b:YearAccessed>
    <b:MonthAccessed>Juni</b:MonthAccessed>
    <b:DayAccessed>14</b:DayAccessed>
    <b:URL>http://www.nu.nl/economie/3616143/jongeren-keren-vakbond-rug-toe.html</b:URL>
    <b:RefOrder>2</b:RefOrder>
  </b:Source>
  <b:Source>
    <b:Tag>Hor41</b:Tag>
    <b:SourceType>JournalArticle</b:SourceType>
    <b:Guid>{85B5E9AA-FC7F-45BA-A578-65ED4116E138}</b:Guid>
    <b:Author>
      <b:Author>
        <b:NameList>
          <b:Person>
            <b:Last>Davis</b:Last>
            <b:First>Horace</b:First>
            <b:Middle>B.</b:Middle>
          </b:Person>
        </b:NameList>
      </b:Author>
    </b:Author>
    <b:Title>The Theory of Union Growth</b:Title>
    <b:InternetSiteTitle>The Quarterly Journal of Economics</b:InternetSiteTitle>
    <b:Year>1941</b:Year>
    <b:Month>Augustus</b:Month>
    <b:YearAccessed>2015</b:YearAccessed>
    <b:MonthAccessed>Juni</b:MonthAccessed>
    <b:DayAccessed>19</b:DayAccessed>
    <b:URL>http://www.jstor.org/stable/pdf/1884120.pdf</b:URL>
    <b:JournalName>The Quarterly Journal of Economics</b:JournalName>
    <b:Pages>611-637</b:Pages>
    <b:RefOrder>11</b:RefOrder>
  </b:Source>
  <b:Source>
    <b:Tag>Ste86</b:Tag>
    <b:SourceType>JournalArticle</b:SourceType>
    <b:Guid>{3F2046D5-94BC-4231-81CB-E2114B49815A}</b:Guid>
    <b:Author>
      <b:Author>
        <b:NameList>
          <b:Person>
            <b:Last>Stepina</b:Last>
            <b:First>Lee</b:First>
            <b:Middle>P.</b:Middle>
          </b:Person>
          <b:Person>
            <b:Last>Fiorito</b:Last>
            <b:First>Jack</b:First>
          </b:Person>
        </b:NameList>
      </b:Author>
    </b:Author>
    <b:Title>Toward a Comprehensive Theory of Union Growth and Decline</b:Title>
    <b:JournalName>Industrial Relations</b:JournalName>
    <b:Year>1986</b:Year>
    <b:Pages>248-263</b:Pages>
    <b:RefOrder>12</b:RefOrder>
  </b:Source>
  <b:Source>
    <b:Tag>Ali85</b:Tag>
    <b:SourceType>JournalArticle</b:SourceType>
    <b:Guid>{BCBF5DE8-9C29-4F20-B1DF-A8258F243C00}</b:Guid>
    <b:Author>
      <b:Author>
        <b:NameList>
          <b:Person>
            <b:Last>Booth</b:Last>
            <b:First>Alison</b:First>
            <b:Middle>L.</b:Middle>
          </b:Person>
        </b:NameList>
      </b:Author>
    </b:Author>
    <b:Title>The Free Rider Problem and a Social Custom Model of Trade Union Membership</b:Title>
    <b:InternetSiteTitle>JSTOR Archive</b:InternetSiteTitle>
    <b:Year>1985</b:Year>
    <b:Month>Februari</b:Month>
    <b:YearAccessed>2015</b:YearAccessed>
    <b:MonthAccessed>Juni</b:MonthAccessed>
    <b:DayAccessed>19</b:DayAccessed>
    <b:URL>http://www.jstor.org/stable/pdf/1885744.pdf</b:URL>
    <b:JournalName>The Quarterly Journal of Economics</b:JournalName>
    <b:Pages>253-261</b:Pages>
    <b:RefOrder>10</b:RefOrder>
  </b:Source>
  <b:Source>
    <b:Tag>Bai82</b:Tag>
    <b:SourceType>JournalArticle</b:SourceType>
    <b:Guid>{2C154838-1715-47BD-9284-46D029A5CE90}</b:Guid>
    <b:Title>Union Growth and the Business Cycle</b:Title>
    <b:Year>1982</b:Year>
    <b:Author>
      <b:Author>
        <b:NameList>
          <b:Person>
            <b:Last>Bain</b:Last>
            <b:First>George</b:First>
            <b:Middle>Sayers</b:Middle>
          </b:Person>
          <b:Person>
            <b:Last>Elsheikh</b:Last>
            <b:First>Farouk</b:First>
          </b:Person>
        </b:NameList>
      </b:Author>
    </b:Author>
    <b:JournalName>The British Journal of Industrial Relations</b:JournalName>
    <b:Pages>34-40</b:Pages>
    <b:RefOrder>13</b:RefOrder>
  </b:Source>
  <b:Source>
    <b:Tag>FNV15</b:Tag>
    <b:SourceType>InternetSite</b:SourceType>
    <b:Guid>{1E2A4500-5556-4D69-A443-3B10D68A67F3}</b:Guid>
    <b:Author>
      <b:Author>
        <b:Corporate>FNV</b:Corporate>
      </b:Author>
    </b:Author>
    <b:Title>FNV</b:Title>
    <b:InternetSiteTitle>Federatie Nederlandse Vakbeweging [FNV]</b:InternetSiteTitle>
    <b:Year>2015</b:Year>
    <b:YearAccessed>2015</b:YearAccessed>
    <b:MonthAccessed>Juni</b:MonthAccessed>
    <b:DayAccessed>19</b:DayAccessed>
    <b:URL>http://www.fnv.nl/over-fnv/</b:URL>
    <b:RefOrder>15</b:RefOrder>
  </b:Source>
  <b:Source>
    <b:Tag>Par15</b:Tag>
    <b:SourceType>InternetSite</b:SourceType>
    <b:Guid>{4D4CF574-B8DE-4A64-949E-784F1AE1DA88}</b:Guid>
    <b:Author>
      <b:Author>
        <b:Corporate>Parlement &amp; Politiek</b:Corporate>
      </b:Author>
    </b:Author>
    <b:Title>Kabinet-De Quay (1959-1963)</b:Title>
    <b:InternetSiteTitle>Parlement &amp; Politiek</b:InternetSiteTitle>
    <b:Year>2015</b:Year>
    <b:YearAccessed>2015</b:YearAccessed>
    <b:MonthAccessed>Juni</b:MonthAccessed>
    <b:DayAccessed>20</b:DayAccessed>
    <b:URL>http://www.parlement.com/id/vh8lnhronvwe/kabinet_de_quay_1959_1963</b:URL>
    <b:RefOrder>43</b:RefOrder>
  </b:Source>
  <b:Source>
    <b:Tag>Pet08</b:Tag>
    <b:SourceType>InternetSite</b:SourceType>
    <b:Guid>{884CDD7E-8DE4-4EAC-B960-0BF7B8AB1E4C}</b:Guid>
    <b:Author>
      <b:Author>
        <b:NameList>
          <b:Person>
            <b:Last>van der Heiden</b:Last>
            <b:First>Peter</b:First>
          </b:Person>
        </b:NameList>
      </b:Author>
    </b:Author>
    <b:Title>De vrijere loonvorming die niet vrijer was</b:Title>
    <b:InternetSiteTitle>Sociaal-Economische Raad [SER]</b:InternetSiteTitle>
    <b:Year>2008</b:Year>
    <b:Month>Maart</b:Month>
    <b:YearAccessed>2015</b:YearAccessed>
    <b:MonthAccessed>Juni</b:MonthAccessed>
    <b:DayAccessed>20</b:DayAccessed>
    <b:URL>http://www.ser.nl/nl/publicaties/overzicht%20ser%20bulletin/2008/maart_2008/07.aspx</b:URL>
    <b:RefOrder>16</b:RefOrder>
  </b:Source>
  <b:Source>
    <b:Tag>Cla02</b:Tag>
    <b:SourceType>DocumentFromInternetSite</b:SourceType>
    <b:Guid>{06407592-A83D-40E4-8B00-5C1B9B525851}</b:Guid>
    <b:Author>
      <b:Author>
        <b:NameList>
          <b:Person>
            <b:Last>Schnabel</b:Last>
            <b:First>Claus</b:First>
          </b:Person>
        </b:NameList>
      </b:Author>
    </b:Author>
    <b:Title>Determinants of Trade Union Membership</b:Title>
    <b:InternetSiteTitle>Lehrstuhl für Arbeitsmarkt- und Regionalpolitik</b:InternetSiteTitle>
    <b:Year>2002</b:Year>
    <b:Month>Oktober</b:Month>
    <b:YearAccessed>2015</b:YearAccessed>
    <b:MonthAccessed>Juni</b:MonthAccessed>
    <b:DayAccessed>17</b:DayAccessed>
    <b:URL>http://www.arbeitsmarkt.wiso.uni-erlangen.de/pdf/diskussionspapiere/1270291106_dp15.pdf</b:URL>
    <b:RefOrder>19</b:RefOrder>
  </b:Source>
  <b:Source>
    <b:Tag>Reb14</b:Tag>
    <b:SourceType>DocumentFromInternetSite</b:SourceType>
    <b:Guid>{E919E051-3411-42E6-BF44-96757E74CD3F}</b:Guid>
    <b:Author>
      <b:Author>
        <b:NameList>
          <b:Person>
            <b:Last>Audier</b:Last>
            <b:First>Rebecca</b:First>
          </b:Person>
        </b:NameList>
      </b:Author>
    </b:Author>
    <b:Title>Stakingen in Nederland</b:Title>
    <b:InternetSiteTitle>IS Geschiedenis</b:InternetSiteTitle>
    <b:Year>2014</b:Year>
    <b:Month>Juni</b:Month>
    <b:Day>19</b:Day>
    <b:YearAccessed>2015</b:YearAccessed>
    <b:MonthAccessed>Juni</b:MonthAccessed>
    <b:DayAccessed>23</b:DayAccessed>
    <b:URL>http://www.isgeschiedenis.nl/nieuws/stakingen-nederland/</b:URL>
    <b:RefOrder>20</b:RefOrder>
  </b:Source>
  <b:Source>
    <b:Tag>Bli03</b:Tag>
    <b:SourceType>DocumentFromInternetSite</b:SourceType>
    <b:Guid>{F93470E0-0DB2-4273-9FA2-77C9A47F3314}</b:Guid>
    <b:Author>
      <b:Author>
        <b:Corporate>Blik op de Wereld</b:Corporate>
      </b:Author>
    </b:Author>
    <b:Title>Geschiedenis van de Nederlandse Vakbeweging</b:Title>
    <b:InternetSiteTitle>Blik op de Wereld</b:InternetSiteTitle>
    <b:Year>2003</b:Year>
    <b:YearAccessed>2015</b:YearAccessed>
    <b:MonthAccessed>Juni</b:MonthAccessed>
    <b:DayAccessed>22</b:DayAccessed>
    <b:URL>http://www.blikopdewereld.nl/geschiedenis/nederland/geschiedenis-nederland/1001-geschiedenis-van-de-nederlandse-vakbeweging</b:URL>
    <b:RefOrder>23</b:RefOrder>
  </b:Source>
  <b:Source>
    <b:Tag>Par151</b:Tag>
    <b:SourceType>DocumentFromInternetSite</b:SourceType>
    <b:Guid>{E64E3320-DEFF-4AF6-8D10-6D686B18CAD4}</b:Guid>
    <b:Author>
      <b:Author>
        <b:Corporate>Parlement &amp; Politiek</b:Corporate>
      </b:Author>
    </b:Author>
    <b:Title>Kabinet-Lubbers I (1982-1986)</b:Title>
    <b:InternetSiteTitle>Parlement &amp; Politiek</b:InternetSiteTitle>
    <b:Year>2015</b:Year>
    <b:YearAccessed>2015</b:YearAccessed>
    <b:MonthAccessed>Juni</b:MonthAccessed>
    <b:DayAccessed>23</b:DayAccessed>
    <b:URL>http://www.parlement.com/id/vh8lnhronvw5/kabinet_lubbers_i_1982_1986</b:URL>
    <b:RefOrder>24</b:RefOrder>
  </b:Source>
  <b:Source>
    <b:Tag>deB13</b:Tag>
    <b:SourceType>DocumentFromInternetSite</b:SourceType>
    <b:Guid>{DAD879C8-0FD9-4E47-BF74-C0A02670197B}</b:Guid>
    <b:Author>
      <b:Author>
        <b:NameList>
          <b:Person>
            <b:Last>de Beer</b:Last>
            <b:First>Paul</b:First>
          </b:Person>
        </b:NameList>
      </b:Author>
    </b:Author>
    <b:Title>30 jaar na Wassenaar: de Nederlandse arbeidsverhoudingen in perspectief</b:Title>
    <b:InternetSiteTitle>UvA</b:InternetSiteTitle>
    <b:Year>2013</b:Year>
    <b:YearAccessed>2015</b:YearAccessed>
    <b:MonthAccessed>Juni</b:MonthAccessed>
    <b:DayAccessed>23</b:DayAccessed>
    <b:URL>http://dare.uva.nl/document/2/143221</b:URL>
    <b:RefOrder>44</b:RefOrder>
  </b:Source>
  <b:Source>
    <b:Tag>Han07</b:Tag>
    <b:SourceType>DocumentFromInternetSite</b:SourceType>
    <b:Guid>{4DC1BD68-F13B-487E-853E-85D862030E5F}</b:Guid>
    <b:Author>
      <b:Author>
        <b:NameList>
          <b:Person>
            <b:Last>Bhageloe-Datadin</b:Last>
            <b:First>Rita</b:First>
          </b:Person>
        </b:NameList>
      </b:Author>
    </b:Author>
    <b:Title>De huidige crisis vergeleken met die in de jaren tachtig</b:Title>
    <b:InternetSiteTitle>CBS</b:InternetSiteTitle>
    <b:Year>2007</b:Year>
    <b:Month>November</b:Month>
    <b:Day>21</b:Day>
    <b:YearAccessed>2015</b:YearAccessed>
    <b:MonthAccessed>Juni</b:MonthAccessed>
    <b:DayAccessed>23</b:DayAccessed>
    <b:URL>http://www.cbs.nl/NR/rdonlyres/179BB71B-8AB4-4E62-8DA8-416064C47CB7/0/2012p19p226art.pdf</b:URL>
    <b:RefOrder>25</b:RefOrder>
  </b:Source>
  <b:Source>
    <b:Tag>Par152</b:Tag>
    <b:SourceType>DocumentFromInternetSite</b:SourceType>
    <b:Guid>{AAE5B59C-E3C0-4462-ACD1-774740D5947A}</b:Guid>
    <b:Author>
      <b:Author>
        <b:Corporate>Parlement &amp; Politiek</b:Corporate>
      </b:Author>
    </b:Author>
    <b:Title>Akkoord van Wassenaar (1982)</b:Title>
    <b:InternetSiteTitle>Parlement &amp; Politiek</b:InternetSiteTitle>
    <b:Year>2015</b:Year>
    <b:YearAccessed>2015</b:YearAccessed>
    <b:MonthAccessed>Juni</b:MonthAccessed>
    <b:DayAccessed>23</b:DayAccessed>
    <b:URL>http://www.parlement.com/id/vh8lnhrqszxy/akkoord_van_wassenaar_1982</b:URL>
    <b:RefOrder>8</b:RefOrder>
  </b:Source>
  <b:Source>
    <b:Tag>Sin00</b:Tag>
    <b:SourceType>Book</b:SourceType>
    <b:Guid>{FEE67895-D1B4-4658-8D2B-A8C6E23EF44E}</b:Guid>
    <b:Author>
      <b:Author>
        <b:NameList>
          <b:Person>
            <b:Last>van Sinderen</b:Last>
            <b:First>Jarig</b:First>
          </b:Person>
        </b:NameList>
      </b:Author>
    </b:Author>
    <b:Title>The polder model's main features and its possible role model function</b:Title>
    <b:InternetSiteTitle>Website van Erasmus Universiteit</b:InternetSiteTitle>
    <b:Year>2000</b:Year>
    <b:City>Amsterdam</b:City>
    <b:Publisher>Nederlands Instituut voor het Bank- en Effectenbedrijf</b:Publisher>
    <b:RefOrder>9</b:RefOrder>
  </b:Source>
  <b:Source>
    <b:Tag>Par153</b:Tag>
    <b:SourceType>InternetSite</b:SourceType>
    <b:Guid>{487D353D-05BC-4648-899C-27262998FA1A}</b:Guid>
    <b:Author>
      <b:Author>
        <b:Corporate>Parlement &amp; Politiek</b:Corporate>
      </b:Author>
    </b:Author>
    <b:Title>Parlementaire enquête RSV (Rijn-Schelde-Verolme)</b:Title>
    <b:InternetSiteTitle>Parlement &amp; Politiek</b:InternetSiteTitle>
    <b:Year>2015</b:Year>
    <b:YearAccessed>2015</b:YearAccessed>
    <b:MonthAccessed>Juli</b:MonthAccessed>
    <b:DayAccessed>15</b:DayAccessed>
    <b:URL>http://www.parlement.com/id/vh8lnhrpmxw7/parlementaire_enquete_rsv_rijn_schelde</b:URL>
    <b:RefOrder>28</b:RefOrder>
  </b:Source>
  <b:Source>
    <b:Tag>Osc07</b:Tag>
    <b:SourceType>DocumentFromInternetSite</b:SourceType>
    <b:Guid>{B69E3B6E-C643-4019-A2E5-18491C5F9F92}</b:Guid>
    <b:Title>Panel Data Analysis Fixed and Random Effects using Stata</b:Title>
    <b:InternetSiteTitle>Princeton University</b:InternetSiteTitle>
    <b:Year>2007</b:Year>
    <b:Month>December</b:Month>
    <b:YearAccessed>2015</b:YearAccessed>
    <b:MonthAccessed>Juli</b:MonthAccessed>
    <b:DayAccessed>25</b:DayAccessed>
    <b:URL>http://dss.princeton.edu/training/Panel101.pdf</b:URL>
    <b:Author>
      <b:Author>
        <b:NameList>
          <b:Person>
            <b:Last>Torres-Reyna</b:Last>
            <b:First>Oscar</b:First>
          </b:Person>
        </b:NameList>
      </b:Author>
    </b:Author>
    <b:RefOrder>42</b:RefOrder>
  </b:Source>
  <b:Source>
    <b:Tag>Van14</b:Tag>
    <b:SourceType>DocumentFromInternetSite</b:SourceType>
    <b:Guid>{5B1F693D-2A83-48AD-83A3-D19891EEC5F3}</b:Guid>
    <b:Author>
      <b:Author>
        <b:Corporate>Van Dale</b:Corporate>
      </b:Author>
    </b:Author>
    <b:Title>''Vakbond''</b:Title>
    <b:InternetSiteTitle>Van Dale</b:InternetSiteTitle>
    <b:Year>2014</b:Year>
    <b:YearAccessed>2015</b:YearAccessed>
    <b:MonthAccessed>Juli</b:MonthAccessed>
    <b:DayAccessed>25</b:DayAccessed>
    <b:URL>http://www.vandale.nl/opzoeken?pattern=vakbond&amp;lang=nn#.VbPQfbPtmko</b:URL>
    <b:RefOrder>14</b:RefOrder>
  </b:Source>
  <b:Source>
    <b:Tag>CBS153</b:Tag>
    <b:SourceType>DocumentFromInternetSite</b:SourceType>
    <b:Guid>{396D71F2-77C9-45AA-8051-21574C9A6019}</b:Guid>
    <b:Author>
      <b:Author>
        <b:Corporate>CBS</b:Corporate>
      </b:Author>
    </b:Author>
    <b:Title>''Organisatiegraad''</b:Title>
    <b:InternetSiteTitle>CBS</b:InternetSiteTitle>
    <b:Year>2015</b:Year>
    <b:YearAccessed>2015</b:YearAccessed>
    <b:MonthAccessed>Juni</b:MonthAccessed>
    <b:DayAccessed>22</b:DayAccessed>
    <b:URL>http://www.cbs.nl/nl-NL/menu/methoden/toelichtingen/alfabet/o/organisatiegraad.htm</b:URL>
    <b:RefOrder>22</b:RefOrder>
  </b:Source>
  <b:Source>
    <b:Tag>Ebb02</b:Tag>
    <b:SourceType>JournalArticle</b:SourceType>
    <b:Guid>{E8E3B3EC-D3DE-4AF3-BF7C-78083B84652A}</b:Guid>
    <b:Author>
      <b:Author>
        <b:NameList>
          <b:Person>
            <b:Last>Ebbinghaus</b:Last>
          </b:Person>
        </b:NameList>
      </b:Author>
    </b:Author>
    <b:Title>Trade unions’ changing role: membership erosion, organisational reform, and social partnership in Europe [electronnic version]</b:Title>
    <b:InternetSiteTitle>Industrial Relations Journal</b:InternetSiteTitle>
    <b:Year>2002</b:Year>
    <b:YearAccessed>2015</b:YearAccessed>
    <b:MonthAccessed>Juni</b:MonthAccessed>
    <b:DayAccessed>2</b:DayAccessed>
    <b:URL>http://pubman.mpdl.mpg.de/pubman/item/escidoc:1234567/component/escidoc:2052915/IRJ_33_2002_Ebbinghaus.pdf</b:URL>
    <b:JournalName>Industrial Relations Journal </b:JournalName>
    <b:Pages>465-483</b:Pages>
    <b:RefOrder>5</b:RefOrder>
  </b:Source>
  <b:Source>
    <b:Tag>Joo02</b:Tag>
    <b:SourceType>InternetSite</b:SourceType>
    <b:Guid>{80C6274E-1878-4C58-AACF-9BD502CA4E56}</b:Guid>
    <b:Author>
      <b:Author>
        <b:NameList>
          <b:Person>
            <b:Last>Schippers</b:Last>
            <b:First>Joop</b:First>
          </b:Person>
        </b:NameList>
      </b:Author>
    </b:Author>
    <b:Title>Betaald werk voor vrouwen: van uitzondering naar regel</b:Title>
    <b:InternetSiteTitle>Stichting Emancipatie Online</b:InternetSiteTitle>
    <b:Year>2002</b:Year>
    <b:Month>November</b:Month>
    <b:YearAccessed>2015</b:YearAccessed>
    <b:MonthAccessed>Juni</b:MonthAccessed>
    <b:DayAccessed>17</b:DayAccessed>
    <b:URL>http://www.emancipatie.nl/home/Emancipatie_algemeen/Intro_Emancipatie/Vrouw_en_werk/</b:URL>
    <b:RefOrder>6</b:RefOrder>
  </b:Source>
  <b:Source>
    <b:Tag>CBS10</b:Tag>
    <b:SourceType>DocumentFromInternetSite</b:SourceType>
    <b:Guid>{D31D6E37-7B2D-40F7-93C1-C86ECCBFD96C}</b:Guid>
    <b:Author>
      <b:Author>
        <b:Corporate>CBS</b:Corporate>
      </b:Author>
    </b:Author>
    <b:Title>Nationale rekeningen 2009; Arbeidsrekeningen [Dataset]</b:Title>
    <b:InternetSiteTitle>CBS</b:InternetSiteTitle>
    <b:Year>2010</b:Year>
    <b:Month>Juni</b:Month>
    <b:Day>24</b:Day>
    <b:YearAccessed>2015</b:YearAccessed>
    <b:MonthAccessed>Juli</b:MonthAccessed>
    <b:DayAccessed>26</b:DayAccessed>
    <b:URL>http://statline.cbs.nl/Statweb/publication/?DM=SLNL&amp;PA=7511nr&amp;D1=35-36&amp;D2=0&amp;D3=a&amp;HDR=T&amp;STB=G1,G2&amp;VW=T</b:URL>
    <b:RefOrder>45</b:RefOrder>
  </b:Source>
  <b:Source>
    <b:Tag>Jac14</b:Tag>
    <b:SourceType>InternetSite</b:SourceType>
    <b:Guid>{F9A0F6D8-6E9C-4021-9A10-75C19BA82B42}</b:Guid>
    <b:Author>
      <b:Author>
        <b:NameList>
          <b:Person>
            <b:Last>Lommen</b:Last>
            <b:First>Jacqueline</b:First>
          </b:Person>
        </b:NameList>
      </b:Author>
    </b:Author>
    <b:Title>De veranderende rol van de sociale partners [Column]</b:Title>
    <b:InternetSiteTitle>Robeco</b:InternetSiteTitle>
    <b:Year>2014</b:Year>
    <b:Month>Mei</b:Month>
    <b:Day>16</b:Day>
    <b:YearAccessed>2015</b:YearAccessed>
    <b:MonthAccessed>Juni</b:MonthAccessed>
    <b:DayAccessed>19</b:DayAccessed>
    <b:URL>http://www.robeco.com/nl/professionals/visie-en-themas/columns/2014/de-veranderende-rol-van-de-sociale-partners.jsp</b:URL>
    <b:RefOrder>46</b:RefOrder>
  </b:Source>
  <b:Source>
    <b:Tag>Sti07</b:Tag>
    <b:SourceType>InternetSite</b:SourceType>
    <b:Guid>{DD33B7FA-2571-4782-82E3-674988AD29DC}</b:Guid>
    <b:Author>
      <b:Author>
        <b:Corporate>Stichting van de Arbeid</b:Corporate>
      </b:Author>
    </b:Author>
    <b:Title>Stichting van de Arbeid</b:Title>
    <b:InternetSiteTitle>Stichting van de Arbeid</b:InternetSiteTitle>
    <b:Year>z.d.</b:Year>
    <b:YearAccessed>2015</b:YearAccessed>
    <b:MonthAccessed>Juni</b:MonthAccessed>
    <b:DayAccessed>20</b:DayAccessed>
    <b:URL>http://www.stvda.nl/nl/stichting/geschiedenis.aspx</b:URL>
    <b:RefOrder>47</b:RefOrder>
  </b:Source>
  <b:Source>
    <b:Tag>The15</b:Tag>
    <b:SourceType>DocumentFromInternetSite</b:SourceType>
    <b:Guid>{EFB36C0C-3402-47B4-B89D-16D1639050FA}</b:Guid>
    <b:Title>World Development Indicators [Dataset]</b:Title>
    <b:Year>2015</b:Year>
    <b:Author>
      <b:Author>
        <b:Corporate>The World Bank</b:Corporate>
      </b:Author>
    </b:Author>
    <b:InternetSiteTitle>The World Bank</b:InternetSiteTitle>
    <b:Month>April</b:Month>
    <b:Day>4</b:Day>
    <b:YearAccessed>2015</b:YearAccessed>
    <b:MonthAccessed>Juni</b:MonthAccessed>
    <b:DayAccessed>10</b:DayAccessed>
    <b:URL>http://databank.worldbank.org/data/views/variableselection/selectvariables.aspx?source=world-development-indicators</b:URL>
    <b:RefOrder>18</b:RefOrder>
  </b:Source>
  <b:Source>
    <b:Tag>CBS152</b:Tag>
    <b:SourceType>DocumentFromInternetSite</b:SourceType>
    <b:Guid>{94C7129F-6C44-4A96-AC1B-A78EF0541F44}</b:Guid>
    <b:Author>
      <b:Author>
        <b:Corporate>CBS</b:Corporate>
      </b:Author>
    </b:Author>
    <b:Title>Historie werkstakingen [Dataset]</b:Title>
    <b:InternetSiteTitle>CBS</b:InternetSiteTitle>
    <b:Year>2015</b:Year>
    <b:Month>Mei</b:Month>
    <b:Day>1</b:Day>
    <b:YearAccessed>2015</b:YearAccessed>
    <b:MonthAccessed>Mei</b:MonthAccessed>
    <b:DayAccessed>28</b:DayAccessed>
    <b:URL>http://statline.cbs.nl/Statweb/publication/?VW=T&amp;DM=SLNL&amp;PA=71097ned&amp;D1=a&amp;D2=a&amp;HD=150523-1948&amp;HDR=T&amp;STB=G1</b:URL>
    <b:RefOrder>21</b:RefOrder>
  </b:Source>
  <b:Source>
    <b:Tag>Sch14</b:Tag>
    <b:SourceType>DocumentFromInternetSite</b:SourceType>
    <b:Guid>{FADFA7A3-3BBD-49B4-A140-70DA271C2EE2}</b:Guid>
    <b:Author>
      <b:Author>
        <b:NameList>
          <b:Person>
            <b:Last>Bos</b:Last>
            <b:First>Scholto</b:First>
          </b:Person>
        </b:NameList>
      </b:Author>
    </b:Author>
    <b:Title>''Arbeidsinkomensquote''</b:Title>
    <b:InternetSiteTitle>Economische Begrippen</b:InternetSiteTitle>
    <b:Year>2014</b:Year>
    <b:Month>September</b:Month>
    <b:Day>3</b:Day>
    <b:YearAccessed>2015</b:YearAccessed>
    <b:MonthAccessed>Juni</b:MonthAccessed>
    <b:DayAccessed>23</b:DayAccessed>
    <b:URL>http://www.economische-begrippen.nl/arbeidsinkomensquote-aiq/</b:URL>
    <b:RefOrder>26</b:RefOrder>
  </b:Source>
  <b:Source>
    <b:Tag>Bar12</b:Tag>
    <b:SourceType>Report</b:SourceType>
    <b:Guid>{6B265117-4E14-4952-ADFF-473C44DBE939}</b:Guid>
    <b:Author>
      <b:Author>
        <b:NameList>
          <b:Person>
            <b:Last>Stellinga</b:Last>
            <b:First>Bart</b:First>
          </b:Person>
        </b:NameList>
      </b:Author>
    </b:Author>
    <b:Title>Dertig jaar privatisering, verzelfstandiging en marktwerking</b:Title>
    <b:InternetSiteTitle>Wetenschappelijke Raad voor Regeringsbeleid [WRR]</b:InternetSiteTitle>
    <b:Year>2012</b:Year>
    <b:YearAccessed>2015</b:YearAccessed>
    <b:MonthAccessed>Juli</b:MonthAccessed>
    <b:DayAccessed>22</b:DayAccessed>
    <b:URL>file:///C:/Users/Gebruiker/Downloads/431117.pdf</b:URL>
    <b:Publisher>Amsterdam University Press</b:Publisher>
    <b:City>Amsterdam</b:City>
    <b:RefOrder>27</b:RefOrder>
  </b:Source>
  <b:Source>
    <b:Tag>Rij151</b:Tag>
    <b:SourceType>DocumentFromInternetSite</b:SourceType>
    <b:Guid>{4E08617D-3FE6-4786-928D-39109907DD57}</b:Guid>
    <b:Author>
      <b:Author>
        <b:Corporate>Rijksoverheid</b:Corporate>
      </b:Author>
    </b:Author>
    <b:Title>''Cao''</b:Title>
    <b:InternetSiteTitle>Rijksoverheid</b:InternetSiteTitle>
    <b:Year>2015</b:Year>
    <b:YearAccessed>2015</b:YearAccessed>
    <b:MonthAccessed>Juni</b:MonthAccessed>
    <b:DayAccessed>23</b:DayAccessed>
    <b:URL>http://www.rijksoverheid.nl/onderwerpen/arbeidsovereenkomst-en-cao/vraag-en-antwoord/wat-is-een-cao.html</b:URL>
    <b:RefOrder>30</b:RefOrder>
  </b:Source>
  <b:Source>
    <b:Tag>Harnd</b:Tag>
    <b:SourceType>DocumentFromInternetSite</b:SourceType>
    <b:Guid>{913BB7A2-3057-4475-8B25-31F12010E720}</b:Guid>
    <b:Author>
      <b:Author>
        <b:NameList>
          <b:Person>
            <b:Last>Vogels</b:Last>
            <b:First>Harry</b:First>
          </b:Person>
        </b:NameList>
      </b:Author>
    </b:Author>
    <b:Title>Macht en het poldermodel</b:Title>
    <b:InternetSiteTitle>cao advies</b:InternetSiteTitle>
    <b:Year>z.d.</b:Year>
    <b:YearAccessed>2015</b:YearAccessed>
    <b:MonthAccessed>Juni</b:MonthAccessed>
    <b:DayAccessed>23</b:DayAccessed>
    <b:URL>http://www.caoadvies.nl/publicaties/artikel%20YEBA%20magazine%20(Macht%20en%20het%20poldermodel).pdf</b:URL>
    <b:RefOrder>29</b:RefOrder>
  </b:Source>
  <b:Source>
    <b:Tag>Rij152</b:Tag>
    <b:SourceType>DocumentFromInternetSite</b:SourceType>
    <b:Guid>{7C9D91FD-707C-419F-82A5-DFB24A323E84}</b:Guid>
    <b:Author>
      <b:Author>
        <b:Corporate>Rijksoverheid</b:Corporate>
      </b:Author>
    </b:Author>
    <b:Title>''Arbeidsvoorwaarden''</b:Title>
    <b:InternetSiteTitle>Rijksoverheid</b:InternetSiteTitle>
    <b:Year>2015</b:Year>
    <b:YearAccessed>2015</b:YearAccessed>
    <b:MonthAccessed>Juni</b:MonthAccessed>
    <b:DayAccessed>23</b:DayAccessed>
    <b:URL>http://www.rijksoverheid.nl/onderwerpen/arbeidsovereenkomst-en-cao/vraag-en-antwoord/wat-zijn-arbeidsvoorwaarden.html</b:URL>
    <b:RefOrder>31</b:RefOrder>
  </b:Source>
  <b:Source>
    <b:Tag>CBS154</b:Tag>
    <b:SourceType>DocumentFromInternetSite</b:SourceType>
    <b:Guid>{2D3C6B8A-81DD-4B03-9F2B-F9020A8E9568}</b:Guid>
    <b:Author>
      <b:Author>
        <b:Corporate>CBS</b:Corporate>
      </b:Author>
    </b:Author>
    <b:Title>''Arbeidsvoorwaarden''</b:Title>
    <b:InternetSiteTitle>CBS</b:InternetSiteTitle>
    <b:Year>2015</b:Year>
    <b:YearAccessed>2015</b:YearAccessed>
    <b:MonthAccessed>Juni</b:MonthAccessed>
    <b:DayAccessed>23</b:DayAccessed>
    <b:URL>http://www.cbs.nl/nl-NL/menu/methoden/begrippen/default.htm?ConceptID=80</b:URL>
    <b:RefOrder>32</b:RefOrder>
  </b:Source>
  <b:Source>
    <b:Tag>Mar11</b:Tag>
    <b:SourceType>InternetSite</b:SourceType>
    <b:Guid>{B6BF3571-9D4B-4A99-B485-92A4AFA627FF}</b:Guid>
    <b:Author>
      <b:Author>
        <b:NameList>
          <b:Person>
            <b:Last>Willems</b:Last>
            <b:First>Marije</b:First>
          </b:Person>
        </b:NameList>
      </b:Author>
    </b:Author>
    <b:Title>Vergrijzing van de vakbeweging neemt toe</b:Title>
    <b:InternetSiteTitle>NRC</b:InternetSiteTitle>
    <b:Year>2011</b:Year>
    <b:Month>Oktober</b:Month>
    <b:Day>10</b:Day>
    <b:YearAccessed>2015</b:YearAccessed>
    <b:MonthAccessed>Juni</b:MonthAccessed>
    <b:DayAccessed>18</b:DayAccessed>
    <b:URL>http://www.nrc.nl/nieuws/2011/10/10/vergrijzing-van-de-vakbeweging-neemt-toe/#</b:URL>
    <b:RefOrder>4</b:RefOrder>
  </b:Source>
  <b:Source>
    <b:Tag>CBS142</b:Tag>
    <b:SourceType>InternetSite</b:SourceType>
    <b:Guid>{26A5A196-E83A-4826-9DA6-2E1A37C13A3A}</b:Guid>
    <b:Author>
      <b:Author>
        <b:Corporate>CBS</b:Corporate>
      </b:Author>
    </b:Author>
    <b:Title>Beroepsbevolking; vanaf 1800 (12-uursgrens) [Dataset]</b:Title>
    <b:InternetSiteTitle>CBS</b:InternetSiteTitle>
    <b:Year>2014</b:Year>
    <b:Month>April</b:Month>
    <b:Day>4</b:Day>
    <b:YearAccessed>2015</b:YearAccessed>
    <b:MonthAccessed>Juli</b:MonthAccessed>
    <b:DayAccessed>11</b:DayAccessed>
    <b:URL>http://statline.cbs.nl/Statweb/publication/?DM=SLNL&amp;PA=71882NED&amp;D1=1,17&amp;D2=a&amp;D3=0&amp;D4=160-</b:URL>
    <b:RefOrder>37</b:RefOrder>
  </b:Source>
  <b:Source>
    <b:Tag>OEC151</b:Tag>
    <b:SourceType>InternetSite</b:SourceType>
    <b:Guid>{A77E853A-E053-43E5-B544-B99F096CE755}</b:Guid>
    <b:Title>Inflation (CPI): total, Annual growth rate (%) [Dataset]</b:Title>
    <b:Year>2015</b:Year>
    <b:Author>
      <b:Author>
        <b:Corporate>OECD</b:Corporate>
      </b:Author>
    </b:Author>
    <b:InternetSiteTitle>OECD</b:InternetSiteTitle>
    <b:YearAccessed>2015</b:YearAccessed>
    <b:MonthAccessed>Juli</b:MonthAccessed>
    <b:DayAccessed>12</b:DayAccessed>
    <b:URL>https://data.oecd.org/price/inflation-cpi.htm#indicator-chart</b:URL>
    <b:RefOrder>34</b:RefOrder>
  </b:Source>
  <b:Source>
    <b:Tag>Sta15</b:Tag>
    <b:SourceType>InternetSite</b:SourceType>
    <b:Guid>{69271B0B-27AC-4889-A381-644C8FC19213}</b:Guid>
    <b:Author>
      <b:Author>
        <b:Corporate>Statistisches Bundesamt</b:Corporate>
      </b:Author>
    </b:Author>
    <b:Title>Registered Unemployed, Unemployment rate by area [Dataset]</b:Title>
    <b:InternetSiteTitle>Statistisches Bundesamt</b:InternetSiteTitle>
    <b:Year>2015</b:Year>
    <b:YearAccessed>2015</b:YearAccessed>
    <b:MonthAccessed>Juli</b:MonthAccessed>
    <b:DayAccessed>12</b:DayAccessed>
    <b:URL>https://www.destatis.de/EN/FactsFigures/Indicators/LongTermSeries/LabourMarket/lrarb003.html?cms_gtp=150326_list%253D1&amp;https=1</b:URL>
    <b:RefOrder>35</b:RefOrder>
  </b:Source>
  <b:Source>
    <b:Tag>Sta151</b:Tag>
    <b:SourceType>InternetSite</b:SourceType>
    <b:Guid>{72D7924A-F31A-41CE-88A2-54CB2D96BC8F}</b:Guid>
    <b:Author>
      <b:Author>
        <b:Corporate>Statistics Japan</b:Corporate>
      </b:Author>
    </b:Author>
    <b:Title>Historical data [Dataset]</b:Title>
    <b:InternetSiteTitle>Statistics Japan</b:InternetSiteTitle>
    <b:Year>2015</b:Year>
    <b:YearAccessed>2015</b:YearAccessed>
    <b:MonthAccessed>Juli</b:MonthAccessed>
    <b:DayAccessed>11</b:DayAccessed>
    <b:URL>http://www.stat.go.jp/english/data/roudou/lngindex.htm</b:URL>
    <b:Month>Juli</b:Month>
    <b:Day>22</b:Day>
    <b:RefOrder>36</b:RefOrder>
  </b:Source>
  <b:Source>
    <b:Tag>Kla15</b:Tag>
    <b:SourceType>InternetSite</b:SourceType>
    <b:Guid>{A7747455-46C0-45B0-8C35-D268091B9897}</b:Guid>
    <b:Title>Unemployment in Switzerland (1990 - present) [Dataset]</b:Title>
    <b:Year>2015</b:Year>
    <b:Author>
      <b:Author>
        <b:NameList>
          <b:Person>
            <b:Last>Daube</b:Last>
            <b:First>Klaus</b:First>
          </b:Person>
        </b:NameList>
      </b:Author>
    </b:Author>
    <b:InternetSiteTitle>Klaus Daube</b:InternetSiteTitle>
    <b:Month>Juni</b:Month>
    <b:Day>10</b:Day>
    <b:YearAccessed>2015</b:YearAccessed>
    <b:MonthAccessed>Juli</b:MonthAccessed>
    <b:DayAccessed>19</b:DayAccessed>
    <b:URL>http://www.daube.ch/opinions/akld12.html</b:URL>
    <b:RefOrder>38</b:RefOrder>
  </b:Source>
  <b:Source>
    <b:Tag>OEC152</b:Tag>
    <b:SourceType>InternetSite</b:SourceType>
    <b:Guid>{DDAA27CF-5CB9-441C-A071-25C013265A33}</b:Guid>
    <b:Author>
      <b:Author>
        <b:Corporate>OECD</b:Corporate>
      </b:Author>
    </b:Author>
    <b:Title>Employee compensation by activity [Dataset]</b:Title>
    <b:InternetSiteTitle>OECD</b:InternetSiteTitle>
    <b:Year>2015</b:Year>
    <b:YearAccessed>2015</b:YearAccessed>
    <b:MonthAccessed>Juli</b:MonthAccessed>
    <b:DayAccessed>12</b:DayAccessed>
    <b:URL>https://data.oecd.org/earnwage/employee-compensation-by-activity.htm#indicator-chart</b:URL>
    <b:RefOrder>39</b:RefOrder>
  </b:Source>
  <b:Source>
    <b:Tag>Chr10</b:Tag>
    <b:SourceType>DocumentFromInternetSite</b:SourceType>
    <b:Guid>{212A8108-164F-4EEE-9174-AB529C4E4A58}</b:Guid>
    <b:Title>Panel Data Econometrics</b:Title>
    <b:InternetSiteTitle>Université d'Orléans</b:InternetSiteTitle>
    <b:Year>2010</b:Year>
    <b:Month>Januari</b:Month>
    <b:YearAccessed>2015</b:YearAccessed>
    <b:MonthAccessed>Juli</b:MonthAccessed>
    <b:DayAccessed>22</b:DayAccessed>
    <b:URL>http://www.univ-orleans.fr/deg/masters/ESA/CH/Geneve_Chapitre0.pdf</b:URL>
    <b:Author>
      <b:Author>
        <b:NameList>
          <b:Person>
            <b:Last>Hurlin</b:Last>
            <b:First>Christophe</b:First>
          </b:Person>
        </b:NameList>
      </b:Author>
    </b:Author>
    <b:RefOrder>41</b:RefOrder>
  </b:Source>
  <b:Source>
    <b:Tag>Inf13</b:Tag>
    <b:SourceType>DocumentFromInternetSite</b:SourceType>
    <b:Guid>{DB38BE75-1DA2-4D25-9949-685D33B6519A}</b:Guid>
    <b:Title>Data Base on Institutional Characteristics of Trade Unions, Wage Setting, State Intervention and Social Pacts, 1960-2011 (ICTWSS)</b:Title>
    <b:InternetSiteTitle>UvA</b:InternetSiteTitle>
    <b:Year>2013</b:Year>
    <b:Month>April</b:Month>
    <b:YearAccessed>2015</b:YearAccessed>
    <b:MonthAccessed>Juni</b:MonthAccessed>
    <b:DayAccessed>4</b:DayAccessed>
    <b:URL>http://www.uva-aias.net/uploaded_files/regular/ICTWSScodebook40.pdf</b:URL>
    <b:Author>
      <b:Author>
        <b:NameList>
          <b:Person>
            <b:Last>Visser</b:Last>
            <b:First>Jelle</b:First>
          </b:Person>
        </b:NameList>
      </b:Author>
    </b:Author>
    <b:RefOrder>48</b:RefOrder>
  </b:Source>
  <b:Source>
    <b:Tag>Jel13</b:Tag>
    <b:SourceType>InternetSite</b:SourceType>
    <b:Guid>{9B6A1F5B-1D23-48AF-8921-696254F8D204}</b:Guid>
    <b:Author>
      <b:Author>
        <b:NameList>
          <b:Person>
            <b:Last>Visser</b:Last>
            <b:First>Jelle</b:First>
          </b:Person>
        </b:NameList>
      </b:Author>
    </b:Author>
    <b:Title>ICTWSS: Database on Institutional Characteristics of Trade Unions, Wage Setting, State Intervention and Social Pacts in 34 countries between 1960 and 2012 [Dataset]</b:Title>
    <b:InternetSiteTitle>UvA</b:InternetSiteTitle>
    <b:Year>2013</b:Year>
    <b:Month>April</b:Month>
    <b:YearAccessed>2015</b:YearAccessed>
    <b:MonthAccessed>Mei</b:MonthAccessed>
    <b:DayAccessed>30</b:DayAccessed>
    <b:URL>http://www.uva-aias.net/208</b:URL>
    <b:Day>4</b:Day>
    <b:RefOrder>49</b:RefOrder>
  </b:Source>
  <b:Source xmlns:b="http://schemas.openxmlformats.org/officeDocument/2006/bibliography">
    <b:Tag>Pau12</b:Tag>
    <b:SourceType>DocumentFromInternetSite</b:SourceType>
    <b:Guid>{5E071FCF-BA01-4B12-B9A3-DFFD9372A6D5}</b:Guid>
    <b:Author>
      <b:Author>
        <b:NameList>
          <b:Person>
            <b:Last>de Beer</b:Last>
            <b:First>Paul</b:First>
          </b:Person>
        </b:NameList>
      </b:Author>
    </b:Author>
    <b:Title>De toekomst van de vakbeweging</b:Title>
    <b:InternetSiteTitle>Universiteit van Amsterdam [UvA]</b:InternetSiteTitle>
    <b:Year>2012</b:Year>
    <b:YearAccessed>2015</b:YearAccessed>
    <b:MonthAccessed>Juni</b:MonthAccessed>
    <b:DayAccessed>19</b:DayAccessed>
    <b:URL>http://dare.uva.nl/document/2/129642</b:URL>
    <b:RefOrder>50</b:RefOrder>
  </b:Source>
  <b:Source>
    <b:Tag>CBS151</b:Tag>
    <b:SourceType>InternetSite</b:SourceType>
    <b:Guid>{DB7B39AF-E41E-4DF1-A4B5-41E7D706E331}</b:Guid>
    <b:Author>
      <b:Author>
        <b:Corporate>Centraal Bureau voor de Statistiek [CBS]</b:Corporate>
      </b:Author>
    </b:Author>
    <b:Title>Arbeidsdeelname; kerncijfers (12-uursgrens) [Dataset]</b:Title>
    <b:InternetSiteTitle>CBS</b:InternetSiteTitle>
    <b:Year>2015</b:Year>
    <b:Month>Mei</b:Month>
    <b:Day>13</b:Day>
    <b:YearAccessed>2015</b:YearAccessed>
    <b:MonthAccessed>Juni</b:MonthAccessed>
    <b:DayAccessed>18</b:DayAccessed>
    <b:URL>http://statline.cbs.nl/StatWeb/publication/?VW=T&amp;DM=SLNL&amp;PA=71738NED&amp;D1=24-26&amp;D2=1-2&amp;D3=0&amp;D4=0&amp;D5=a&amp;HD=110610-1554&amp;HDR=G3,G2,T,G1&amp;STB=G4</b:URL>
    <b:RefOrder>7</b:RefOrder>
  </b:Source>
  <b:Source>
    <b:Tag>OEC15</b:Tag>
    <b:SourceType>InternetSite</b:SourceType>
    <b:Guid>{DC307D57-1315-4B75-988D-903596508F4E}</b:Guid>
    <b:Title>''Employee compensation by activity''</b:Title>
    <b:Year>2015</b:Year>
    <b:Author>
      <b:Author>
        <b:Corporate>Organisation for Economic Cooperation and Development [OECD]</b:Corporate>
      </b:Author>
    </b:Author>
    <b:InternetSiteTitle>OECD</b:InternetSiteTitle>
    <b:YearAccessed>2015</b:YearAccessed>
    <b:MonthAccessed>Juli</b:MonthAccessed>
    <b:DayAccessed>15</b:DayAccessed>
    <b:URL>https://data.oecd.org/earnwage/employee-compensation-by-activity.htm#indicator-chart</b:URL>
    <b:RefOrder>33</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FF00183-9BEF-4D97-9899-F8AAA6411B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46</Pages>
  <Words>16123</Words>
  <Characters>88681</Characters>
  <Application>Microsoft Office Word</Application>
  <DocSecurity>0</DocSecurity>
  <Lines>739</Lines>
  <Paragraphs>209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dE INVLOED VAN hET AKKOORD VAN WASSENAAR OP DE NEDERLANDSE ORGANISATIEGRAAD</vt:lpstr>
      <vt:lpstr>dE INVLOED VAN hET AKKOORD VAN WASSENAAR OP DE NEDERLANDSE ORGANISATIEGRAAD</vt:lpstr>
    </vt:vector>
  </TitlesOfParts>
  <Company>Erasmus Universiteit Rotterdam</Company>
  <LinksUpToDate>false</LinksUpToDate>
  <CharactersWithSpaces>104595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 INVLOED VAN hET AKKOORD VAN WASSENAAR OP DE NEDERLANDSE ORGANISATIEGRAAD</dc:title>
  <dc:creator>Gebruiker</dc:creator>
  <cp:lastModifiedBy>M.M. Viola Gonzalez</cp:lastModifiedBy>
  <cp:revision>2</cp:revision>
  <dcterms:created xsi:type="dcterms:W3CDTF">2015-07-28T11:47:00Z</dcterms:created>
  <dcterms:modified xsi:type="dcterms:W3CDTF">2015-07-28T11:47:00Z</dcterms:modified>
</cp:coreProperties>
</file>