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3960B" w14:textId="77777777" w:rsidR="00D716D3" w:rsidRPr="00F14751" w:rsidRDefault="00BC18BC" w:rsidP="00C8508E">
      <w:pPr>
        <w:pStyle w:val="Title"/>
        <w:spacing w:line="360" w:lineRule="auto"/>
        <w:jc w:val="both"/>
        <w:rPr>
          <w:rFonts w:cs="Times New Roman"/>
          <w:color w:val="auto"/>
          <w:sz w:val="44"/>
          <w:szCs w:val="40"/>
        </w:rPr>
      </w:pPr>
      <w:bookmarkStart w:id="0" w:name="_GoBack"/>
      <w:bookmarkEnd w:id="0"/>
      <w:r w:rsidRPr="00F14751">
        <w:rPr>
          <w:rFonts w:cs="Times New Roman"/>
          <w:color w:val="auto"/>
          <w:sz w:val="44"/>
          <w:szCs w:val="40"/>
        </w:rPr>
        <w:t>The Impa</w:t>
      </w:r>
      <w:r w:rsidR="00D716D3" w:rsidRPr="00F14751">
        <w:rPr>
          <w:rFonts w:cs="Times New Roman"/>
          <w:color w:val="auto"/>
          <w:sz w:val="44"/>
          <w:szCs w:val="40"/>
        </w:rPr>
        <w:t xml:space="preserve">ct of </w:t>
      </w:r>
      <w:r w:rsidR="000475A0" w:rsidRPr="00F14751">
        <w:rPr>
          <w:rFonts w:cs="Times New Roman"/>
          <w:color w:val="auto"/>
          <w:sz w:val="44"/>
          <w:szCs w:val="40"/>
        </w:rPr>
        <w:t>Structural</w:t>
      </w:r>
      <w:r w:rsidR="00D716D3" w:rsidRPr="00F14751">
        <w:rPr>
          <w:rFonts w:cs="Times New Roman"/>
          <w:color w:val="auto"/>
          <w:sz w:val="44"/>
          <w:szCs w:val="40"/>
        </w:rPr>
        <w:t xml:space="preserve"> Reforms on Poverty and </w:t>
      </w:r>
      <w:r w:rsidR="00231F83" w:rsidRPr="00F14751">
        <w:rPr>
          <w:rFonts w:cs="Times New Roman"/>
          <w:color w:val="auto"/>
          <w:sz w:val="44"/>
          <w:szCs w:val="40"/>
        </w:rPr>
        <w:t xml:space="preserve">Income </w:t>
      </w:r>
      <w:r w:rsidR="00955BCE" w:rsidRPr="00F14751">
        <w:rPr>
          <w:rFonts w:cs="Times New Roman"/>
          <w:color w:val="auto"/>
          <w:sz w:val="44"/>
          <w:szCs w:val="40"/>
        </w:rPr>
        <w:t>Inequality</w:t>
      </w:r>
      <w:r w:rsidR="00D716D3" w:rsidRPr="00F14751">
        <w:rPr>
          <w:rFonts w:cs="Times New Roman"/>
          <w:color w:val="auto"/>
          <w:sz w:val="44"/>
          <w:szCs w:val="40"/>
        </w:rPr>
        <w:t xml:space="preserve"> in Latin America</w:t>
      </w:r>
    </w:p>
    <w:p w14:paraId="41AFE0EA" w14:textId="77777777" w:rsidR="00D716D3" w:rsidRPr="00F14751" w:rsidRDefault="00D716D3" w:rsidP="00C8508E">
      <w:pPr>
        <w:pStyle w:val="NoSpacing"/>
        <w:spacing w:line="360" w:lineRule="auto"/>
        <w:jc w:val="both"/>
        <w:rPr>
          <w:rFonts w:asciiTheme="majorHAnsi" w:hAnsiTheme="majorHAnsi" w:cs="Times New Roman"/>
        </w:rPr>
      </w:pPr>
    </w:p>
    <w:p w14:paraId="13543E56" w14:textId="77777777" w:rsidR="00D716D3" w:rsidRPr="00F14751" w:rsidRDefault="00D716D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Erasmus University Rotterdam</w:t>
      </w:r>
    </w:p>
    <w:p w14:paraId="21E82E1A" w14:textId="77777777" w:rsidR="00D716D3" w:rsidRPr="00F14751" w:rsidRDefault="00D716D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Erasmus School of Economics</w:t>
      </w:r>
    </w:p>
    <w:p w14:paraId="633D7283" w14:textId="77777777" w:rsidR="00D716D3" w:rsidRPr="00F14751" w:rsidRDefault="00D716D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Department of Economics</w:t>
      </w:r>
    </w:p>
    <w:p w14:paraId="475EE7FA" w14:textId="77777777" w:rsidR="00D716D3" w:rsidRPr="00F14751" w:rsidRDefault="00D716D3" w:rsidP="00C8508E">
      <w:pPr>
        <w:pStyle w:val="NoSpacing"/>
        <w:spacing w:line="360" w:lineRule="auto"/>
        <w:jc w:val="both"/>
        <w:rPr>
          <w:rFonts w:asciiTheme="majorHAnsi" w:hAnsiTheme="majorHAnsi" w:cs="Times New Roman"/>
          <w:sz w:val="24"/>
          <w:szCs w:val="24"/>
        </w:rPr>
      </w:pPr>
    </w:p>
    <w:p w14:paraId="1EF63A3D" w14:textId="77777777" w:rsidR="00D716D3" w:rsidRPr="00F14751" w:rsidRDefault="00D716D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Master Thesis</w:t>
      </w:r>
    </w:p>
    <w:p w14:paraId="6724F686" w14:textId="77777777" w:rsidR="00D716D3" w:rsidRPr="00F14751" w:rsidRDefault="00D716D3" w:rsidP="00C8508E">
      <w:pPr>
        <w:pStyle w:val="NoSpacing"/>
        <w:spacing w:line="360" w:lineRule="auto"/>
        <w:jc w:val="both"/>
        <w:rPr>
          <w:rFonts w:asciiTheme="majorHAnsi" w:hAnsiTheme="majorHAnsi" w:cs="Times New Roman"/>
          <w:sz w:val="24"/>
          <w:szCs w:val="24"/>
        </w:rPr>
      </w:pPr>
    </w:p>
    <w:p w14:paraId="10124DA5" w14:textId="77777777" w:rsidR="00D716D3" w:rsidRPr="00F14751" w:rsidRDefault="00D716D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W.A </w:t>
      </w:r>
      <w:proofErr w:type="spellStart"/>
      <w:r w:rsidRPr="00F14751">
        <w:rPr>
          <w:rFonts w:asciiTheme="majorHAnsi" w:hAnsiTheme="majorHAnsi" w:cs="Times New Roman"/>
          <w:sz w:val="24"/>
          <w:szCs w:val="24"/>
        </w:rPr>
        <w:t>Stijl</w:t>
      </w:r>
      <w:proofErr w:type="spellEnd"/>
    </w:p>
    <w:p w14:paraId="29397A0D" w14:textId="77777777" w:rsidR="00D716D3" w:rsidRPr="00F14751" w:rsidRDefault="00D716D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Student number: 384912</w:t>
      </w:r>
    </w:p>
    <w:p w14:paraId="1D0C06A9" w14:textId="77777777" w:rsidR="00D716D3" w:rsidRPr="00F14751" w:rsidRDefault="00D716D3" w:rsidP="00C8508E">
      <w:pPr>
        <w:pStyle w:val="NoSpacing"/>
        <w:spacing w:line="360" w:lineRule="auto"/>
        <w:jc w:val="both"/>
        <w:rPr>
          <w:rFonts w:asciiTheme="majorHAnsi" w:hAnsiTheme="majorHAnsi" w:cs="Times New Roman"/>
          <w:sz w:val="24"/>
          <w:szCs w:val="24"/>
        </w:rPr>
      </w:pPr>
    </w:p>
    <w:p w14:paraId="7168553D" w14:textId="77777777" w:rsidR="00D716D3" w:rsidRPr="00F14751" w:rsidRDefault="001C23C3"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Supervisor: </w:t>
      </w:r>
      <w:r w:rsidR="00D716D3" w:rsidRPr="00F14751">
        <w:rPr>
          <w:rFonts w:asciiTheme="majorHAnsi" w:hAnsiTheme="majorHAnsi" w:cs="Times New Roman"/>
          <w:sz w:val="24"/>
          <w:szCs w:val="24"/>
        </w:rPr>
        <w:t>Dr. B.S.Y. Crutzen</w:t>
      </w:r>
    </w:p>
    <w:p w14:paraId="4A9AE8D1" w14:textId="063630DD" w:rsidR="001C23C3" w:rsidRPr="00F14751" w:rsidRDefault="001D3C5E" w:rsidP="00C8508E">
      <w:pPr>
        <w:pStyle w:val="NoSpacing"/>
        <w:spacing w:line="360" w:lineRule="auto"/>
        <w:jc w:val="both"/>
        <w:rPr>
          <w:rFonts w:asciiTheme="majorHAnsi" w:hAnsiTheme="majorHAnsi" w:cs="Times New Roman"/>
          <w:szCs w:val="24"/>
        </w:rPr>
      </w:pPr>
      <w:r w:rsidRPr="00F14751">
        <w:rPr>
          <w:rFonts w:asciiTheme="majorHAnsi" w:hAnsiTheme="majorHAnsi" w:cs="Times New Roman"/>
          <w:sz w:val="24"/>
          <w:szCs w:val="24"/>
        </w:rPr>
        <w:t xml:space="preserve">Second </w:t>
      </w:r>
      <w:r w:rsidR="001C23C3" w:rsidRPr="00F14751">
        <w:rPr>
          <w:rFonts w:asciiTheme="majorHAnsi" w:hAnsiTheme="majorHAnsi" w:cs="Times New Roman"/>
          <w:sz w:val="24"/>
          <w:szCs w:val="24"/>
        </w:rPr>
        <w:t xml:space="preserve">Supervisor: Dr. </w:t>
      </w:r>
      <w:r w:rsidR="00796DD9">
        <w:rPr>
          <w:rFonts w:asciiTheme="majorHAnsi" w:hAnsiTheme="majorHAnsi" w:cs="Times New Roman"/>
          <w:sz w:val="24"/>
          <w:szCs w:val="24"/>
        </w:rPr>
        <w:t xml:space="preserve">D. </w:t>
      </w:r>
      <w:proofErr w:type="spellStart"/>
      <w:r w:rsidR="00796DD9">
        <w:rPr>
          <w:rFonts w:asciiTheme="majorHAnsi" w:hAnsiTheme="majorHAnsi" w:cs="Times New Roman"/>
          <w:sz w:val="24"/>
          <w:szCs w:val="24"/>
        </w:rPr>
        <w:t>Sisak</w:t>
      </w:r>
      <w:proofErr w:type="spellEnd"/>
    </w:p>
    <w:p w14:paraId="33E263E2" w14:textId="77777777" w:rsidR="001C23C3" w:rsidRPr="00F14751" w:rsidRDefault="001C23C3" w:rsidP="00C8508E">
      <w:pPr>
        <w:pStyle w:val="NoSpacing"/>
        <w:spacing w:line="360" w:lineRule="auto"/>
        <w:jc w:val="both"/>
        <w:rPr>
          <w:rFonts w:asciiTheme="majorHAnsi" w:hAnsiTheme="majorHAnsi" w:cs="Times New Roman"/>
          <w:sz w:val="24"/>
          <w:szCs w:val="24"/>
        </w:rPr>
      </w:pPr>
    </w:p>
    <w:p w14:paraId="0F1E934C" w14:textId="77777777" w:rsidR="00D716D3" w:rsidRPr="00F14751" w:rsidRDefault="00D716D3" w:rsidP="00C8508E">
      <w:pPr>
        <w:spacing w:line="360" w:lineRule="auto"/>
        <w:jc w:val="both"/>
        <w:rPr>
          <w:rFonts w:asciiTheme="majorHAnsi" w:hAnsiTheme="majorHAnsi" w:cs="Times New Roman"/>
          <w:sz w:val="24"/>
        </w:rPr>
      </w:pPr>
    </w:p>
    <w:p w14:paraId="230574F2" w14:textId="77777777" w:rsidR="00D716D3" w:rsidRPr="00F14751" w:rsidRDefault="00D716D3" w:rsidP="00C8508E">
      <w:pPr>
        <w:spacing w:line="360" w:lineRule="auto"/>
        <w:jc w:val="both"/>
        <w:rPr>
          <w:rFonts w:asciiTheme="majorHAnsi" w:hAnsiTheme="majorHAnsi" w:cs="Times New Roman"/>
          <w:sz w:val="24"/>
        </w:rPr>
      </w:pPr>
    </w:p>
    <w:p w14:paraId="23643372" w14:textId="292B86CE" w:rsidR="00426166" w:rsidRPr="00F14751" w:rsidRDefault="00D716D3" w:rsidP="00C8508E">
      <w:pPr>
        <w:pStyle w:val="NoSpacing"/>
        <w:spacing w:line="360" w:lineRule="auto"/>
        <w:jc w:val="both"/>
        <w:rPr>
          <w:rFonts w:asciiTheme="majorHAnsi" w:hAnsiTheme="majorHAnsi"/>
          <w:sz w:val="24"/>
        </w:rPr>
      </w:pPr>
      <w:r w:rsidRPr="00F14751">
        <w:rPr>
          <w:rFonts w:asciiTheme="majorHAnsi" w:hAnsiTheme="majorHAnsi"/>
          <w:b/>
          <w:sz w:val="24"/>
          <w:szCs w:val="24"/>
        </w:rPr>
        <w:t>Abstract:</w:t>
      </w:r>
      <w:r w:rsidRPr="00F14751">
        <w:rPr>
          <w:rFonts w:asciiTheme="majorHAnsi" w:hAnsiTheme="majorHAnsi"/>
          <w:sz w:val="24"/>
          <w:szCs w:val="24"/>
        </w:rPr>
        <w:t xml:space="preserve"> </w:t>
      </w:r>
      <w:r w:rsidR="00B6056A" w:rsidRPr="00F14751">
        <w:rPr>
          <w:rFonts w:asciiTheme="majorHAnsi" w:hAnsiTheme="majorHAnsi"/>
          <w:sz w:val="24"/>
          <w:szCs w:val="24"/>
        </w:rPr>
        <w:t>This study investigates empirically the relationship between structural refo</w:t>
      </w:r>
      <w:r w:rsidR="00626C98">
        <w:rPr>
          <w:rFonts w:asciiTheme="majorHAnsi" w:hAnsiTheme="majorHAnsi"/>
          <w:sz w:val="24"/>
          <w:szCs w:val="24"/>
        </w:rPr>
        <w:t xml:space="preserve">rms and poverty and inequality in Latin America </w:t>
      </w:r>
      <w:r w:rsidR="00B6056A" w:rsidRPr="00F14751">
        <w:rPr>
          <w:rFonts w:asciiTheme="majorHAnsi" w:hAnsiTheme="majorHAnsi"/>
          <w:sz w:val="24"/>
          <w:szCs w:val="24"/>
        </w:rPr>
        <w:t>in the period 1985-2010.</w:t>
      </w:r>
      <w:r w:rsidR="00190333" w:rsidRPr="00F14751">
        <w:rPr>
          <w:rFonts w:asciiTheme="majorHAnsi" w:hAnsiTheme="majorHAnsi"/>
          <w:sz w:val="24"/>
          <w:szCs w:val="24"/>
        </w:rPr>
        <w:t xml:space="preserve"> </w:t>
      </w:r>
      <w:r w:rsidR="00CE0F91" w:rsidRPr="00F14751">
        <w:rPr>
          <w:rFonts w:asciiTheme="majorHAnsi" w:hAnsiTheme="majorHAnsi"/>
          <w:sz w:val="24"/>
          <w:szCs w:val="24"/>
        </w:rPr>
        <w:t>The results suggest that structural reforms</w:t>
      </w:r>
      <w:r w:rsidR="00F27871" w:rsidRPr="00F14751">
        <w:rPr>
          <w:rFonts w:asciiTheme="majorHAnsi" w:hAnsiTheme="majorHAnsi"/>
          <w:sz w:val="24"/>
          <w:szCs w:val="24"/>
        </w:rPr>
        <w:t>, in general,</w:t>
      </w:r>
      <w:r w:rsidR="00CE0F91" w:rsidRPr="00F14751">
        <w:rPr>
          <w:rFonts w:asciiTheme="majorHAnsi" w:hAnsiTheme="majorHAnsi"/>
          <w:sz w:val="24"/>
          <w:szCs w:val="24"/>
        </w:rPr>
        <w:t xml:space="preserve"> </w:t>
      </w:r>
      <w:r w:rsidR="007618FC" w:rsidRPr="00F14751">
        <w:rPr>
          <w:rFonts w:asciiTheme="majorHAnsi" w:hAnsiTheme="majorHAnsi"/>
          <w:sz w:val="24"/>
          <w:szCs w:val="24"/>
        </w:rPr>
        <w:t>have a significant positive effect on poverty</w:t>
      </w:r>
      <w:r w:rsidR="00C1674F" w:rsidRPr="00F14751">
        <w:rPr>
          <w:rFonts w:asciiTheme="majorHAnsi" w:hAnsiTheme="majorHAnsi"/>
          <w:sz w:val="24"/>
          <w:szCs w:val="24"/>
        </w:rPr>
        <w:t>.</w:t>
      </w:r>
      <w:r w:rsidR="000475A0" w:rsidRPr="00F14751">
        <w:rPr>
          <w:rFonts w:asciiTheme="majorHAnsi" w:hAnsiTheme="majorHAnsi"/>
          <w:sz w:val="24"/>
          <w:szCs w:val="24"/>
        </w:rPr>
        <w:t xml:space="preserve"> </w:t>
      </w:r>
      <w:r w:rsidR="00C1674F" w:rsidRPr="00F14751">
        <w:rPr>
          <w:rFonts w:asciiTheme="majorHAnsi" w:hAnsiTheme="majorHAnsi"/>
          <w:sz w:val="24"/>
          <w:szCs w:val="24"/>
        </w:rPr>
        <w:t>This is mainly caused by financial reforms and privatizations which increase the extent and depth of poverty. S</w:t>
      </w:r>
      <w:r w:rsidR="000475A0" w:rsidRPr="00F14751">
        <w:rPr>
          <w:rFonts w:asciiTheme="majorHAnsi" w:hAnsiTheme="majorHAnsi"/>
          <w:sz w:val="24"/>
          <w:szCs w:val="24"/>
        </w:rPr>
        <w:t>tructural reforms</w:t>
      </w:r>
      <w:r w:rsidR="00C1674F" w:rsidRPr="00F14751">
        <w:rPr>
          <w:rFonts w:asciiTheme="majorHAnsi" w:hAnsiTheme="majorHAnsi"/>
          <w:sz w:val="24"/>
          <w:szCs w:val="24"/>
        </w:rPr>
        <w:t>, in general,</w:t>
      </w:r>
      <w:r w:rsidR="000475A0" w:rsidRPr="00F14751">
        <w:rPr>
          <w:rFonts w:asciiTheme="majorHAnsi" w:hAnsiTheme="majorHAnsi"/>
          <w:sz w:val="24"/>
          <w:szCs w:val="24"/>
        </w:rPr>
        <w:t xml:space="preserve"> do not have any significant effect on income inequality. </w:t>
      </w:r>
      <w:r w:rsidR="00C1674F" w:rsidRPr="00F14751">
        <w:rPr>
          <w:rFonts w:asciiTheme="majorHAnsi" w:hAnsiTheme="majorHAnsi"/>
          <w:sz w:val="24"/>
          <w:szCs w:val="24"/>
        </w:rPr>
        <w:t xml:space="preserve">This is because different reform areas have different </w:t>
      </w:r>
      <w:r w:rsidR="000E2E13">
        <w:rPr>
          <w:rFonts w:asciiTheme="majorHAnsi" w:hAnsiTheme="majorHAnsi"/>
          <w:sz w:val="24"/>
          <w:szCs w:val="24"/>
        </w:rPr>
        <w:t xml:space="preserve">and </w:t>
      </w:r>
      <w:r w:rsidR="00C1674F" w:rsidRPr="00F14751">
        <w:rPr>
          <w:rFonts w:asciiTheme="majorHAnsi" w:hAnsiTheme="majorHAnsi"/>
          <w:sz w:val="24"/>
          <w:szCs w:val="24"/>
        </w:rPr>
        <w:t xml:space="preserve">offsetting </w:t>
      </w:r>
      <w:r w:rsidR="001B0CC1" w:rsidRPr="00F14751">
        <w:rPr>
          <w:rFonts w:asciiTheme="majorHAnsi" w:hAnsiTheme="majorHAnsi"/>
          <w:sz w:val="24"/>
          <w:szCs w:val="24"/>
        </w:rPr>
        <w:t>distributional effects</w:t>
      </w:r>
      <w:r w:rsidR="00C1674F" w:rsidRPr="00F14751">
        <w:rPr>
          <w:rFonts w:asciiTheme="majorHAnsi" w:hAnsiTheme="majorHAnsi"/>
          <w:sz w:val="24"/>
          <w:szCs w:val="24"/>
        </w:rPr>
        <w:t xml:space="preserve">; </w:t>
      </w:r>
      <w:r w:rsidR="001B0CC1" w:rsidRPr="00F14751">
        <w:rPr>
          <w:rFonts w:asciiTheme="majorHAnsi" w:hAnsiTheme="majorHAnsi"/>
          <w:sz w:val="24"/>
        </w:rPr>
        <w:t xml:space="preserve">financial and labor reforms increase inequality, while tax reforms and privatizations decrease inequality. </w:t>
      </w:r>
      <w:r w:rsidR="00F318CE">
        <w:rPr>
          <w:rFonts w:asciiTheme="majorHAnsi" w:hAnsiTheme="majorHAnsi"/>
          <w:sz w:val="24"/>
        </w:rPr>
        <w:t xml:space="preserve">Focusing on </w:t>
      </w:r>
      <w:r w:rsidR="00F318CE" w:rsidRPr="00F14751">
        <w:rPr>
          <w:rFonts w:asciiTheme="majorHAnsi" w:hAnsiTheme="majorHAnsi"/>
          <w:sz w:val="24"/>
        </w:rPr>
        <w:t xml:space="preserve">high poverty and high inequality </w:t>
      </w:r>
      <w:r w:rsidR="004E2E6D" w:rsidRPr="00F14751">
        <w:rPr>
          <w:rFonts w:asciiTheme="majorHAnsi" w:hAnsiTheme="majorHAnsi"/>
          <w:sz w:val="24"/>
        </w:rPr>
        <w:t xml:space="preserve">countries </w:t>
      </w:r>
      <w:r w:rsidR="004E2E6D">
        <w:rPr>
          <w:rFonts w:asciiTheme="majorHAnsi" w:hAnsiTheme="majorHAnsi"/>
          <w:sz w:val="24"/>
        </w:rPr>
        <w:t>only</w:t>
      </w:r>
      <w:r w:rsidR="00F318CE">
        <w:rPr>
          <w:rFonts w:asciiTheme="majorHAnsi" w:hAnsiTheme="majorHAnsi"/>
          <w:sz w:val="24"/>
        </w:rPr>
        <w:t>, s</w:t>
      </w:r>
      <w:r w:rsidR="001B0CC1" w:rsidRPr="00F14751">
        <w:rPr>
          <w:rFonts w:asciiTheme="majorHAnsi" w:hAnsiTheme="majorHAnsi"/>
          <w:sz w:val="24"/>
        </w:rPr>
        <w:t xml:space="preserve">tructural reforms have no significant effect on poverty, but have an effect on the distribution of income. Here, tax reforms in particular seem to decrease inequality. </w:t>
      </w:r>
      <w:r w:rsidR="00F318CE">
        <w:rPr>
          <w:rFonts w:asciiTheme="majorHAnsi" w:hAnsiTheme="majorHAnsi"/>
          <w:sz w:val="24"/>
        </w:rPr>
        <w:t xml:space="preserve">Focusing on </w:t>
      </w:r>
      <w:r w:rsidR="00F318CE" w:rsidRPr="00F14751">
        <w:rPr>
          <w:rFonts w:asciiTheme="majorHAnsi" w:hAnsiTheme="majorHAnsi"/>
          <w:sz w:val="24"/>
        </w:rPr>
        <w:t>low poverty and low inequality countries</w:t>
      </w:r>
      <w:r w:rsidR="00F318CE">
        <w:rPr>
          <w:rFonts w:asciiTheme="majorHAnsi" w:hAnsiTheme="majorHAnsi"/>
          <w:sz w:val="24"/>
        </w:rPr>
        <w:t>, s</w:t>
      </w:r>
      <w:r w:rsidR="001B0CC1" w:rsidRPr="00F14751">
        <w:rPr>
          <w:rFonts w:asciiTheme="majorHAnsi" w:hAnsiTheme="majorHAnsi"/>
          <w:sz w:val="24"/>
        </w:rPr>
        <w:t>tructural reforms and</w:t>
      </w:r>
      <w:r w:rsidR="00F318CE">
        <w:rPr>
          <w:rFonts w:asciiTheme="majorHAnsi" w:hAnsiTheme="majorHAnsi"/>
          <w:sz w:val="24"/>
        </w:rPr>
        <w:t xml:space="preserve">, in particular, </w:t>
      </w:r>
      <w:r w:rsidR="001B0CC1" w:rsidRPr="00F14751">
        <w:rPr>
          <w:rFonts w:asciiTheme="majorHAnsi" w:hAnsiTheme="majorHAnsi"/>
          <w:sz w:val="24"/>
        </w:rPr>
        <w:t>trade reforms, make the poor poorer. Privatizations in these countries di</w:t>
      </w:r>
      <w:r w:rsidR="00426166" w:rsidRPr="00F14751">
        <w:rPr>
          <w:rFonts w:asciiTheme="majorHAnsi" w:hAnsiTheme="majorHAnsi"/>
          <w:sz w:val="24"/>
        </w:rPr>
        <w:t>stribute income more equally.</w:t>
      </w:r>
    </w:p>
    <w:p w14:paraId="5616537C" w14:textId="77777777" w:rsidR="00D716D3" w:rsidRPr="00F14751" w:rsidRDefault="00D716D3" w:rsidP="00C8508E">
      <w:pPr>
        <w:jc w:val="both"/>
        <w:rPr>
          <w:rFonts w:asciiTheme="majorHAnsi" w:hAnsiTheme="majorHAnsi" w:cs="Times New Roman"/>
          <w:sz w:val="24"/>
        </w:rPr>
      </w:pPr>
      <w:r w:rsidRPr="00F14751">
        <w:rPr>
          <w:rFonts w:asciiTheme="majorHAnsi" w:hAnsiTheme="majorHAnsi" w:cs="Times New Roman"/>
          <w:sz w:val="24"/>
        </w:rPr>
        <w:lastRenderedPageBreak/>
        <w:t>Table of Contents</w:t>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r>
      <w:r w:rsidRPr="00F14751">
        <w:rPr>
          <w:rFonts w:asciiTheme="majorHAnsi" w:hAnsiTheme="majorHAnsi" w:cs="Times New Roman"/>
          <w:sz w:val="24"/>
        </w:rPr>
        <w:tab/>
        <w:t>Page</w:t>
      </w:r>
    </w:p>
    <w:p w14:paraId="318DA94B" w14:textId="77777777" w:rsidR="00D716D3" w:rsidRPr="00F14751" w:rsidRDefault="00D716D3" w:rsidP="00C8508E">
      <w:pPr>
        <w:pStyle w:val="NoSpacing"/>
        <w:spacing w:line="360" w:lineRule="auto"/>
        <w:jc w:val="both"/>
        <w:rPr>
          <w:rFonts w:asciiTheme="majorHAnsi" w:hAnsiTheme="majorHAnsi" w:cs="Times New Roman"/>
          <w:sz w:val="24"/>
        </w:rPr>
      </w:pPr>
    </w:p>
    <w:p w14:paraId="22A475A5" w14:textId="77777777"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1. Introduction</w:t>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C21C1D" w:rsidRPr="00F14751">
        <w:rPr>
          <w:rFonts w:asciiTheme="majorHAnsi" w:hAnsiTheme="majorHAnsi" w:cs="Times New Roman"/>
          <w:sz w:val="24"/>
        </w:rPr>
        <w:t>3</w:t>
      </w:r>
    </w:p>
    <w:p w14:paraId="1A41F4CA" w14:textId="77777777"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2. The Structural Reform Process in Latin America</w:t>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F56243" w:rsidRPr="00F14751">
        <w:rPr>
          <w:rFonts w:asciiTheme="majorHAnsi" w:hAnsiTheme="majorHAnsi" w:cs="Times New Roman"/>
          <w:sz w:val="24"/>
        </w:rPr>
        <w:tab/>
      </w:r>
      <w:r w:rsidR="007174B5">
        <w:rPr>
          <w:rFonts w:asciiTheme="majorHAnsi" w:hAnsiTheme="majorHAnsi" w:cs="Times New Roman"/>
          <w:sz w:val="24"/>
        </w:rPr>
        <w:t>4</w:t>
      </w:r>
    </w:p>
    <w:p w14:paraId="6F58A58C" w14:textId="77777777"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3</w:t>
      </w:r>
      <w:r w:rsidR="00734D39" w:rsidRPr="00F14751">
        <w:rPr>
          <w:rFonts w:asciiTheme="majorHAnsi" w:hAnsiTheme="majorHAnsi" w:cs="Times New Roman"/>
          <w:sz w:val="24"/>
        </w:rPr>
        <w:t>. Literature Review</w:t>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F56243" w:rsidRPr="00F14751">
        <w:rPr>
          <w:rFonts w:asciiTheme="majorHAnsi" w:hAnsiTheme="majorHAnsi" w:cs="Times New Roman"/>
          <w:sz w:val="24"/>
        </w:rPr>
        <w:tab/>
      </w:r>
      <w:r w:rsidR="00E45966">
        <w:rPr>
          <w:rFonts w:asciiTheme="majorHAnsi" w:hAnsiTheme="majorHAnsi" w:cs="Times New Roman"/>
          <w:sz w:val="24"/>
        </w:rPr>
        <w:t>11</w:t>
      </w:r>
    </w:p>
    <w:p w14:paraId="36D3E698" w14:textId="77777777" w:rsidR="008F3A88"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 xml:space="preserve">3.1 </w:t>
      </w:r>
      <w:r w:rsidR="008F3A88" w:rsidRPr="00F14751">
        <w:rPr>
          <w:rFonts w:asciiTheme="majorHAnsi" w:hAnsiTheme="majorHAnsi" w:cs="Times New Roman"/>
          <w:sz w:val="24"/>
        </w:rPr>
        <w:t xml:space="preserve">The Impact of Structural </w:t>
      </w:r>
      <w:r w:rsidR="007618FC" w:rsidRPr="00F14751">
        <w:rPr>
          <w:rFonts w:asciiTheme="majorHAnsi" w:hAnsiTheme="majorHAnsi" w:cs="Times New Roman"/>
          <w:sz w:val="24"/>
        </w:rPr>
        <w:t>Reforms</w:t>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E45966">
        <w:rPr>
          <w:rFonts w:asciiTheme="majorHAnsi" w:hAnsiTheme="majorHAnsi" w:cs="Times New Roman"/>
          <w:sz w:val="24"/>
        </w:rPr>
        <w:t>11</w:t>
      </w:r>
      <w:r w:rsidRPr="00F14751">
        <w:rPr>
          <w:rFonts w:asciiTheme="majorHAnsi" w:hAnsiTheme="majorHAnsi" w:cs="Times New Roman"/>
          <w:sz w:val="24"/>
        </w:rPr>
        <w:tab/>
      </w:r>
    </w:p>
    <w:p w14:paraId="7A421D12" w14:textId="37524C3D" w:rsidR="008F3A88" w:rsidRPr="00F14751" w:rsidRDefault="00D716D3" w:rsidP="00C8508E">
      <w:pPr>
        <w:pStyle w:val="NoSpacing"/>
        <w:spacing w:line="360" w:lineRule="auto"/>
        <w:ind w:firstLine="708"/>
        <w:jc w:val="both"/>
        <w:rPr>
          <w:rFonts w:asciiTheme="majorHAnsi" w:hAnsiTheme="majorHAnsi" w:cs="Times New Roman"/>
          <w:sz w:val="24"/>
        </w:rPr>
      </w:pPr>
      <w:r w:rsidRPr="00F14751">
        <w:rPr>
          <w:rFonts w:asciiTheme="majorHAnsi" w:hAnsiTheme="majorHAnsi" w:cs="Times New Roman"/>
          <w:sz w:val="24"/>
        </w:rPr>
        <w:t>3.2 Empirical Evidence</w:t>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5E0785" w:rsidRPr="00F14751">
        <w:rPr>
          <w:rFonts w:asciiTheme="majorHAnsi" w:hAnsiTheme="majorHAnsi" w:cs="Times New Roman"/>
          <w:sz w:val="24"/>
        </w:rPr>
        <w:tab/>
      </w:r>
      <w:r w:rsidR="00C55986">
        <w:rPr>
          <w:rFonts w:asciiTheme="majorHAnsi" w:hAnsiTheme="majorHAnsi" w:cs="Times New Roman"/>
          <w:sz w:val="24"/>
        </w:rPr>
        <w:t>14</w:t>
      </w:r>
    </w:p>
    <w:p w14:paraId="55624329" w14:textId="1943FE0B"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4. Data</w:t>
      </w:r>
      <w:r w:rsidR="00B55587" w:rsidRPr="00F14751">
        <w:rPr>
          <w:rFonts w:asciiTheme="majorHAnsi" w:hAnsiTheme="majorHAnsi" w:cs="Times New Roman"/>
          <w:sz w:val="24"/>
        </w:rPr>
        <w:t xml:space="preserve"> Description</w:t>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C55986">
        <w:rPr>
          <w:rFonts w:asciiTheme="majorHAnsi" w:hAnsiTheme="majorHAnsi" w:cs="Times New Roman"/>
          <w:sz w:val="24"/>
        </w:rPr>
        <w:t>17</w:t>
      </w:r>
    </w:p>
    <w:p w14:paraId="35B74D0B" w14:textId="205B8738"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 xml:space="preserve">4.1 Dependent Variables </w:t>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C55986">
        <w:rPr>
          <w:rFonts w:asciiTheme="majorHAnsi" w:hAnsiTheme="majorHAnsi" w:cs="Times New Roman"/>
          <w:sz w:val="24"/>
        </w:rPr>
        <w:t>17</w:t>
      </w:r>
    </w:p>
    <w:p w14:paraId="54136DF8" w14:textId="77777777"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 xml:space="preserve">4.2 Main </w:t>
      </w:r>
      <w:r w:rsidR="00C21C1D" w:rsidRPr="00F14751">
        <w:rPr>
          <w:rFonts w:asciiTheme="majorHAnsi" w:hAnsiTheme="majorHAnsi" w:cs="Times New Roman"/>
          <w:sz w:val="24"/>
        </w:rPr>
        <w:t>Independent</w:t>
      </w:r>
      <w:r w:rsidRPr="00F14751">
        <w:rPr>
          <w:rFonts w:asciiTheme="majorHAnsi" w:hAnsiTheme="majorHAnsi" w:cs="Times New Roman"/>
          <w:sz w:val="24"/>
        </w:rPr>
        <w:t xml:space="preserve"> Variables</w:t>
      </w:r>
      <w:r w:rsidR="007618FC" w:rsidRPr="00F14751">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t>22</w:t>
      </w:r>
    </w:p>
    <w:p w14:paraId="086EAE2C" w14:textId="77777777" w:rsidR="00D716D3" w:rsidRPr="00F14751" w:rsidRDefault="00C21C1D"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4.3 Control</w:t>
      </w:r>
      <w:r w:rsidR="00D716D3" w:rsidRPr="00F14751">
        <w:rPr>
          <w:rFonts w:asciiTheme="majorHAnsi" w:hAnsiTheme="majorHAnsi" w:cs="Times New Roman"/>
          <w:sz w:val="24"/>
        </w:rPr>
        <w:t xml:space="preserve"> Variables</w:t>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t>25</w:t>
      </w:r>
    </w:p>
    <w:p w14:paraId="191C70C1" w14:textId="77777777"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 xml:space="preserve">5. Estimation Strategy </w:t>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t>29</w:t>
      </w:r>
    </w:p>
    <w:p w14:paraId="731E5A60" w14:textId="59F15365"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 xml:space="preserve">6. Estimation Results </w:t>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9824F5">
        <w:rPr>
          <w:rFonts w:asciiTheme="majorHAnsi" w:hAnsiTheme="majorHAnsi" w:cs="Times New Roman"/>
          <w:sz w:val="24"/>
        </w:rPr>
        <w:t>34</w:t>
      </w:r>
    </w:p>
    <w:p w14:paraId="6E7E12E7" w14:textId="2C54450E"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6.1 Results for the Complete Sample</w:t>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t>34</w:t>
      </w:r>
      <w:r w:rsidR="007618FC" w:rsidRPr="00F14751">
        <w:rPr>
          <w:rFonts w:asciiTheme="majorHAnsi" w:hAnsiTheme="majorHAnsi" w:cs="Times New Roman"/>
          <w:sz w:val="24"/>
        </w:rPr>
        <w:tab/>
      </w:r>
      <w:r w:rsidR="007618FC" w:rsidRPr="00F14751">
        <w:rPr>
          <w:rFonts w:asciiTheme="majorHAnsi" w:hAnsiTheme="majorHAnsi" w:cs="Times New Roman"/>
          <w:sz w:val="24"/>
        </w:rPr>
        <w:tab/>
      </w:r>
      <w:r w:rsidR="00154D4B">
        <w:rPr>
          <w:rFonts w:asciiTheme="majorHAnsi" w:hAnsiTheme="majorHAnsi" w:cs="Times New Roman"/>
          <w:sz w:val="24"/>
        </w:rPr>
        <w:t>6.2 Results for</w:t>
      </w:r>
      <w:r w:rsidRPr="00F14751">
        <w:rPr>
          <w:rFonts w:asciiTheme="majorHAnsi" w:hAnsiTheme="majorHAnsi" w:cs="Times New Roman"/>
          <w:sz w:val="24"/>
        </w:rPr>
        <w:t xml:space="preserve"> </w:t>
      </w:r>
      <w:r w:rsidR="00C21C1D" w:rsidRPr="00F14751">
        <w:rPr>
          <w:rFonts w:asciiTheme="majorHAnsi" w:hAnsiTheme="majorHAnsi" w:cs="Times New Roman"/>
          <w:sz w:val="24"/>
        </w:rPr>
        <w:t>High Pove</w:t>
      </w:r>
      <w:r w:rsidR="00E45966">
        <w:rPr>
          <w:rFonts w:asciiTheme="majorHAnsi" w:hAnsiTheme="majorHAnsi" w:cs="Times New Roman"/>
          <w:sz w:val="24"/>
        </w:rPr>
        <w:t>rty and</w:t>
      </w:r>
      <w:r w:rsidR="00154D4B">
        <w:rPr>
          <w:rFonts w:asciiTheme="majorHAnsi" w:hAnsiTheme="majorHAnsi" w:cs="Times New Roman"/>
          <w:sz w:val="24"/>
        </w:rPr>
        <w:t xml:space="preserve"> High</w:t>
      </w:r>
      <w:r w:rsidR="00C55986">
        <w:rPr>
          <w:rFonts w:asciiTheme="majorHAnsi" w:hAnsiTheme="majorHAnsi" w:cs="Times New Roman"/>
          <w:sz w:val="24"/>
        </w:rPr>
        <w:t xml:space="preserve"> Inequality Countries</w:t>
      </w:r>
      <w:r w:rsidR="00C55986">
        <w:rPr>
          <w:rFonts w:asciiTheme="majorHAnsi" w:hAnsiTheme="majorHAnsi" w:cs="Times New Roman"/>
          <w:sz w:val="24"/>
        </w:rPr>
        <w:tab/>
      </w:r>
      <w:r w:rsidR="00C55986">
        <w:rPr>
          <w:rFonts w:asciiTheme="majorHAnsi" w:hAnsiTheme="majorHAnsi" w:cs="Times New Roman"/>
          <w:sz w:val="24"/>
        </w:rPr>
        <w:tab/>
        <w:t>40</w:t>
      </w:r>
      <w:r w:rsidR="00C21C1D" w:rsidRPr="00F14751">
        <w:rPr>
          <w:rFonts w:asciiTheme="majorHAnsi" w:hAnsiTheme="majorHAnsi" w:cs="Times New Roman"/>
          <w:sz w:val="24"/>
        </w:rPr>
        <w:tab/>
      </w:r>
    </w:p>
    <w:p w14:paraId="75A815D6" w14:textId="4B7C1476"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6.3 Results for</w:t>
      </w:r>
      <w:r w:rsidR="00C21C1D" w:rsidRPr="00F14751">
        <w:rPr>
          <w:rFonts w:asciiTheme="majorHAnsi" w:hAnsiTheme="majorHAnsi" w:cs="Times New Roman"/>
          <w:sz w:val="24"/>
        </w:rPr>
        <w:t xml:space="preserve"> Low Pove</w:t>
      </w:r>
      <w:r w:rsidR="00E45966">
        <w:rPr>
          <w:rFonts w:asciiTheme="majorHAnsi" w:hAnsiTheme="majorHAnsi" w:cs="Times New Roman"/>
          <w:sz w:val="24"/>
        </w:rPr>
        <w:t>rty and</w:t>
      </w:r>
      <w:r w:rsidR="00154D4B">
        <w:rPr>
          <w:rFonts w:asciiTheme="majorHAnsi" w:hAnsiTheme="majorHAnsi" w:cs="Times New Roman"/>
          <w:sz w:val="24"/>
        </w:rPr>
        <w:t xml:space="preserve"> Low</w:t>
      </w:r>
      <w:r w:rsidR="00C55986">
        <w:rPr>
          <w:rFonts w:asciiTheme="majorHAnsi" w:hAnsiTheme="majorHAnsi" w:cs="Times New Roman"/>
          <w:sz w:val="24"/>
        </w:rPr>
        <w:t xml:space="preserve"> Inequality Countries</w:t>
      </w:r>
      <w:r w:rsidR="00C55986">
        <w:rPr>
          <w:rFonts w:asciiTheme="majorHAnsi" w:hAnsiTheme="majorHAnsi" w:cs="Times New Roman"/>
          <w:sz w:val="24"/>
        </w:rPr>
        <w:tab/>
      </w:r>
      <w:r w:rsidR="00C55986">
        <w:rPr>
          <w:rFonts w:asciiTheme="majorHAnsi" w:hAnsiTheme="majorHAnsi" w:cs="Times New Roman"/>
          <w:sz w:val="24"/>
        </w:rPr>
        <w:tab/>
        <w:t>45</w:t>
      </w:r>
      <w:r w:rsidR="004A0465" w:rsidRPr="00F14751">
        <w:rPr>
          <w:rFonts w:asciiTheme="majorHAnsi" w:hAnsiTheme="majorHAnsi" w:cs="Times New Roman"/>
          <w:sz w:val="24"/>
        </w:rPr>
        <w:tab/>
      </w:r>
    </w:p>
    <w:p w14:paraId="4C5A9E90" w14:textId="72568363"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 xml:space="preserve">7. Conclusion </w:t>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E45966">
        <w:rPr>
          <w:rFonts w:asciiTheme="majorHAnsi" w:hAnsiTheme="majorHAnsi" w:cs="Times New Roman"/>
          <w:sz w:val="24"/>
        </w:rPr>
        <w:tab/>
      </w:r>
      <w:r w:rsidR="00C55986">
        <w:rPr>
          <w:rFonts w:asciiTheme="majorHAnsi" w:hAnsiTheme="majorHAnsi" w:cs="Times New Roman"/>
          <w:sz w:val="24"/>
        </w:rPr>
        <w:t>50</w:t>
      </w:r>
    </w:p>
    <w:p w14:paraId="4B81E2D6" w14:textId="6B2FD8A4"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References</w:t>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C55986">
        <w:rPr>
          <w:rFonts w:asciiTheme="majorHAnsi" w:hAnsiTheme="majorHAnsi" w:cs="Times New Roman"/>
          <w:sz w:val="24"/>
        </w:rPr>
        <w:t>52</w:t>
      </w:r>
    </w:p>
    <w:p w14:paraId="50E8147E" w14:textId="658B5C71" w:rsidR="00D716D3" w:rsidRPr="00F14751" w:rsidRDefault="00D716D3"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Appendix</w:t>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F35A8F">
        <w:rPr>
          <w:rFonts w:asciiTheme="majorHAnsi" w:hAnsiTheme="majorHAnsi" w:cs="Times New Roman"/>
          <w:sz w:val="24"/>
        </w:rPr>
        <w:tab/>
      </w:r>
      <w:r w:rsidR="00C55986">
        <w:rPr>
          <w:rFonts w:asciiTheme="majorHAnsi" w:hAnsiTheme="majorHAnsi" w:cs="Times New Roman"/>
          <w:sz w:val="24"/>
        </w:rPr>
        <w:t>55</w:t>
      </w:r>
    </w:p>
    <w:p w14:paraId="7266FD10" w14:textId="77777777" w:rsidR="00D716D3" w:rsidRPr="00F14751" w:rsidRDefault="00D716D3" w:rsidP="00C8508E">
      <w:pPr>
        <w:jc w:val="both"/>
        <w:rPr>
          <w:rFonts w:asciiTheme="majorHAnsi" w:hAnsiTheme="majorHAnsi"/>
          <w:b/>
          <w:sz w:val="28"/>
        </w:rPr>
      </w:pPr>
      <w:r w:rsidRPr="00F14751">
        <w:rPr>
          <w:rFonts w:asciiTheme="majorHAnsi" w:hAnsiTheme="majorHAnsi"/>
          <w:b/>
          <w:sz w:val="28"/>
        </w:rPr>
        <w:br w:type="page"/>
      </w:r>
    </w:p>
    <w:p w14:paraId="7407401A" w14:textId="77777777" w:rsidR="006E24F0" w:rsidRPr="00F14751" w:rsidRDefault="006E24F0" w:rsidP="00C8508E">
      <w:pPr>
        <w:pStyle w:val="NoSpacing"/>
        <w:spacing w:line="360" w:lineRule="auto"/>
        <w:jc w:val="both"/>
        <w:rPr>
          <w:rFonts w:asciiTheme="majorHAnsi" w:hAnsiTheme="majorHAnsi"/>
          <w:b/>
          <w:sz w:val="28"/>
        </w:rPr>
      </w:pPr>
      <w:r w:rsidRPr="00F14751">
        <w:rPr>
          <w:rFonts w:asciiTheme="majorHAnsi" w:hAnsiTheme="majorHAnsi"/>
          <w:b/>
          <w:sz w:val="28"/>
        </w:rPr>
        <w:lastRenderedPageBreak/>
        <w:t>1. Introduction</w:t>
      </w:r>
    </w:p>
    <w:p w14:paraId="553317DC" w14:textId="77777777" w:rsidR="006E24F0" w:rsidRPr="00F14751" w:rsidRDefault="006E24F0" w:rsidP="00C8508E">
      <w:pPr>
        <w:pStyle w:val="NoSpacing"/>
        <w:spacing w:line="360" w:lineRule="auto"/>
        <w:jc w:val="both"/>
        <w:rPr>
          <w:rFonts w:asciiTheme="majorHAnsi" w:hAnsiTheme="majorHAnsi"/>
          <w:b/>
          <w:sz w:val="24"/>
        </w:rPr>
      </w:pPr>
    </w:p>
    <w:p w14:paraId="0DF4D34F" w14:textId="3ED66C10" w:rsidR="00A72D5A" w:rsidRDefault="00B55587"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I</w:t>
      </w:r>
      <w:r w:rsidR="00943B04" w:rsidRPr="00F14751">
        <w:rPr>
          <w:rFonts w:asciiTheme="majorHAnsi" w:hAnsiTheme="majorHAnsi" w:cs="Times New Roman"/>
          <w:sz w:val="24"/>
        </w:rPr>
        <w:t xml:space="preserve">n </w:t>
      </w:r>
      <w:r w:rsidR="009B039F" w:rsidRPr="00F14751">
        <w:rPr>
          <w:rFonts w:asciiTheme="majorHAnsi" w:hAnsiTheme="majorHAnsi" w:cs="Times New Roman"/>
          <w:sz w:val="24"/>
        </w:rPr>
        <w:t>last</w:t>
      </w:r>
      <w:r w:rsidR="00943B04" w:rsidRPr="00F14751">
        <w:rPr>
          <w:rFonts w:asciiTheme="majorHAnsi" w:hAnsiTheme="majorHAnsi" w:cs="Times New Roman"/>
          <w:sz w:val="24"/>
        </w:rPr>
        <w:t xml:space="preserve"> 30 years there was a significant shift in the structural policies of Latin American and Caribbean countries. From the mid-1980s</w:t>
      </w:r>
      <w:r w:rsidR="00AF09F7">
        <w:rPr>
          <w:rFonts w:asciiTheme="majorHAnsi" w:hAnsiTheme="majorHAnsi" w:cs="Times New Roman"/>
          <w:sz w:val="24"/>
        </w:rPr>
        <w:t>,</w:t>
      </w:r>
      <w:r w:rsidR="00AB646A" w:rsidRPr="00F14751">
        <w:rPr>
          <w:rFonts w:asciiTheme="majorHAnsi" w:hAnsiTheme="majorHAnsi" w:cs="Times New Roman"/>
          <w:sz w:val="24"/>
        </w:rPr>
        <w:t xml:space="preserve"> </w:t>
      </w:r>
      <w:r w:rsidR="00943B04" w:rsidRPr="00F14751">
        <w:rPr>
          <w:rFonts w:asciiTheme="majorHAnsi" w:hAnsiTheme="majorHAnsi" w:cs="Times New Roman"/>
          <w:sz w:val="24"/>
        </w:rPr>
        <w:t xml:space="preserve">the </w:t>
      </w:r>
      <w:r w:rsidR="00AB646A" w:rsidRPr="00F14751">
        <w:rPr>
          <w:rFonts w:asciiTheme="majorHAnsi" w:hAnsiTheme="majorHAnsi" w:cs="Times New Roman"/>
          <w:sz w:val="24"/>
        </w:rPr>
        <w:t xml:space="preserve">development </w:t>
      </w:r>
      <w:r w:rsidR="00943B04" w:rsidRPr="00F14751">
        <w:rPr>
          <w:rFonts w:asciiTheme="majorHAnsi" w:hAnsiTheme="majorHAnsi" w:cs="Times New Roman"/>
          <w:sz w:val="24"/>
        </w:rPr>
        <w:t xml:space="preserve">model based on protection of domestic markets and state intervention was replaced by a set of policies </w:t>
      </w:r>
      <w:r w:rsidR="00AB646A" w:rsidRPr="00F14751">
        <w:rPr>
          <w:rFonts w:asciiTheme="majorHAnsi" w:hAnsiTheme="majorHAnsi" w:cs="Times New Roman"/>
          <w:sz w:val="24"/>
        </w:rPr>
        <w:t>which had the general aim of</w:t>
      </w:r>
      <w:r w:rsidR="00943B04" w:rsidRPr="00F14751">
        <w:rPr>
          <w:rFonts w:asciiTheme="majorHAnsi" w:hAnsiTheme="majorHAnsi" w:cs="Times New Roman"/>
          <w:sz w:val="24"/>
        </w:rPr>
        <w:t xml:space="preserve"> improving efficiency, facilitating the working of markets and reducing the distorting effects of state intervention on economic activities.</w:t>
      </w:r>
      <w:r w:rsidR="00AB646A" w:rsidRPr="00F14751">
        <w:rPr>
          <w:rFonts w:asciiTheme="majorHAnsi" w:hAnsiTheme="majorHAnsi" w:cs="Times New Roman"/>
          <w:sz w:val="24"/>
        </w:rPr>
        <w:t xml:space="preserve"> These structural reforms involved liberalization of international trade and finance, rebalancing of the tax-code, privatization of state industries and de</w:t>
      </w:r>
      <w:r w:rsidR="005555D8">
        <w:rPr>
          <w:rFonts w:asciiTheme="majorHAnsi" w:hAnsiTheme="majorHAnsi" w:cs="Times New Roman"/>
          <w:sz w:val="24"/>
        </w:rPr>
        <w:t>regulation of the la</w:t>
      </w:r>
      <w:r w:rsidR="007C4360">
        <w:rPr>
          <w:rFonts w:asciiTheme="majorHAnsi" w:hAnsiTheme="majorHAnsi" w:cs="Times New Roman"/>
          <w:sz w:val="24"/>
        </w:rPr>
        <w:t xml:space="preserve">bor market. </w:t>
      </w:r>
      <w:r w:rsidR="00A72D5A">
        <w:rPr>
          <w:rFonts w:asciiTheme="majorHAnsi" w:hAnsiTheme="majorHAnsi" w:cs="Times New Roman"/>
          <w:sz w:val="24"/>
        </w:rPr>
        <w:t>In most countries, the</w:t>
      </w:r>
      <w:r w:rsidR="00AF09F7">
        <w:rPr>
          <w:rFonts w:asciiTheme="majorHAnsi" w:hAnsiTheme="majorHAnsi" w:cs="Times New Roman"/>
          <w:sz w:val="24"/>
        </w:rPr>
        <w:t>se</w:t>
      </w:r>
      <w:r w:rsidR="00A72D5A">
        <w:rPr>
          <w:rFonts w:asciiTheme="majorHAnsi" w:hAnsiTheme="majorHAnsi" w:cs="Times New Roman"/>
          <w:sz w:val="24"/>
        </w:rPr>
        <w:t xml:space="preserve"> reforms</w:t>
      </w:r>
      <w:r w:rsidR="0052583B">
        <w:rPr>
          <w:rFonts w:asciiTheme="majorHAnsi" w:hAnsiTheme="majorHAnsi" w:cs="Times New Roman"/>
          <w:sz w:val="24"/>
        </w:rPr>
        <w:t xml:space="preserve"> have been effective in lowering inflation, attracting </w:t>
      </w:r>
      <w:r w:rsidR="00A72D5A">
        <w:rPr>
          <w:rFonts w:asciiTheme="majorHAnsi" w:hAnsiTheme="majorHAnsi" w:cs="Times New Roman"/>
          <w:sz w:val="24"/>
        </w:rPr>
        <w:t xml:space="preserve">foreign direct investment, generating export and increasing confidence in the macroeconomic authorities. </w:t>
      </w:r>
      <w:r w:rsidR="001C618D">
        <w:rPr>
          <w:rFonts w:asciiTheme="majorHAnsi" w:hAnsiTheme="majorHAnsi" w:cs="Times New Roman"/>
          <w:sz w:val="24"/>
        </w:rPr>
        <w:t>Nonetheless</w:t>
      </w:r>
      <w:r w:rsidR="00A72D5A">
        <w:rPr>
          <w:rFonts w:asciiTheme="majorHAnsi" w:hAnsiTheme="majorHAnsi" w:cs="Times New Roman"/>
          <w:sz w:val="24"/>
        </w:rPr>
        <w:t>, economic growth remained low and unstable, just like domestic savings and investments (</w:t>
      </w:r>
      <w:proofErr w:type="spellStart"/>
      <w:r w:rsidR="00A72D5A">
        <w:rPr>
          <w:rFonts w:asciiTheme="majorHAnsi" w:hAnsiTheme="majorHAnsi" w:cs="Times New Roman"/>
          <w:sz w:val="24"/>
        </w:rPr>
        <w:t>Ocampo</w:t>
      </w:r>
      <w:proofErr w:type="spellEnd"/>
      <w:r w:rsidR="00A72D5A">
        <w:rPr>
          <w:rFonts w:asciiTheme="majorHAnsi" w:hAnsiTheme="majorHAnsi" w:cs="Times New Roman"/>
          <w:sz w:val="24"/>
        </w:rPr>
        <w:t xml:space="preserve">, 2004). Now the question rises; </w:t>
      </w:r>
      <w:r w:rsidR="00811A68">
        <w:rPr>
          <w:rFonts w:asciiTheme="majorHAnsi" w:hAnsiTheme="majorHAnsi" w:cs="Times New Roman"/>
          <w:sz w:val="24"/>
        </w:rPr>
        <w:t xml:space="preserve">what </w:t>
      </w:r>
      <w:r w:rsidR="00EA6455">
        <w:rPr>
          <w:rFonts w:asciiTheme="majorHAnsi" w:hAnsiTheme="majorHAnsi" w:cs="Times New Roman"/>
          <w:sz w:val="24"/>
        </w:rPr>
        <w:t xml:space="preserve">are </w:t>
      </w:r>
      <w:r w:rsidR="00454929">
        <w:rPr>
          <w:rFonts w:asciiTheme="majorHAnsi" w:hAnsiTheme="majorHAnsi" w:cs="Times New Roman"/>
          <w:sz w:val="24"/>
        </w:rPr>
        <w:t xml:space="preserve">the </w:t>
      </w:r>
      <w:r w:rsidR="00212E0D">
        <w:rPr>
          <w:rFonts w:asciiTheme="majorHAnsi" w:hAnsiTheme="majorHAnsi" w:cs="Times New Roman"/>
          <w:sz w:val="24"/>
        </w:rPr>
        <w:t>socioeconomic</w:t>
      </w:r>
      <w:r w:rsidR="00A81F15">
        <w:rPr>
          <w:rFonts w:asciiTheme="majorHAnsi" w:hAnsiTheme="majorHAnsi" w:cs="Times New Roman"/>
          <w:sz w:val="24"/>
        </w:rPr>
        <w:t xml:space="preserve"> outcomes</w:t>
      </w:r>
      <w:r w:rsidR="00D6224A">
        <w:rPr>
          <w:rFonts w:asciiTheme="majorHAnsi" w:hAnsiTheme="majorHAnsi" w:cs="Times New Roman"/>
          <w:sz w:val="24"/>
        </w:rPr>
        <w:t xml:space="preserve"> of the reforms?</w:t>
      </w:r>
      <w:r w:rsidR="00454929">
        <w:rPr>
          <w:rFonts w:asciiTheme="majorHAnsi" w:hAnsiTheme="majorHAnsi" w:cs="Times New Roman"/>
          <w:sz w:val="24"/>
        </w:rPr>
        <w:t xml:space="preserve"> </w:t>
      </w:r>
      <w:r w:rsidR="00D6224A">
        <w:rPr>
          <w:rFonts w:asciiTheme="majorHAnsi" w:hAnsiTheme="majorHAnsi" w:cs="Times New Roman"/>
          <w:sz w:val="24"/>
        </w:rPr>
        <w:t xml:space="preserve">More </w:t>
      </w:r>
      <w:r w:rsidR="00D163A0">
        <w:rPr>
          <w:rFonts w:asciiTheme="majorHAnsi" w:hAnsiTheme="majorHAnsi" w:cs="Times New Roman"/>
          <w:sz w:val="24"/>
        </w:rPr>
        <w:t>specific: W</w:t>
      </w:r>
      <w:r w:rsidR="00D6224A">
        <w:rPr>
          <w:rFonts w:asciiTheme="majorHAnsi" w:hAnsiTheme="majorHAnsi" w:cs="Times New Roman"/>
          <w:sz w:val="24"/>
        </w:rPr>
        <w:t xml:space="preserve">hat </w:t>
      </w:r>
      <w:r w:rsidR="00A814BD">
        <w:rPr>
          <w:rFonts w:asciiTheme="majorHAnsi" w:hAnsiTheme="majorHAnsi" w:cs="Times New Roman"/>
          <w:sz w:val="24"/>
        </w:rPr>
        <w:t xml:space="preserve">impact did the </w:t>
      </w:r>
      <w:r w:rsidR="00811A68">
        <w:rPr>
          <w:rFonts w:asciiTheme="majorHAnsi" w:hAnsiTheme="majorHAnsi" w:cs="Times New Roman"/>
          <w:sz w:val="24"/>
        </w:rPr>
        <w:t>structural reforms</w:t>
      </w:r>
      <w:r w:rsidR="00A814BD">
        <w:rPr>
          <w:rFonts w:asciiTheme="majorHAnsi" w:hAnsiTheme="majorHAnsi" w:cs="Times New Roman"/>
          <w:sz w:val="24"/>
        </w:rPr>
        <w:t xml:space="preserve"> have </w:t>
      </w:r>
      <w:r w:rsidR="00811A68">
        <w:rPr>
          <w:rFonts w:asciiTheme="majorHAnsi" w:hAnsiTheme="majorHAnsi" w:cs="Times New Roman"/>
          <w:sz w:val="24"/>
        </w:rPr>
        <w:t>on</w:t>
      </w:r>
      <w:r w:rsidR="00A72D5A">
        <w:rPr>
          <w:rFonts w:asciiTheme="majorHAnsi" w:hAnsiTheme="majorHAnsi" w:cs="Times New Roman"/>
          <w:sz w:val="24"/>
        </w:rPr>
        <w:t xml:space="preserve"> poverty and income inequality (henceforth ‘inequality’</w:t>
      </w:r>
      <w:r w:rsidR="006D7CC2">
        <w:rPr>
          <w:rFonts w:asciiTheme="majorHAnsi" w:hAnsiTheme="majorHAnsi" w:cs="Times New Roman"/>
          <w:sz w:val="24"/>
        </w:rPr>
        <w:t>)</w:t>
      </w:r>
      <w:r w:rsidR="00D163A0">
        <w:rPr>
          <w:rFonts w:asciiTheme="majorHAnsi" w:hAnsiTheme="majorHAnsi" w:cs="Times New Roman"/>
          <w:sz w:val="24"/>
        </w:rPr>
        <w:t xml:space="preserve"> in Latin America</w:t>
      </w:r>
      <w:r w:rsidR="00A72D5A">
        <w:rPr>
          <w:rFonts w:asciiTheme="majorHAnsi" w:hAnsiTheme="majorHAnsi" w:cs="Times New Roman"/>
          <w:sz w:val="24"/>
        </w:rPr>
        <w:t>?</w:t>
      </w:r>
    </w:p>
    <w:p w14:paraId="10096E34" w14:textId="52128175" w:rsidR="00407B58" w:rsidRDefault="000134EE" w:rsidP="00C8508E">
      <w:pPr>
        <w:pStyle w:val="NoSpacing"/>
        <w:spacing w:line="360" w:lineRule="auto"/>
        <w:ind w:firstLine="708"/>
        <w:jc w:val="both"/>
        <w:rPr>
          <w:rFonts w:asciiTheme="majorHAnsi" w:hAnsiTheme="majorHAnsi" w:cs="Times New Roman"/>
          <w:sz w:val="24"/>
        </w:rPr>
      </w:pPr>
      <w:r w:rsidRPr="00F14751">
        <w:rPr>
          <w:rFonts w:asciiTheme="majorHAnsi" w:hAnsiTheme="majorHAnsi" w:cs="Times New Roman"/>
          <w:sz w:val="24"/>
        </w:rPr>
        <w:t>This study examine</w:t>
      </w:r>
      <w:r w:rsidR="005E0785" w:rsidRPr="00F14751">
        <w:rPr>
          <w:rFonts w:asciiTheme="majorHAnsi" w:hAnsiTheme="majorHAnsi" w:cs="Times New Roman"/>
          <w:sz w:val="24"/>
        </w:rPr>
        <w:t>s</w:t>
      </w:r>
      <w:r w:rsidR="00EA6455">
        <w:rPr>
          <w:rFonts w:asciiTheme="majorHAnsi" w:hAnsiTheme="majorHAnsi" w:cs="Times New Roman"/>
          <w:sz w:val="24"/>
        </w:rPr>
        <w:t xml:space="preserve"> empirically</w:t>
      </w:r>
      <w:r w:rsidRPr="00F14751">
        <w:rPr>
          <w:rFonts w:asciiTheme="majorHAnsi" w:hAnsiTheme="majorHAnsi" w:cs="Times New Roman"/>
          <w:sz w:val="24"/>
        </w:rPr>
        <w:t xml:space="preserve"> the relationship between stru</w:t>
      </w:r>
      <w:r w:rsidR="005555D8">
        <w:rPr>
          <w:rFonts w:asciiTheme="majorHAnsi" w:hAnsiTheme="majorHAnsi" w:cs="Times New Roman"/>
          <w:sz w:val="24"/>
        </w:rPr>
        <w:t xml:space="preserve">ctural reforms and poverty and </w:t>
      </w:r>
      <w:r w:rsidRPr="00F14751">
        <w:rPr>
          <w:rFonts w:asciiTheme="majorHAnsi" w:hAnsiTheme="majorHAnsi" w:cs="Times New Roman"/>
          <w:sz w:val="24"/>
        </w:rPr>
        <w:t>inequality in Latin America in the period 1985</w:t>
      </w:r>
      <w:r w:rsidR="00D3672E" w:rsidRPr="00F14751">
        <w:rPr>
          <w:rFonts w:asciiTheme="majorHAnsi" w:hAnsiTheme="majorHAnsi" w:cs="Times New Roman"/>
          <w:sz w:val="24"/>
        </w:rPr>
        <w:t>-</w:t>
      </w:r>
      <w:r w:rsidRPr="00F14751">
        <w:rPr>
          <w:rFonts w:asciiTheme="majorHAnsi" w:hAnsiTheme="majorHAnsi" w:cs="Times New Roman"/>
          <w:sz w:val="24"/>
        </w:rPr>
        <w:t>2010.</w:t>
      </w:r>
      <w:r w:rsidR="0046631C" w:rsidRPr="00F14751">
        <w:rPr>
          <w:rFonts w:asciiTheme="majorHAnsi" w:hAnsiTheme="majorHAnsi" w:cs="Times New Roman"/>
          <w:sz w:val="24"/>
        </w:rPr>
        <w:t xml:space="preserve"> It employs a database </w:t>
      </w:r>
      <w:r w:rsidR="00431E3D" w:rsidRPr="00F14751">
        <w:rPr>
          <w:rFonts w:asciiTheme="majorHAnsi" w:hAnsiTheme="majorHAnsi" w:cs="Times New Roman"/>
          <w:sz w:val="24"/>
        </w:rPr>
        <w:t>covering</w:t>
      </w:r>
      <w:r w:rsidR="0046631C" w:rsidRPr="00F14751">
        <w:rPr>
          <w:rFonts w:asciiTheme="majorHAnsi" w:hAnsiTheme="majorHAnsi" w:cs="Times New Roman"/>
          <w:sz w:val="24"/>
        </w:rPr>
        <w:t xml:space="preserve"> 13 Latin American countries and uses a fixed-effects model to</w:t>
      </w:r>
      <w:r w:rsidR="00ED47F8" w:rsidRPr="00F14751">
        <w:rPr>
          <w:rFonts w:asciiTheme="majorHAnsi" w:hAnsiTheme="majorHAnsi" w:cs="Times New Roman"/>
          <w:sz w:val="24"/>
        </w:rPr>
        <w:t xml:space="preserve"> </w:t>
      </w:r>
      <w:r w:rsidR="0046631C" w:rsidRPr="00F14751">
        <w:rPr>
          <w:rFonts w:asciiTheme="majorHAnsi" w:hAnsiTheme="majorHAnsi" w:cs="Times New Roman"/>
          <w:sz w:val="24"/>
        </w:rPr>
        <w:t xml:space="preserve">estimate the </w:t>
      </w:r>
      <w:r w:rsidR="00D163A0">
        <w:rPr>
          <w:rFonts w:asciiTheme="majorHAnsi" w:hAnsiTheme="majorHAnsi" w:cs="Times New Roman"/>
          <w:sz w:val="24"/>
        </w:rPr>
        <w:t>impact</w:t>
      </w:r>
      <w:r w:rsidR="0046631C" w:rsidRPr="00F14751">
        <w:rPr>
          <w:rFonts w:asciiTheme="majorHAnsi" w:hAnsiTheme="majorHAnsi" w:cs="Times New Roman"/>
          <w:sz w:val="24"/>
        </w:rPr>
        <w:t xml:space="preserve"> of structural reforms on poverty and inequality. </w:t>
      </w:r>
      <w:r w:rsidR="00C5506F" w:rsidRPr="00D6224A">
        <w:rPr>
          <w:rFonts w:asciiTheme="majorHAnsi" w:hAnsiTheme="majorHAnsi" w:cs="Times New Roman"/>
          <w:sz w:val="24"/>
        </w:rPr>
        <w:t>Poverty and inequality are two</w:t>
      </w:r>
      <w:r w:rsidR="00D6224A" w:rsidRPr="00D6224A">
        <w:rPr>
          <w:rFonts w:asciiTheme="majorHAnsi" w:hAnsiTheme="majorHAnsi" w:cs="Times New Roman"/>
          <w:sz w:val="24"/>
        </w:rPr>
        <w:t xml:space="preserve"> related but distinct concepts which affect</w:t>
      </w:r>
      <w:r w:rsidR="00C5506F" w:rsidRPr="00D6224A">
        <w:rPr>
          <w:rFonts w:asciiTheme="majorHAnsi" w:hAnsiTheme="majorHAnsi" w:cs="Times New Roman"/>
          <w:sz w:val="24"/>
        </w:rPr>
        <w:t xml:space="preserve"> each other directly and indirectly. </w:t>
      </w:r>
      <w:r w:rsidR="00EA6455">
        <w:rPr>
          <w:rFonts w:asciiTheme="majorHAnsi" w:hAnsiTheme="majorHAnsi" w:cs="Times New Roman"/>
          <w:sz w:val="24"/>
        </w:rPr>
        <w:t>We focus at</w:t>
      </w:r>
      <w:r w:rsidR="00C5506F" w:rsidRPr="00D6224A">
        <w:rPr>
          <w:rFonts w:asciiTheme="majorHAnsi" w:hAnsiTheme="majorHAnsi" w:cs="Times New Roman"/>
          <w:sz w:val="24"/>
        </w:rPr>
        <w:t xml:space="preserve"> both simultaneously to have a more</w:t>
      </w:r>
      <w:r w:rsidR="00EA6455">
        <w:rPr>
          <w:rFonts w:asciiTheme="majorHAnsi" w:hAnsiTheme="majorHAnsi" w:cs="Times New Roman"/>
          <w:sz w:val="24"/>
        </w:rPr>
        <w:t xml:space="preserve"> </w:t>
      </w:r>
      <w:r w:rsidR="00C5506F" w:rsidRPr="00D6224A">
        <w:rPr>
          <w:rFonts w:asciiTheme="majorHAnsi" w:hAnsiTheme="majorHAnsi" w:cs="Times New Roman"/>
          <w:sz w:val="24"/>
        </w:rPr>
        <w:t xml:space="preserve">informed </w:t>
      </w:r>
      <w:r w:rsidR="00D6224A" w:rsidRPr="00D6224A">
        <w:rPr>
          <w:rFonts w:asciiTheme="majorHAnsi" w:hAnsiTheme="majorHAnsi" w:cs="Times New Roman"/>
          <w:sz w:val="24"/>
        </w:rPr>
        <w:t>view</w:t>
      </w:r>
      <w:r w:rsidR="00D6224A">
        <w:rPr>
          <w:rFonts w:asciiTheme="majorHAnsi" w:hAnsiTheme="majorHAnsi" w:cs="Times New Roman"/>
          <w:sz w:val="24"/>
        </w:rPr>
        <w:t xml:space="preserve"> </w:t>
      </w:r>
      <w:r w:rsidR="00C5506F" w:rsidRPr="00D6224A">
        <w:rPr>
          <w:rFonts w:asciiTheme="majorHAnsi" w:hAnsiTheme="majorHAnsi" w:cs="Times New Roman"/>
          <w:sz w:val="24"/>
        </w:rPr>
        <w:t>of the structural reforms</w:t>
      </w:r>
      <w:r w:rsidR="00A0352C">
        <w:rPr>
          <w:rFonts w:asciiTheme="majorHAnsi" w:hAnsiTheme="majorHAnsi" w:cs="Times New Roman"/>
          <w:sz w:val="24"/>
        </w:rPr>
        <w:t>. In doing so, t</w:t>
      </w:r>
      <w:r w:rsidR="0046631C" w:rsidRPr="00F14751">
        <w:rPr>
          <w:rFonts w:asciiTheme="majorHAnsi" w:hAnsiTheme="majorHAnsi" w:cs="Times New Roman"/>
          <w:sz w:val="24"/>
        </w:rPr>
        <w:t xml:space="preserve">his study does not </w:t>
      </w:r>
      <w:r w:rsidR="005E0785" w:rsidRPr="00F14751">
        <w:rPr>
          <w:rFonts w:asciiTheme="majorHAnsi" w:hAnsiTheme="majorHAnsi" w:cs="Times New Roman"/>
          <w:sz w:val="24"/>
        </w:rPr>
        <w:t xml:space="preserve">only examine the </w:t>
      </w:r>
      <w:r w:rsidR="00E9615B" w:rsidRPr="00F14751">
        <w:rPr>
          <w:rFonts w:asciiTheme="majorHAnsi" w:hAnsiTheme="majorHAnsi" w:cs="Times New Roman"/>
          <w:sz w:val="24"/>
        </w:rPr>
        <w:t>general</w:t>
      </w:r>
      <w:r w:rsidR="005E0785" w:rsidRPr="00F14751">
        <w:rPr>
          <w:rFonts w:asciiTheme="majorHAnsi" w:hAnsiTheme="majorHAnsi" w:cs="Times New Roman"/>
          <w:sz w:val="24"/>
        </w:rPr>
        <w:t xml:space="preserve"> effects of the structural reforms, but also focuses on the effects of the different reform areas individually. Furthermore, it examines whether there is a difference in the effect</w:t>
      </w:r>
      <w:r w:rsidR="00ED47F8" w:rsidRPr="00F14751">
        <w:rPr>
          <w:rFonts w:asciiTheme="majorHAnsi" w:hAnsiTheme="majorHAnsi" w:cs="Times New Roman"/>
          <w:sz w:val="24"/>
        </w:rPr>
        <w:t xml:space="preserve">s </w:t>
      </w:r>
      <w:r w:rsidR="002D6770" w:rsidRPr="00F14751">
        <w:rPr>
          <w:rFonts w:asciiTheme="majorHAnsi" w:hAnsiTheme="majorHAnsi" w:cs="Times New Roman"/>
          <w:sz w:val="24"/>
        </w:rPr>
        <w:t>of structural</w:t>
      </w:r>
      <w:r w:rsidR="00ED47F8" w:rsidRPr="00F14751">
        <w:rPr>
          <w:rFonts w:asciiTheme="majorHAnsi" w:hAnsiTheme="majorHAnsi" w:cs="Times New Roman"/>
          <w:sz w:val="24"/>
        </w:rPr>
        <w:t xml:space="preserve"> reforms</w:t>
      </w:r>
      <w:r w:rsidR="002D6770" w:rsidRPr="00F14751">
        <w:rPr>
          <w:rFonts w:asciiTheme="majorHAnsi" w:hAnsiTheme="majorHAnsi" w:cs="Times New Roman"/>
          <w:sz w:val="24"/>
        </w:rPr>
        <w:t xml:space="preserve"> in countries that have </w:t>
      </w:r>
      <w:r w:rsidR="002A6FE5">
        <w:rPr>
          <w:rFonts w:asciiTheme="majorHAnsi" w:hAnsiTheme="majorHAnsi" w:cs="Times New Roman"/>
          <w:sz w:val="24"/>
        </w:rPr>
        <w:t xml:space="preserve">both </w:t>
      </w:r>
      <w:r w:rsidR="002D6770" w:rsidRPr="00F14751">
        <w:rPr>
          <w:rFonts w:asciiTheme="majorHAnsi" w:hAnsiTheme="majorHAnsi" w:cs="Times New Roman"/>
          <w:sz w:val="24"/>
        </w:rPr>
        <w:t>high poverty and</w:t>
      </w:r>
      <w:r w:rsidR="002A6FE5">
        <w:rPr>
          <w:rFonts w:asciiTheme="majorHAnsi" w:hAnsiTheme="majorHAnsi" w:cs="Times New Roman"/>
          <w:sz w:val="24"/>
        </w:rPr>
        <w:t xml:space="preserve"> high</w:t>
      </w:r>
      <w:r w:rsidR="002D6770" w:rsidRPr="00F14751">
        <w:rPr>
          <w:rFonts w:asciiTheme="majorHAnsi" w:hAnsiTheme="majorHAnsi" w:cs="Times New Roman"/>
          <w:sz w:val="24"/>
        </w:rPr>
        <w:t xml:space="preserve"> inequality rates and in countries that have</w:t>
      </w:r>
      <w:r w:rsidR="002A6FE5">
        <w:rPr>
          <w:rFonts w:asciiTheme="majorHAnsi" w:hAnsiTheme="majorHAnsi" w:cs="Times New Roman"/>
          <w:sz w:val="24"/>
        </w:rPr>
        <w:t xml:space="preserve"> both</w:t>
      </w:r>
      <w:r w:rsidR="002D6770" w:rsidRPr="00F14751">
        <w:rPr>
          <w:rFonts w:asciiTheme="majorHAnsi" w:hAnsiTheme="majorHAnsi" w:cs="Times New Roman"/>
          <w:sz w:val="24"/>
        </w:rPr>
        <w:t xml:space="preserve"> low poverty and</w:t>
      </w:r>
      <w:r w:rsidR="002A6FE5">
        <w:rPr>
          <w:rFonts w:asciiTheme="majorHAnsi" w:hAnsiTheme="majorHAnsi" w:cs="Times New Roman"/>
          <w:sz w:val="24"/>
        </w:rPr>
        <w:t xml:space="preserve"> low</w:t>
      </w:r>
      <w:r w:rsidR="002D6770" w:rsidRPr="00F14751">
        <w:rPr>
          <w:rFonts w:asciiTheme="majorHAnsi" w:hAnsiTheme="majorHAnsi" w:cs="Times New Roman"/>
          <w:sz w:val="24"/>
        </w:rPr>
        <w:t xml:space="preserve"> inequality rates. </w:t>
      </w:r>
    </w:p>
    <w:p w14:paraId="54D56C6C" w14:textId="60508E9E" w:rsidR="00572D49" w:rsidRPr="00F14751" w:rsidRDefault="00572D49" w:rsidP="00C8508E">
      <w:pPr>
        <w:pStyle w:val="NoSpacing"/>
        <w:spacing w:line="360" w:lineRule="auto"/>
        <w:jc w:val="both"/>
        <w:rPr>
          <w:rFonts w:asciiTheme="majorHAnsi" w:hAnsiTheme="majorHAnsi"/>
          <w:sz w:val="24"/>
          <w:szCs w:val="24"/>
        </w:rPr>
      </w:pPr>
      <w:r w:rsidRPr="00F14751">
        <w:rPr>
          <w:rFonts w:asciiTheme="majorHAnsi" w:hAnsiTheme="majorHAnsi" w:cs="Times New Roman"/>
          <w:sz w:val="24"/>
        </w:rPr>
        <w:tab/>
      </w:r>
      <w:r w:rsidR="00186741" w:rsidRPr="00F14751">
        <w:rPr>
          <w:rFonts w:asciiTheme="majorHAnsi" w:hAnsiTheme="majorHAnsi" w:cs="Times New Roman"/>
          <w:sz w:val="24"/>
        </w:rPr>
        <w:t xml:space="preserve">The results suggest that </w:t>
      </w:r>
      <w:r w:rsidR="00186741" w:rsidRPr="00F14751">
        <w:rPr>
          <w:rFonts w:asciiTheme="majorHAnsi" w:hAnsiTheme="majorHAnsi"/>
          <w:sz w:val="24"/>
          <w:szCs w:val="24"/>
        </w:rPr>
        <w:t xml:space="preserve">structural reforms, in general, and financial reforms and privatizations, in particular, have increased both the extent and depth of poverty in Latin America in the period 1985-2010. The other reform areas had no effect on poverty.  </w:t>
      </w:r>
      <w:r w:rsidR="00F318CE">
        <w:rPr>
          <w:rFonts w:asciiTheme="majorHAnsi" w:hAnsiTheme="majorHAnsi"/>
          <w:sz w:val="24"/>
          <w:szCs w:val="24"/>
        </w:rPr>
        <w:t>S</w:t>
      </w:r>
      <w:r w:rsidR="00186741" w:rsidRPr="00F14751">
        <w:rPr>
          <w:rFonts w:asciiTheme="majorHAnsi" w:hAnsiTheme="majorHAnsi"/>
          <w:sz w:val="24"/>
          <w:szCs w:val="24"/>
        </w:rPr>
        <w:t>tr</w:t>
      </w:r>
      <w:r w:rsidR="005555D8">
        <w:rPr>
          <w:rFonts w:asciiTheme="majorHAnsi" w:hAnsiTheme="majorHAnsi"/>
          <w:sz w:val="24"/>
          <w:szCs w:val="24"/>
        </w:rPr>
        <w:t>uctural reforms, in general, did</w:t>
      </w:r>
      <w:r w:rsidR="00186741" w:rsidRPr="00F14751">
        <w:rPr>
          <w:rFonts w:asciiTheme="majorHAnsi" w:hAnsiTheme="majorHAnsi"/>
          <w:sz w:val="24"/>
          <w:szCs w:val="24"/>
        </w:rPr>
        <w:t xml:space="preserve"> no</w:t>
      </w:r>
      <w:r w:rsidR="005555D8">
        <w:rPr>
          <w:rFonts w:asciiTheme="majorHAnsi" w:hAnsiTheme="majorHAnsi"/>
          <w:sz w:val="24"/>
          <w:szCs w:val="24"/>
        </w:rPr>
        <w:t>t affect</w:t>
      </w:r>
      <w:r w:rsidR="00186741" w:rsidRPr="00F14751">
        <w:rPr>
          <w:rFonts w:asciiTheme="majorHAnsi" w:hAnsiTheme="majorHAnsi"/>
          <w:sz w:val="24"/>
          <w:szCs w:val="24"/>
        </w:rPr>
        <w:t xml:space="preserve"> inequality. </w:t>
      </w:r>
      <w:r w:rsidR="00186741" w:rsidRPr="00F14751">
        <w:rPr>
          <w:rFonts w:asciiTheme="majorHAnsi" w:hAnsiTheme="majorHAnsi"/>
          <w:sz w:val="24"/>
        </w:rPr>
        <w:t xml:space="preserve">This is because different reform areas had different </w:t>
      </w:r>
      <w:r w:rsidR="000E2E13">
        <w:rPr>
          <w:rFonts w:asciiTheme="majorHAnsi" w:hAnsiTheme="majorHAnsi"/>
          <w:sz w:val="24"/>
        </w:rPr>
        <w:t xml:space="preserve">and </w:t>
      </w:r>
      <w:r w:rsidR="00186741" w:rsidRPr="00F14751">
        <w:rPr>
          <w:rFonts w:asciiTheme="majorHAnsi" w:hAnsiTheme="majorHAnsi"/>
          <w:sz w:val="24"/>
        </w:rPr>
        <w:t xml:space="preserve">offsetting distributional effects; financial and labor reforms increased inequality, while tax reforms and privatizations decreased inequality. Trade </w:t>
      </w:r>
      <w:r w:rsidR="00186741" w:rsidRPr="00F14751">
        <w:rPr>
          <w:rFonts w:asciiTheme="majorHAnsi" w:hAnsiTheme="majorHAnsi"/>
          <w:sz w:val="24"/>
        </w:rPr>
        <w:lastRenderedPageBreak/>
        <w:t xml:space="preserve">reforms had no significant effect on inequality in this period. </w:t>
      </w:r>
      <w:r w:rsidR="00407B58" w:rsidRPr="00F14751">
        <w:rPr>
          <w:rFonts w:asciiTheme="majorHAnsi" w:hAnsiTheme="majorHAnsi"/>
          <w:sz w:val="24"/>
        </w:rPr>
        <w:t>Structural reforms had no effect on poverty in Latin American countries with high poverty and inequality rates, but did decrease inequality</w:t>
      </w:r>
      <w:r w:rsidR="003742ED" w:rsidRPr="00F14751">
        <w:rPr>
          <w:rFonts w:asciiTheme="majorHAnsi" w:hAnsiTheme="majorHAnsi"/>
          <w:sz w:val="24"/>
        </w:rPr>
        <w:t xml:space="preserve"> in these countries, especially due to reforms in tax policy. </w:t>
      </w:r>
      <w:r w:rsidRPr="00F14751">
        <w:rPr>
          <w:rFonts w:asciiTheme="majorHAnsi" w:hAnsiTheme="majorHAnsi"/>
          <w:sz w:val="24"/>
        </w:rPr>
        <w:t xml:space="preserve">In low poverty and low inequality countries structural reforms, in general, and trade reforms, in particular, increased the depth of poverty. </w:t>
      </w:r>
      <w:r w:rsidRPr="00F14751">
        <w:rPr>
          <w:rFonts w:asciiTheme="majorHAnsi" w:hAnsiTheme="majorHAnsi"/>
          <w:sz w:val="24"/>
          <w:szCs w:val="24"/>
        </w:rPr>
        <w:t>With respect to inequality, structural reforms distributed income more equally among the population. This is mainly due to the fact that privatizations decreased the share of income held by the rich and increased the share of income held by the rest of the population.</w:t>
      </w:r>
    </w:p>
    <w:p w14:paraId="61EC60A3" w14:textId="77777777" w:rsidR="004E2E6D" w:rsidRDefault="00572D49" w:rsidP="00C8508E">
      <w:pPr>
        <w:pStyle w:val="NoSpacing"/>
        <w:spacing w:line="360" w:lineRule="auto"/>
        <w:jc w:val="both"/>
        <w:rPr>
          <w:rFonts w:asciiTheme="majorHAnsi" w:hAnsiTheme="majorHAnsi" w:cs="Times New Roman"/>
          <w:sz w:val="24"/>
        </w:rPr>
      </w:pPr>
      <w:r w:rsidRPr="00F14751">
        <w:rPr>
          <w:rFonts w:asciiTheme="majorHAnsi" w:hAnsiTheme="majorHAnsi"/>
          <w:sz w:val="24"/>
          <w:szCs w:val="24"/>
        </w:rPr>
        <w:tab/>
      </w:r>
      <w:r w:rsidR="006E24F0" w:rsidRPr="00F14751">
        <w:rPr>
          <w:rFonts w:asciiTheme="majorHAnsi" w:hAnsiTheme="majorHAnsi" w:cs="Times New Roman"/>
          <w:sz w:val="24"/>
        </w:rPr>
        <w:t xml:space="preserve">The rest of the paper is structured as follows. The next section gives a brief overview of the structural reform process in Latin America. </w:t>
      </w:r>
      <w:r w:rsidR="000D0995" w:rsidRPr="00F14751">
        <w:rPr>
          <w:rFonts w:asciiTheme="majorHAnsi" w:hAnsiTheme="majorHAnsi" w:cs="Times New Roman"/>
          <w:sz w:val="24"/>
        </w:rPr>
        <w:t>S</w:t>
      </w:r>
      <w:r w:rsidR="006E24F0" w:rsidRPr="00F14751">
        <w:rPr>
          <w:rFonts w:asciiTheme="majorHAnsi" w:hAnsiTheme="majorHAnsi" w:cs="Times New Roman"/>
          <w:sz w:val="24"/>
        </w:rPr>
        <w:t>ection</w:t>
      </w:r>
      <w:r w:rsidR="000D0995" w:rsidRPr="00F14751">
        <w:rPr>
          <w:rFonts w:asciiTheme="majorHAnsi" w:hAnsiTheme="majorHAnsi" w:cs="Times New Roman"/>
          <w:sz w:val="24"/>
        </w:rPr>
        <w:t xml:space="preserve"> 3</w:t>
      </w:r>
      <w:r w:rsidR="006E24F0" w:rsidRPr="00F14751">
        <w:rPr>
          <w:rFonts w:asciiTheme="majorHAnsi" w:hAnsiTheme="majorHAnsi" w:cs="Times New Roman"/>
          <w:sz w:val="24"/>
        </w:rPr>
        <w:t xml:space="preserve"> outlines theoretical arguments on how structural reforms </w:t>
      </w:r>
      <w:r w:rsidR="000D0995" w:rsidRPr="00F14751">
        <w:rPr>
          <w:rFonts w:asciiTheme="majorHAnsi" w:hAnsiTheme="majorHAnsi" w:cs="Times New Roman"/>
          <w:sz w:val="24"/>
        </w:rPr>
        <w:t>affect</w:t>
      </w:r>
      <w:r w:rsidR="006E24F0" w:rsidRPr="00F14751">
        <w:rPr>
          <w:rFonts w:asciiTheme="majorHAnsi" w:hAnsiTheme="majorHAnsi" w:cs="Times New Roman"/>
          <w:sz w:val="24"/>
        </w:rPr>
        <w:t xml:space="preserve"> poverty and in</w:t>
      </w:r>
      <w:r w:rsidR="00111DD2" w:rsidRPr="00F14751">
        <w:rPr>
          <w:rFonts w:asciiTheme="majorHAnsi" w:hAnsiTheme="majorHAnsi" w:cs="Times New Roman"/>
          <w:sz w:val="24"/>
        </w:rPr>
        <w:t>equality and discusses</w:t>
      </w:r>
      <w:r w:rsidR="006E24F0" w:rsidRPr="00F14751">
        <w:rPr>
          <w:rFonts w:asciiTheme="majorHAnsi" w:hAnsiTheme="majorHAnsi" w:cs="Times New Roman"/>
          <w:sz w:val="24"/>
        </w:rPr>
        <w:t xml:space="preserve"> previous empirical evidence</w:t>
      </w:r>
      <w:r w:rsidR="000D0995" w:rsidRPr="00F14751">
        <w:rPr>
          <w:rFonts w:asciiTheme="majorHAnsi" w:hAnsiTheme="majorHAnsi" w:cs="Times New Roman"/>
          <w:sz w:val="24"/>
        </w:rPr>
        <w:t>.</w:t>
      </w:r>
      <w:r w:rsidR="004D0A5A" w:rsidRPr="00F14751">
        <w:rPr>
          <w:rFonts w:asciiTheme="majorHAnsi" w:hAnsiTheme="majorHAnsi" w:cs="Times New Roman"/>
          <w:sz w:val="24"/>
        </w:rPr>
        <w:t xml:space="preserve"> Section 4</w:t>
      </w:r>
      <w:r w:rsidR="006E24F0" w:rsidRPr="00F14751">
        <w:rPr>
          <w:rFonts w:asciiTheme="majorHAnsi" w:hAnsiTheme="majorHAnsi" w:cs="Times New Roman"/>
          <w:sz w:val="24"/>
        </w:rPr>
        <w:t xml:space="preserve"> </w:t>
      </w:r>
      <w:r w:rsidR="004D0A5A" w:rsidRPr="00F14751">
        <w:rPr>
          <w:rFonts w:asciiTheme="majorHAnsi" w:hAnsiTheme="majorHAnsi" w:cs="Times New Roman"/>
          <w:sz w:val="24"/>
        </w:rPr>
        <w:t xml:space="preserve">presents the data and provides evidence on the evolution of the measures of poverty and inequality and of the reforms in Latin America. Section 5 discusses the empirical strategy. Section 6 presents </w:t>
      </w:r>
      <w:r w:rsidR="00E9615B">
        <w:rPr>
          <w:rFonts w:asciiTheme="majorHAnsi" w:hAnsiTheme="majorHAnsi" w:cs="Times New Roman"/>
          <w:sz w:val="24"/>
        </w:rPr>
        <w:t xml:space="preserve">the </w:t>
      </w:r>
      <w:r w:rsidR="004D0A5A" w:rsidRPr="00F14751">
        <w:rPr>
          <w:rFonts w:asciiTheme="majorHAnsi" w:hAnsiTheme="majorHAnsi" w:cs="Times New Roman"/>
          <w:sz w:val="24"/>
        </w:rPr>
        <w:t xml:space="preserve">empirical results. Section 7 concludes. </w:t>
      </w:r>
    </w:p>
    <w:p w14:paraId="07362345" w14:textId="77777777" w:rsidR="004E2E6D" w:rsidRDefault="004E2E6D" w:rsidP="00C8508E">
      <w:pPr>
        <w:pStyle w:val="NoSpacing"/>
        <w:spacing w:line="360" w:lineRule="auto"/>
        <w:jc w:val="both"/>
        <w:rPr>
          <w:rFonts w:asciiTheme="majorHAnsi" w:hAnsiTheme="majorHAnsi" w:cs="Times New Roman"/>
          <w:sz w:val="24"/>
        </w:rPr>
      </w:pPr>
    </w:p>
    <w:p w14:paraId="3522BBF2" w14:textId="444431C5" w:rsidR="00310BD0" w:rsidRPr="004E2E6D" w:rsidRDefault="00B55587" w:rsidP="00C8508E">
      <w:pPr>
        <w:pStyle w:val="NoSpacing"/>
        <w:spacing w:line="360" w:lineRule="auto"/>
        <w:jc w:val="both"/>
        <w:rPr>
          <w:rFonts w:asciiTheme="majorHAnsi" w:hAnsiTheme="majorHAnsi"/>
          <w:sz w:val="24"/>
          <w:szCs w:val="24"/>
        </w:rPr>
      </w:pPr>
      <w:r w:rsidRPr="00F14751">
        <w:rPr>
          <w:rFonts w:asciiTheme="majorHAnsi" w:hAnsiTheme="majorHAnsi"/>
          <w:b/>
          <w:sz w:val="28"/>
        </w:rPr>
        <w:t>2. The Structural Reform Process in L</w:t>
      </w:r>
      <w:r w:rsidR="00310BD0" w:rsidRPr="00F14751">
        <w:rPr>
          <w:rFonts w:asciiTheme="majorHAnsi" w:hAnsiTheme="majorHAnsi"/>
          <w:b/>
          <w:sz w:val="28"/>
        </w:rPr>
        <w:t>atin America</w:t>
      </w:r>
    </w:p>
    <w:p w14:paraId="1090F454" w14:textId="77777777" w:rsidR="00EB18C1" w:rsidRPr="004E2E6D" w:rsidRDefault="00EB18C1" w:rsidP="00C8508E">
      <w:pPr>
        <w:pStyle w:val="NoSpacing"/>
        <w:spacing w:line="360" w:lineRule="auto"/>
        <w:jc w:val="both"/>
        <w:rPr>
          <w:rFonts w:asciiTheme="majorHAnsi" w:hAnsiTheme="majorHAnsi"/>
          <w:sz w:val="24"/>
        </w:rPr>
      </w:pPr>
    </w:p>
    <w:p w14:paraId="23FA03F3" w14:textId="77777777" w:rsidR="000D0197" w:rsidRPr="00F14751" w:rsidRDefault="00572D49" w:rsidP="00C8508E">
      <w:pPr>
        <w:pStyle w:val="NoSpacing"/>
        <w:spacing w:line="360" w:lineRule="auto"/>
        <w:jc w:val="both"/>
        <w:rPr>
          <w:rFonts w:asciiTheme="majorHAnsi" w:hAnsiTheme="majorHAnsi" w:cs="Times New Roman"/>
          <w:sz w:val="24"/>
        </w:rPr>
      </w:pPr>
      <w:r w:rsidRPr="00F14751">
        <w:rPr>
          <w:rFonts w:asciiTheme="majorHAnsi" w:hAnsiTheme="majorHAnsi"/>
          <w:sz w:val="24"/>
        </w:rPr>
        <w:t>After the Second World War,</w:t>
      </w:r>
      <w:r w:rsidR="00310BD0" w:rsidRPr="00F14751">
        <w:rPr>
          <w:rFonts w:asciiTheme="majorHAnsi" w:hAnsiTheme="majorHAnsi"/>
          <w:sz w:val="24"/>
        </w:rPr>
        <w:t xml:space="preserve"> Import Substitution Industrialization (ISI) came to emerge in Latin American countries. ISI is an inward-oriented trade and economy policy that advocates replacing foreign import with domestic production. The policy is based on the principle that a country should attempt to reduce its foreign dependency through the local production of industrialized products. Latin American countries implemented ISI with the intent</w:t>
      </w:r>
      <w:r w:rsidR="00EE0905" w:rsidRPr="00F14751">
        <w:rPr>
          <w:rFonts w:asciiTheme="majorHAnsi" w:hAnsiTheme="majorHAnsi"/>
          <w:sz w:val="24"/>
        </w:rPr>
        <w:t xml:space="preserve">ion of improving development </w:t>
      </w:r>
      <w:r w:rsidR="00310BD0" w:rsidRPr="00F14751">
        <w:rPr>
          <w:rFonts w:asciiTheme="majorHAnsi" w:hAnsiTheme="majorHAnsi"/>
          <w:sz w:val="24"/>
        </w:rPr>
        <w:t xml:space="preserve">and self-sufficiency through the creation of an internal market. With ISI, the state leads the economic development through nationalization, subsidization of industries, increased taxation and highly protectionist trade policies. The policy was most successful in countries with </w:t>
      </w:r>
      <w:r w:rsidR="000D0995" w:rsidRPr="00F14751">
        <w:rPr>
          <w:rFonts w:asciiTheme="majorHAnsi" w:hAnsiTheme="majorHAnsi"/>
          <w:sz w:val="24"/>
        </w:rPr>
        <w:t>a large domestic market, where l</w:t>
      </w:r>
      <w:r w:rsidR="00310BD0" w:rsidRPr="00F14751">
        <w:rPr>
          <w:rFonts w:asciiTheme="majorHAnsi" w:hAnsiTheme="majorHAnsi"/>
          <w:sz w:val="24"/>
        </w:rPr>
        <w:t>arge populations and income levels allowed for the consumption of locally produced products. From 1950 to 1980, countries like Argentina, Brazil, Mexico, Chile, Uruguay and Venezuel</w:t>
      </w:r>
      <w:r w:rsidR="000D0197" w:rsidRPr="00F14751">
        <w:rPr>
          <w:rFonts w:asciiTheme="majorHAnsi" w:hAnsiTheme="majorHAnsi"/>
          <w:sz w:val="24"/>
        </w:rPr>
        <w:t xml:space="preserve">a had the most success with ISI </w:t>
      </w:r>
      <w:r w:rsidR="000D0197" w:rsidRPr="00F14751">
        <w:rPr>
          <w:rFonts w:asciiTheme="majorHAnsi" w:hAnsiTheme="majorHAnsi" w:cs="Times New Roman"/>
          <w:sz w:val="24"/>
        </w:rPr>
        <w:t>(</w:t>
      </w:r>
      <w:proofErr w:type="spellStart"/>
      <w:r w:rsidR="000D0197" w:rsidRPr="00F14751">
        <w:rPr>
          <w:rFonts w:asciiTheme="majorHAnsi" w:hAnsiTheme="majorHAnsi" w:cs="Times New Roman"/>
          <w:sz w:val="24"/>
        </w:rPr>
        <w:t>Forteza</w:t>
      </w:r>
      <w:proofErr w:type="spellEnd"/>
      <w:r w:rsidR="000D0197" w:rsidRPr="00F14751">
        <w:rPr>
          <w:rFonts w:asciiTheme="majorHAnsi" w:hAnsiTheme="majorHAnsi" w:cs="Times New Roman"/>
          <w:sz w:val="24"/>
        </w:rPr>
        <w:t xml:space="preserve"> and </w:t>
      </w:r>
      <w:proofErr w:type="spellStart"/>
      <w:r w:rsidR="000D0197" w:rsidRPr="00F14751">
        <w:rPr>
          <w:rFonts w:asciiTheme="majorHAnsi" w:hAnsiTheme="majorHAnsi" w:cs="Times New Roman"/>
          <w:sz w:val="24"/>
        </w:rPr>
        <w:t>Tommasi</w:t>
      </w:r>
      <w:proofErr w:type="spellEnd"/>
      <w:r w:rsidR="000D0197" w:rsidRPr="00F14751">
        <w:rPr>
          <w:rFonts w:asciiTheme="majorHAnsi" w:hAnsiTheme="majorHAnsi" w:cs="Times New Roman"/>
          <w:sz w:val="24"/>
        </w:rPr>
        <w:t>, 2006).</w:t>
      </w:r>
    </w:p>
    <w:p w14:paraId="4976350D" w14:textId="77777777" w:rsidR="00EA34EB" w:rsidRPr="00F14751" w:rsidRDefault="00310BD0" w:rsidP="00C8508E">
      <w:pPr>
        <w:pStyle w:val="NoSpacing"/>
        <w:spacing w:line="360" w:lineRule="auto"/>
        <w:ind w:firstLine="708"/>
        <w:jc w:val="both"/>
        <w:rPr>
          <w:rFonts w:asciiTheme="majorHAnsi" w:hAnsiTheme="majorHAnsi" w:cs="Times New Roman"/>
          <w:sz w:val="24"/>
        </w:rPr>
      </w:pPr>
      <w:r w:rsidRPr="00F14751">
        <w:rPr>
          <w:rFonts w:asciiTheme="majorHAnsi" w:hAnsiTheme="majorHAnsi" w:cs="Times New Roman"/>
          <w:sz w:val="24"/>
        </w:rPr>
        <w:t xml:space="preserve">However, after some time, ISI began the show signs of exhaustion. Next to the fact that the economic performance of Latin American countries was not good enough compared with South-East Asian countries, which had adopted complete opposite </w:t>
      </w:r>
      <w:r w:rsidRPr="00F14751">
        <w:rPr>
          <w:rFonts w:asciiTheme="majorHAnsi" w:hAnsiTheme="majorHAnsi" w:cs="Times New Roman"/>
          <w:sz w:val="24"/>
        </w:rPr>
        <w:lastRenderedPageBreak/>
        <w:t>policies, the policy failed to deal wi</w:t>
      </w:r>
      <w:r w:rsidR="00413731" w:rsidRPr="00F14751">
        <w:rPr>
          <w:rFonts w:asciiTheme="majorHAnsi" w:hAnsiTheme="majorHAnsi" w:cs="Times New Roman"/>
          <w:sz w:val="24"/>
        </w:rPr>
        <w:t>th the debt crisis of 1982. Moreover</w:t>
      </w:r>
      <w:r w:rsidRPr="00F14751">
        <w:rPr>
          <w:rFonts w:asciiTheme="majorHAnsi" w:hAnsiTheme="majorHAnsi" w:cs="Times New Roman"/>
          <w:sz w:val="24"/>
        </w:rPr>
        <w:t>, many countries were in structural debt due to ISI-related policies. Therefore, the political support for ISI was gradually eroding in the reg</w:t>
      </w:r>
      <w:r w:rsidR="00D02738" w:rsidRPr="00F14751">
        <w:rPr>
          <w:rFonts w:asciiTheme="majorHAnsi" w:hAnsiTheme="majorHAnsi" w:cs="Times New Roman"/>
          <w:sz w:val="24"/>
        </w:rPr>
        <w:t>ion and co</w:t>
      </w:r>
      <w:r w:rsidR="00EA34EB" w:rsidRPr="00F14751">
        <w:rPr>
          <w:rFonts w:asciiTheme="majorHAnsi" w:hAnsiTheme="majorHAnsi" w:cs="Times New Roman"/>
          <w:sz w:val="24"/>
        </w:rPr>
        <w:t xml:space="preserve">untries came to accept that ISI was </w:t>
      </w:r>
      <w:r w:rsidR="00636DB0" w:rsidRPr="00F14751">
        <w:rPr>
          <w:rFonts w:asciiTheme="majorHAnsi" w:hAnsiTheme="majorHAnsi" w:cs="Times New Roman"/>
          <w:sz w:val="24"/>
        </w:rPr>
        <w:t xml:space="preserve">no longer sustainable </w:t>
      </w:r>
      <w:r w:rsidR="00D02738" w:rsidRPr="00F14751">
        <w:rPr>
          <w:rFonts w:asciiTheme="majorHAnsi" w:hAnsiTheme="majorHAnsi" w:cs="Times New Roman"/>
          <w:sz w:val="24"/>
        </w:rPr>
        <w:t>(</w:t>
      </w:r>
      <w:proofErr w:type="spellStart"/>
      <w:r w:rsidR="00636DB0" w:rsidRPr="00F14751">
        <w:rPr>
          <w:rFonts w:asciiTheme="majorHAnsi" w:hAnsiTheme="majorHAnsi" w:cs="Times New Roman"/>
          <w:sz w:val="24"/>
        </w:rPr>
        <w:t>Forteza</w:t>
      </w:r>
      <w:proofErr w:type="spellEnd"/>
      <w:r w:rsidR="00636DB0" w:rsidRPr="00F14751">
        <w:rPr>
          <w:rFonts w:asciiTheme="majorHAnsi" w:hAnsiTheme="majorHAnsi" w:cs="Times New Roman"/>
          <w:sz w:val="24"/>
        </w:rPr>
        <w:t xml:space="preserve"> and </w:t>
      </w:r>
      <w:proofErr w:type="spellStart"/>
      <w:r w:rsidR="00636DB0" w:rsidRPr="00F14751">
        <w:rPr>
          <w:rFonts w:asciiTheme="majorHAnsi" w:hAnsiTheme="majorHAnsi" w:cs="Times New Roman"/>
          <w:sz w:val="24"/>
        </w:rPr>
        <w:t>Tommasi</w:t>
      </w:r>
      <w:proofErr w:type="spellEnd"/>
      <w:r w:rsidR="00636DB0" w:rsidRPr="00F14751">
        <w:rPr>
          <w:rFonts w:asciiTheme="majorHAnsi" w:hAnsiTheme="majorHAnsi" w:cs="Times New Roman"/>
          <w:sz w:val="24"/>
        </w:rPr>
        <w:t>, 2006</w:t>
      </w:r>
      <w:r w:rsidR="008A29E8" w:rsidRPr="00F14751">
        <w:rPr>
          <w:rFonts w:asciiTheme="majorHAnsi" w:hAnsiTheme="majorHAnsi" w:cs="Times New Roman"/>
          <w:sz w:val="24"/>
        </w:rPr>
        <w:t xml:space="preserve">, </w:t>
      </w:r>
      <w:r w:rsidR="00636DB0" w:rsidRPr="00F14751">
        <w:rPr>
          <w:rFonts w:asciiTheme="majorHAnsi" w:hAnsiTheme="majorHAnsi" w:cs="Times New Roman"/>
          <w:sz w:val="24"/>
        </w:rPr>
        <w:t xml:space="preserve">and </w:t>
      </w:r>
      <w:r w:rsidR="00D02738" w:rsidRPr="00F14751">
        <w:rPr>
          <w:rFonts w:asciiTheme="majorHAnsi" w:hAnsiTheme="majorHAnsi" w:cs="Times New Roman"/>
          <w:sz w:val="24"/>
        </w:rPr>
        <w:t>Morley, 2001)</w:t>
      </w:r>
      <w:r w:rsidR="00636DB0" w:rsidRPr="00F14751">
        <w:rPr>
          <w:rFonts w:asciiTheme="majorHAnsi" w:hAnsiTheme="majorHAnsi" w:cs="Times New Roman"/>
          <w:sz w:val="24"/>
        </w:rPr>
        <w:t>.</w:t>
      </w:r>
    </w:p>
    <w:p w14:paraId="56DE2144" w14:textId="1EE5ECF3" w:rsidR="00EB18C1" w:rsidRPr="00F14751" w:rsidRDefault="00936725" w:rsidP="00C8508E">
      <w:pPr>
        <w:pStyle w:val="NoSpacing"/>
        <w:spacing w:line="360" w:lineRule="auto"/>
        <w:ind w:firstLine="708"/>
        <w:jc w:val="both"/>
        <w:rPr>
          <w:rFonts w:asciiTheme="majorHAnsi" w:hAnsiTheme="majorHAnsi" w:cs="Times New Roman"/>
          <w:sz w:val="24"/>
        </w:rPr>
      </w:pPr>
      <w:r w:rsidRPr="00F14751">
        <w:rPr>
          <w:rFonts w:asciiTheme="majorHAnsi" w:hAnsiTheme="majorHAnsi" w:cs="Times New Roman"/>
          <w:sz w:val="24"/>
        </w:rPr>
        <w:t>In the 1980s and 1990s, i</w:t>
      </w:r>
      <w:r w:rsidR="00EA34EB" w:rsidRPr="00F14751">
        <w:rPr>
          <w:rFonts w:asciiTheme="majorHAnsi" w:hAnsiTheme="majorHAnsi" w:cs="Times New Roman"/>
          <w:sz w:val="24"/>
        </w:rPr>
        <w:t>nspired by the Washington</w:t>
      </w:r>
      <w:r w:rsidRPr="00F14751">
        <w:rPr>
          <w:rFonts w:asciiTheme="majorHAnsi" w:hAnsiTheme="majorHAnsi" w:cs="Times New Roman"/>
          <w:sz w:val="24"/>
        </w:rPr>
        <w:t xml:space="preserve"> C</w:t>
      </w:r>
      <w:r w:rsidR="00EA34EB" w:rsidRPr="00F14751">
        <w:rPr>
          <w:rFonts w:asciiTheme="majorHAnsi" w:hAnsiTheme="majorHAnsi" w:cs="Times New Roman"/>
          <w:sz w:val="24"/>
        </w:rPr>
        <w:t>onsensus</w:t>
      </w:r>
      <w:r w:rsidRPr="00F14751">
        <w:rPr>
          <w:rFonts w:asciiTheme="majorHAnsi" w:hAnsiTheme="majorHAnsi" w:cs="Times New Roman"/>
          <w:sz w:val="24"/>
        </w:rPr>
        <w:t xml:space="preserve">, many Latin American countries abandoned the </w:t>
      </w:r>
      <w:r w:rsidR="00F56243" w:rsidRPr="00F14751">
        <w:rPr>
          <w:rFonts w:asciiTheme="majorHAnsi" w:hAnsiTheme="majorHAnsi" w:cs="Times New Roman"/>
          <w:sz w:val="24"/>
        </w:rPr>
        <w:t xml:space="preserve">old </w:t>
      </w:r>
      <w:r w:rsidRPr="00F14751">
        <w:rPr>
          <w:rFonts w:asciiTheme="majorHAnsi" w:hAnsiTheme="majorHAnsi" w:cs="Times New Roman"/>
          <w:sz w:val="24"/>
        </w:rPr>
        <w:t>ISI policy and adopted structural reforms in several policy areas. The goal of these reforms was</w:t>
      </w:r>
      <w:r w:rsidR="00BC18BC" w:rsidRPr="00F14751">
        <w:rPr>
          <w:rFonts w:asciiTheme="majorHAnsi" w:hAnsiTheme="majorHAnsi" w:cs="Times New Roman"/>
          <w:sz w:val="24"/>
        </w:rPr>
        <w:t xml:space="preserve"> to</w:t>
      </w:r>
      <w:r w:rsidRPr="00F14751">
        <w:rPr>
          <w:rFonts w:asciiTheme="majorHAnsi" w:hAnsiTheme="majorHAnsi" w:cs="Times New Roman"/>
          <w:sz w:val="24"/>
        </w:rPr>
        <w:t xml:space="preserve"> reduce the role of the government in directing the allocation of resources and production in the economy, open up the national economy to foreign competition and limit the distorting effect of the tax system on private decision-making. </w:t>
      </w:r>
      <w:r w:rsidR="00310BD0" w:rsidRPr="00F14751">
        <w:rPr>
          <w:rFonts w:asciiTheme="majorHAnsi" w:hAnsiTheme="majorHAnsi" w:cs="Times New Roman"/>
          <w:sz w:val="24"/>
        </w:rPr>
        <w:t>Structural reforms involved liberalization of international trade and finance, rebalancing of the ta</w:t>
      </w:r>
      <w:r w:rsidR="00D163A0">
        <w:rPr>
          <w:rFonts w:asciiTheme="majorHAnsi" w:hAnsiTheme="majorHAnsi" w:cs="Times New Roman"/>
          <w:sz w:val="24"/>
        </w:rPr>
        <w:t>x-code, privatization of state enterprises</w:t>
      </w:r>
      <w:r w:rsidR="00310BD0" w:rsidRPr="00F14751">
        <w:rPr>
          <w:rFonts w:asciiTheme="majorHAnsi" w:hAnsiTheme="majorHAnsi" w:cs="Times New Roman"/>
          <w:sz w:val="24"/>
        </w:rPr>
        <w:t xml:space="preserve"> and de</w:t>
      </w:r>
      <w:r w:rsidRPr="00F14751">
        <w:rPr>
          <w:rFonts w:asciiTheme="majorHAnsi" w:hAnsiTheme="majorHAnsi" w:cs="Times New Roman"/>
          <w:sz w:val="24"/>
        </w:rPr>
        <w:t>regulation of the labor market.</w:t>
      </w:r>
      <w:r w:rsidR="009B5E55" w:rsidRPr="00F14751">
        <w:rPr>
          <w:rFonts w:asciiTheme="majorHAnsi" w:hAnsiTheme="majorHAnsi" w:cs="Times New Roman"/>
          <w:sz w:val="24"/>
        </w:rPr>
        <w:t xml:space="preserve"> The following section disc</w:t>
      </w:r>
      <w:r w:rsidR="00EB18C1" w:rsidRPr="00F14751">
        <w:rPr>
          <w:rFonts w:asciiTheme="majorHAnsi" w:hAnsiTheme="majorHAnsi" w:cs="Times New Roman"/>
          <w:sz w:val="24"/>
        </w:rPr>
        <w:t>usses each reform individuall</w:t>
      </w:r>
      <w:r w:rsidR="003E01F4" w:rsidRPr="00F14751">
        <w:rPr>
          <w:rFonts w:asciiTheme="majorHAnsi" w:hAnsiTheme="majorHAnsi" w:cs="Times New Roman"/>
          <w:sz w:val="24"/>
        </w:rPr>
        <w:t>y.</w:t>
      </w:r>
    </w:p>
    <w:p w14:paraId="22AF1CF9" w14:textId="77777777" w:rsidR="003E01F4" w:rsidRPr="00F14751" w:rsidRDefault="003E01F4" w:rsidP="00C8508E">
      <w:pPr>
        <w:pStyle w:val="NoSpacing"/>
        <w:spacing w:line="360" w:lineRule="auto"/>
        <w:ind w:firstLine="708"/>
        <w:jc w:val="both"/>
        <w:rPr>
          <w:rFonts w:asciiTheme="majorHAnsi" w:hAnsiTheme="majorHAnsi" w:cs="Times New Roman"/>
          <w:sz w:val="24"/>
        </w:rPr>
      </w:pPr>
    </w:p>
    <w:p w14:paraId="32F74C2F" w14:textId="77777777" w:rsidR="00EB18C1" w:rsidRPr="00F14751" w:rsidRDefault="003E01F4" w:rsidP="00C8508E">
      <w:pPr>
        <w:pStyle w:val="NoSpacing"/>
        <w:spacing w:line="360" w:lineRule="auto"/>
        <w:jc w:val="both"/>
        <w:rPr>
          <w:rFonts w:asciiTheme="majorHAnsi" w:hAnsiTheme="majorHAnsi"/>
          <w:sz w:val="24"/>
          <w:u w:val="single"/>
        </w:rPr>
      </w:pPr>
      <w:r w:rsidRPr="00F14751">
        <w:rPr>
          <w:rFonts w:asciiTheme="majorHAnsi" w:hAnsiTheme="majorHAnsi"/>
          <w:sz w:val="24"/>
          <w:u w:val="single"/>
        </w:rPr>
        <w:t>Trade Reforms</w:t>
      </w:r>
    </w:p>
    <w:p w14:paraId="543264BD" w14:textId="370BEE40" w:rsidR="00580CD3" w:rsidRPr="00F14751" w:rsidRDefault="004F34C7" w:rsidP="00C8508E">
      <w:pPr>
        <w:pStyle w:val="NoSpacing"/>
        <w:spacing w:line="360" w:lineRule="auto"/>
        <w:jc w:val="both"/>
        <w:rPr>
          <w:rFonts w:asciiTheme="majorHAnsi" w:hAnsiTheme="majorHAnsi"/>
          <w:sz w:val="24"/>
        </w:rPr>
      </w:pPr>
      <w:r>
        <w:rPr>
          <w:rFonts w:asciiTheme="majorHAnsi" w:hAnsiTheme="majorHAnsi"/>
          <w:sz w:val="24"/>
        </w:rPr>
        <w:t>The main goal of trade reforms was to switch the production of products away from inefficient import substitutes to the production of products in which countries had a comparative advantage. R</w:t>
      </w:r>
      <w:r w:rsidR="001B258C" w:rsidRPr="00F14751">
        <w:rPr>
          <w:rFonts w:asciiTheme="majorHAnsi" w:hAnsiTheme="majorHAnsi"/>
          <w:sz w:val="24"/>
        </w:rPr>
        <w:t>eforms in trade policies were mostly focused on international trade and the foreign exchange market. From the mid 1980’s every country began to liberalize their trade regimes, with large reduction</w:t>
      </w:r>
      <w:r w:rsidR="00C30AAD" w:rsidRPr="00F14751">
        <w:rPr>
          <w:rFonts w:asciiTheme="majorHAnsi" w:hAnsiTheme="majorHAnsi"/>
          <w:sz w:val="24"/>
        </w:rPr>
        <w:t>s</w:t>
      </w:r>
      <w:r w:rsidR="001B258C" w:rsidRPr="00F14751">
        <w:rPr>
          <w:rFonts w:asciiTheme="majorHAnsi" w:hAnsiTheme="majorHAnsi"/>
          <w:sz w:val="24"/>
        </w:rPr>
        <w:t xml:space="preserve"> </w:t>
      </w:r>
      <w:r w:rsidR="00C30AAD" w:rsidRPr="00F14751">
        <w:rPr>
          <w:rFonts w:asciiTheme="majorHAnsi" w:hAnsiTheme="majorHAnsi"/>
          <w:sz w:val="24"/>
        </w:rPr>
        <w:t xml:space="preserve">in average </w:t>
      </w:r>
      <w:r w:rsidR="00225A77" w:rsidRPr="00F14751">
        <w:rPr>
          <w:rFonts w:asciiTheme="majorHAnsi" w:hAnsiTheme="majorHAnsi"/>
          <w:sz w:val="24"/>
        </w:rPr>
        <w:t>import tariff rates</w:t>
      </w:r>
      <w:r w:rsidR="00700A8B" w:rsidRPr="00F14751">
        <w:rPr>
          <w:rFonts w:asciiTheme="majorHAnsi" w:hAnsiTheme="majorHAnsi"/>
          <w:sz w:val="24"/>
        </w:rPr>
        <w:t xml:space="preserve"> and tariff dispersion</w:t>
      </w:r>
      <w:r w:rsidR="005060BB">
        <w:rPr>
          <w:rFonts w:asciiTheme="majorHAnsi" w:hAnsiTheme="majorHAnsi"/>
          <w:sz w:val="24"/>
        </w:rPr>
        <w:t xml:space="preserve"> (see figure 1)</w:t>
      </w:r>
      <w:r w:rsidR="00700A8B" w:rsidRPr="00F14751">
        <w:rPr>
          <w:rFonts w:asciiTheme="majorHAnsi" w:hAnsiTheme="majorHAnsi"/>
          <w:sz w:val="24"/>
        </w:rPr>
        <w:t xml:space="preserve">. </w:t>
      </w:r>
      <w:r w:rsidR="00225A77" w:rsidRPr="00F14751">
        <w:rPr>
          <w:rFonts w:asciiTheme="majorHAnsi" w:hAnsiTheme="majorHAnsi"/>
          <w:sz w:val="24"/>
        </w:rPr>
        <w:t xml:space="preserve">Region-wide average levels of import tariffs dropped from 47.3 percent in 1985 to 12.5 percent in 1995. By 1995 no country in the region was using its tariffs system to protect domestic industry or to promote particular sector, except for the Brazilian automobile industry (Morley, 2001). </w:t>
      </w:r>
      <w:r w:rsidR="00F771E6" w:rsidRPr="00F14751">
        <w:rPr>
          <w:rFonts w:asciiTheme="majorHAnsi" w:hAnsiTheme="majorHAnsi"/>
          <w:sz w:val="24"/>
        </w:rPr>
        <w:t xml:space="preserve">The average tariff in the region fell to 9.5 percent in 2009. </w:t>
      </w:r>
      <w:r w:rsidR="00225A77" w:rsidRPr="00F14751">
        <w:rPr>
          <w:rFonts w:asciiTheme="majorHAnsi" w:hAnsiTheme="majorHAnsi"/>
          <w:sz w:val="24"/>
        </w:rPr>
        <w:t>At the same time, tariff dispersion decreased</w:t>
      </w:r>
      <w:r w:rsidR="00F771E6" w:rsidRPr="00F14751">
        <w:rPr>
          <w:rFonts w:asciiTheme="majorHAnsi" w:hAnsiTheme="majorHAnsi"/>
          <w:sz w:val="24"/>
        </w:rPr>
        <w:t xml:space="preserve"> from 22.0 percent in 1985 to 7.9 percent in 2009. </w:t>
      </w:r>
      <w:r w:rsidR="00580CD3" w:rsidRPr="00F14751">
        <w:rPr>
          <w:rFonts w:asciiTheme="majorHAnsi" w:hAnsiTheme="majorHAnsi"/>
          <w:sz w:val="24"/>
        </w:rPr>
        <w:t>Non-tariff barriers such as licenses and import quotas were similarly reduced.  In the pre-reform period, more than 37.6 percent of imports were affected by non-tariff restrictions. This percentage fell t</w:t>
      </w:r>
      <w:r w:rsidR="00E33BF3" w:rsidRPr="00F14751">
        <w:rPr>
          <w:rFonts w:asciiTheme="majorHAnsi" w:hAnsiTheme="majorHAnsi"/>
          <w:sz w:val="24"/>
        </w:rPr>
        <w:t>o 6.3 percent in the mid-1990s (Lora, 2012).</w:t>
      </w:r>
    </w:p>
    <w:p w14:paraId="2C4F934F" w14:textId="77777777" w:rsidR="00580CD3" w:rsidRPr="00F14751" w:rsidRDefault="00580CD3" w:rsidP="00C8508E">
      <w:pPr>
        <w:pStyle w:val="NoSpacing"/>
        <w:spacing w:line="360" w:lineRule="auto"/>
        <w:jc w:val="both"/>
        <w:rPr>
          <w:rFonts w:asciiTheme="majorHAnsi" w:hAnsiTheme="majorHAnsi"/>
          <w:sz w:val="24"/>
        </w:rPr>
      </w:pPr>
    </w:p>
    <w:p w14:paraId="70935D94" w14:textId="13F561C4" w:rsidR="005469B9" w:rsidRDefault="003E01F4" w:rsidP="00D163A0">
      <w:pPr>
        <w:pStyle w:val="NoSpacing"/>
        <w:spacing w:line="360" w:lineRule="auto"/>
        <w:rPr>
          <w:rFonts w:asciiTheme="majorHAnsi" w:hAnsiTheme="majorHAnsi" w:cs="Times New Roman"/>
          <w:sz w:val="24"/>
        </w:rPr>
      </w:pPr>
      <w:r w:rsidRPr="00F14751">
        <w:rPr>
          <w:rFonts w:asciiTheme="majorHAnsi" w:hAnsiTheme="majorHAnsi" w:cs="Times New Roman"/>
          <w:sz w:val="24"/>
        </w:rPr>
        <w:t>Figure 1: Import t</w:t>
      </w:r>
      <w:r w:rsidR="00310BD0" w:rsidRPr="00F14751">
        <w:rPr>
          <w:rFonts w:asciiTheme="majorHAnsi" w:hAnsiTheme="majorHAnsi" w:cs="Times New Roman"/>
          <w:sz w:val="24"/>
        </w:rPr>
        <w:t xml:space="preserve">ariff </w:t>
      </w:r>
      <w:r w:rsidRPr="00F14751">
        <w:rPr>
          <w:rFonts w:asciiTheme="majorHAnsi" w:hAnsiTheme="majorHAnsi" w:cs="Times New Roman"/>
          <w:sz w:val="24"/>
        </w:rPr>
        <w:t>rate and tariff d</w:t>
      </w:r>
      <w:r w:rsidR="00196F8A" w:rsidRPr="00F14751">
        <w:rPr>
          <w:rFonts w:asciiTheme="majorHAnsi" w:hAnsiTheme="majorHAnsi" w:cs="Times New Roman"/>
          <w:sz w:val="24"/>
        </w:rPr>
        <w:t>ispersion</w:t>
      </w:r>
      <w:r w:rsidR="00310BD0" w:rsidRPr="00F14751">
        <w:rPr>
          <w:rFonts w:asciiTheme="majorHAnsi" w:hAnsiTheme="majorHAnsi" w:cs="Times New Roman"/>
          <w:sz w:val="24"/>
        </w:rPr>
        <w:t xml:space="preserve"> </w:t>
      </w:r>
      <w:r w:rsidR="00196F8A" w:rsidRPr="00F14751">
        <w:rPr>
          <w:rFonts w:asciiTheme="majorHAnsi" w:hAnsiTheme="majorHAnsi" w:cs="Times New Roman"/>
          <w:sz w:val="24"/>
        </w:rPr>
        <w:t>in the period 1985-2010</w:t>
      </w:r>
      <w:r w:rsidR="00310BD0" w:rsidRPr="00F14751">
        <w:rPr>
          <w:rFonts w:asciiTheme="majorHAnsi" w:hAnsiTheme="majorHAnsi" w:cs="Times New Roman"/>
          <w:sz w:val="24"/>
        </w:rPr>
        <w:br w:type="textWrapping" w:clear="all"/>
      </w:r>
      <w:r w:rsidR="005469B9" w:rsidRPr="00F14751">
        <w:rPr>
          <w:rFonts w:asciiTheme="majorHAnsi" w:hAnsiTheme="majorHAnsi"/>
          <w:noProof/>
          <w:lang w:val="nl-NL" w:eastAsia="nl-NL"/>
        </w:rPr>
        <w:drawing>
          <wp:inline distT="0" distB="0" distL="0" distR="0" wp14:anchorId="616DBAFB" wp14:editId="68AC2A33">
            <wp:extent cx="4320000" cy="2700000"/>
            <wp:effectExtent l="0" t="0" r="23495"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BA61AD" w14:textId="77777777" w:rsidR="005469B9" w:rsidRDefault="00310BD0" w:rsidP="00D163A0">
      <w:pPr>
        <w:pStyle w:val="NoSpacing"/>
        <w:spacing w:line="360" w:lineRule="auto"/>
        <w:rPr>
          <w:rFonts w:asciiTheme="majorHAnsi" w:hAnsiTheme="majorHAnsi" w:cs="Times New Roman"/>
          <w:sz w:val="24"/>
        </w:rPr>
      </w:pPr>
      <w:r w:rsidRPr="00F14751">
        <w:rPr>
          <w:rFonts w:asciiTheme="majorHAnsi" w:hAnsiTheme="majorHAnsi" w:cs="Times New Roman"/>
          <w:sz w:val="24"/>
        </w:rPr>
        <w:t xml:space="preserve">Source: </w:t>
      </w:r>
      <w:r w:rsidR="00225A77" w:rsidRPr="00F14751">
        <w:rPr>
          <w:rFonts w:asciiTheme="majorHAnsi" w:hAnsiTheme="majorHAnsi" w:cs="Times New Roman"/>
          <w:sz w:val="24"/>
        </w:rPr>
        <w:t>Lora</w:t>
      </w:r>
      <w:r w:rsidR="0001621E" w:rsidRPr="00F14751">
        <w:rPr>
          <w:rFonts w:asciiTheme="majorHAnsi" w:hAnsiTheme="majorHAnsi" w:cs="Times New Roman"/>
          <w:sz w:val="24"/>
        </w:rPr>
        <w:t>, 2012</w:t>
      </w:r>
    </w:p>
    <w:p w14:paraId="6A2498BE" w14:textId="77777777" w:rsidR="005E594F" w:rsidRDefault="005E594F" w:rsidP="00C8508E">
      <w:pPr>
        <w:pStyle w:val="NoSpacing"/>
        <w:spacing w:line="360" w:lineRule="auto"/>
        <w:jc w:val="both"/>
        <w:rPr>
          <w:rFonts w:asciiTheme="majorHAnsi" w:hAnsiTheme="majorHAnsi"/>
          <w:sz w:val="24"/>
          <w:u w:val="single"/>
        </w:rPr>
      </w:pPr>
    </w:p>
    <w:p w14:paraId="50A8C3EE" w14:textId="04420723" w:rsidR="00310BD0" w:rsidRPr="005469B9" w:rsidRDefault="004418E5" w:rsidP="00C8508E">
      <w:pPr>
        <w:pStyle w:val="NoSpacing"/>
        <w:spacing w:line="360" w:lineRule="auto"/>
        <w:jc w:val="both"/>
        <w:rPr>
          <w:rFonts w:asciiTheme="majorHAnsi" w:hAnsiTheme="majorHAnsi" w:cs="Times New Roman"/>
          <w:sz w:val="24"/>
        </w:rPr>
      </w:pPr>
      <w:r w:rsidRPr="005469B9">
        <w:rPr>
          <w:rFonts w:asciiTheme="majorHAnsi" w:hAnsiTheme="majorHAnsi"/>
          <w:sz w:val="24"/>
          <w:u w:val="single"/>
        </w:rPr>
        <w:t xml:space="preserve">Financial </w:t>
      </w:r>
      <w:r w:rsidR="009B5E55" w:rsidRPr="005469B9">
        <w:rPr>
          <w:rFonts w:asciiTheme="majorHAnsi" w:hAnsiTheme="majorHAnsi"/>
          <w:sz w:val="24"/>
          <w:u w:val="single"/>
        </w:rPr>
        <w:t>Reforms</w:t>
      </w:r>
    </w:p>
    <w:p w14:paraId="0DB104D7" w14:textId="23333784" w:rsidR="004B1948" w:rsidRDefault="00310BD0" w:rsidP="00C8508E">
      <w:pPr>
        <w:pStyle w:val="NoSpacing"/>
        <w:spacing w:line="360" w:lineRule="auto"/>
        <w:jc w:val="both"/>
        <w:rPr>
          <w:rFonts w:asciiTheme="majorHAnsi" w:hAnsiTheme="majorHAnsi" w:cs="Times New Roman"/>
          <w:sz w:val="24"/>
        </w:rPr>
      </w:pPr>
      <w:r w:rsidRPr="005469B9">
        <w:rPr>
          <w:rFonts w:asciiTheme="majorHAnsi" w:hAnsiTheme="majorHAnsi" w:cs="Times New Roman"/>
          <w:sz w:val="24"/>
        </w:rPr>
        <w:t>Financial reforms were mainly adopted in the</w:t>
      </w:r>
      <w:r w:rsidR="00653CEE" w:rsidRPr="005469B9">
        <w:rPr>
          <w:rFonts w:asciiTheme="majorHAnsi" w:hAnsiTheme="majorHAnsi" w:cs="Times New Roman"/>
          <w:sz w:val="24"/>
        </w:rPr>
        <w:t xml:space="preserve"> late 1980s and</w:t>
      </w:r>
      <w:r w:rsidR="004B1948">
        <w:rPr>
          <w:rFonts w:asciiTheme="majorHAnsi" w:hAnsiTheme="majorHAnsi" w:cs="Times New Roman"/>
          <w:sz w:val="24"/>
        </w:rPr>
        <w:t xml:space="preserve"> 1990s and can be divided in domestic and international financial reforms. </w:t>
      </w:r>
    </w:p>
    <w:p w14:paraId="5B6FBA74" w14:textId="77777777" w:rsidR="00B76783" w:rsidRDefault="00B76783" w:rsidP="00C8508E">
      <w:pPr>
        <w:pStyle w:val="NoSpacing"/>
        <w:spacing w:line="360" w:lineRule="auto"/>
        <w:jc w:val="both"/>
        <w:rPr>
          <w:rFonts w:asciiTheme="majorHAnsi" w:hAnsiTheme="majorHAnsi" w:cs="Times New Roman"/>
          <w:sz w:val="24"/>
        </w:rPr>
      </w:pPr>
      <w:r>
        <w:rPr>
          <w:rFonts w:asciiTheme="majorHAnsi" w:hAnsiTheme="majorHAnsi" w:cs="Times New Roman"/>
          <w:i/>
          <w:sz w:val="24"/>
        </w:rPr>
        <w:tab/>
      </w:r>
      <w:r w:rsidR="00310BD0" w:rsidRPr="00F14751">
        <w:rPr>
          <w:rFonts w:asciiTheme="majorHAnsi" w:hAnsiTheme="majorHAnsi" w:cs="Times New Roman"/>
          <w:sz w:val="24"/>
        </w:rPr>
        <w:t xml:space="preserve">The main objectives </w:t>
      </w:r>
      <w:r w:rsidR="00174E96" w:rsidRPr="00F14751">
        <w:rPr>
          <w:rFonts w:asciiTheme="majorHAnsi" w:hAnsiTheme="majorHAnsi" w:cs="Times New Roman"/>
          <w:sz w:val="24"/>
        </w:rPr>
        <w:t>of domestic financial liberalization were</w:t>
      </w:r>
      <w:r w:rsidR="00310BD0" w:rsidRPr="00F14751">
        <w:rPr>
          <w:rFonts w:asciiTheme="majorHAnsi" w:hAnsiTheme="majorHAnsi" w:cs="Times New Roman"/>
          <w:sz w:val="24"/>
        </w:rPr>
        <w:t xml:space="preserve"> to give more freedom of operation to financial intermediaries and strengthen mechanisms for regulation and supervision. The reforms were intended to reduce reserve requirements, remove controls over interest rates and dismantle forced investments</w:t>
      </w:r>
      <w:r w:rsidR="00653CEE" w:rsidRPr="00F14751">
        <w:rPr>
          <w:rFonts w:asciiTheme="majorHAnsi" w:hAnsiTheme="majorHAnsi" w:cs="Times New Roman"/>
          <w:sz w:val="24"/>
        </w:rPr>
        <w:t xml:space="preserve"> (Lora, 2012)</w:t>
      </w:r>
      <w:r>
        <w:rPr>
          <w:rFonts w:asciiTheme="majorHAnsi" w:hAnsiTheme="majorHAnsi" w:cs="Times New Roman"/>
          <w:sz w:val="24"/>
        </w:rPr>
        <w:t>.</w:t>
      </w:r>
      <w:r w:rsidR="008961B7" w:rsidRPr="00F14751">
        <w:rPr>
          <w:rFonts w:asciiTheme="majorHAnsi" w:hAnsiTheme="majorHAnsi" w:cs="Times New Roman"/>
          <w:sz w:val="24"/>
        </w:rPr>
        <w:t xml:space="preserve"> </w:t>
      </w:r>
      <w:r w:rsidR="00580CD3" w:rsidRPr="00F14751">
        <w:rPr>
          <w:rFonts w:asciiTheme="majorHAnsi" w:hAnsiTheme="majorHAnsi" w:cs="Times New Roman"/>
          <w:sz w:val="24"/>
        </w:rPr>
        <w:t xml:space="preserve">In the pre-reform period, </w:t>
      </w:r>
      <w:r w:rsidR="004D21A3" w:rsidRPr="00F14751">
        <w:rPr>
          <w:rFonts w:asciiTheme="majorHAnsi" w:hAnsiTheme="majorHAnsi" w:cs="Times New Roman"/>
          <w:sz w:val="24"/>
        </w:rPr>
        <w:t>many countries had government ceilings on interest rates</w:t>
      </w:r>
      <w:r w:rsidR="00580CD3" w:rsidRPr="00F14751">
        <w:rPr>
          <w:rFonts w:asciiTheme="majorHAnsi" w:hAnsiTheme="majorHAnsi" w:cs="Times New Roman"/>
          <w:sz w:val="24"/>
        </w:rPr>
        <w:t xml:space="preserve">. </w:t>
      </w:r>
      <w:r w:rsidR="003C497E" w:rsidRPr="00F14751">
        <w:rPr>
          <w:rFonts w:asciiTheme="majorHAnsi" w:hAnsiTheme="majorHAnsi" w:cs="Times New Roman"/>
          <w:sz w:val="24"/>
        </w:rPr>
        <w:t>A large part of</w:t>
      </w:r>
      <w:r w:rsidR="00580CD3" w:rsidRPr="00F14751">
        <w:rPr>
          <w:rFonts w:asciiTheme="majorHAnsi" w:hAnsiTheme="majorHAnsi" w:cs="Times New Roman"/>
          <w:sz w:val="24"/>
        </w:rPr>
        <w:t xml:space="preserve"> credit was allocated by government decisions rather than by the market.</w:t>
      </w:r>
      <w:r w:rsidR="004D21A3" w:rsidRPr="00F14751">
        <w:rPr>
          <w:rFonts w:asciiTheme="majorHAnsi" w:hAnsiTheme="majorHAnsi" w:cs="Times New Roman"/>
          <w:sz w:val="24"/>
        </w:rPr>
        <w:t xml:space="preserve"> </w:t>
      </w:r>
      <w:r w:rsidR="00AD7C75" w:rsidRPr="00F14751">
        <w:rPr>
          <w:rFonts w:asciiTheme="majorHAnsi" w:hAnsiTheme="majorHAnsi" w:cs="Times New Roman"/>
          <w:sz w:val="24"/>
        </w:rPr>
        <w:t>In order to maintain</w:t>
      </w:r>
      <w:r w:rsidR="00653CEE" w:rsidRPr="00F14751">
        <w:rPr>
          <w:rFonts w:asciiTheme="majorHAnsi" w:hAnsiTheme="majorHAnsi" w:cs="Times New Roman"/>
          <w:sz w:val="24"/>
        </w:rPr>
        <w:t xml:space="preserve"> the</w:t>
      </w:r>
      <w:r w:rsidR="00AD7C75" w:rsidRPr="00F14751">
        <w:rPr>
          <w:rFonts w:asciiTheme="majorHAnsi" w:hAnsiTheme="majorHAnsi" w:cs="Times New Roman"/>
          <w:sz w:val="24"/>
        </w:rPr>
        <w:t xml:space="preserve"> financial soundness of the banking system, central banks imposed high reserve requirements. </w:t>
      </w:r>
      <w:r w:rsidR="004D21A3" w:rsidRPr="00F14751">
        <w:rPr>
          <w:rFonts w:asciiTheme="majorHAnsi" w:hAnsiTheme="majorHAnsi" w:cs="Times New Roman"/>
          <w:sz w:val="24"/>
        </w:rPr>
        <w:t xml:space="preserve">This resulted in </w:t>
      </w:r>
      <w:r w:rsidR="00AD7C75" w:rsidRPr="00F14751">
        <w:rPr>
          <w:rFonts w:asciiTheme="majorHAnsi" w:hAnsiTheme="majorHAnsi" w:cs="Times New Roman"/>
          <w:sz w:val="24"/>
        </w:rPr>
        <w:t xml:space="preserve">the so called </w:t>
      </w:r>
      <w:r w:rsidR="004D21A3" w:rsidRPr="00F14751">
        <w:rPr>
          <w:rFonts w:asciiTheme="majorHAnsi" w:hAnsiTheme="majorHAnsi" w:cs="Times New Roman"/>
          <w:sz w:val="24"/>
        </w:rPr>
        <w:t>‘financial repression’</w:t>
      </w:r>
      <w:r w:rsidR="00413731" w:rsidRPr="00F14751">
        <w:rPr>
          <w:rFonts w:asciiTheme="majorHAnsi" w:hAnsiTheme="majorHAnsi" w:cs="Times New Roman"/>
          <w:sz w:val="24"/>
        </w:rPr>
        <w:t>;</w:t>
      </w:r>
      <w:r w:rsidR="004D21A3" w:rsidRPr="00F14751">
        <w:rPr>
          <w:rFonts w:asciiTheme="majorHAnsi" w:hAnsiTheme="majorHAnsi" w:cs="Times New Roman"/>
          <w:sz w:val="24"/>
        </w:rPr>
        <w:t xml:space="preserve"> a system in which savings and financial intermediation were discouraged</w:t>
      </w:r>
      <w:r w:rsidR="00AD7C75" w:rsidRPr="00F14751">
        <w:rPr>
          <w:rFonts w:asciiTheme="majorHAnsi" w:hAnsiTheme="majorHAnsi" w:cs="Times New Roman"/>
          <w:sz w:val="24"/>
        </w:rPr>
        <w:t>. Here, not only was investment likely to be smaller than it would have been in a reformed system, but is was also likely to be misallocated because of credit controls (Morley, 2001).</w:t>
      </w:r>
      <w:r>
        <w:rPr>
          <w:rFonts w:asciiTheme="majorHAnsi" w:hAnsiTheme="majorHAnsi" w:cs="Times New Roman"/>
          <w:sz w:val="24"/>
        </w:rPr>
        <w:t xml:space="preserve"> </w:t>
      </w:r>
      <w:r w:rsidR="003C497E" w:rsidRPr="00F14751">
        <w:rPr>
          <w:rFonts w:asciiTheme="majorHAnsi" w:hAnsiTheme="majorHAnsi" w:cs="Times New Roman"/>
          <w:sz w:val="24"/>
        </w:rPr>
        <w:t xml:space="preserve">In the late 1980s and 1990s </w:t>
      </w:r>
      <w:r w:rsidR="00653CEE" w:rsidRPr="00F14751">
        <w:rPr>
          <w:rFonts w:asciiTheme="majorHAnsi" w:hAnsiTheme="majorHAnsi" w:cs="Times New Roman"/>
          <w:sz w:val="24"/>
        </w:rPr>
        <w:t>three reforms were widely implemented</w:t>
      </w:r>
      <w:r w:rsidR="00235A04" w:rsidRPr="00F14751">
        <w:rPr>
          <w:rFonts w:asciiTheme="majorHAnsi" w:hAnsiTheme="majorHAnsi" w:cs="Times New Roman"/>
          <w:sz w:val="24"/>
        </w:rPr>
        <w:t xml:space="preserve"> to liberalize the domestic financial market</w:t>
      </w:r>
      <w:r w:rsidR="00653CEE" w:rsidRPr="00F14751">
        <w:rPr>
          <w:rFonts w:asciiTheme="majorHAnsi" w:hAnsiTheme="majorHAnsi" w:cs="Times New Roman"/>
          <w:sz w:val="24"/>
        </w:rPr>
        <w:t xml:space="preserve">: reduction of the reserve requirements, eliminating controls on interest rates, and dismantling forced investments and directed credit mechanisms. Between 1990 and 2000 15 countries cut the reserve requirements. As a result, the average rate of reserves as a percentage of deposits fell to a minimum </w:t>
      </w:r>
      <w:r w:rsidR="008961B7" w:rsidRPr="00F14751">
        <w:rPr>
          <w:rFonts w:asciiTheme="majorHAnsi" w:hAnsiTheme="majorHAnsi" w:cs="Times New Roman"/>
          <w:sz w:val="24"/>
        </w:rPr>
        <w:t xml:space="preserve">of 16.2 percent since 1985. Since 2000, reserve ratios have been increasing again, but not to the levels that prevailed in the pre-reform period. The average reserve requirement ratio in the region was 23.5 percent in 2010. In 1995 all countries had dismantled general controls on interest rates. </w:t>
      </w:r>
      <w:r w:rsidR="00310BD0" w:rsidRPr="00F14751">
        <w:rPr>
          <w:rFonts w:asciiTheme="majorHAnsi" w:hAnsiTheme="majorHAnsi" w:cs="Times New Roman"/>
          <w:sz w:val="24"/>
        </w:rPr>
        <w:t xml:space="preserve">In the ten years following to 2004, only Costa Rica imposed ceilings on interest rates. Thereafter, Ecuador and Venezuela </w:t>
      </w:r>
      <w:r w:rsidR="008961B7" w:rsidRPr="00F14751">
        <w:rPr>
          <w:rFonts w:asciiTheme="majorHAnsi" w:hAnsiTheme="majorHAnsi" w:cs="Times New Roman"/>
          <w:sz w:val="24"/>
        </w:rPr>
        <w:t xml:space="preserve">also </w:t>
      </w:r>
      <w:r w:rsidR="00310BD0" w:rsidRPr="00F14751">
        <w:rPr>
          <w:rFonts w:asciiTheme="majorHAnsi" w:hAnsiTheme="majorHAnsi" w:cs="Times New Roman"/>
          <w:sz w:val="24"/>
        </w:rPr>
        <w:t>reintroduced some gen</w:t>
      </w:r>
      <w:r w:rsidR="008961B7" w:rsidRPr="00F14751">
        <w:rPr>
          <w:rFonts w:asciiTheme="majorHAnsi" w:hAnsiTheme="majorHAnsi" w:cs="Times New Roman"/>
          <w:sz w:val="24"/>
        </w:rPr>
        <w:t>eral control on interest rates</w:t>
      </w:r>
      <w:r w:rsidR="00310BD0" w:rsidRPr="00F14751">
        <w:rPr>
          <w:rFonts w:asciiTheme="majorHAnsi" w:hAnsiTheme="majorHAnsi" w:cs="Times New Roman"/>
          <w:sz w:val="24"/>
        </w:rPr>
        <w:t xml:space="preserve"> (Lora, 2012).</w:t>
      </w:r>
    </w:p>
    <w:p w14:paraId="31E3C0AA" w14:textId="738D1C2E" w:rsidR="00D6165D" w:rsidRPr="00F14751" w:rsidRDefault="00B76783" w:rsidP="00C8508E">
      <w:pPr>
        <w:pStyle w:val="NoSpacing"/>
        <w:spacing w:line="360" w:lineRule="auto"/>
        <w:jc w:val="both"/>
        <w:rPr>
          <w:rFonts w:asciiTheme="majorHAnsi" w:hAnsiTheme="majorHAnsi" w:cs="Times New Roman"/>
          <w:sz w:val="24"/>
        </w:rPr>
      </w:pPr>
      <w:r>
        <w:rPr>
          <w:rFonts w:asciiTheme="majorHAnsi" w:hAnsiTheme="majorHAnsi" w:cs="Times New Roman"/>
          <w:sz w:val="24"/>
        </w:rPr>
        <w:tab/>
      </w:r>
      <w:r w:rsidR="00996F6F" w:rsidRPr="00F14751">
        <w:rPr>
          <w:rFonts w:asciiTheme="majorHAnsi" w:hAnsiTheme="majorHAnsi"/>
          <w:sz w:val="24"/>
        </w:rPr>
        <w:t>The main objective of international financial liberalization was to open up the internal financial market to external capital</w:t>
      </w:r>
      <w:r w:rsidR="00996F6F" w:rsidRPr="00F14751">
        <w:t xml:space="preserve">. </w:t>
      </w:r>
      <w:r w:rsidR="00996F6F" w:rsidRPr="00F14751">
        <w:rPr>
          <w:rFonts w:asciiTheme="majorHAnsi" w:hAnsiTheme="majorHAnsi" w:cs="Times New Roman"/>
          <w:sz w:val="24"/>
        </w:rPr>
        <w:t>In the pre-reform period, almost all countries in the region maintained high control over external capital transactions, both for their citizens and for foreigners wishing to invest. Many countries limited the sectors that were open to foreign investment and placed ceilings on the repatriation of interest and dividends. In addition, domestic banks were limited in their ability to borrow abroad and in most countries capital outflows required authorization of the central bank (Morley, 2001).</w:t>
      </w:r>
      <w:r>
        <w:rPr>
          <w:rFonts w:asciiTheme="majorHAnsi" w:hAnsiTheme="majorHAnsi" w:cs="Times New Roman"/>
          <w:sz w:val="24"/>
        </w:rPr>
        <w:t xml:space="preserve"> </w:t>
      </w:r>
      <w:r w:rsidR="00D6165D" w:rsidRPr="00F14751">
        <w:rPr>
          <w:rFonts w:asciiTheme="majorHAnsi" w:hAnsiTheme="majorHAnsi" w:cs="Times New Roman"/>
          <w:sz w:val="24"/>
        </w:rPr>
        <w:t>In the late 1980s</w:t>
      </w:r>
      <w:r w:rsidR="00700A8B" w:rsidRPr="00F14751">
        <w:rPr>
          <w:rFonts w:asciiTheme="majorHAnsi" w:hAnsiTheme="majorHAnsi" w:cs="Times New Roman"/>
          <w:sz w:val="24"/>
        </w:rPr>
        <w:t>,</w:t>
      </w:r>
      <w:r w:rsidR="00D6165D" w:rsidRPr="00F14751">
        <w:rPr>
          <w:rFonts w:asciiTheme="majorHAnsi" w:hAnsiTheme="majorHAnsi" w:cs="Times New Roman"/>
          <w:sz w:val="24"/>
        </w:rPr>
        <w:t xml:space="preserve"> only </w:t>
      </w:r>
      <w:r w:rsidR="00996F6F" w:rsidRPr="00F14751">
        <w:rPr>
          <w:rFonts w:asciiTheme="majorHAnsi" w:hAnsiTheme="majorHAnsi" w:cs="Times New Roman"/>
          <w:sz w:val="24"/>
        </w:rPr>
        <w:t>handful</w:t>
      </w:r>
      <w:r w:rsidR="00D6165D" w:rsidRPr="00F14751">
        <w:rPr>
          <w:rFonts w:asciiTheme="majorHAnsi" w:hAnsiTheme="majorHAnsi" w:cs="Times New Roman"/>
          <w:sz w:val="24"/>
        </w:rPr>
        <w:t xml:space="preserve"> of countries, including Argentina, Costa Rica and Guatemala, started to open up the capital account. In the 1990s many more countries adopted this reform. However, most of these were smaller economies such as </w:t>
      </w:r>
      <w:r w:rsidR="00996F6F" w:rsidRPr="00F14751">
        <w:rPr>
          <w:rFonts w:asciiTheme="majorHAnsi" w:hAnsiTheme="majorHAnsi" w:cs="Times New Roman"/>
          <w:sz w:val="24"/>
        </w:rPr>
        <w:t xml:space="preserve">the </w:t>
      </w:r>
      <w:r w:rsidR="00D6165D" w:rsidRPr="00F14751">
        <w:rPr>
          <w:rFonts w:asciiTheme="majorHAnsi" w:hAnsiTheme="majorHAnsi" w:cs="Times New Roman"/>
          <w:sz w:val="24"/>
        </w:rPr>
        <w:t xml:space="preserve">Dominican Republic and El Salvador. The bigger economies, for instance Brazil, Chile and Mexico, all maintained significant controls over foreign capital transactions (Morley, 2001). </w:t>
      </w:r>
    </w:p>
    <w:p w14:paraId="09631925" w14:textId="77777777" w:rsidR="00D6165D" w:rsidRPr="00F14751" w:rsidRDefault="00D6165D" w:rsidP="00C8508E">
      <w:pPr>
        <w:pStyle w:val="NoSpacing"/>
        <w:spacing w:line="360" w:lineRule="auto"/>
        <w:jc w:val="both"/>
        <w:rPr>
          <w:rFonts w:asciiTheme="majorHAnsi" w:hAnsiTheme="majorHAnsi" w:cs="Times New Roman"/>
          <w:sz w:val="24"/>
        </w:rPr>
      </w:pPr>
    </w:p>
    <w:p w14:paraId="39C85CAF" w14:textId="77777777" w:rsidR="00310BD0" w:rsidRPr="00F14751" w:rsidRDefault="00CA137C"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u w:val="single"/>
        </w:rPr>
        <w:t>Tax</w:t>
      </w:r>
      <w:r w:rsidR="009B5E55" w:rsidRPr="00F14751">
        <w:rPr>
          <w:rFonts w:asciiTheme="majorHAnsi" w:hAnsiTheme="majorHAnsi" w:cs="Times New Roman"/>
          <w:sz w:val="24"/>
          <w:u w:val="single"/>
        </w:rPr>
        <w:t xml:space="preserve"> Reforms</w:t>
      </w:r>
    </w:p>
    <w:p w14:paraId="74ED3CAF" w14:textId="67A315F3" w:rsidR="00B76783" w:rsidRDefault="00310BD0"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 xml:space="preserve">Tax reforms in Latin America until the late 1990s were deep and mainly focused on neutrality, higher revenue, and legal and administrative simplification. </w:t>
      </w:r>
      <w:r w:rsidR="00B0176E" w:rsidRPr="00F14751">
        <w:rPr>
          <w:rFonts w:asciiTheme="majorHAnsi" w:hAnsiTheme="majorHAnsi" w:cs="Times New Roman"/>
          <w:sz w:val="24"/>
        </w:rPr>
        <w:t xml:space="preserve">Two major </w:t>
      </w:r>
      <w:r w:rsidR="006B0CF3" w:rsidRPr="00F14751">
        <w:rPr>
          <w:rFonts w:asciiTheme="majorHAnsi" w:hAnsiTheme="majorHAnsi" w:cs="Times New Roman"/>
          <w:sz w:val="24"/>
        </w:rPr>
        <w:t>changes</w:t>
      </w:r>
      <w:r w:rsidR="00B0176E" w:rsidRPr="00F14751">
        <w:rPr>
          <w:rFonts w:asciiTheme="majorHAnsi" w:hAnsiTheme="majorHAnsi" w:cs="Times New Roman"/>
          <w:sz w:val="24"/>
        </w:rPr>
        <w:t xml:space="preserve"> have been widely adopted.</w:t>
      </w:r>
      <w:r w:rsidR="00D163A0">
        <w:rPr>
          <w:rFonts w:asciiTheme="majorHAnsi" w:hAnsiTheme="majorHAnsi" w:cs="Times New Roman"/>
          <w:sz w:val="24"/>
        </w:rPr>
        <w:t xml:space="preserve"> </w:t>
      </w:r>
      <w:r w:rsidR="00B0176E" w:rsidRPr="00F14751">
        <w:rPr>
          <w:rFonts w:asciiTheme="majorHAnsi" w:hAnsiTheme="majorHAnsi" w:cs="Times New Roman"/>
          <w:sz w:val="24"/>
        </w:rPr>
        <w:t xml:space="preserve">The first was the value added tax (VAT). </w:t>
      </w:r>
      <w:r w:rsidR="00901995" w:rsidRPr="00F14751">
        <w:rPr>
          <w:rFonts w:asciiTheme="majorHAnsi" w:hAnsiTheme="majorHAnsi" w:cs="Times New Roman"/>
          <w:sz w:val="24"/>
        </w:rPr>
        <w:t xml:space="preserve">Reformers argued that while all taxes have distorting effect on private decisions, these are less serious with an across-the-board VAT than with either </w:t>
      </w:r>
      <w:r w:rsidR="00296970" w:rsidRPr="00F14751">
        <w:rPr>
          <w:rFonts w:asciiTheme="majorHAnsi" w:hAnsiTheme="majorHAnsi" w:cs="Times New Roman"/>
          <w:sz w:val="24"/>
        </w:rPr>
        <w:t>tariffs</w:t>
      </w:r>
      <w:r w:rsidR="00BA0D20">
        <w:rPr>
          <w:rFonts w:asciiTheme="majorHAnsi" w:hAnsiTheme="majorHAnsi" w:cs="Times New Roman"/>
          <w:sz w:val="24"/>
        </w:rPr>
        <w:t xml:space="preserve"> or</w:t>
      </w:r>
      <w:r w:rsidR="00901995" w:rsidRPr="00F14751">
        <w:rPr>
          <w:rFonts w:asciiTheme="majorHAnsi" w:hAnsiTheme="majorHAnsi" w:cs="Times New Roman"/>
          <w:sz w:val="24"/>
        </w:rPr>
        <w:t xml:space="preserve"> high margina</w:t>
      </w:r>
      <w:r w:rsidR="003C497E" w:rsidRPr="00F14751">
        <w:rPr>
          <w:rFonts w:asciiTheme="majorHAnsi" w:hAnsiTheme="majorHAnsi" w:cs="Times New Roman"/>
          <w:sz w:val="24"/>
        </w:rPr>
        <w:t>l income tax rates. In addition</w:t>
      </w:r>
      <w:r w:rsidR="00901995" w:rsidRPr="00F14751">
        <w:rPr>
          <w:rFonts w:asciiTheme="majorHAnsi" w:hAnsiTheme="majorHAnsi" w:cs="Times New Roman"/>
          <w:sz w:val="24"/>
        </w:rPr>
        <w:t xml:space="preserve">, tax evasion should be less pervasive with the VAT than with a tax system based on income. </w:t>
      </w:r>
      <w:r w:rsidRPr="00F14751">
        <w:rPr>
          <w:rFonts w:asciiTheme="majorHAnsi" w:hAnsiTheme="majorHAnsi" w:cs="Times New Roman"/>
          <w:sz w:val="24"/>
        </w:rPr>
        <w:t>In the 1980s and 1990s, 23 Latin American countries adopted VAT systems on consumption</w:t>
      </w:r>
      <w:r w:rsidR="00901995" w:rsidRPr="00F14751">
        <w:rPr>
          <w:rFonts w:asciiTheme="majorHAnsi" w:hAnsiTheme="majorHAnsi" w:cs="Times New Roman"/>
          <w:sz w:val="24"/>
        </w:rPr>
        <w:t xml:space="preserve">. The basic VAT rates did not change much since the mid-1990s. The coverage or efficiency increased in most countries. The second element of the tax reforms was the reduction of the marginal tax rates on personal and corporate income. </w:t>
      </w:r>
      <w:r w:rsidR="00174E96" w:rsidRPr="00F14751">
        <w:rPr>
          <w:rFonts w:asciiTheme="majorHAnsi" w:hAnsiTheme="majorHAnsi" w:cs="Times New Roman"/>
          <w:sz w:val="24"/>
        </w:rPr>
        <w:t>Both</w:t>
      </w:r>
      <w:r w:rsidR="00901995" w:rsidRPr="00F14751">
        <w:rPr>
          <w:rFonts w:asciiTheme="majorHAnsi" w:hAnsiTheme="majorHAnsi" w:cs="Times New Roman"/>
          <w:sz w:val="24"/>
        </w:rPr>
        <w:t xml:space="preserve"> reduced the progressivity of the income tax. In the pre-reform period, extreme marginal tax rates applied on personal income. For instance, in 1985 </w:t>
      </w:r>
      <w:r w:rsidR="003C497E" w:rsidRPr="00F14751">
        <w:rPr>
          <w:rFonts w:asciiTheme="majorHAnsi" w:hAnsiTheme="majorHAnsi" w:cs="Times New Roman"/>
          <w:sz w:val="24"/>
        </w:rPr>
        <w:t xml:space="preserve">personal income tax </w:t>
      </w:r>
      <w:r w:rsidR="00901995" w:rsidRPr="00F14751">
        <w:rPr>
          <w:rFonts w:asciiTheme="majorHAnsi" w:hAnsiTheme="majorHAnsi" w:cs="Times New Roman"/>
          <w:sz w:val="24"/>
        </w:rPr>
        <w:t>was 73 percent in Dominican Republic and 60 percent in Brazil and El Salvador</w:t>
      </w:r>
      <w:r w:rsidR="00B76783">
        <w:rPr>
          <w:rFonts w:asciiTheme="majorHAnsi" w:hAnsiTheme="majorHAnsi" w:cs="Times New Roman"/>
          <w:sz w:val="24"/>
        </w:rPr>
        <w:t xml:space="preserve"> (see figure 2)</w:t>
      </w:r>
      <w:r w:rsidR="00901995" w:rsidRPr="00F14751">
        <w:rPr>
          <w:rFonts w:asciiTheme="majorHAnsi" w:hAnsiTheme="majorHAnsi" w:cs="Times New Roman"/>
          <w:sz w:val="24"/>
        </w:rPr>
        <w:t xml:space="preserve">. In the following decade, </w:t>
      </w:r>
      <w:r w:rsidR="00174E96" w:rsidRPr="00F14751">
        <w:rPr>
          <w:rFonts w:asciiTheme="majorHAnsi" w:hAnsiTheme="majorHAnsi" w:cs="Times New Roman"/>
          <w:sz w:val="24"/>
        </w:rPr>
        <w:t xml:space="preserve">every country reduced its top marginal tax rate, with only minor changes since then. </w:t>
      </w:r>
      <w:r w:rsidR="006B0CF3" w:rsidRPr="00F14751">
        <w:rPr>
          <w:rFonts w:asciiTheme="majorHAnsi" w:hAnsiTheme="majorHAnsi" w:cs="Times New Roman"/>
          <w:sz w:val="24"/>
        </w:rPr>
        <w:t xml:space="preserve">Overall, the average marginal rate on personal income fell from about 46 percent in 1985 to around 28 percent in 2009. Uruguay went even further and eliminated personal income tax altogether in the 1980s and 1990s. </w:t>
      </w:r>
      <w:r w:rsidR="00996F6F" w:rsidRPr="00F14751">
        <w:rPr>
          <w:rFonts w:asciiTheme="majorHAnsi" w:hAnsiTheme="majorHAnsi" w:cs="Times New Roman"/>
          <w:sz w:val="24"/>
        </w:rPr>
        <w:t xml:space="preserve">Tax rates on corporate income were also cut in the 1990s, with minor changes in the 2000s. </w:t>
      </w:r>
      <w:r w:rsidR="006B0CF3" w:rsidRPr="00F14751">
        <w:rPr>
          <w:rFonts w:asciiTheme="majorHAnsi" w:hAnsiTheme="majorHAnsi" w:cs="Times New Roman"/>
          <w:sz w:val="24"/>
        </w:rPr>
        <w:t>I</w:t>
      </w:r>
      <w:r w:rsidR="00FA1250" w:rsidRPr="00F14751">
        <w:rPr>
          <w:rFonts w:asciiTheme="majorHAnsi" w:hAnsiTheme="majorHAnsi" w:cs="Times New Roman"/>
          <w:sz w:val="24"/>
        </w:rPr>
        <w:t xml:space="preserve">n no country </w:t>
      </w:r>
      <w:r w:rsidR="006B0CF3" w:rsidRPr="00F14751">
        <w:rPr>
          <w:rFonts w:asciiTheme="majorHAnsi" w:hAnsiTheme="majorHAnsi" w:cs="Times New Roman"/>
          <w:sz w:val="24"/>
        </w:rPr>
        <w:t xml:space="preserve">the </w:t>
      </w:r>
      <w:r w:rsidR="00FA1250" w:rsidRPr="00F14751">
        <w:rPr>
          <w:rFonts w:asciiTheme="majorHAnsi" w:hAnsiTheme="majorHAnsi" w:cs="Times New Roman"/>
          <w:sz w:val="24"/>
        </w:rPr>
        <w:t>rate exceed</w:t>
      </w:r>
      <w:r w:rsidR="006B0CF3" w:rsidRPr="00F14751">
        <w:rPr>
          <w:rFonts w:asciiTheme="majorHAnsi" w:hAnsiTheme="majorHAnsi" w:cs="Times New Roman"/>
          <w:sz w:val="24"/>
        </w:rPr>
        <w:t>s</w:t>
      </w:r>
      <w:r w:rsidR="00FA1250" w:rsidRPr="00F14751">
        <w:rPr>
          <w:rFonts w:asciiTheme="majorHAnsi" w:hAnsiTheme="majorHAnsi" w:cs="Times New Roman"/>
          <w:sz w:val="24"/>
        </w:rPr>
        <w:t xml:space="preserve"> 35 percent</w:t>
      </w:r>
      <w:r w:rsidR="006B0CF3" w:rsidRPr="00F14751">
        <w:rPr>
          <w:rFonts w:asciiTheme="majorHAnsi" w:hAnsiTheme="majorHAnsi" w:cs="Times New Roman"/>
          <w:sz w:val="24"/>
        </w:rPr>
        <w:t xml:space="preserve"> in 2009</w:t>
      </w:r>
      <w:r w:rsidR="00FA1250" w:rsidRPr="00F14751">
        <w:rPr>
          <w:rFonts w:asciiTheme="majorHAnsi" w:hAnsiTheme="majorHAnsi" w:cs="Times New Roman"/>
          <w:sz w:val="24"/>
        </w:rPr>
        <w:t xml:space="preserve"> (Lora, 2012).</w:t>
      </w:r>
    </w:p>
    <w:p w14:paraId="032E2C82" w14:textId="768DFEAA" w:rsidR="00B76783" w:rsidRDefault="00D163A0" w:rsidP="00D163A0">
      <w:pPr>
        <w:pStyle w:val="NoSpacing"/>
        <w:tabs>
          <w:tab w:val="left" w:pos="1131"/>
        </w:tabs>
        <w:spacing w:line="360" w:lineRule="auto"/>
        <w:jc w:val="both"/>
        <w:rPr>
          <w:rFonts w:asciiTheme="majorHAnsi" w:hAnsiTheme="majorHAnsi" w:cs="Times New Roman"/>
          <w:sz w:val="24"/>
        </w:rPr>
      </w:pPr>
      <w:r>
        <w:rPr>
          <w:rFonts w:asciiTheme="majorHAnsi" w:hAnsiTheme="majorHAnsi" w:cs="Times New Roman"/>
          <w:sz w:val="24"/>
        </w:rPr>
        <w:tab/>
      </w:r>
    </w:p>
    <w:p w14:paraId="3224FC44" w14:textId="2655DA34" w:rsidR="00310BD0" w:rsidRPr="00B76783" w:rsidRDefault="00310BD0" w:rsidP="00D163A0">
      <w:pPr>
        <w:pStyle w:val="NoSpacing"/>
        <w:spacing w:line="360" w:lineRule="auto"/>
        <w:rPr>
          <w:rFonts w:asciiTheme="majorHAnsi" w:hAnsiTheme="majorHAnsi" w:cs="Times New Roman"/>
          <w:sz w:val="24"/>
        </w:rPr>
      </w:pPr>
      <w:r w:rsidRPr="00F14751">
        <w:rPr>
          <w:rFonts w:asciiTheme="majorHAnsi" w:hAnsiTheme="majorHAnsi"/>
          <w:sz w:val="24"/>
        </w:rPr>
        <w:t xml:space="preserve">Figure 2: Personal </w:t>
      </w:r>
      <w:r w:rsidR="003E01F4" w:rsidRPr="00F14751">
        <w:rPr>
          <w:rFonts w:asciiTheme="majorHAnsi" w:hAnsiTheme="majorHAnsi"/>
          <w:sz w:val="24"/>
        </w:rPr>
        <w:t>income t</w:t>
      </w:r>
      <w:r w:rsidRPr="00F14751">
        <w:rPr>
          <w:rFonts w:asciiTheme="majorHAnsi" w:hAnsiTheme="majorHAnsi"/>
          <w:sz w:val="24"/>
        </w:rPr>
        <w:t xml:space="preserve">ax in Latin </w:t>
      </w:r>
      <w:r w:rsidR="00D163A0">
        <w:rPr>
          <w:rFonts w:asciiTheme="majorHAnsi" w:hAnsiTheme="majorHAnsi"/>
          <w:sz w:val="24"/>
        </w:rPr>
        <w:t>American c</w:t>
      </w:r>
      <w:r w:rsidRPr="00F14751">
        <w:rPr>
          <w:rFonts w:asciiTheme="majorHAnsi" w:hAnsiTheme="majorHAnsi"/>
          <w:sz w:val="24"/>
        </w:rPr>
        <w:t>ountrie</w:t>
      </w:r>
      <w:r w:rsidR="004B7E3F" w:rsidRPr="00F14751">
        <w:rPr>
          <w:rFonts w:asciiTheme="majorHAnsi" w:hAnsiTheme="majorHAnsi"/>
          <w:sz w:val="24"/>
        </w:rPr>
        <w:t xml:space="preserve">s </w:t>
      </w:r>
    </w:p>
    <w:p w14:paraId="4FEE9CB0" w14:textId="77777777" w:rsidR="00310BD0" w:rsidRPr="00F14751" w:rsidRDefault="00310BD0" w:rsidP="00C8508E">
      <w:pPr>
        <w:pStyle w:val="NoSpacing"/>
        <w:spacing w:line="360" w:lineRule="auto"/>
        <w:jc w:val="both"/>
        <w:rPr>
          <w:rFonts w:asciiTheme="majorHAnsi" w:hAnsiTheme="majorHAnsi"/>
          <w:sz w:val="24"/>
        </w:rPr>
      </w:pPr>
      <w:r w:rsidRPr="00F14751">
        <w:rPr>
          <w:rFonts w:asciiTheme="majorHAnsi" w:hAnsiTheme="majorHAnsi"/>
          <w:noProof/>
          <w:sz w:val="24"/>
          <w:lang w:val="nl-NL" w:eastAsia="nl-NL"/>
        </w:rPr>
        <w:drawing>
          <wp:inline distT="0" distB="0" distL="0" distR="0" wp14:anchorId="07B3841A" wp14:editId="16480634">
            <wp:extent cx="5400000" cy="3240000"/>
            <wp:effectExtent l="0" t="0" r="1079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FDD991" w14:textId="77777777" w:rsidR="00092FE8" w:rsidRPr="00F14751" w:rsidRDefault="004B7E3F" w:rsidP="00C8508E">
      <w:pPr>
        <w:pStyle w:val="NoSpacing"/>
        <w:spacing w:line="360" w:lineRule="auto"/>
        <w:jc w:val="both"/>
        <w:rPr>
          <w:rFonts w:asciiTheme="majorHAnsi" w:hAnsiTheme="majorHAnsi"/>
          <w:sz w:val="24"/>
        </w:rPr>
      </w:pPr>
      <w:r w:rsidRPr="00F14751">
        <w:rPr>
          <w:rFonts w:asciiTheme="majorHAnsi" w:hAnsiTheme="majorHAnsi"/>
          <w:sz w:val="24"/>
        </w:rPr>
        <w:t xml:space="preserve">Source: </w:t>
      </w:r>
      <w:r w:rsidR="00700A8B" w:rsidRPr="00F14751">
        <w:rPr>
          <w:rFonts w:asciiTheme="majorHAnsi" w:hAnsiTheme="majorHAnsi"/>
          <w:sz w:val="24"/>
        </w:rPr>
        <w:t>Lora</w:t>
      </w:r>
      <w:r w:rsidRPr="00F14751">
        <w:rPr>
          <w:rFonts w:asciiTheme="majorHAnsi" w:hAnsiTheme="majorHAnsi"/>
          <w:sz w:val="24"/>
        </w:rPr>
        <w:t>, 2012</w:t>
      </w:r>
    </w:p>
    <w:p w14:paraId="18904A0C" w14:textId="77777777" w:rsidR="00092FE8" w:rsidRPr="00F14751" w:rsidRDefault="00092FE8" w:rsidP="00C8508E">
      <w:pPr>
        <w:pStyle w:val="NoSpacing"/>
        <w:spacing w:line="360" w:lineRule="auto"/>
        <w:jc w:val="both"/>
        <w:rPr>
          <w:rFonts w:asciiTheme="majorHAnsi" w:hAnsiTheme="majorHAnsi"/>
          <w:sz w:val="24"/>
        </w:rPr>
      </w:pPr>
    </w:p>
    <w:p w14:paraId="727574F0" w14:textId="77777777" w:rsidR="00310BD0" w:rsidRPr="00F14751" w:rsidRDefault="00310BD0" w:rsidP="00C8508E">
      <w:pPr>
        <w:pStyle w:val="NoSpacing"/>
        <w:spacing w:line="360" w:lineRule="auto"/>
        <w:jc w:val="both"/>
        <w:rPr>
          <w:rFonts w:asciiTheme="majorHAnsi" w:hAnsiTheme="majorHAnsi"/>
          <w:sz w:val="24"/>
        </w:rPr>
      </w:pPr>
      <w:r w:rsidRPr="00F14751">
        <w:rPr>
          <w:rFonts w:asciiTheme="majorHAnsi" w:hAnsiTheme="majorHAnsi" w:cs="Times New Roman"/>
          <w:sz w:val="24"/>
          <w:u w:val="single"/>
        </w:rPr>
        <w:t>Privatizations</w:t>
      </w:r>
    </w:p>
    <w:p w14:paraId="1F141F70" w14:textId="77777777" w:rsidR="003B03AF" w:rsidRPr="00F14751" w:rsidRDefault="00310BD0"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 xml:space="preserve">The transfer of public companies to the private sector was one of the most active areas of reform in the mid-1980s and late 1990s. </w:t>
      </w:r>
      <w:r w:rsidR="00FA1250" w:rsidRPr="00F14751">
        <w:rPr>
          <w:rFonts w:asciiTheme="majorHAnsi" w:hAnsiTheme="majorHAnsi" w:cs="Times New Roman"/>
          <w:sz w:val="24"/>
        </w:rPr>
        <w:t>State enterprises were an important c</w:t>
      </w:r>
      <w:r w:rsidR="00247928" w:rsidRPr="00F14751">
        <w:rPr>
          <w:rFonts w:asciiTheme="majorHAnsi" w:hAnsiTheme="majorHAnsi" w:cs="Times New Roman"/>
          <w:sz w:val="24"/>
        </w:rPr>
        <w:t>omponent of the ISI policy. The companies depended heavily on tariff protection, directed allocation and ownership of key elements of the production structure, particularly basic industries such as mining and petroleum enterprises.  Many of the state-owned enterprises performed badly. Also, because they depended critically on governmental funding, most companies were chronically short of capital.</w:t>
      </w:r>
      <w:r w:rsidR="003B03AF" w:rsidRPr="00F14751">
        <w:rPr>
          <w:rFonts w:asciiTheme="majorHAnsi" w:hAnsiTheme="majorHAnsi" w:cs="Times New Roman"/>
          <w:sz w:val="24"/>
        </w:rPr>
        <w:t xml:space="preserve"> Furthermore, the quantity and quality of public services failed to keep up with </w:t>
      </w:r>
      <w:r w:rsidR="00FE4EC3" w:rsidRPr="00F14751">
        <w:rPr>
          <w:rFonts w:asciiTheme="majorHAnsi" w:hAnsiTheme="majorHAnsi" w:cs="Times New Roman"/>
          <w:sz w:val="24"/>
        </w:rPr>
        <w:t>the public demand or</w:t>
      </w:r>
      <w:r w:rsidR="003B03AF" w:rsidRPr="00F14751">
        <w:rPr>
          <w:rFonts w:asciiTheme="majorHAnsi" w:hAnsiTheme="majorHAnsi" w:cs="Times New Roman"/>
          <w:sz w:val="24"/>
        </w:rPr>
        <w:t xml:space="preserve"> expectations. Increased demand for accountability and objective standards of resource allocation led governments to turn these companies into private enterprises, thus subjecting them to the discipline of priv</w:t>
      </w:r>
      <w:r w:rsidR="008F3A88" w:rsidRPr="00F14751">
        <w:rPr>
          <w:rFonts w:asciiTheme="majorHAnsi" w:hAnsiTheme="majorHAnsi" w:cs="Times New Roman"/>
          <w:sz w:val="24"/>
        </w:rPr>
        <w:t>ate capital and product markets (Morley, 2001)</w:t>
      </w:r>
    </w:p>
    <w:p w14:paraId="6206D617" w14:textId="29002D74" w:rsidR="00424A7A" w:rsidRPr="00F14751" w:rsidRDefault="003B03AF"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 xml:space="preserve">Between 1986 and 1999 almost 400 sales and transfers to the private sector were executed in Latin America. This accounted for more than half the value of privatization transactions in developing countries. </w:t>
      </w:r>
      <w:r w:rsidR="00424A7A" w:rsidRPr="00F14751">
        <w:rPr>
          <w:rFonts w:asciiTheme="majorHAnsi" w:hAnsiTheme="majorHAnsi" w:cs="Times New Roman"/>
          <w:sz w:val="24"/>
        </w:rPr>
        <w:t>Approximately 57 percent of the privatizations were in the infrastructure sectors and around 11 percent came from the sale of banks and related entities.</w:t>
      </w:r>
      <w:r w:rsidR="00247928" w:rsidRPr="00F14751">
        <w:rPr>
          <w:rFonts w:asciiTheme="majorHAnsi" w:hAnsiTheme="majorHAnsi" w:cs="Times New Roman"/>
          <w:sz w:val="24"/>
        </w:rPr>
        <w:tab/>
      </w:r>
      <w:r w:rsidR="00424A7A" w:rsidRPr="00F14751">
        <w:rPr>
          <w:rFonts w:asciiTheme="majorHAnsi" w:hAnsiTheme="majorHAnsi" w:cs="Times New Roman"/>
          <w:sz w:val="24"/>
        </w:rPr>
        <w:t>Considering only the infrastructure sector, Bolivia and Chile have been the most important privatizers in relation to the size of their economies</w:t>
      </w:r>
      <w:r w:rsidR="00B76783">
        <w:rPr>
          <w:rFonts w:asciiTheme="majorHAnsi" w:hAnsiTheme="majorHAnsi" w:cs="Times New Roman"/>
          <w:sz w:val="24"/>
        </w:rPr>
        <w:t xml:space="preserve"> (see figure 3)</w:t>
      </w:r>
      <w:r w:rsidR="00424A7A" w:rsidRPr="00F14751">
        <w:rPr>
          <w:rFonts w:asciiTheme="majorHAnsi" w:hAnsiTheme="majorHAnsi" w:cs="Times New Roman"/>
          <w:sz w:val="24"/>
        </w:rPr>
        <w:t xml:space="preserve">. </w:t>
      </w:r>
      <w:r w:rsidR="00B76783">
        <w:rPr>
          <w:rFonts w:asciiTheme="majorHAnsi" w:hAnsiTheme="majorHAnsi" w:cs="Times New Roman"/>
          <w:sz w:val="24"/>
        </w:rPr>
        <w:t>F</w:t>
      </w:r>
      <w:r w:rsidR="00424A7A" w:rsidRPr="00F14751">
        <w:rPr>
          <w:rFonts w:asciiTheme="majorHAnsi" w:hAnsiTheme="majorHAnsi" w:cs="Times New Roman"/>
          <w:sz w:val="24"/>
        </w:rPr>
        <w:t>rom 1985 to 1999, the cumulative value of private sector investment commitments in the infrastructure sectors was equal to 71 percent of GDP in Bolivia and to 51 percent of GDP in Chile. Costa Rica, Uruguay and Paraguay have privatize</w:t>
      </w:r>
      <w:r w:rsidR="00F318CE">
        <w:rPr>
          <w:rFonts w:asciiTheme="majorHAnsi" w:hAnsiTheme="majorHAnsi" w:cs="Times New Roman"/>
          <w:sz w:val="24"/>
        </w:rPr>
        <w:t>d the least</w:t>
      </w:r>
      <w:r w:rsidR="00424A7A" w:rsidRPr="00F14751">
        <w:rPr>
          <w:rFonts w:asciiTheme="majorHAnsi" w:hAnsiTheme="majorHAnsi" w:cs="Times New Roman"/>
          <w:sz w:val="24"/>
        </w:rPr>
        <w:t xml:space="preserve">. </w:t>
      </w:r>
      <w:r w:rsidR="00B76783">
        <w:rPr>
          <w:rFonts w:asciiTheme="majorHAnsi" w:hAnsiTheme="majorHAnsi" w:cs="Times New Roman"/>
          <w:sz w:val="24"/>
        </w:rPr>
        <w:t>The t</w:t>
      </w:r>
      <w:r w:rsidR="00424A7A" w:rsidRPr="00F14751">
        <w:rPr>
          <w:rFonts w:asciiTheme="majorHAnsi" w:hAnsiTheme="majorHAnsi" w:cs="Times New Roman"/>
          <w:sz w:val="24"/>
        </w:rPr>
        <w:t>elecommunications and energy sectors have attracted the most resources in almost all countries</w:t>
      </w:r>
      <w:r w:rsidR="00B76783">
        <w:rPr>
          <w:rFonts w:asciiTheme="majorHAnsi" w:hAnsiTheme="majorHAnsi" w:cs="Times New Roman"/>
          <w:sz w:val="24"/>
        </w:rPr>
        <w:t xml:space="preserve"> (see figure 4)</w:t>
      </w:r>
      <w:r w:rsidR="00424A7A" w:rsidRPr="00F14751">
        <w:rPr>
          <w:rFonts w:asciiTheme="majorHAnsi" w:hAnsiTheme="majorHAnsi" w:cs="Times New Roman"/>
          <w:sz w:val="24"/>
        </w:rPr>
        <w:t>. On average, 42.6 percent of the privatizations took place in the telecommunication sector, 34.8 percent in the energy sector, 16.6 in the water and sewerage and 5.9 in the transportation sector.</w:t>
      </w:r>
    </w:p>
    <w:p w14:paraId="3B50185B" w14:textId="77777777" w:rsidR="003E01F4" w:rsidRPr="00F14751" w:rsidRDefault="00FA1250" w:rsidP="00C8508E">
      <w:pPr>
        <w:pStyle w:val="NoSpacing"/>
        <w:spacing w:line="360" w:lineRule="auto"/>
        <w:ind w:firstLine="708"/>
        <w:jc w:val="both"/>
        <w:rPr>
          <w:rFonts w:asciiTheme="majorHAnsi" w:hAnsiTheme="majorHAnsi" w:cs="Times New Roman"/>
          <w:sz w:val="24"/>
        </w:rPr>
      </w:pPr>
      <w:r w:rsidRPr="00F14751">
        <w:rPr>
          <w:rFonts w:asciiTheme="majorHAnsi" w:hAnsiTheme="majorHAnsi" w:cs="Times New Roman"/>
          <w:sz w:val="24"/>
        </w:rPr>
        <w:t xml:space="preserve">Not all countries undertook privatizations. For </w:t>
      </w:r>
      <w:r w:rsidR="00247928" w:rsidRPr="00F14751">
        <w:rPr>
          <w:rFonts w:asciiTheme="majorHAnsi" w:hAnsiTheme="majorHAnsi" w:cs="Times New Roman"/>
          <w:sz w:val="24"/>
        </w:rPr>
        <w:t xml:space="preserve">some countries, like </w:t>
      </w:r>
      <w:r w:rsidRPr="00F14751">
        <w:rPr>
          <w:rFonts w:asciiTheme="majorHAnsi" w:hAnsiTheme="majorHAnsi" w:cs="Times New Roman"/>
          <w:sz w:val="24"/>
        </w:rPr>
        <w:t>the Dominican Republic, El Salvador and Guatemala</w:t>
      </w:r>
      <w:r w:rsidR="008C1B66" w:rsidRPr="00F14751">
        <w:rPr>
          <w:rFonts w:asciiTheme="majorHAnsi" w:hAnsiTheme="majorHAnsi" w:cs="Times New Roman"/>
          <w:sz w:val="24"/>
        </w:rPr>
        <w:t>,</w:t>
      </w:r>
      <w:r w:rsidRPr="00F14751">
        <w:rPr>
          <w:rFonts w:asciiTheme="majorHAnsi" w:hAnsiTheme="majorHAnsi" w:cs="Times New Roman"/>
          <w:sz w:val="24"/>
        </w:rPr>
        <w:t xml:space="preserve"> </w:t>
      </w:r>
      <w:r w:rsidR="00247928" w:rsidRPr="00F14751">
        <w:rPr>
          <w:rFonts w:asciiTheme="majorHAnsi" w:hAnsiTheme="majorHAnsi" w:cs="Times New Roman"/>
          <w:sz w:val="24"/>
        </w:rPr>
        <w:t xml:space="preserve">state enterprises were never a significant component in the economy. Other countries, such as Ecuador and Venezuela resisted </w:t>
      </w:r>
      <w:r w:rsidRPr="00F14751">
        <w:rPr>
          <w:rFonts w:asciiTheme="majorHAnsi" w:hAnsiTheme="majorHAnsi" w:cs="Times New Roman"/>
          <w:sz w:val="24"/>
        </w:rPr>
        <w:t>privatizing important oil or mining enterprises</w:t>
      </w:r>
      <w:r w:rsidR="00247928" w:rsidRPr="00F14751">
        <w:rPr>
          <w:rFonts w:asciiTheme="majorHAnsi" w:hAnsiTheme="majorHAnsi" w:cs="Times New Roman"/>
          <w:sz w:val="24"/>
        </w:rPr>
        <w:t>, as wel</w:t>
      </w:r>
      <w:r w:rsidR="008C1B66" w:rsidRPr="00F14751">
        <w:rPr>
          <w:rFonts w:asciiTheme="majorHAnsi" w:hAnsiTheme="majorHAnsi" w:cs="Times New Roman"/>
          <w:sz w:val="24"/>
        </w:rPr>
        <w:t>l as other government companies (Morley, 2001).</w:t>
      </w:r>
    </w:p>
    <w:p w14:paraId="0AC33966" w14:textId="77777777" w:rsidR="003E01F4" w:rsidRPr="005469B9" w:rsidRDefault="003E01F4" w:rsidP="00C8508E">
      <w:pPr>
        <w:pStyle w:val="NoSpacing"/>
        <w:spacing w:line="360" w:lineRule="auto"/>
        <w:jc w:val="both"/>
        <w:rPr>
          <w:rFonts w:asciiTheme="majorHAnsi" w:hAnsiTheme="majorHAnsi"/>
          <w:sz w:val="24"/>
        </w:rPr>
      </w:pPr>
    </w:p>
    <w:p w14:paraId="11CE497C" w14:textId="77777777" w:rsidR="00726B85" w:rsidRDefault="00726B85" w:rsidP="00C8508E">
      <w:pPr>
        <w:jc w:val="both"/>
        <w:rPr>
          <w:rFonts w:asciiTheme="majorHAnsi" w:hAnsiTheme="majorHAnsi"/>
          <w:sz w:val="24"/>
        </w:rPr>
      </w:pPr>
      <w:r>
        <w:rPr>
          <w:rFonts w:asciiTheme="majorHAnsi" w:hAnsiTheme="majorHAnsi"/>
          <w:sz w:val="24"/>
        </w:rPr>
        <w:br w:type="page"/>
      </w:r>
    </w:p>
    <w:p w14:paraId="7E7DA577" w14:textId="1EB145C5" w:rsidR="003E01F4" w:rsidRPr="00F14751" w:rsidRDefault="00310BD0" w:rsidP="00D163A0">
      <w:pPr>
        <w:pStyle w:val="NoSpacing"/>
        <w:spacing w:line="360" w:lineRule="auto"/>
        <w:rPr>
          <w:rFonts w:asciiTheme="majorHAnsi" w:hAnsiTheme="majorHAnsi"/>
          <w:sz w:val="24"/>
        </w:rPr>
      </w:pPr>
      <w:r w:rsidRPr="00F14751">
        <w:rPr>
          <w:rFonts w:asciiTheme="majorHAnsi" w:hAnsiTheme="majorHAnsi"/>
          <w:sz w:val="24"/>
        </w:rPr>
        <w:t xml:space="preserve">Figure 3: Privatizations minus nationalizations as </w:t>
      </w:r>
      <w:r w:rsidR="003E01F4" w:rsidRPr="00F14751">
        <w:rPr>
          <w:rFonts w:asciiTheme="majorHAnsi" w:hAnsiTheme="majorHAnsi"/>
          <w:sz w:val="24"/>
        </w:rPr>
        <w:t>a share of GDP (cumulative)</w:t>
      </w:r>
    </w:p>
    <w:p w14:paraId="3541B4E7" w14:textId="77777777" w:rsidR="00A40DCE" w:rsidRPr="00F14751" w:rsidRDefault="00310BD0" w:rsidP="00D163A0">
      <w:pPr>
        <w:pStyle w:val="NoSpacing"/>
        <w:spacing w:line="360" w:lineRule="auto"/>
        <w:rPr>
          <w:rFonts w:asciiTheme="majorHAnsi" w:hAnsiTheme="majorHAnsi"/>
          <w:sz w:val="24"/>
        </w:rPr>
      </w:pPr>
      <w:r w:rsidRPr="00F14751">
        <w:rPr>
          <w:rFonts w:asciiTheme="majorHAnsi" w:hAnsiTheme="majorHAnsi"/>
          <w:noProof/>
          <w:sz w:val="24"/>
          <w:lang w:val="nl-NL" w:eastAsia="nl-NL"/>
        </w:rPr>
        <w:drawing>
          <wp:inline distT="0" distB="0" distL="0" distR="0" wp14:anchorId="7875BCA9" wp14:editId="301E3D03">
            <wp:extent cx="4909457" cy="3668486"/>
            <wp:effectExtent l="0" t="0" r="2476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14751">
        <w:rPr>
          <w:rFonts w:asciiTheme="majorHAnsi" w:hAnsiTheme="majorHAnsi"/>
          <w:sz w:val="24"/>
        </w:rPr>
        <w:t xml:space="preserve"> </w:t>
      </w:r>
    </w:p>
    <w:p w14:paraId="020DB276" w14:textId="77777777" w:rsidR="00B76783" w:rsidRDefault="004B7E3F" w:rsidP="00D163A0">
      <w:pPr>
        <w:pStyle w:val="NoSpacing"/>
        <w:spacing w:line="360" w:lineRule="auto"/>
        <w:rPr>
          <w:rFonts w:asciiTheme="majorHAnsi" w:hAnsiTheme="majorHAnsi"/>
          <w:sz w:val="24"/>
        </w:rPr>
      </w:pPr>
      <w:r w:rsidRPr="00F14751">
        <w:rPr>
          <w:rFonts w:asciiTheme="majorHAnsi" w:hAnsiTheme="majorHAnsi"/>
          <w:sz w:val="24"/>
        </w:rPr>
        <w:t xml:space="preserve">Source: </w:t>
      </w:r>
      <w:r w:rsidR="00700A8B" w:rsidRPr="00F14751">
        <w:rPr>
          <w:rFonts w:asciiTheme="majorHAnsi" w:hAnsiTheme="majorHAnsi"/>
          <w:sz w:val="24"/>
        </w:rPr>
        <w:t>Lora</w:t>
      </w:r>
      <w:r w:rsidR="00B55587" w:rsidRPr="00F14751">
        <w:rPr>
          <w:rFonts w:asciiTheme="majorHAnsi" w:hAnsiTheme="majorHAnsi"/>
          <w:sz w:val="24"/>
        </w:rPr>
        <w:t>, 2012</w:t>
      </w:r>
    </w:p>
    <w:p w14:paraId="0B61EC4C" w14:textId="77777777" w:rsidR="00726B85" w:rsidRDefault="00726B85" w:rsidP="00C8508E">
      <w:pPr>
        <w:pStyle w:val="NoSpacing"/>
        <w:jc w:val="both"/>
      </w:pPr>
    </w:p>
    <w:p w14:paraId="73856C2D" w14:textId="579BB454" w:rsidR="00310BD0" w:rsidRPr="00726B85" w:rsidRDefault="00DA7522" w:rsidP="00D163A0">
      <w:pPr>
        <w:pStyle w:val="NoSpacing"/>
        <w:spacing w:line="360" w:lineRule="auto"/>
        <w:rPr>
          <w:rFonts w:asciiTheme="majorHAnsi" w:hAnsiTheme="majorHAnsi"/>
          <w:sz w:val="24"/>
        </w:rPr>
      </w:pPr>
      <w:r w:rsidRPr="00726B85">
        <w:rPr>
          <w:rFonts w:asciiTheme="majorHAnsi" w:hAnsiTheme="majorHAnsi"/>
          <w:sz w:val="24"/>
        </w:rPr>
        <w:t xml:space="preserve">Figure 4: </w:t>
      </w:r>
      <w:r w:rsidR="003E01F4" w:rsidRPr="00726B85">
        <w:rPr>
          <w:rFonts w:asciiTheme="majorHAnsi" w:hAnsiTheme="majorHAnsi"/>
          <w:sz w:val="24"/>
        </w:rPr>
        <w:t>Share of privatizations in the infrastructure s</w:t>
      </w:r>
      <w:r w:rsidR="00310BD0" w:rsidRPr="00726B85">
        <w:rPr>
          <w:rFonts w:asciiTheme="majorHAnsi" w:hAnsiTheme="majorHAnsi"/>
          <w:sz w:val="24"/>
        </w:rPr>
        <w:t xml:space="preserve">ector </w:t>
      </w:r>
      <w:r w:rsidR="003E01F4" w:rsidRPr="00726B85">
        <w:rPr>
          <w:rFonts w:asciiTheme="majorHAnsi" w:hAnsiTheme="majorHAnsi"/>
          <w:sz w:val="24"/>
        </w:rPr>
        <w:t>in the period 1985-2010</w:t>
      </w:r>
    </w:p>
    <w:p w14:paraId="6093DD2D" w14:textId="77777777" w:rsidR="00310BD0" w:rsidRPr="00726B85" w:rsidRDefault="00310BD0" w:rsidP="00D163A0">
      <w:pPr>
        <w:pStyle w:val="NoSpacing"/>
        <w:spacing w:line="360" w:lineRule="auto"/>
        <w:rPr>
          <w:rFonts w:asciiTheme="majorHAnsi" w:hAnsiTheme="majorHAnsi" w:cs="Times New Roman"/>
          <w:i/>
          <w:sz w:val="24"/>
        </w:rPr>
      </w:pPr>
      <w:r w:rsidRPr="00726B85">
        <w:rPr>
          <w:rFonts w:asciiTheme="majorHAnsi" w:hAnsiTheme="majorHAnsi"/>
          <w:noProof/>
          <w:sz w:val="24"/>
          <w:lang w:val="nl-NL" w:eastAsia="nl-NL"/>
        </w:rPr>
        <w:drawing>
          <wp:inline distT="0" distB="0" distL="0" distR="0" wp14:anchorId="6B231366" wp14:editId="67314E7C">
            <wp:extent cx="5400000" cy="3240000"/>
            <wp:effectExtent l="0" t="0" r="10795"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98F7AB" w14:textId="77777777" w:rsidR="004E6B60" w:rsidRPr="00726B85" w:rsidRDefault="00700A8B" w:rsidP="00D163A0">
      <w:pPr>
        <w:pStyle w:val="NoSpacing"/>
        <w:spacing w:line="360" w:lineRule="auto"/>
        <w:rPr>
          <w:rFonts w:asciiTheme="majorHAnsi" w:hAnsiTheme="majorHAnsi" w:cs="Times New Roman"/>
          <w:sz w:val="24"/>
        </w:rPr>
      </w:pPr>
      <w:r w:rsidRPr="00726B85">
        <w:rPr>
          <w:rFonts w:asciiTheme="majorHAnsi" w:hAnsiTheme="majorHAnsi" w:cs="Times New Roman"/>
          <w:sz w:val="24"/>
        </w:rPr>
        <w:t>Source: Lora</w:t>
      </w:r>
      <w:r w:rsidR="008C1B66" w:rsidRPr="00726B85">
        <w:rPr>
          <w:rFonts w:asciiTheme="majorHAnsi" w:hAnsiTheme="majorHAnsi" w:cs="Times New Roman"/>
          <w:sz w:val="24"/>
        </w:rPr>
        <w:t>, 2012</w:t>
      </w:r>
    </w:p>
    <w:p w14:paraId="3E621950" w14:textId="77777777" w:rsidR="004E6B60" w:rsidRPr="00F14751" w:rsidRDefault="004E6B60" w:rsidP="00C8508E">
      <w:pPr>
        <w:pStyle w:val="NoSpacing"/>
        <w:spacing w:line="360" w:lineRule="auto"/>
        <w:jc w:val="both"/>
        <w:rPr>
          <w:rFonts w:asciiTheme="majorHAnsi" w:hAnsiTheme="majorHAnsi" w:cs="Times New Roman"/>
          <w:sz w:val="24"/>
        </w:rPr>
      </w:pPr>
    </w:p>
    <w:p w14:paraId="505DAE62" w14:textId="77777777" w:rsidR="00726B85" w:rsidRDefault="00726B85" w:rsidP="00C8508E">
      <w:pPr>
        <w:pStyle w:val="NoSpacing"/>
        <w:spacing w:line="360" w:lineRule="auto"/>
        <w:jc w:val="both"/>
        <w:rPr>
          <w:rFonts w:asciiTheme="majorHAnsi" w:hAnsiTheme="majorHAnsi" w:cs="Times New Roman"/>
          <w:sz w:val="24"/>
          <w:u w:val="single"/>
        </w:rPr>
      </w:pPr>
    </w:p>
    <w:p w14:paraId="5471E2C2" w14:textId="77777777" w:rsidR="00310BD0" w:rsidRPr="00F14751" w:rsidRDefault="00CA137C"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u w:val="single"/>
        </w:rPr>
        <w:t>Labor</w:t>
      </w:r>
      <w:r w:rsidR="009B5E55" w:rsidRPr="00F14751">
        <w:rPr>
          <w:rFonts w:asciiTheme="majorHAnsi" w:hAnsiTheme="majorHAnsi" w:cs="Times New Roman"/>
          <w:sz w:val="24"/>
          <w:u w:val="single"/>
        </w:rPr>
        <w:t xml:space="preserve"> Reforms</w:t>
      </w:r>
    </w:p>
    <w:p w14:paraId="30151E5E" w14:textId="77777777" w:rsidR="00A40DCE" w:rsidRPr="00F14751" w:rsidRDefault="00310BD0"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 xml:space="preserve">In contrast to the four previous reform areas, changes in the labor area have been </w:t>
      </w:r>
      <w:r w:rsidR="006A7833" w:rsidRPr="00F14751">
        <w:rPr>
          <w:rFonts w:asciiTheme="majorHAnsi" w:hAnsiTheme="majorHAnsi" w:cs="Times New Roman"/>
          <w:sz w:val="24"/>
        </w:rPr>
        <w:t>f</w:t>
      </w:r>
      <w:r w:rsidRPr="00F14751">
        <w:rPr>
          <w:rFonts w:asciiTheme="majorHAnsi" w:hAnsiTheme="majorHAnsi" w:cs="Times New Roman"/>
          <w:sz w:val="24"/>
        </w:rPr>
        <w:t xml:space="preserve">airly limited. </w:t>
      </w:r>
      <w:r w:rsidR="003D1D11" w:rsidRPr="00F14751">
        <w:rPr>
          <w:rFonts w:asciiTheme="majorHAnsi" w:hAnsiTheme="majorHAnsi" w:cs="Times New Roman"/>
          <w:sz w:val="24"/>
        </w:rPr>
        <w:t>According to Lora (2012)</w:t>
      </w:r>
      <w:r w:rsidR="00A40DCE" w:rsidRPr="00F14751">
        <w:rPr>
          <w:rFonts w:asciiTheme="majorHAnsi" w:hAnsiTheme="majorHAnsi" w:cs="Times New Roman"/>
          <w:sz w:val="24"/>
        </w:rPr>
        <w:t xml:space="preserve"> only five countries undertook major changes: Argentina, Colombia, Guatemala, Peru and Venezuela. The main objective of labor market reforms </w:t>
      </w:r>
      <w:r w:rsidR="00C5448D" w:rsidRPr="00F14751">
        <w:rPr>
          <w:rFonts w:asciiTheme="majorHAnsi" w:hAnsiTheme="majorHAnsi" w:cs="Times New Roman"/>
          <w:sz w:val="24"/>
        </w:rPr>
        <w:t>was to increase flexibility and</w:t>
      </w:r>
      <w:r w:rsidR="00A40DCE" w:rsidRPr="00F14751">
        <w:rPr>
          <w:rFonts w:asciiTheme="majorHAnsi" w:hAnsiTheme="majorHAnsi" w:cs="Times New Roman"/>
          <w:sz w:val="24"/>
        </w:rPr>
        <w:t xml:space="preserve"> reduce distortions</w:t>
      </w:r>
      <w:r w:rsidR="00375B47" w:rsidRPr="00F14751">
        <w:rPr>
          <w:rFonts w:asciiTheme="majorHAnsi" w:hAnsiTheme="majorHAnsi" w:cs="Times New Roman"/>
          <w:sz w:val="24"/>
        </w:rPr>
        <w:t xml:space="preserve"> on the labor market</w:t>
      </w:r>
      <w:r w:rsidR="00A40DCE" w:rsidRPr="00F14751">
        <w:rPr>
          <w:rFonts w:asciiTheme="majorHAnsi" w:hAnsiTheme="majorHAnsi" w:cs="Times New Roman"/>
          <w:sz w:val="24"/>
        </w:rPr>
        <w:t xml:space="preserve">. </w:t>
      </w:r>
    </w:p>
    <w:p w14:paraId="353AD996" w14:textId="77777777" w:rsidR="003D1D11" w:rsidRPr="00F14751" w:rsidRDefault="00A40DCE"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By flexibility, reformers mean making labor more responsive to changes in demand and production technology.</w:t>
      </w:r>
      <w:r w:rsidR="003D1D11" w:rsidRPr="00F14751">
        <w:rPr>
          <w:rFonts w:asciiTheme="majorHAnsi" w:hAnsiTheme="majorHAnsi" w:cs="Times New Roman"/>
          <w:sz w:val="24"/>
        </w:rPr>
        <w:t xml:space="preserve"> </w:t>
      </w:r>
      <w:r w:rsidRPr="00F14751">
        <w:rPr>
          <w:rFonts w:asciiTheme="majorHAnsi" w:hAnsiTheme="majorHAnsi" w:cs="Times New Roman"/>
          <w:sz w:val="24"/>
        </w:rPr>
        <w:t>All countries in Latin America have regulations stipulating how much a firm</w:t>
      </w:r>
      <w:r w:rsidR="003D1D11" w:rsidRPr="00F14751">
        <w:rPr>
          <w:rFonts w:asciiTheme="majorHAnsi" w:hAnsiTheme="majorHAnsi" w:cs="Times New Roman"/>
          <w:sz w:val="24"/>
        </w:rPr>
        <w:t xml:space="preserve"> has to pay a permanent employee whom they want to fire. For instance, after one year Bolivia, Ecuador and Mexico require a payment of at least 3 months of salary. After ten years, the majority of countries requires at least 6 months. These sort of complementary regulations limit the ability to hire temporary labor. Only four countries have introduced partial liberalization. </w:t>
      </w:r>
    </w:p>
    <w:p w14:paraId="2DBA1660" w14:textId="77777777" w:rsidR="006A7833" w:rsidRPr="00F14751" w:rsidRDefault="003D1D11"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ab/>
        <w:t>The se</w:t>
      </w:r>
      <w:r w:rsidR="00196F8A" w:rsidRPr="00F14751">
        <w:rPr>
          <w:rFonts w:asciiTheme="majorHAnsi" w:hAnsiTheme="majorHAnsi" w:cs="Times New Roman"/>
          <w:sz w:val="24"/>
        </w:rPr>
        <w:t>c</w:t>
      </w:r>
      <w:r w:rsidRPr="00F14751">
        <w:rPr>
          <w:rFonts w:asciiTheme="majorHAnsi" w:hAnsiTheme="majorHAnsi" w:cs="Times New Roman"/>
          <w:sz w:val="24"/>
        </w:rPr>
        <w:t>ond</w:t>
      </w:r>
      <w:r w:rsidR="00196F8A" w:rsidRPr="00F14751">
        <w:rPr>
          <w:rFonts w:asciiTheme="majorHAnsi" w:hAnsiTheme="majorHAnsi" w:cs="Times New Roman"/>
          <w:sz w:val="24"/>
        </w:rPr>
        <w:t xml:space="preserve"> component of the labor reforms was to reduce the fixed charges or taxes that are based on worker salaries and levied on firms. Especially those charges in which the benefits bear little relation to the contribution, such as social security contributions, family allowances, and disability, death, sickness and maternity benefits. These contributions are not linked to benefits and </w:t>
      </w:r>
      <w:r w:rsidR="00D3672E" w:rsidRPr="00F14751">
        <w:rPr>
          <w:rFonts w:asciiTheme="majorHAnsi" w:hAnsiTheme="majorHAnsi" w:cs="Times New Roman"/>
          <w:sz w:val="24"/>
        </w:rPr>
        <w:t>so are essentially taxes</w:t>
      </w:r>
      <w:r w:rsidR="00196F8A" w:rsidRPr="00F14751">
        <w:rPr>
          <w:rFonts w:asciiTheme="majorHAnsi" w:hAnsiTheme="majorHAnsi" w:cs="Times New Roman"/>
          <w:sz w:val="24"/>
        </w:rPr>
        <w:t xml:space="preserve"> on lab</w:t>
      </w:r>
      <w:r w:rsidR="00D3672E" w:rsidRPr="00F14751">
        <w:rPr>
          <w:rFonts w:asciiTheme="majorHAnsi" w:hAnsiTheme="majorHAnsi" w:cs="Times New Roman"/>
          <w:sz w:val="24"/>
        </w:rPr>
        <w:t xml:space="preserve">or. </w:t>
      </w:r>
      <w:r w:rsidR="00196F8A" w:rsidRPr="00F14751">
        <w:rPr>
          <w:rFonts w:asciiTheme="majorHAnsi" w:hAnsiTheme="majorHAnsi" w:cs="Times New Roman"/>
          <w:sz w:val="24"/>
        </w:rPr>
        <w:t>This makes production more capital intensive than it should be, given that labor is an abundant factor in de region (Morley, 2001). In general, these wage surcharges are high</w:t>
      </w:r>
      <w:r w:rsidR="00D3672E" w:rsidRPr="00F14751">
        <w:rPr>
          <w:rFonts w:asciiTheme="majorHAnsi" w:hAnsiTheme="majorHAnsi" w:cs="Times New Roman"/>
          <w:sz w:val="24"/>
        </w:rPr>
        <w:t xml:space="preserve"> and </w:t>
      </w:r>
      <w:r w:rsidR="00196F8A" w:rsidRPr="00F14751">
        <w:rPr>
          <w:rFonts w:asciiTheme="majorHAnsi" w:hAnsiTheme="majorHAnsi" w:cs="Times New Roman"/>
          <w:sz w:val="24"/>
        </w:rPr>
        <w:t xml:space="preserve">were not significantly reduced in the 1985-2010 period. </w:t>
      </w:r>
      <w:r w:rsidR="006A7833" w:rsidRPr="00F14751">
        <w:rPr>
          <w:rFonts w:asciiTheme="majorHAnsi" w:hAnsiTheme="majorHAnsi" w:cs="Times New Roman"/>
          <w:sz w:val="24"/>
        </w:rPr>
        <w:tab/>
      </w:r>
    </w:p>
    <w:p w14:paraId="56F93445" w14:textId="77777777" w:rsidR="006A7833" w:rsidRPr="00F14751" w:rsidRDefault="006A7833" w:rsidP="00C8508E">
      <w:pPr>
        <w:pStyle w:val="NoSpacing"/>
        <w:spacing w:line="360" w:lineRule="auto"/>
        <w:jc w:val="both"/>
        <w:rPr>
          <w:rFonts w:asciiTheme="majorHAnsi" w:hAnsiTheme="majorHAnsi" w:cs="Times New Roman"/>
          <w:sz w:val="24"/>
        </w:rPr>
      </w:pPr>
    </w:p>
    <w:p w14:paraId="31571B47" w14:textId="77777777" w:rsidR="00CD0B61" w:rsidRPr="00F14751" w:rsidRDefault="00CD0B61" w:rsidP="00C8508E">
      <w:pPr>
        <w:pStyle w:val="NoSpacing"/>
        <w:spacing w:line="360" w:lineRule="auto"/>
        <w:jc w:val="both"/>
        <w:rPr>
          <w:rFonts w:asciiTheme="majorHAnsi" w:hAnsiTheme="majorHAnsi" w:cs="Times New Roman"/>
          <w:sz w:val="24"/>
        </w:rPr>
      </w:pPr>
      <w:r w:rsidRPr="00F14751">
        <w:rPr>
          <w:rFonts w:asciiTheme="majorHAnsi" w:hAnsiTheme="majorHAnsi" w:cs="Times New Roman"/>
          <w:sz w:val="24"/>
        </w:rPr>
        <w:t>The depth</w:t>
      </w:r>
      <w:r w:rsidR="00DA7522" w:rsidRPr="00F14751">
        <w:rPr>
          <w:rFonts w:asciiTheme="majorHAnsi" w:hAnsiTheme="majorHAnsi" w:cs="Times New Roman"/>
          <w:sz w:val="24"/>
        </w:rPr>
        <w:t xml:space="preserve"> and speed of the reforms varied</w:t>
      </w:r>
      <w:r w:rsidRPr="00F14751">
        <w:rPr>
          <w:rFonts w:asciiTheme="majorHAnsi" w:hAnsiTheme="majorHAnsi" w:cs="Times New Roman"/>
          <w:sz w:val="24"/>
        </w:rPr>
        <w:t xml:space="preserve"> across countries.</w:t>
      </w:r>
      <w:r w:rsidR="008C1B66" w:rsidRPr="00F14751">
        <w:rPr>
          <w:rFonts w:asciiTheme="majorHAnsi" w:hAnsiTheme="majorHAnsi" w:cs="Times New Roman"/>
          <w:sz w:val="24"/>
        </w:rPr>
        <w:t xml:space="preserve"> Aggressive reformers</w:t>
      </w:r>
      <w:r w:rsidR="000B6D0B" w:rsidRPr="00F14751">
        <w:rPr>
          <w:rFonts w:asciiTheme="majorHAnsi" w:hAnsiTheme="majorHAnsi" w:cs="Times New Roman"/>
          <w:sz w:val="24"/>
        </w:rPr>
        <w:t xml:space="preserve"> like Bolivia and </w:t>
      </w:r>
      <w:r w:rsidRPr="00F14751">
        <w:rPr>
          <w:rFonts w:asciiTheme="majorHAnsi" w:hAnsiTheme="majorHAnsi" w:cs="Times New Roman"/>
          <w:sz w:val="24"/>
        </w:rPr>
        <w:t xml:space="preserve">Chile carried out reforms in short period of time and were ambitious in several areas, particularly in privatizations. </w:t>
      </w:r>
      <w:r w:rsidR="008C1B66" w:rsidRPr="00F14751">
        <w:rPr>
          <w:rFonts w:asciiTheme="majorHAnsi" w:hAnsiTheme="majorHAnsi" w:cs="Times New Roman"/>
          <w:sz w:val="24"/>
        </w:rPr>
        <w:t>Cautious reformers such as</w:t>
      </w:r>
      <w:r w:rsidR="006A7833" w:rsidRPr="00F14751">
        <w:rPr>
          <w:rFonts w:asciiTheme="majorHAnsi" w:hAnsiTheme="majorHAnsi" w:cs="Times New Roman"/>
          <w:sz w:val="24"/>
        </w:rPr>
        <w:t xml:space="preserve"> Brazil, Costa Rica, Colombia and Mexico were</w:t>
      </w:r>
      <w:r w:rsidRPr="00F14751">
        <w:rPr>
          <w:rFonts w:asciiTheme="majorHAnsi" w:hAnsiTheme="majorHAnsi" w:cs="Times New Roman"/>
          <w:sz w:val="24"/>
        </w:rPr>
        <w:t xml:space="preserve"> </w:t>
      </w:r>
      <w:r w:rsidR="004335FC" w:rsidRPr="00F14751">
        <w:rPr>
          <w:rFonts w:asciiTheme="majorHAnsi" w:hAnsiTheme="majorHAnsi" w:cs="Times New Roman"/>
          <w:sz w:val="24"/>
        </w:rPr>
        <w:t>slower</w:t>
      </w:r>
      <w:r w:rsidR="006A7833" w:rsidRPr="00F14751">
        <w:rPr>
          <w:rFonts w:asciiTheme="majorHAnsi" w:hAnsiTheme="majorHAnsi" w:cs="Times New Roman"/>
          <w:sz w:val="24"/>
        </w:rPr>
        <w:t xml:space="preserve"> and less </w:t>
      </w:r>
      <w:r w:rsidRPr="00F14751">
        <w:rPr>
          <w:rFonts w:asciiTheme="majorHAnsi" w:hAnsiTheme="majorHAnsi" w:cs="Times New Roman"/>
          <w:sz w:val="24"/>
        </w:rPr>
        <w:t xml:space="preserve">determined to reform.  </w:t>
      </w:r>
    </w:p>
    <w:p w14:paraId="75BE2EF5" w14:textId="77777777" w:rsidR="003E01F4" w:rsidRPr="00F14751" w:rsidRDefault="003E01F4" w:rsidP="00C8508E">
      <w:pPr>
        <w:pStyle w:val="NoSpacing"/>
        <w:spacing w:line="360" w:lineRule="auto"/>
        <w:jc w:val="both"/>
        <w:rPr>
          <w:rFonts w:asciiTheme="majorHAnsi" w:hAnsiTheme="majorHAnsi" w:cs="Times New Roman"/>
          <w:sz w:val="24"/>
        </w:rPr>
      </w:pPr>
    </w:p>
    <w:p w14:paraId="1C1C67BD" w14:textId="77777777" w:rsidR="007258EE" w:rsidRPr="00F14751" w:rsidRDefault="00310BD0" w:rsidP="00C8508E">
      <w:pPr>
        <w:pStyle w:val="NoSpacing"/>
        <w:spacing w:line="360" w:lineRule="auto"/>
        <w:jc w:val="both"/>
        <w:rPr>
          <w:rFonts w:asciiTheme="majorHAnsi" w:hAnsiTheme="majorHAnsi"/>
          <w:b/>
          <w:sz w:val="28"/>
        </w:rPr>
      </w:pPr>
      <w:r w:rsidRPr="00F14751">
        <w:rPr>
          <w:rFonts w:asciiTheme="majorHAnsi" w:hAnsiTheme="majorHAnsi"/>
          <w:b/>
          <w:sz w:val="28"/>
        </w:rPr>
        <w:t xml:space="preserve">3. </w:t>
      </w:r>
      <w:r w:rsidR="0065727D" w:rsidRPr="00F14751">
        <w:rPr>
          <w:rFonts w:asciiTheme="majorHAnsi" w:hAnsiTheme="majorHAnsi"/>
          <w:b/>
          <w:sz w:val="28"/>
        </w:rPr>
        <w:t>Literature</w:t>
      </w:r>
      <w:r w:rsidR="00B55587" w:rsidRPr="00F14751">
        <w:rPr>
          <w:rFonts w:asciiTheme="majorHAnsi" w:hAnsiTheme="majorHAnsi"/>
          <w:b/>
          <w:sz w:val="28"/>
        </w:rPr>
        <w:t xml:space="preserve"> R</w:t>
      </w:r>
      <w:r w:rsidR="00F56243" w:rsidRPr="00F14751">
        <w:rPr>
          <w:rFonts w:asciiTheme="majorHAnsi" w:hAnsiTheme="majorHAnsi"/>
          <w:b/>
          <w:sz w:val="28"/>
        </w:rPr>
        <w:t>eview</w:t>
      </w:r>
    </w:p>
    <w:p w14:paraId="08C48585" w14:textId="77777777" w:rsidR="007258EE" w:rsidRPr="00F14751" w:rsidRDefault="007258EE" w:rsidP="00C8508E">
      <w:pPr>
        <w:pStyle w:val="NoSpacing"/>
        <w:spacing w:line="360" w:lineRule="auto"/>
        <w:jc w:val="both"/>
        <w:rPr>
          <w:rFonts w:asciiTheme="majorHAnsi" w:hAnsiTheme="majorHAnsi"/>
          <w:b/>
          <w:sz w:val="28"/>
        </w:rPr>
      </w:pPr>
    </w:p>
    <w:p w14:paraId="7642FA35" w14:textId="77777777" w:rsidR="005439DF" w:rsidRPr="00F14751" w:rsidRDefault="00B55587" w:rsidP="00C8508E">
      <w:pPr>
        <w:pStyle w:val="NoSpacing"/>
        <w:spacing w:line="360" w:lineRule="auto"/>
        <w:jc w:val="both"/>
        <w:rPr>
          <w:rFonts w:asciiTheme="majorHAnsi" w:hAnsiTheme="majorHAnsi"/>
          <w:b/>
          <w:sz w:val="24"/>
        </w:rPr>
      </w:pPr>
      <w:r w:rsidRPr="00F14751">
        <w:rPr>
          <w:rFonts w:asciiTheme="majorHAnsi" w:hAnsiTheme="majorHAnsi"/>
          <w:b/>
          <w:sz w:val="24"/>
        </w:rPr>
        <w:t xml:space="preserve">3.1 The Impact of </w:t>
      </w:r>
      <w:r w:rsidR="00DA7522" w:rsidRPr="00F14751">
        <w:rPr>
          <w:rFonts w:asciiTheme="majorHAnsi" w:hAnsiTheme="majorHAnsi"/>
          <w:b/>
          <w:sz w:val="24"/>
        </w:rPr>
        <w:t xml:space="preserve">Structural </w:t>
      </w:r>
      <w:r w:rsidRPr="00F14751">
        <w:rPr>
          <w:rFonts w:asciiTheme="majorHAnsi" w:hAnsiTheme="majorHAnsi"/>
          <w:b/>
          <w:sz w:val="24"/>
        </w:rPr>
        <w:t>R</w:t>
      </w:r>
      <w:r w:rsidR="007258EE" w:rsidRPr="00F14751">
        <w:rPr>
          <w:rFonts w:asciiTheme="majorHAnsi" w:hAnsiTheme="majorHAnsi"/>
          <w:b/>
          <w:sz w:val="24"/>
        </w:rPr>
        <w:t>eforms</w:t>
      </w:r>
      <w:r w:rsidRPr="00F14751">
        <w:rPr>
          <w:rFonts w:asciiTheme="majorHAnsi" w:hAnsiTheme="majorHAnsi"/>
          <w:b/>
          <w:sz w:val="24"/>
        </w:rPr>
        <w:t xml:space="preserve"> </w:t>
      </w:r>
    </w:p>
    <w:p w14:paraId="071E365F" w14:textId="77777777" w:rsidR="00492EEC" w:rsidRDefault="00010FF4" w:rsidP="00C8508E">
      <w:pPr>
        <w:pStyle w:val="NoSpacing"/>
        <w:spacing w:line="360" w:lineRule="auto"/>
        <w:jc w:val="both"/>
        <w:rPr>
          <w:rFonts w:asciiTheme="majorHAnsi" w:hAnsiTheme="majorHAnsi"/>
          <w:sz w:val="24"/>
        </w:rPr>
      </w:pPr>
      <w:r w:rsidRPr="00A3649D">
        <w:rPr>
          <w:rFonts w:asciiTheme="majorHAnsi" w:hAnsiTheme="majorHAnsi"/>
          <w:sz w:val="24"/>
        </w:rPr>
        <w:t xml:space="preserve">What effects might the structural reforms have on poverty and inequality? When one analyses the effects of the structural reforms as a whole, one has to analyze the effects of all reforms together. The main objective of the structural reforms </w:t>
      </w:r>
      <w:r w:rsidRPr="00A3649D">
        <w:rPr>
          <w:rFonts w:asciiTheme="majorHAnsi" w:hAnsiTheme="majorHAnsi" w:cs="Times New Roman"/>
          <w:sz w:val="24"/>
        </w:rPr>
        <w:t xml:space="preserve">is to improve efficiency, facilitate the working of markets and reduce the distorting effects of state intervention on economic activities. According to Morley (2001) structural reforms have to remove any sort of insulation from the market’s determination of allocation of resources. Trade reforms remove tariff protection from domestic production, while privatizations </w:t>
      </w:r>
      <w:r w:rsidRPr="00A3649D">
        <w:rPr>
          <w:rFonts w:asciiTheme="majorHAnsi" w:hAnsiTheme="majorHAnsi"/>
          <w:sz w:val="24"/>
        </w:rPr>
        <w:t>and financial reforms reduce the influence of the government over the allocation of resources. Labor reforms increase the flexibility of labor. Altogether, structural reforms increas</w:t>
      </w:r>
      <w:r>
        <w:rPr>
          <w:rFonts w:asciiTheme="majorHAnsi" w:hAnsiTheme="majorHAnsi"/>
          <w:sz w:val="24"/>
        </w:rPr>
        <w:t xml:space="preserve">e </w:t>
      </w:r>
      <w:r w:rsidR="00ED0231">
        <w:rPr>
          <w:rFonts w:asciiTheme="majorHAnsi" w:hAnsiTheme="majorHAnsi"/>
          <w:sz w:val="24"/>
        </w:rPr>
        <w:t xml:space="preserve">efficiency, income and growth. </w:t>
      </w:r>
    </w:p>
    <w:p w14:paraId="13A7881C" w14:textId="56D8F5F1" w:rsidR="00010FF4" w:rsidRDefault="00492EEC" w:rsidP="00C8508E">
      <w:pPr>
        <w:pStyle w:val="NoSpacing"/>
        <w:spacing w:line="360" w:lineRule="auto"/>
        <w:jc w:val="both"/>
        <w:rPr>
          <w:rFonts w:asciiTheme="majorHAnsi" w:hAnsiTheme="majorHAnsi"/>
          <w:sz w:val="24"/>
        </w:rPr>
      </w:pPr>
      <w:r>
        <w:rPr>
          <w:rFonts w:asciiTheme="majorHAnsi" w:hAnsiTheme="majorHAnsi"/>
          <w:sz w:val="24"/>
        </w:rPr>
        <w:tab/>
      </w:r>
      <w:r w:rsidR="00010FF4">
        <w:rPr>
          <w:rFonts w:asciiTheme="majorHAnsi" w:hAnsiTheme="majorHAnsi"/>
          <w:sz w:val="24"/>
        </w:rPr>
        <w:t xml:space="preserve">Growth, on its turn, has an impact on poverty and inequality. </w:t>
      </w:r>
      <w:r w:rsidR="004B1948">
        <w:rPr>
          <w:rFonts w:asciiTheme="majorHAnsi" w:hAnsiTheme="majorHAnsi"/>
          <w:sz w:val="24"/>
        </w:rPr>
        <w:t xml:space="preserve">According to Dollar and </w:t>
      </w:r>
      <w:proofErr w:type="spellStart"/>
      <w:r w:rsidR="004B1948">
        <w:rPr>
          <w:rFonts w:asciiTheme="majorHAnsi" w:hAnsiTheme="majorHAnsi"/>
          <w:sz w:val="24"/>
        </w:rPr>
        <w:t>Kraay</w:t>
      </w:r>
      <w:proofErr w:type="spellEnd"/>
      <w:r w:rsidR="004B1948">
        <w:rPr>
          <w:rFonts w:asciiTheme="majorHAnsi" w:hAnsiTheme="majorHAnsi"/>
          <w:sz w:val="24"/>
        </w:rPr>
        <w:t xml:space="preserve"> (2000) growth is an important determinant for poverty reduction as growth tends to lift the income of the poor proportionately to overall growth. Following this reasoning, structural reforms decrease poverty through their overall effects on growth. </w:t>
      </w:r>
      <w:r w:rsidR="00ED0231">
        <w:rPr>
          <w:rFonts w:asciiTheme="majorHAnsi" w:hAnsiTheme="majorHAnsi"/>
          <w:sz w:val="24"/>
        </w:rPr>
        <w:t xml:space="preserve">At the same time, growth affects inequality. </w:t>
      </w:r>
      <w:r w:rsidR="00010FF4" w:rsidRPr="00724C21">
        <w:rPr>
          <w:rFonts w:asciiTheme="majorHAnsi" w:hAnsiTheme="majorHAnsi"/>
          <w:sz w:val="24"/>
        </w:rPr>
        <w:t xml:space="preserve"> </w:t>
      </w:r>
      <w:r w:rsidR="00010FF4" w:rsidRPr="00F14751">
        <w:rPr>
          <w:rFonts w:asciiTheme="majorHAnsi" w:hAnsiTheme="majorHAnsi"/>
          <w:sz w:val="24"/>
        </w:rPr>
        <w:t>In a classic article, Kuznets (1955) s</w:t>
      </w:r>
      <w:r>
        <w:rPr>
          <w:rFonts w:asciiTheme="majorHAnsi" w:hAnsiTheme="majorHAnsi"/>
          <w:sz w:val="24"/>
        </w:rPr>
        <w:t>tudies</w:t>
      </w:r>
      <w:r w:rsidR="00010FF4" w:rsidRPr="00F14751">
        <w:rPr>
          <w:rFonts w:asciiTheme="majorHAnsi" w:hAnsiTheme="majorHAnsi"/>
          <w:sz w:val="24"/>
        </w:rPr>
        <w:t xml:space="preserve"> the relationship between growth and the </w:t>
      </w:r>
      <w:r>
        <w:rPr>
          <w:rFonts w:asciiTheme="majorHAnsi" w:hAnsiTheme="majorHAnsi"/>
          <w:sz w:val="24"/>
        </w:rPr>
        <w:t>distribution of income. He finds</w:t>
      </w:r>
      <w:r w:rsidR="00010FF4" w:rsidRPr="00F14751">
        <w:rPr>
          <w:rFonts w:asciiTheme="majorHAnsi" w:hAnsiTheme="majorHAnsi"/>
          <w:sz w:val="24"/>
        </w:rPr>
        <w:t xml:space="preserve"> that as a country developed, ineq</w:t>
      </w:r>
      <w:r>
        <w:rPr>
          <w:rFonts w:asciiTheme="majorHAnsi" w:hAnsiTheme="majorHAnsi"/>
          <w:sz w:val="24"/>
        </w:rPr>
        <w:t>uality first rises and</w:t>
      </w:r>
      <w:r w:rsidR="00010FF4" w:rsidRPr="00F14751">
        <w:rPr>
          <w:rFonts w:asciiTheme="majorHAnsi" w:hAnsiTheme="majorHAnsi"/>
          <w:sz w:val="24"/>
        </w:rPr>
        <w:t xml:space="preserve"> later fall</w:t>
      </w:r>
      <w:r>
        <w:rPr>
          <w:rFonts w:asciiTheme="majorHAnsi" w:hAnsiTheme="majorHAnsi"/>
          <w:sz w:val="24"/>
        </w:rPr>
        <w:t>s</w:t>
      </w:r>
      <w:r w:rsidR="00010FF4" w:rsidRPr="00F14751">
        <w:rPr>
          <w:rFonts w:asciiTheme="majorHAnsi" w:hAnsiTheme="majorHAnsi"/>
          <w:sz w:val="24"/>
        </w:rPr>
        <w:t>. According to him, there is an inverted U-shaped curve relationship between growth and inequality. Kuznets’ reasoning for this relation is based on the idea that the growth process is specific rather than universal. Growth starts somewhere specific, in a certain sector, region or city. From there, its effects spread through a variety of linkages to the rest of the economy. In the first stages, inequality rises. Later, as the effect of growth spreads in the p</w:t>
      </w:r>
      <w:r>
        <w:rPr>
          <w:rFonts w:asciiTheme="majorHAnsi" w:hAnsiTheme="majorHAnsi"/>
          <w:sz w:val="24"/>
        </w:rPr>
        <w:t xml:space="preserve">opulation, inequality </w:t>
      </w:r>
      <w:r w:rsidR="00010FF4" w:rsidRPr="00F14751">
        <w:rPr>
          <w:rFonts w:asciiTheme="majorHAnsi" w:hAnsiTheme="majorHAnsi"/>
          <w:sz w:val="24"/>
        </w:rPr>
        <w:t>decline</w:t>
      </w:r>
      <w:r>
        <w:rPr>
          <w:rFonts w:asciiTheme="majorHAnsi" w:hAnsiTheme="majorHAnsi"/>
          <w:sz w:val="24"/>
        </w:rPr>
        <w:t>s</w:t>
      </w:r>
      <w:r w:rsidR="00010FF4" w:rsidRPr="00F14751">
        <w:rPr>
          <w:rFonts w:asciiTheme="majorHAnsi" w:hAnsiTheme="majorHAnsi"/>
          <w:sz w:val="24"/>
        </w:rPr>
        <w:t xml:space="preserve"> (Morley, 2001).</w:t>
      </w:r>
      <w:r w:rsidR="00010FF4">
        <w:rPr>
          <w:rFonts w:asciiTheme="majorHAnsi" w:hAnsiTheme="majorHAnsi"/>
          <w:sz w:val="24"/>
        </w:rPr>
        <w:t xml:space="preserve"> </w:t>
      </w:r>
    </w:p>
    <w:p w14:paraId="0BDEE0F3" w14:textId="709252C4" w:rsidR="00010FF4" w:rsidRDefault="00010FF4" w:rsidP="00C8508E">
      <w:pPr>
        <w:pStyle w:val="NoSpacing"/>
        <w:spacing w:line="360" w:lineRule="auto"/>
        <w:jc w:val="both"/>
        <w:rPr>
          <w:rFonts w:asciiTheme="majorHAnsi" w:hAnsiTheme="majorHAnsi"/>
          <w:sz w:val="24"/>
        </w:rPr>
      </w:pPr>
      <w:r>
        <w:rPr>
          <w:rFonts w:asciiTheme="majorHAnsi" w:hAnsiTheme="majorHAnsi"/>
          <w:sz w:val="24"/>
        </w:rPr>
        <w:tab/>
        <w:t xml:space="preserve">Different structural reforms each have different effects on poverty and inequality. Focusing on the impact of trade reforms, one has to take the </w:t>
      </w:r>
      <w:proofErr w:type="spellStart"/>
      <w:r>
        <w:rPr>
          <w:rFonts w:asciiTheme="majorHAnsi" w:hAnsiTheme="majorHAnsi"/>
          <w:sz w:val="24"/>
        </w:rPr>
        <w:t>Hecksler</w:t>
      </w:r>
      <w:proofErr w:type="spellEnd"/>
      <w:r>
        <w:rPr>
          <w:rFonts w:asciiTheme="majorHAnsi" w:hAnsiTheme="majorHAnsi"/>
          <w:sz w:val="24"/>
        </w:rPr>
        <w:t xml:space="preserve">-Ohlin and </w:t>
      </w:r>
      <w:proofErr w:type="spellStart"/>
      <w:r>
        <w:rPr>
          <w:rFonts w:asciiTheme="majorHAnsi" w:hAnsiTheme="majorHAnsi"/>
          <w:sz w:val="24"/>
        </w:rPr>
        <w:t>Stolper</w:t>
      </w:r>
      <w:proofErr w:type="spellEnd"/>
      <w:r>
        <w:rPr>
          <w:rFonts w:asciiTheme="majorHAnsi" w:hAnsiTheme="majorHAnsi"/>
          <w:sz w:val="24"/>
        </w:rPr>
        <w:t xml:space="preserve">-Samuelson theorems into account. According to the </w:t>
      </w:r>
      <w:proofErr w:type="spellStart"/>
      <w:r>
        <w:rPr>
          <w:rFonts w:asciiTheme="majorHAnsi" w:hAnsiTheme="majorHAnsi"/>
          <w:sz w:val="24"/>
        </w:rPr>
        <w:t>Hecksler</w:t>
      </w:r>
      <w:proofErr w:type="spellEnd"/>
      <w:r>
        <w:rPr>
          <w:rFonts w:asciiTheme="majorHAnsi" w:hAnsiTheme="majorHAnsi"/>
          <w:sz w:val="24"/>
        </w:rPr>
        <w:t>-Ohlin theorem, a country will export the good that intensively uses its relatively</w:t>
      </w:r>
      <w:r w:rsidR="00ED0231">
        <w:rPr>
          <w:rFonts w:asciiTheme="majorHAnsi" w:hAnsiTheme="majorHAnsi"/>
          <w:sz w:val="24"/>
        </w:rPr>
        <w:t xml:space="preserve"> abundant factor of production </w:t>
      </w:r>
      <w:r>
        <w:rPr>
          <w:rFonts w:asciiTheme="majorHAnsi" w:hAnsiTheme="majorHAnsi"/>
          <w:sz w:val="24"/>
        </w:rPr>
        <w:t>and it will import the commodity that intensively uses its relatively scarce factor o</w:t>
      </w:r>
      <w:r w:rsidR="00492EEC">
        <w:rPr>
          <w:rFonts w:asciiTheme="majorHAnsi" w:hAnsiTheme="majorHAnsi"/>
          <w:sz w:val="24"/>
        </w:rPr>
        <w:t>f production. Generally</w:t>
      </w:r>
      <w:r>
        <w:rPr>
          <w:rFonts w:asciiTheme="majorHAnsi" w:hAnsiTheme="majorHAnsi"/>
          <w:sz w:val="24"/>
        </w:rPr>
        <w:t>, developing countries are relatively</w:t>
      </w:r>
      <w:r w:rsidR="00ED0231">
        <w:rPr>
          <w:rFonts w:asciiTheme="majorHAnsi" w:hAnsiTheme="majorHAnsi"/>
          <w:sz w:val="24"/>
        </w:rPr>
        <w:t xml:space="preserve"> abundant in low-s</w:t>
      </w:r>
      <w:r>
        <w:rPr>
          <w:rFonts w:asciiTheme="majorHAnsi" w:hAnsiTheme="majorHAnsi"/>
          <w:sz w:val="24"/>
        </w:rPr>
        <w:t xml:space="preserve">killed labor, while developed countries are relatively abundant in </w:t>
      </w:r>
      <w:r w:rsidR="00ED0231">
        <w:rPr>
          <w:rFonts w:asciiTheme="majorHAnsi" w:hAnsiTheme="majorHAnsi"/>
          <w:sz w:val="24"/>
        </w:rPr>
        <w:t>high-</w:t>
      </w:r>
      <w:r>
        <w:rPr>
          <w:rFonts w:asciiTheme="majorHAnsi" w:hAnsiTheme="majorHAnsi"/>
          <w:sz w:val="24"/>
        </w:rPr>
        <w:t>skilled labor. As a result, develop</w:t>
      </w:r>
      <w:r w:rsidR="00ED0231">
        <w:rPr>
          <w:rFonts w:asciiTheme="majorHAnsi" w:hAnsiTheme="majorHAnsi"/>
          <w:sz w:val="24"/>
        </w:rPr>
        <w:t>ing countries will export the low-</w:t>
      </w:r>
      <w:r>
        <w:rPr>
          <w:rFonts w:asciiTheme="majorHAnsi" w:hAnsiTheme="majorHAnsi"/>
          <w:sz w:val="24"/>
        </w:rPr>
        <w:t xml:space="preserve">skill-intensive products and import the </w:t>
      </w:r>
      <w:r w:rsidR="00ED0231">
        <w:rPr>
          <w:rFonts w:asciiTheme="majorHAnsi" w:hAnsiTheme="majorHAnsi"/>
          <w:sz w:val="24"/>
        </w:rPr>
        <w:t>high-</w:t>
      </w:r>
      <w:r>
        <w:rPr>
          <w:rFonts w:asciiTheme="majorHAnsi" w:hAnsiTheme="majorHAnsi"/>
          <w:sz w:val="24"/>
        </w:rPr>
        <w:t>skill-intensiv</w:t>
      </w:r>
      <w:r w:rsidR="00E25EB9">
        <w:rPr>
          <w:rFonts w:asciiTheme="majorHAnsi" w:hAnsiTheme="majorHAnsi"/>
          <w:sz w:val="24"/>
        </w:rPr>
        <w:t>e products (</w:t>
      </w:r>
      <w:proofErr w:type="spellStart"/>
      <w:r w:rsidR="00E25EB9">
        <w:rPr>
          <w:rFonts w:asciiTheme="majorHAnsi" w:hAnsiTheme="majorHAnsi"/>
          <w:sz w:val="24"/>
        </w:rPr>
        <w:t>Brakman</w:t>
      </w:r>
      <w:proofErr w:type="spellEnd"/>
      <w:r w:rsidR="00E25EB9">
        <w:rPr>
          <w:rFonts w:asciiTheme="majorHAnsi" w:hAnsiTheme="majorHAnsi"/>
          <w:sz w:val="24"/>
        </w:rPr>
        <w:t xml:space="preserve"> et al., 2006</w:t>
      </w:r>
      <w:r>
        <w:rPr>
          <w:rFonts w:asciiTheme="majorHAnsi" w:hAnsiTheme="majorHAnsi"/>
          <w:sz w:val="24"/>
        </w:rPr>
        <w:t>). Trade barriers, such as tariffs, are imposed on import</w:t>
      </w:r>
      <w:r w:rsidR="00ED0231">
        <w:rPr>
          <w:rFonts w:asciiTheme="majorHAnsi" w:hAnsiTheme="majorHAnsi"/>
          <w:sz w:val="24"/>
        </w:rPr>
        <w:t>s</w:t>
      </w:r>
      <w:r>
        <w:rPr>
          <w:rFonts w:asciiTheme="majorHAnsi" w:hAnsiTheme="majorHAnsi"/>
          <w:sz w:val="24"/>
        </w:rPr>
        <w:t>. Trade reforms reduce tariffs and this lowers the relati</w:t>
      </w:r>
      <w:r w:rsidR="00ED0231">
        <w:rPr>
          <w:rFonts w:asciiTheme="majorHAnsi" w:hAnsiTheme="majorHAnsi"/>
          <w:sz w:val="24"/>
        </w:rPr>
        <w:t xml:space="preserve">ve price of the imported goods. </w:t>
      </w:r>
      <w:r>
        <w:rPr>
          <w:rFonts w:asciiTheme="majorHAnsi" w:hAnsiTheme="majorHAnsi"/>
          <w:sz w:val="24"/>
        </w:rPr>
        <w:t xml:space="preserve">The </w:t>
      </w:r>
      <w:proofErr w:type="spellStart"/>
      <w:r>
        <w:rPr>
          <w:rFonts w:asciiTheme="majorHAnsi" w:hAnsiTheme="majorHAnsi"/>
          <w:sz w:val="24"/>
        </w:rPr>
        <w:t>Stolper</w:t>
      </w:r>
      <w:proofErr w:type="spellEnd"/>
      <w:r>
        <w:rPr>
          <w:rFonts w:asciiTheme="majorHAnsi" w:hAnsiTheme="majorHAnsi"/>
          <w:sz w:val="24"/>
        </w:rPr>
        <w:t xml:space="preserve">-Samuelson theorem links prices to wages. It states that a decrease in the price of a final good reduces the reward for the factor used intensively in the production of that good and increases the reward for the other factor </w:t>
      </w:r>
      <w:r w:rsidR="00E25EB9">
        <w:rPr>
          <w:rFonts w:asciiTheme="majorHAnsi" w:hAnsiTheme="majorHAnsi"/>
          <w:sz w:val="24"/>
        </w:rPr>
        <w:t>(</w:t>
      </w:r>
      <w:proofErr w:type="spellStart"/>
      <w:r w:rsidR="00E25EB9">
        <w:rPr>
          <w:rFonts w:asciiTheme="majorHAnsi" w:hAnsiTheme="majorHAnsi"/>
          <w:sz w:val="24"/>
        </w:rPr>
        <w:t>Brakman</w:t>
      </w:r>
      <w:proofErr w:type="spellEnd"/>
      <w:r w:rsidR="00E25EB9">
        <w:rPr>
          <w:rFonts w:asciiTheme="majorHAnsi" w:hAnsiTheme="majorHAnsi"/>
          <w:sz w:val="24"/>
        </w:rPr>
        <w:t xml:space="preserve"> et al., 2006</w:t>
      </w:r>
      <w:r>
        <w:rPr>
          <w:rFonts w:asciiTheme="majorHAnsi" w:hAnsiTheme="majorHAnsi"/>
          <w:sz w:val="24"/>
        </w:rPr>
        <w:t xml:space="preserve">). This means that the price </w:t>
      </w:r>
      <w:r w:rsidR="00492EEC">
        <w:rPr>
          <w:rFonts w:asciiTheme="majorHAnsi" w:hAnsiTheme="majorHAnsi"/>
          <w:sz w:val="24"/>
        </w:rPr>
        <w:t>reduction</w:t>
      </w:r>
      <w:r>
        <w:rPr>
          <w:rFonts w:asciiTheme="majorHAnsi" w:hAnsiTheme="majorHAnsi"/>
          <w:sz w:val="24"/>
        </w:rPr>
        <w:t xml:space="preserve"> in the import sector will reduce the wages of the </w:t>
      </w:r>
      <w:r w:rsidR="001B10E1">
        <w:rPr>
          <w:rFonts w:asciiTheme="majorHAnsi" w:hAnsiTheme="majorHAnsi"/>
          <w:sz w:val="24"/>
        </w:rPr>
        <w:t>high-</w:t>
      </w:r>
      <w:r>
        <w:rPr>
          <w:rFonts w:asciiTheme="majorHAnsi" w:hAnsiTheme="majorHAnsi"/>
          <w:sz w:val="24"/>
        </w:rPr>
        <w:t>skilled workers (used intensively in the import sect</w:t>
      </w:r>
      <w:r w:rsidR="001B10E1">
        <w:rPr>
          <w:rFonts w:asciiTheme="majorHAnsi" w:hAnsiTheme="majorHAnsi"/>
          <w:sz w:val="24"/>
        </w:rPr>
        <w:t>or) and increase wages of the low-</w:t>
      </w:r>
      <w:r>
        <w:rPr>
          <w:rFonts w:asciiTheme="majorHAnsi" w:hAnsiTheme="majorHAnsi"/>
          <w:sz w:val="24"/>
        </w:rPr>
        <w:t>skilled workers (used intensively in the export sector). So, in developing countri</w:t>
      </w:r>
      <w:r w:rsidR="001B10E1">
        <w:rPr>
          <w:rFonts w:asciiTheme="majorHAnsi" w:hAnsiTheme="majorHAnsi"/>
          <w:sz w:val="24"/>
        </w:rPr>
        <w:t>es, the most abundant factor, low-</w:t>
      </w:r>
      <w:r>
        <w:rPr>
          <w:rFonts w:asciiTheme="majorHAnsi" w:hAnsiTheme="majorHAnsi"/>
          <w:sz w:val="24"/>
        </w:rPr>
        <w:t xml:space="preserve">skilled workers, benefits from trade. </w:t>
      </w:r>
      <w:r w:rsidR="00492EEC">
        <w:rPr>
          <w:rFonts w:asciiTheme="majorHAnsi" w:hAnsiTheme="majorHAnsi"/>
          <w:sz w:val="24"/>
        </w:rPr>
        <w:t>In this way trade liberalization reduces poverty and inequality</w:t>
      </w:r>
      <w:r>
        <w:rPr>
          <w:rFonts w:asciiTheme="majorHAnsi" w:hAnsiTheme="majorHAnsi"/>
          <w:sz w:val="24"/>
        </w:rPr>
        <w:t xml:space="preserve"> (Goldberg and </w:t>
      </w:r>
      <w:proofErr w:type="spellStart"/>
      <w:r>
        <w:rPr>
          <w:rFonts w:asciiTheme="majorHAnsi" w:hAnsiTheme="majorHAnsi"/>
          <w:sz w:val="24"/>
        </w:rPr>
        <w:t>Pavcnik</w:t>
      </w:r>
      <w:proofErr w:type="spellEnd"/>
      <w:r>
        <w:rPr>
          <w:rFonts w:asciiTheme="majorHAnsi" w:hAnsiTheme="majorHAnsi"/>
          <w:sz w:val="24"/>
        </w:rPr>
        <w:t>, 2004).</w:t>
      </w:r>
    </w:p>
    <w:p w14:paraId="441D41BE" w14:textId="5241F232" w:rsidR="00010FF4" w:rsidRDefault="00010FF4" w:rsidP="00C8508E">
      <w:pPr>
        <w:pStyle w:val="NoSpacing"/>
        <w:spacing w:line="360" w:lineRule="auto"/>
        <w:jc w:val="both"/>
        <w:rPr>
          <w:rFonts w:asciiTheme="majorHAnsi" w:hAnsiTheme="majorHAnsi"/>
          <w:sz w:val="24"/>
        </w:rPr>
      </w:pPr>
      <w:r>
        <w:rPr>
          <w:rFonts w:asciiTheme="majorHAnsi" w:hAnsiTheme="majorHAnsi"/>
          <w:sz w:val="24"/>
        </w:rPr>
        <w:tab/>
        <w:t xml:space="preserve">Reforms in the financial policy can be divided in domestic and international financial reforms. </w:t>
      </w:r>
      <w:r w:rsidR="007D5749">
        <w:rPr>
          <w:rFonts w:asciiTheme="majorHAnsi" w:hAnsiTheme="majorHAnsi"/>
          <w:sz w:val="24"/>
        </w:rPr>
        <w:t xml:space="preserve">Domestic financial reforms reduce reserve requirements, remove controls over interest and dismantle forced investments (Lora, 2012). </w:t>
      </w:r>
      <w:r w:rsidR="001B10E1">
        <w:rPr>
          <w:rFonts w:asciiTheme="majorHAnsi" w:hAnsiTheme="majorHAnsi"/>
          <w:sz w:val="24"/>
        </w:rPr>
        <w:t>All these reforms</w:t>
      </w:r>
      <w:r>
        <w:rPr>
          <w:rFonts w:asciiTheme="majorHAnsi" w:hAnsiTheme="majorHAnsi"/>
          <w:sz w:val="24"/>
        </w:rPr>
        <w:t xml:space="preserve"> increase domestic private savin</w:t>
      </w:r>
      <w:r w:rsidR="001B10E1">
        <w:rPr>
          <w:rFonts w:asciiTheme="majorHAnsi" w:hAnsiTheme="majorHAnsi"/>
          <w:sz w:val="24"/>
        </w:rPr>
        <w:t xml:space="preserve">gs and investment, which </w:t>
      </w:r>
      <w:r>
        <w:rPr>
          <w:rFonts w:asciiTheme="majorHAnsi" w:hAnsiTheme="majorHAnsi"/>
          <w:sz w:val="24"/>
        </w:rPr>
        <w:t>improve financing for infrastructure projects, businesses and consumers. This stimulates econ</w:t>
      </w:r>
      <w:r w:rsidR="007D5749">
        <w:rPr>
          <w:rFonts w:asciiTheme="majorHAnsi" w:hAnsiTheme="majorHAnsi"/>
          <w:sz w:val="24"/>
        </w:rPr>
        <w:t xml:space="preserve">omic growth and thus </w:t>
      </w:r>
      <w:r>
        <w:rPr>
          <w:rFonts w:asciiTheme="majorHAnsi" w:hAnsiTheme="majorHAnsi"/>
          <w:sz w:val="24"/>
        </w:rPr>
        <w:t xml:space="preserve">reduces poverty and inequality (Morley, 2001). International financial reforms open up the national financial market to external capital. This integrates the local and international capital markets more closely and brings the local interests and profits closer to rates in the rest of the world. This can have two kinds of effects. If foreign investors have been prevented from entering a country because of controls on capital and profit repatriation, the international financial reforms should stimulate an inflow of foreign capital. Most often, foreign capital is directed to the </w:t>
      </w:r>
      <w:r w:rsidR="007D5749">
        <w:rPr>
          <w:rFonts w:asciiTheme="majorHAnsi" w:hAnsiTheme="majorHAnsi"/>
          <w:sz w:val="24"/>
        </w:rPr>
        <w:t>high-</w:t>
      </w:r>
      <w:r>
        <w:rPr>
          <w:rFonts w:asciiTheme="majorHAnsi" w:hAnsiTheme="majorHAnsi"/>
          <w:sz w:val="24"/>
        </w:rPr>
        <w:t>skilled sectors in the host country. This causes a relative expansion of the</w:t>
      </w:r>
      <w:r w:rsidR="007D5749">
        <w:rPr>
          <w:rFonts w:asciiTheme="majorHAnsi" w:hAnsiTheme="majorHAnsi"/>
          <w:sz w:val="24"/>
        </w:rPr>
        <w:t xml:space="preserve"> high-</w:t>
      </w:r>
      <w:r>
        <w:rPr>
          <w:rFonts w:asciiTheme="majorHAnsi" w:hAnsiTheme="majorHAnsi"/>
          <w:sz w:val="24"/>
        </w:rPr>
        <w:t xml:space="preserve">skill-intensive sector and improves the relative position of skilled labor. Generally, </w:t>
      </w:r>
      <w:r w:rsidR="001B10E1">
        <w:rPr>
          <w:rFonts w:asciiTheme="majorHAnsi" w:hAnsiTheme="majorHAnsi"/>
          <w:sz w:val="24"/>
        </w:rPr>
        <w:t>high-</w:t>
      </w:r>
      <w:r>
        <w:rPr>
          <w:rFonts w:asciiTheme="majorHAnsi" w:hAnsiTheme="majorHAnsi"/>
          <w:sz w:val="24"/>
        </w:rPr>
        <w:t>skilled workers have a stronger b</w:t>
      </w:r>
      <w:r w:rsidR="001B10E1">
        <w:rPr>
          <w:rFonts w:asciiTheme="majorHAnsi" w:hAnsiTheme="majorHAnsi"/>
          <w:sz w:val="24"/>
        </w:rPr>
        <w:t>argaining position than low-</w:t>
      </w:r>
      <w:r>
        <w:rPr>
          <w:rFonts w:asciiTheme="majorHAnsi" w:hAnsiTheme="majorHAnsi"/>
          <w:sz w:val="24"/>
        </w:rPr>
        <w:t>skilled workers because they have skills that are relatively scarce in the economy. Therefo</w:t>
      </w:r>
      <w:r w:rsidR="007D5749">
        <w:rPr>
          <w:rFonts w:asciiTheme="majorHAnsi" w:hAnsiTheme="majorHAnsi"/>
          <w:sz w:val="24"/>
        </w:rPr>
        <w:t xml:space="preserve">re, </w:t>
      </w:r>
      <w:r>
        <w:rPr>
          <w:rFonts w:asciiTheme="majorHAnsi" w:hAnsiTheme="majorHAnsi"/>
          <w:sz w:val="24"/>
        </w:rPr>
        <w:t xml:space="preserve">they have a better negotiating position to negotiate higher wages. An expansion of the </w:t>
      </w:r>
      <w:r w:rsidR="007D5749">
        <w:rPr>
          <w:rFonts w:asciiTheme="majorHAnsi" w:hAnsiTheme="majorHAnsi"/>
          <w:sz w:val="24"/>
        </w:rPr>
        <w:t>high-</w:t>
      </w:r>
      <w:r>
        <w:rPr>
          <w:rFonts w:asciiTheme="majorHAnsi" w:hAnsiTheme="majorHAnsi"/>
          <w:sz w:val="24"/>
        </w:rPr>
        <w:t xml:space="preserve">skill-intensive sector should improve the relative position of the </w:t>
      </w:r>
      <w:r w:rsidR="001B10E1">
        <w:rPr>
          <w:rFonts w:asciiTheme="majorHAnsi" w:hAnsiTheme="majorHAnsi"/>
          <w:sz w:val="24"/>
        </w:rPr>
        <w:t>high-</w:t>
      </w:r>
      <w:r>
        <w:rPr>
          <w:rFonts w:asciiTheme="majorHAnsi" w:hAnsiTheme="majorHAnsi"/>
          <w:sz w:val="24"/>
        </w:rPr>
        <w:t>skilled workers even more (</w:t>
      </w:r>
      <w:proofErr w:type="spellStart"/>
      <w:r>
        <w:rPr>
          <w:rFonts w:asciiTheme="majorHAnsi" w:hAnsiTheme="majorHAnsi"/>
          <w:sz w:val="24"/>
        </w:rPr>
        <w:t>Te</w:t>
      </w:r>
      <w:proofErr w:type="spellEnd"/>
      <w:r>
        <w:rPr>
          <w:rFonts w:asciiTheme="majorHAnsi" w:hAnsiTheme="majorHAnsi"/>
          <w:sz w:val="24"/>
        </w:rPr>
        <w:t xml:space="preserve"> </w:t>
      </w:r>
      <w:proofErr w:type="spellStart"/>
      <w:r>
        <w:rPr>
          <w:rFonts w:asciiTheme="majorHAnsi" w:hAnsiTheme="majorHAnsi"/>
          <w:sz w:val="24"/>
        </w:rPr>
        <w:t>Velde</w:t>
      </w:r>
      <w:proofErr w:type="spellEnd"/>
      <w:r>
        <w:rPr>
          <w:rFonts w:asciiTheme="majorHAnsi" w:hAnsiTheme="majorHAnsi"/>
          <w:sz w:val="24"/>
        </w:rPr>
        <w:t xml:space="preserve">, 2003). This widens the gap between </w:t>
      </w:r>
      <w:r w:rsidR="001B10E1">
        <w:rPr>
          <w:rFonts w:asciiTheme="majorHAnsi" w:hAnsiTheme="majorHAnsi"/>
          <w:sz w:val="24"/>
        </w:rPr>
        <w:t>high-skilled and low-</w:t>
      </w:r>
      <w:r>
        <w:rPr>
          <w:rFonts w:asciiTheme="majorHAnsi" w:hAnsiTheme="majorHAnsi"/>
          <w:sz w:val="24"/>
        </w:rPr>
        <w:t xml:space="preserve">skilled workers and raises wage inequality. An inflow of foreign capital </w:t>
      </w:r>
      <w:r w:rsidR="001B10E1">
        <w:rPr>
          <w:rFonts w:asciiTheme="majorHAnsi" w:hAnsiTheme="majorHAnsi"/>
          <w:sz w:val="24"/>
        </w:rPr>
        <w:t>therefore</w:t>
      </w:r>
      <w:r>
        <w:rPr>
          <w:rFonts w:asciiTheme="majorHAnsi" w:hAnsiTheme="majorHAnsi"/>
          <w:sz w:val="24"/>
        </w:rPr>
        <w:t xml:space="preserve"> increase</w:t>
      </w:r>
      <w:r w:rsidR="001B10E1">
        <w:rPr>
          <w:rFonts w:asciiTheme="majorHAnsi" w:hAnsiTheme="majorHAnsi"/>
          <w:sz w:val="24"/>
        </w:rPr>
        <w:t>s</w:t>
      </w:r>
      <w:r>
        <w:rPr>
          <w:rFonts w:asciiTheme="majorHAnsi" w:hAnsiTheme="majorHAnsi"/>
          <w:sz w:val="24"/>
        </w:rPr>
        <w:t xml:space="preserve"> inequality. Opening up the</w:t>
      </w:r>
      <w:r w:rsidR="001B10E1">
        <w:rPr>
          <w:rFonts w:asciiTheme="majorHAnsi" w:hAnsiTheme="majorHAnsi"/>
          <w:sz w:val="24"/>
        </w:rPr>
        <w:t xml:space="preserve"> capital account also means the removal of</w:t>
      </w:r>
      <w:r>
        <w:rPr>
          <w:rFonts w:asciiTheme="majorHAnsi" w:hAnsiTheme="majorHAnsi"/>
          <w:sz w:val="24"/>
        </w:rPr>
        <w:t xml:space="preserve"> rest</w:t>
      </w:r>
      <w:r w:rsidR="001B10E1">
        <w:rPr>
          <w:rFonts w:asciiTheme="majorHAnsi" w:hAnsiTheme="majorHAnsi"/>
          <w:sz w:val="24"/>
        </w:rPr>
        <w:t>rictions on</w:t>
      </w:r>
      <w:r>
        <w:rPr>
          <w:rFonts w:asciiTheme="majorHAnsi" w:hAnsiTheme="majorHAnsi"/>
          <w:sz w:val="24"/>
        </w:rPr>
        <w:t xml:space="preserve"> capital outflows. This has the opposite effect of this described for foreign capital inflows. </w:t>
      </w:r>
    </w:p>
    <w:p w14:paraId="2D29BEAA" w14:textId="39B53A1D" w:rsidR="00010FF4" w:rsidRDefault="00010FF4" w:rsidP="00C8508E">
      <w:pPr>
        <w:pStyle w:val="NoSpacing"/>
        <w:spacing w:line="360" w:lineRule="auto"/>
        <w:jc w:val="both"/>
        <w:rPr>
          <w:rFonts w:asciiTheme="majorHAnsi" w:hAnsiTheme="majorHAnsi"/>
          <w:sz w:val="24"/>
        </w:rPr>
      </w:pPr>
      <w:r>
        <w:rPr>
          <w:rFonts w:asciiTheme="majorHAnsi" w:hAnsiTheme="majorHAnsi"/>
          <w:sz w:val="24"/>
        </w:rPr>
        <w:t xml:space="preserve"> </w:t>
      </w:r>
      <w:r>
        <w:rPr>
          <w:rFonts w:asciiTheme="majorHAnsi" w:hAnsiTheme="majorHAnsi"/>
          <w:sz w:val="24"/>
        </w:rPr>
        <w:tab/>
        <w:t xml:space="preserve">Tax reforms involve the introduction of the VAT and the reduction of marginal tax rates on personal and corporate income. The VAT shifts taxation away from income </w:t>
      </w:r>
      <w:r w:rsidR="007D5749">
        <w:rPr>
          <w:rFonts w:asciiTheme="majorHAnsi" w:hAnsiTheme="majorHAnsi"/>
          <w:sz w:val="24"/>
        </w:rPr>
        <w:t>and toward</w:t>
      </w:r>
      <w:r>
        <w:rPr>
          <w:rFonts w:asciiTheme="majorHAnsi" w:hAnsiTheme="majorHAnsi"/>
          <w:sz w:val="24"/>
        </w:rPr>
        <w:t xml:space="preserve"> consumption. The adaption of the VAT raises prices, which lowers real income. Since the poor consume a greater part of their income on consumption, this increas</w:t>
      </w:r>
      <w:r w:rsidR="00E402EA">
        <w:rPr>
          <w:rFonts w:asciiTheme="majorHAnsi" w:hAnsiTheme="majorHAnsi"/>
          <w:sz w:val="24"/>
        </w:rPr>
        <w:t>es</w:t>
      </w:r>
      <w:r>
        <w:rPr>
          <w:rFonts w:asciiTheme="majorHAnsi" w:hAnsiTheme="majorHAnsi"/>
          <w:sz w:val="24"/>
        </w:rPr>
        <w:t xml:space="preserve"> poverty and inequality (Morley, 2001). The reduction of marginal tax rates on pers</w:t>
      </w:r>
      <w:r w:rsidR="00E402EA">
        <w:rPr>
          <w:rFonts w:asciiTheme="majorHAnsi" w:hAnsiTheme="majorHAnsi"/>
          <w:sz w:val="24"/>
        </w:rPr>
        <w:t>onal and corporate income</w:t>
      </w:r>
      <w:r>
        <w:rPr>
          <w:rFonts w:asciiTheme="majorHAnsi" w:hAnsiTheme="majorHAnsi"/>
          <w:sz w:val="24"/>
        </w:rPr>
        <w:t xml:space="preserve"> </w:t>
      </w:r>
      <w:r w:rsidR="007D5749">
        <w:rPr>
          <w:rFonts w:asciiTheme="majorHAnsi" w:hAnsiTheme="majorHAnsi"/>
          <w:sz w:val="24"/>
        </w:rPr>
        <w:t xml:space="preserve">also </w:t>
      </w:r>
      <w:r>
        <w:rPr>
          <w:rFonts w:asciiTheme="majorHAnsi" w:hAnsiTheme="majorHAnsi"/>
          <w:sz w:val="24"/>
        </w:rPr>
        <w:t>increase</w:t>
      </w:r>
      <w:r w:rsidR="007D5749">
        <w:rPr>
          <w:rFonts w:asciiTheme="majorHAnsi" w:hAnsiTheme="majorHAnsi"/>
          <w:sz w:val="24"/>
        </w:rPr>
        <w:t xml:space="preserve"> </w:t>
      </w:r>
      <w:r>
        <w:rPr>
          <w:rFonts w:asciiTheme="majorHAnsi" w:hAnsiTheme="majorHAnsi"/>
          <w:sz w:val="24"/>
        </w:rPr>
        <w:t xml:space="preserve">inequality since the tax burden of the </w:t>
      </w:r>
      <w:r w:rsidR="007D5749">
        <w:rPr>
          <w:rFonts w:asciiTheme="majorHAnsi" w:hAnsiTheme="majorHAnsi"/>
          <w:sz w:val="24"/>
        </w:rPr>
        <w:t>rich</w:t>
      </w:r>
      <w:r>
        <w:rPr>
          <w:rFonts w:asciiTheme="majorHAnsi" w:hAnsiTheme="majorHAnsi"/>
          <w:sz w:val="24"/>
        </w:rPr>
        <w:t xml:space="preserve"> </w:t>
      </w:r>
      <w:r w:rsidR="00E402EA">
        <w:rPr>
          <w:rFonts w:asciiTheme="majorHAnsi" w:hAnsiTheme="majorHAnsi"/>
          <w:sz w:val="24"/>
        </w:rPr>
        <w:t>i</w:t>
      </w:r>
      <w:r>
        <w:rPr>
          <w:rFonts w:asciiTheme="majorHAnsi" w:hAnsiTheme="majorHAnsi"/>
          <w:sz w:val="24"/>
        </w:rPr>
        <w:t xml:space="preserve">s reduced. </w:t>
      </w:r>
    </w:p>
    <w:p w14:paraId="3103B90A" w14:textId="0516BAF4" w:rsidR="00010FF4" w:rsidRDefault="00010FF4" w:rsidP="00C8508E">
      <w:pPr>
        <w:pStyle w:val="NoSpacing"/>
        <w:spacing w:line="360" w:lineRule="auto"/>
        <w:jc w:val="both"/>
        <w:rPr>
          <w:rFonts w:asciiTheme="majorHAnsi" w:hAnsiTheme="majorHAnsi"/>
          <w:sz w:val="24"/>
        </w:rPr>
      </w:pPr>
      <w:r>
        <w:rPr>
          <w:rFonts w:asciiTheme="majorHAnsi" w:hAnsiTheme="majorHAnsi"/>
          <w:sz w:val="24"/>
        </w:rPr>
        <w:tab/>
        <w:t>Privatization involves</w:t>
      </w:r>
      <w:r w:rsidR="009C752E">
        <w:rPr>
          <w:rFonts w:asciiTheme="majorHAnsi" w:hAnsiTheme="majorHAnsi"/>
          <w:sz w:val="24"/>
        </w:rPr>
        <w:t xml:space="preserve"> the sale of state enterprises. </w:t>
      </w:r>
      <w:r>
        <w:rPr>
          <w:rFonts w:asciiTheme="majorHAnsi" w:hAnsiTheme="majorHAnsi"/>
          <w:sz w:val="24"/>
        </w:rPr>
        <w:t>The impact of privatization on poverty and inequality depends on two factors. The first is that privatization affects labor. State enterprises were often protected from competition and subsidized by the government and consequently employed too many people, paid high wages and were governed by rigid labor contracts. As a result, labor productivity was low and labor costs were excessively high (</w:t>
      </w:r>
      <w:proofErr w:type="spellStart"/>
      <w:r>
        <w:rPr>
          <w:rFonts w:asciiTheme="majorHAnsi" w:hAnsiTheme="majorHAnsi"/>
          <w:sz w:val="24"/>
        </w:rPr>
        <w:t>Kikeri</w:t>
      </w:r>
      <w:proofErr w:type="spellEnd"/>
      <w:r>
        <w:rPr>
          <w:rFonts w:asciiTheme="majorHAnsi" w:hAnsiTheme="majorHAnsi"/>
          <w:sz w:val="24"/>
        </w:rPr>
        <w:t>, 1998). The main reason for this is that governments were more interested in creating jobs than providing good service at</w:t>
      </w:r>
      <w:r w:rsidR="009C752E">
        <w:rPr>
          <w:rFonts w:asciiTheme="majorHAnsi" w:hAnsiTheme="majorHAnsi"/>
          <w:sz w:val="24"/>
        </w:rPr>
        <w:t xml:space="preserve"> the</w:t>
      </w:r>
      <w:r>
        <w:rPr>
          <w:rFonts w:asciiTheme="majorHAnsi" w:hAnsiTheme="majorHAnsi"/>
          <w:sz w:val="24"/>
        </w:rPr>
        <w:t xml:space="preserve"> lowest possible costs (Morley, 2001). This changed when the state enterprises were sold. Workforces were downsized to improve efficiency and this eventually translates </w:t>
      </w:r>
      <w:r w:rsidR="00E402EA">
        <w:rPr>
          <w:rFonts w:asciiTheme="majorHAnsi" w:hAnsiTheme="majorHAnsi"/>
          <w:sz w:val="24"/>
        </w:rPr>
        <w:t xml:space="preserve">into greater output if these </w:t>
      </w:r>
      <w:r>
        <w:rPr>
          <w:rFonts w:asciiTheme="majorHAnsi" w:hAnsiTheme="majorHAnsi"/>
          <w:sz w:val="24"/>
        </w:rPr>
        <w:t>workers can find new jobs. However, in the short-term, t</w:t>
      </w:r>
      <w:r w:rsidR="009C752E">
        <w:rPr>
          <w:rFonts w:asciiTheme="majorHAnsi" w:hAnsiTheme="majorHAnsi"/>
          <w:sz w:val="24"/>
        </w:rPr>
        <w:t xml:space="preserve">he downsizing of workforces leads </w:t>
      </w:r>
      <w:r>
        <w:rPr>
          <w:rFonts w:asciiTheme="majorHAnsi" w:hAnsiTheme="majorHAnsi"/>
          <w:sz w:val="24"/>
        </w:rPr>
        <w:t>to more unemployment, poverty and inequality (</w:t>
      </w:r>
      <w:proofErr w:type="spellStart"/>
      <w:r>
        <w:rPr>
          <w:rFonts w:asciiTheme="majorHAnsi" w:hAnsiTheme="majorHAnsi"/>
          <w:sz w:val="24"/>
        </w:rPr>
        <w:t>Bucciferro</w:t>
      </w:r>
      <w:proofErr w:type="spellEnd"/>
      <w:r>
        <w:rPr>
          <w:rFonts w:asciiTheme="majorHAnsi" w:hAnsiTheme="majorHAnsi"/>
          <w:sz w:val="24"/>
        </w:rPr>
        <w:t>, 2010). The second impact of privatizations depends on what happens to the price of the services state enterprises sold. According to Morley (2001) stat</w:t>
      </w:r>
      <w:r w:rsidR="009C752E">
        <w:rPr>
          <w:rFonts w:asciiTheme="majorHAnsi" w:hAnsiTheme="majorHAnsi"/>
          <w:sz w:val="24"/>
        </w:rPr>
        <w:t>e enterprises usually subsidize</w:t>
      </w:r>
      <w:r>
        <w:rPr>
          <w:rFonts w:asciiTheme="majorHAnsi" w:hAnsiTheme="majorHAnsi"/>
          <w:sz w:val="24"/>
        </w:rPr>
        <w:t xml:space="preserve"> their consumers by selling below the cost. The transfer of state enterprises </w:t>
      </w:r>
      <w:r w:rsidR="009C752E">
        <w:rPr>
          <w:rFonts w:asciiTheme="majorHAnsi" w:hAnsiTheme="majorHAnsi"/>
          <w:sz w:val="24"/>
        </w:rPr>
        <w:t>to the private sector eliminates</w:t>
      </w:r>
      <w:r>
        <w:rPr>
          <w:rFonts w:asciiTheme="majorHAnsi" w:hAnsiTheme="majorHAnsi"/>
          <w:sz w:val="24"/>
        </w:rPr>
        <w:t xml:space="preserve"> the subsidy. Depending on whom their customers were privatization </w:t>
      </w:r>
      <w:r w:rsidR="009C752E">
        <w:rPr>
          <w:rFonts w:asciiTheme="majorHAnsi" w:hAnsiTheme="majorHAnsi"/>
          <w:sz w:val="24"/>
        </w:rPr>
        <w:t>increases</w:t>
      </w:r>
      <w:r w:rsidR="00E402EA">
        <w:rPr>
          <w:rFonts w:asciiTheme="majorHAnsi" w:hAnsiTheme="majorHAnsi"/>
          <w:sz w:val="24"/>
        </w:rPr>
        <w:t xml:space="preserve"> or decreases</w:t>
      </w:r>
      <w:r>
        <w:rPr>
          <w:rFonts w:asciiTheme="majorHAnsi" w:hAnsiTheme="majorHAnsi"/>
          <w:sz w:val="24"/>
        </w:rPr>
        <w:t xml:space="preserve"> inequality. If the c</w:t>
      </w:r>
      <w:r w:rsidR="009C752E">
        <w:rPr>
          <w:rFonts w:asciiTheme="majorHAnsi" w:hAnsiTheme="majorHAnsi"/>
          <w:sz w:val="24"/>
        </w:rPr>
        <w:t>ustomers belong</w:t>
      </w:r>
      <w:r w:rsidR="00E402EA">
        <w:rPr>
          <w:rFonts w:asciiTheme="majorHAnsi" w:hAnsiTheme="majorHAnsi"/>
          <w:sz w:val="24"/>
        </w:rPr>
        <w:t xml:space="preserve"> to the bottom</w:t>
      </w:r>
      <w:r>
        <w:rPr>
          <w:rFonts w:asciiTheme="majorHAnsi" w:hAnsiTheme="majorHAnsi"/>
          <w:sz w:val="24"/>
        </w:rPr>
        <w:t xml:space="preserve"> inequality increases. But, if the customers belong to the top, the </w:t>
      </w:r>
      <w:r w:rsidR="009C752E">
        <w:rPr>
          <w:rFonts w:asciiTheme="majorHAnsi" w:hAnsiTheme="majorHAnsi"/>
          <w:sz w:val="24"/>
        </w:rPr>
        <w:t>contrary</w:t>
      </w:r>
      <w:r>
        <w:rPr>
          <w:rFonts w:asciiTheme="majorHAnsi" w:hAnsiTheme="majorHAnsi"/>
          <w:sz w:val="24"/>
        </w:rPr>
        <w:t xml:space="preserve"> is true. </w:t>
      </w:r>
    </w:p>
    <w:p w14:paraId="6B76136B" w14:textId="7E73BD75" w:rsidR="00E10087" w:rsidRPr="00F14751" w:rsidRDefault="00010FF4" w:rsidP="00C8508E">
      <w:pPr>
        <w:pStyle w:val="NoSpacing"/>
        <w:spacing w:line="360" w:lineRule="auto"/>
        <w:jc w:val="both"/>
        <w:rPr>
          <w:rFonts w:asciiTheme="majorHAnsi" w:hAnsiTheme="majorHAnsi"/>
          <w:sz w:val="24"/>
        </w:rPr>
      </w:pPr>
      <w:r>
        <w:rPr>
          <w:rFonts w:asciiTheme="majorHAnsi" w:hAnsiTheme="majorHAnsi"/>
          <w:sz w:val="24"/>
        </w:rPr>
        <w:tab/>
        <w:t xml:space="preserve"> </w:t>
      </w:r>
      <w:r w:rsidR="00A57230">
        <w:rPr>
          <w:rFonts w:asciiTheme="majorHAnsi" w:hAnsiTheme="majorHAnsi"/>
          <w:sz w:val="24"/>
        </w:rPr>
        <w:t xml:space="preserve">Labor reforms </w:t>
      </w:r>
      <w:r>
        <w:rPr>
          <w:rFonts w:asciiTheme="majorHAnsi" w:hAnsiTheme="majorHAnsi"/>
          <w:sz w:val="24"/>
        </w:rPr>
        <w:t>increase flexibility and reduce distortions on the labor market. Rigid labor market regulations prevent the labor market from operating efficiently. This leads to losses in employment and productivity and reduces opportunities for workers to find jobs. Next to that, rigid labor market regulations reduce the reallocation of jobs across firms (Kaplan, 2009). Labor reforms increase the efficiency of the labor market, thereby increasing overall employment and the reallocation of jobs.</w:t>
      </w:r>
      <w:r w:rsidRPr="007F34DC">
        <w:rPr>
          <w:rFonts w:asciiTheme="majorHAnsi" w:hAnsiTheme="majorHAnsi"/>
          <w:sz w:val="24"/>
        </w:rPr>
        <w:t xml:space="preserve"> </w:t>
      </w:r>
      <w:r>
        <w:rPr>
          <w:rFonts w:asciiTheme="majorHAnsi" w:hAnsiTheme="majorHAnsi"/>
          <w:sz w:val="24"/>
        </w:rPr>
        <w:t>An increase of overall employment decreases poverty and inequality. Furthermore, an increase in the reallocation of jobs increases productivity, which leads to economic growth and eventually reduces poverty and inequality</w:t>
      </w:r>
    </w:p>
    <w:p w14:paraId="1BE5A1B4" w14:textId="77777777" w:rsidR="00010FF4" w:rsidRDefault="00010FF4" w:rsidP="00C8508E">
      <w:pPr>
        <w:pStyle w:val="NoSpacing"/>
        <w:spacing w:line="360" w:lineRule="auto"/>
        <w:jc w:val="both"/>
        <w:rPr>
          <w:rFonts w:asciiTheme="majorHAnsi" w:hAnsiTheme="majorHAnsi"/>
          <w:b/>
          <w:sz w:val="24"/>
        </w:rPr>
      </w:pPr>
    </w:p>
    <w:p w14:paraId="1E7B2F1B" w14:textId="77777777" w:rsidR="00726B85" w:rsidRDefault="007258EE" w:rsidP="00C8508E">
      <w:pPr>
        <w:pStyle w:val="NoSpacing"/>
        <w:spacing w:line="360" w:lineRule="auto"/>
        <w:jc w:val="both"/>
        <w:rPr>
          <w:rFonts w:asciiTheme="majorHAnsi" w:hAnsiTheme="majorHAnsi"/>
          <w:sz w:val="24"/>
        </w:rPr>
      </w:pPr>
      <w:r w:rsidRPr="00F14751">
        <w:rPr>
          <w:rFonts w:asciiTheme="majorHAnsi" w:hAnsiTheme="majorHAnsi"/>
          <w:b/>
          <w:sz w:val="24"/>
        </w:rPr>
        <w:t xml:space="preserve">3.2 </w:t>
      </w:r>
      <w:r w:rsidR="00310BD0" w:rsidRPr="00F14751">
        <w:rPr>
          <w:rFonts w:asciiTheme="majorHAnsi" w:hAnsiTheme="majorHAnsi"/>
          <w:b/>
          <w:sz w:val="24"/>
        </w:rPr>
        <w:t>Empirical Evidence</w:t>
      </w:r>
    </w:p>
    <w:p w14:paraId="793B6246" w14:textId="0F671A26" w:rsidR="00310BD0" w:rsidRPr="00726B85" w:rsidRDefault="00310BD0" w:rsidP="00C8508E">
      <w:pPr>
        <w:pStyle w:val="NoSpacing"/>
        <w:spacing w:line="360" w:lineRule="auto"/>
        <w:jc w:val="both"/>
        <w:rPr>
          <w:rFonts w:asciiTheme="majorHAnsi" w:hAnsiTheme="majorHAnsi"/>
          <w:sz w:val="24"/>
          <w:highlight w:val="yellow"/>
        </w:rPr>
      </w:pPr>
      <w:r w:rsidRPr="00F14751">
        <w:rPr>
          <w:rFonts w:asciiTheme="majorHAnsi" w:hAnsiTheme="majorHAnsi" w:cs="Times New Roman"/>
          <w:sz w:val="24"/>
          <w:szCs w:val="28"/>
        </w:rPr>
        <w:t xml:space="preserve">Empirical evidence </w:t>
      </w:r>
      <w:r w:rsidR="00B435DF" w:rsidRPr="00F14751">
        <w:rPr>
          <w:rFonts w:asciiTheme="majorHAnsi" w:hAnsiTheme="majorHAnsi" w:cs="Times New Roman"/>
          <w:sz w:val="24"/>
          <w:szCs w:val="28"/>
        </w:rPr>
        <w:t>regarding the effect</w:t>
      </w:r>
      <w:r w:rsidR="00F757CB">
        <w:rPr>
          <w:rFonts w:asciiTheme="majorHAnsi" w:hAnsiTheme="majorHAnsi" w:cs="Times New Roman"/>
          <w:sz w:val="24"/>
          <w:szCs w:val="28"/>
        </w:rPr>
        <w:t>s</w:t>
      </w:r>
      <w:r w:rsidR="00B435DF" w:rsidRPr="00F14751">
        <w:rPr>
          <w:rFonts w:asciiTheme="majorHAnsi" w:hAnsiTheme="majorHAnsi" w:cs="Times New Roman"/>
          <w:sz w:val="24"/>
          <w:szCs w:val="28"/>
        </w:rPr>
        <w:t xml:space="preserve"> of structural</w:t>
      </w:r>
      <w:r w:rsidRPr="00F14751">
        <w:rPr>
          <w:rFonts w:asciiTheme="majorHAnsi" w:hAnsiTheme="majorHAnsi" w:cs="Times New Roman"/>
          <w:sz w:val="24"/>
          <w:szCs w:val="28"/>
        </w:rPr>
        <w:t xml:space="preserve"> reforms on poverty and inequality is relatively scarce. The bulk of papers on structural reforms evaluate t</w:t>
      </w:r>
      <w:r w:rsidR="0015211D" w:rsidRPr="00F14751">
        <w:rPr>
          <w:rFonts w:asciiTheme="majorHAnsi" w:hAnsiTheme="majorHAnsi" w:cs="Times New Roman"/>
          <w:sz w:val="24"/>
          <w:szCs w:val="28"/>
        </w:rPr>
        <w:t xml:space="preserve">heir impact on economic growth, but these will not be discussed here. </w:t>
      </w:r>
      <w:r w:rsidR="00296970" w:rsidRPr="00F14751">
        <w:rPr>
          <w:rFonts w:asciiTheme="majorHAnsi" w:hAnsiTheme="majorHAnsi" w:cs="Times New Roman"/>
          <w:sz w:val="24"/>
          <w:szCs w:val="28"/>
        </w:rPr>
        <w:t xml:space="preserve">The </w:t>
      </w:r>
      <w:r w:rsidR="0085693F" w:rsidRPr="00F14751">
        <w:rPr>
          <w:rFonts w:asciiTheme="majorHAnsi" w:hAnsiTheme="majorHAnsi" w:cs="Times New Roman"/>
          <w:sz w:val="24"/>
          <w:szCs w:val="28"/>
        </w:rPr>
        <w:t>relation</w:t>
      </w:r>
      <w:r w:rsidR="00296970" w:rsidRPr="00F14751">
        <w:rPr>
          <w:rFonts w:asciiTheme="majorHAnsi" w:hAnsiTheme="majorHAnsi" w:cs="Times New Roman"/>
          <w:sz w:val="24"/>
          <w:szCs w:val="28"/>
        </w:rPr>
        <w:t xml:space="preserve"> between </w:t>
      </w:r>
      <w:r w:rsidRPr="00F14751">
        <w:rPr>
          <w:rFonts w:asciiTheme="majorHAnsi" w:hAnsiTheme="majorHAnsi" w:cs="Times New Roman"/>
          <w:sz w:val="24"/>
          <w:szCs w:val="28"/>
        </w:rPr>
        <w:t xml:space="preserve">structural reforms </w:t>
      </w:r>
      <w:r w:rsidR="00296970" w:rsidRPr="00F14751">
        <w:rPr>
          <w:rFonts w:asciiTheme="majorHAnsi" w:hAnsiTheme="majorHAnsi" w:cs="Times New Roman"/>
          <w:sz w:val="24"/>
          <w:szCs w:val="28"/>
        </w:rPr>
        <w:t>and</w:t>
      </w:r>
      <w:r w:rsidRPr="00F14751">
        <w:rPr>
          <w:rFonts w:asciiTheme="majorHAnsi" w:hAnsiTheme="majorHAnsi" w:cs="Times New Roman"/>
          <w:sz w:val="24"/>
          <w:szCs w:val="28"/>
        </w:rPr>
        <w:t xml:space="preserve"> poverty and inequality </w:t>
      </w:r>
      <w:r w:rsidR="0015211D" w:rsidRPr="00F14751">
        <w:rPr>
          <w:rFonts w:asciiTheme="majorHAnsi" w:hAnsiTheme="majorHAnsi" w:cs="Times New Roman"/>
          <w:sz w:val="24"/>
          <w:szCs w:val="28"/>
        </w:rPr>
        <w:t>has received much less attention.</w:t>
      </w:r>
    </w:p>
    <w:p w14:paraId="7636165B" w14:textId="10B241EF" w:rsidR="001367F4" w:rsidRPr="00F14751" w:rsidRDefault="003E01F4" w:rsidP="00C8508E">
      <w:pPr>
        <w:pStyle w:val="NoSpacing"/>
        <w:spacing w:line="360" w:lineRule="auto"/>
        <w:jc w:val="both"/>
        <w:rPr>
          <w:rFonts w:asciiTheme="majorHAnsi" w:hAnsiTheme="majorHAnsi"/>
          <w:sz w:val="24"/>
        </w:rPr>
      </w:pPr>
      <w:r w:rsidRPr="00F14751">
        <w:rPr>
          <w:rFonts w:asciiTheme="majorHAnsi" w:hAnsiTheme="majorHAnsi" w:cs="Times New Roman"/>
          <w:sz w:val="24"/>
          <w:szCs w:val="28"/>
        </w:rPr>
        <w:tab/>
      </w:r>
      <w:r w:rsidR="0085693F" w:rsidRPr="00F14751">
        <w:rPr>
          <w:rFonts w:asciiTheme="majorHAnsi" w:hAnsiTheme="majorHAnsi"/>
          <w:sz w:val="24"/>
        </w:rPr>
        <w:t>Edwards</w:t>
      </w:r>
      <w:r w:rsidR="00310BD0" w:rsidRPr="00F14751">
        <w:rPr>
          <w:rFonts w:asciiTheme="majorHAnsi" w:hAnsiTheme="majorHAnsi"/>
          <w:sz w:val="24"/>
        </w:rPr>
        <w:t xml:space="preserve"> (19</w:t>
      </w:r>
      <w:r w:rsidR="007625A1" w:rsidRPr="00F14751">
        <w:rPr>
          <w:rFonts w:asciiTheme="majorHAnsi" w:hAnsiTheme="majorHAnsi"/>
          <w:sz w:val="24"/>
        </w:rPr>
        <w:t xml:space="preserve">97) evaluates the impact of economic reforms on a global scale. He studies the link between </w:t>
      </w:r>
      <w:r w:rsidR="00310BD0" w:rsidRPr="00F14751">
        <w:rPr>
          <w:rFonts w:asciiTheme="majorHAnsi" w:hAnsiTheme="majorHAnsi"/>
          <w:sz w:val="24"/>
        </w:rPr>
        <w:t>trade policy and income distribution</w:t>
      </w:r>
      <w:r w:rsidR="007625A1" w:rsidRPr="00F14751">
        <w:rPr>
          <w:rFonts w:asciiTheme="majorHAnsi" w:hAnsiTheme="majorHAnsi"/>
          <w:sz w:val="24"/>
        </w:rPr>
        <w:t xml:space="preserve"> between the 1970s and 1980s and </w:t>
      </w:r>
      <w:r w:rsidR="00310BD0" w:rsidRPr="00F14751">
        <w:rPr>
          <w:rFonts w:asciiTheme="majorHAnsi" w:hAnsiTheme="majorHAnsi"/>
          <w:sz w:val="24"/>
        </w:rPr>
        <w:t>addresses two questions: Is there any evidence that open developing economies have a more unequal distribution of income than more protectionist ones? And, is there evidence that countries hav</w:t>
      </w:r>
      <w:r w:rsidR="00EA3402">
        <w:rPr>
          <w:rFonts w:asciiTheme="majorHAnsi" w:hAnsiTheme="majorHAnsi"/>
          <w:sz w:val="24"/>
        </w:rPr>
        <w:t>ing</w:t>
      </w:r>
      <w:r w:rsidR="00310BD0" w:rsidRPr="00F14751">
        <w:rPr>
          <w:rFonts w:asciiTheme="majorHAnsi" w:hAnsiTheme="majorHAnsi"/>
          <w:sz w:val="24"/>
        </w:rPr>
        <w:t xml:space="preserve"> liberalized international trade have experienced an increase in inequality? </w:t>
      </w:r>
      <w:r w:rsidR="00BF7B49" w:rsidRPr="00F14751">
        <w:rPr>
          <w:rFonts w:asciiTheme="majorHAnsi" w:hAnsiTheme="majorHAnsi"/>
          <w:sz w:val="24"/>
        </w:rPr>
        <w:t xml:space="preserve">To answer </w:t>
      </w:r>
      <w:r w:rsidR="00CD58A7" w:rsidRPr="00F14751">
        <w:rPr>
          <w:rFonts w:asciiTheme="majorHAnsi" w:hAnsiTheme="majorHAnsi"/>
          <w:sz w:val="24"/>
        </w:rPr>
        <w:t>these questions</w:t>
      </w:r>
      <w:r w:rsidR="0085693F" w:rsidRPr="00F14751">
        <w:rPr>
          <w:rFonts w:asciiTheme="majorHAnsi" w:hAnsiTheme="majorHAnsi"/>
          <w:sz w:val="24"/>
        </w:rPr>
        <w:t xml:space="preserve"> </w:t>
      </w:r>
      <w:r w:rsidR="00A57230">
        <w:rPr>
          <w:rFonts w:asciiTheme="majorHAnsi" w:hAnsiTheme="majorHAnsi"/>
          <w:sz w:val="24"/>
        </w:rPr>
        <w:t>he</w:t>
      </w:r>
      <w:r w:rsidR="0085693F" w:rsidRPr="00F14751">
        <w:rPr>
          <w:rFonts w:asciiTheme="majorHAnsi" w:hAnsiTheme="majorHAnsi"/>
          <w:sz w:val="24"/>
        </w:rPr>
        <w:t xml:space="preserve"> uses data of the World Bank on income distribution and six alternative measures of trade orientation. He constructs a reformer/non-reformer dummy and defines a country as ‘reformer’ if there has been a relaxation in the deg</w:t>
      </w:r>
      <w:r w:rsidR="00A57230">
        <w:rPr>
          <w:rFonts w:asciiTheme="majorHAnsi" w:hAnsiTheme="majorHAnsi"/>
          <w:sz w:val="24"/>
        </w:rPr>
        <w:t>ree of trade restrictiveness. Edwards (1997)</w:t>
      </w:r>
      <w:r w:rsidR="0085693F" w:rsidRPr="00F14751">
        <w:rPr>
          <w:rFonts w:asciiTheme="majorHAnsi" w:hAnsiTheme="majorHAnsi"/>
          <w:sz w:val="24"/>
        </w:rPr>
        <w:t xml:space="preserve"> employs a simple Ordinary Least-Squares (OLS) regression of the change in the measures of inequality on the trade policy indicators, reformer</w:t>
      </w:r>
      <w:r w:rsidR="007625A1" w:rsidRPr="00F14751">
        <w:rPr>
          <w:rFonts w:asciiTheme="majorHAnsi" w:hAnsiTheme="majorHAnsi"/>
          <w:sz w:val="24"/>
        </w:rPr>
        <w:t>/non-reformer</w:t>
      </w:r>
      <w:r w:rsidR="0085693F" w:rsidRPr="00F14751">
        <w:rPr>
          <w:rFonts w:asciiTheme="majorHAnsi" w:hAnsiTheme="majorHAnsi"/>
          <w:sz w:val="24"/>
        </w:rPr>
        <w:t xml:space="preserve"> dummy </w:t>
      </w:r>
      <w:r w:rsidR="00CC11D9" w:rsidRPr="00F14751">
        <w:rPr>
          <w:rFonts w:asciiTheme="majorHAnsi" w:hAnsiTheme="majorHAnsi"/>
          <w:sz w:val="24"/>
        </w:rPr>
        <w:t>and</w:t>
      </w:r>
      <w:r w:rsidR="007625A1" w:rsidRPr="00F14751">
        <w:rPr>
          <w:rFonts w:asciiTheme="majorHAnsi" w:hAnsiTheme="majorHAnsi"/>
          <w:sz w:val="24"/>
        </w:rPr>
        <w:t xml:space="preserve"> control variables. Based on his final sample of 44 countries, </w:t>
      </w:r>
      <w:r w:rsidR="00A57230">
        <w:rPr>
          <w:rFonts w:asciiTheme="majorHAnsi" w:hAnsiTheme="majorHAnsi"/>
          <w:sz w:val="24"/>
        </w:rPr>
        <w:t xml:space="preserve">he </w:t>
      </w:r>
      <w:r w:rsidR="007625A1" w:rsidRPr="00F14751">
        <w:rPr>
          <w:rFonts w:asciiTheme="majorHAnsi" w:hAnsiTheme="majorHAnsi"/>
          <w:sz w:val="24"/>
        </w:rPr>
        <w:t xml:space="preserve">finds that there is </w:t>
      </w:r>
      <w:r w:rsidR="00EA3402">
        <w:rPr>
          <w:rFonts w:asciiTheme="majorHAnsi" w:hAnsiTheme="majorHAnsi"/>
          <w:sz w:val="24"/>
        </w:rPr>
        <w:t xml:space="preserve">in </w:t>
      </w:r>
      <w:r w:rsidR="007625A1" w:rsidRPr="00F14751">
        <w:rPr>
          <w:rFonts w:asciiTheme="majorHAnsi" w:hAnsiTheme="majorHAnsi"/>
          <w:sz w:val="24"/>
        </w:rPr>
        <w:t xml:space="preserve">no case a negative relationship between the six trade policy indicators and the Gini coefficient. Furthermore, his results suggest that there are no differences in the distribution of incomes for ‘reformers’ and ‘non-reformers’. Therefore, Edwards (1997) states that; ’for developing countries, there is no evidence linking openness or trade liberalization to increases in inequality’. </w:t>
      </w:r>
    </w:p>
    <w:p w14:paraId="140495E0" w14:textId="6A6D912F" w:rsidR="00A205DA" w:rsidRPr="00F14751" w:rsidRDefault="001F0B63" w:rsidP="00C8508E">
      <w:pPr>
        <w:pStyle w:val="NoSpacing"/>
        <w:spacing w:line="360" w:lineRule="auto"/>
        <w:jc w:val="both"/>
        <w:rPr>
          <w:rFonts w:asciiTheme="majorHAnsi" w:hAnsiTheme="majorHAnsi"/>
          <w:sz w:val="24"/>
        </w:rPr>
      </w:pPr>
      <w:r w:rsidRPr="00F14751">
        <w:rPr>
          <w:rFonts w:asciiTheme="majorHAnsi" w:hAnsiTheme="majorHAnsi"/>
          <w:sz w:val="24"/>
        </w:rPr>
        <w:tab/>
      </w:r>
      <w:r w:rsidR="00A205DA" w:rsidRPr="00F14751">
        <w:rPr>
          <w:rFonts w:asciiTheme="majorHAnsi" w:hAnsiTheme="majorHAnsi"/>
          <w:sz w:val="24"/>
        </w:rPr>
        <w:t>Morley (2000) also evaluates</w:t>
      </w:r>
      <w:r w:rsidR="00413731" w:rsidRPr="00F14751">
        <w:rPr>
          <w:rFonts w:asciiTheme="majorHAnsi" w:hAnsiTheme="majorHAnsi"/>
          <w:sz w:val="24"/>
        </w:rPr>
        <w:t xml:space="preserve"> the impact of economic reforms on inequality, but focusses on Latin America</w:t>
      </w:r>
      <w:r w:rsidRPr="00F14751">
        <w:rPr>
          <w:rFonts w:asciiTheme="majorHAnsi" w:hAnsiTheme="majorHAnsi"/>
          <w:sz w:val="24"/>
        </w:rPr>
        <w:t xml:space="preserve">. </w:t>
      </w:r>
      <w:r w:rsidR="00A205DA" w:rsidRPr="00F14751">
        <w:rPr>
          <w:rFonts w:asciiTheme="majorHAnsi" w:hAnsiTheme="majorHAnsi"/>
          <w:sz w:val="24"/>
        </w:rPr>
        <w:t xml:space="preserve">In particular, he examines the relationship between economic reforms and inequality. </w:t>
      </w:r>
      <w:r w:rsidRPr="00F14751">
        <w:rPr>
          <w:rFonts w:asciiTheme="majorHAnsi" w:hAnsiTheme="majorHAnsi"/>
          <w:sz w:val="24"/>
        </w:rPr>
        <w:t xml:space="preserve">In order to do so, </w:t>
      </w:r>
      <w:r w:rsidR="00A57230">
        <w:rPr>
          <w:rFonts w:asciiTheme="majorHAnsi" w:hAnsiTheme="majorHAnsi"/>
          <w:sz w:val="24"/>
        </w:rPr>
        <w:t>he</w:t>
      </w:r>
      <w:r w:rsidR="00A205DA" w:rsidRPr="00F14751">
        <w:rPr>
          <w:rFonts w:asciiTheme="majorHAnsi" w:hAnsiTheme="majorHAnsi"/>
          <w:sz w:val="24"/>
        </w:rPr>
        <w:t xml:space="preserve"> </w:t>
      </w:r>
      <w:r w:rsidR="00310BD0" w:rsidRPr="00F14751">
        <w:rPr>
          <w:rFonts w:asciiTheme="majorHAnsi" w:hAnsiTheme="majorHAnsi"/>
          <w:sz w:val="24"/>
        </w:rPr>
        <w:t>employs a data set for 16 Latin American countries for the period 1960-199</w:t>
      </w:r>
      <w:r w:rsidR="00A205DA" w:rsidRPr="00F14751">
        <w:rPr>
          <w:rFonts w:asciiTheme="majorHAnsi" w:hAnsiTheme="majorHAnsi"/>
          <w:sz w:val="24"/>
        </w:rPr>
        <w:t>7.</w:t>
      </w:r>
      <w:r w:rsidR="00310BD0" w:rsidRPr="00F14751">
        <w:rPr>
          <w:rFonts w:asciiTheme="majorHAnsi" w:hAnsiTheme="majorHAnsi"/>
          <w:sz w:val="24"/>
        </w:rPr>
        <w:t xml:space="preserve"> To explore the effects of the structural reforms, he uses the structural reform index (SRI) of the inter-American Development Bank (IDB), which is the simple average of reform indexes in five areas; trade, finance, tax, privatization and capital account. He uses the Gini coefficient as a measure of income inequality. </w:t>
      </w:r>
      <w:r w:rsidR="00A205DA" w:rsidRPr="00F14751">
        <w:rPr>
          <w:rFonts w:asciiTheme="majorHAnsi" w:hAnsiTheme="majorHAnsi"/>
          <w:sz w:val="24"/>
        </w:rPr>
        <w:t>Morley (2000)</w:t>
      </w:r>
      <w:r w:rsidR="00310BD0" w:rsidRPr="00F14751">
        <w:rPr>
          <w:rFonts w:asciiTheme="majorHAnsi" w:hAnsiTheme="majorHAnsi"/>
          <w:sz w:val="24"/>
        </w:rPr>
        <w:t xml:space="preserve"> regresses the Gini coefficient on the </w:t>
      </w:r>
      <w:r w:rsidR="00A205DA" w:rsidRPr="00F14751">
        <w:rPr>
          <w:rFonts w:asciiTheme="majorHAnsi" w:hAnsiTheme="majorHAnsi"/>
          <w:sz w:val="24"/>
        </w:rPr>
        <w:t>indexes</w:t>
      </w:r>
      <w:r w:rsidR="00310BD0" w:rsidRPr="00F14751">
        <w:rPr>
          <w:rFonts w:asciiTheme="majorHAnsi" w:hAnsiTheme="majorHAnsi"/>
          <w:sz w:val="24"/>
        </w:rPr>
        <w:t xml:space="preserve"> of economic reform and other control variables such as; inflation, land distribution, and education. </w:t>
      </w:r>
      <w:r w:rsidR="00A205DA" w:rsidRPr="00F14751">
        <w:rPr>
          <w:rFonts w:asciiTheme="majorHAnsi" w:hAnsiTheme="majorHAnsi"/>
          <w:sz w:val="24"/>
        </w:rPr>
        <w:t xml:space="preserve">He finds that structural reforms, on average, appear to increase inequality. However, the effect is small and not very significant. </w:t>
      </w:r>
      <w:r w:rsidR="00B45AFF">
        <w:rPr>
          <w:rFonts w:asciiTheme="majorHAnsi" w:hAnsiTheme="majorHAnsi"/>
          <w:sz w:val="24"/>
        </w:rPr>
        <w:t xml:space="preserve">He </w:t>
      </w:r>
      <w:r w:rsidR="00A205DA" w:rsidRPr="00F14751">
        <w:rPr>
          <w:rFonts w:asciiTheme="majorHAnsi" w:hAnsiTheme="majorHAnsi"/>
          <w:sz w:val="24"/>
        </w:rPr>
        <w:t xml:space="preserve">notes that the reason for this small and insignificant effect seems to be that reforms in different areas have different and offsetting effects on inequality. </w:t>
      </w:r>
      <w:r w:rsidRPr="00F14751">
        <w:rPr>
          <w:rFonts w:asciiTheme="majorHAnsi" w:hAnsiTheme="majorHAnsi"/>
          <w:sz w:val="24"/>
        </w:rPr>
        <w:t xml:space="preserve">Some reforms have a significant negative effect, while others have a significant positive effect. Trade and tax reforms have a positive significant effect on inequality, while capital account reforms have a significant negative effect. For the other two reforms, privatizations and financial reforms, </w:t>
      </w:r>
      <w:r w:rsidR="00F757CB">
        <w:rPr>
          <w:rFonts w:asciiTheme="majorHAnsi" w:hAnsiTheme="majorHAnsi"/>
          <w:sz w:val="24"/>
        </w:rPr>
        <w:t>he notes that his</w:t>
      </w:r>
      <w:r w:rsidRPr="00F14751">
        <w:rPr>
          <w:rFonts w:asciiTheme="majorHAnsi" w:hAnsiTheme="majorHAnsi"/>
          <w:sz w:val="24"/>
        </w:rPr>
        <w:t xml:space="preserve"> data is not good enough to give a clear answer. </w:t>
      </w:r>
    </w:p>
    <w:p w14:paraId="0EF66CBF" w14:textId="43D0F402" w:rsidR="00310BD0" w:rsidRPr="00F14751" w:rsidRDefault="001F0B63" w:rsidP="00C8508E">
      <w:pPr>
        <w:pStyle w:val="NoSpacing"/>
        <w:spacing w:line="360" w:lineRule="auto"/>
        <w:jc w:val="both"/>
        <w:rPr>
          <w:rFonts w:asciiTheme="majorHAnsi" w:hAnsiTheme="majorHAnsi"/>
          <w:sz w:val="24"/>
        </w:rPr>
      </w:pPr>
      <w:r w:rsidRPr="00F14751">
        <w:rPr>
          <w:rFonts w:asciiTheme="majorHAnsi" w:hAnsiTheme="majorHAnsi"/>
          <w:sz w:val="24"/>
        </w:rPr>
        <w:tab/>
      </w:r>
      <w:proofErr w:type="spellStart"/>
      <w:r w:rsidRPr="00F14751">
        <w:rPr>
          <w:rFonts w:asciiTheme="majorHAnsi" w:hAnsiTheme="majorHAnsi"/>
          <w:sz w:val="24"/>
        </w:rPr>
        <w:t>Székely</w:t>
      </w:r>
      <w:proofErr w:type="spellEnd"/>
      <w:r w:rsidRPr="00F14751">
        <w:rPr>
          <w:rFonts w:asciiTheme="majorHAnsi" w:hAnsiTheme="majorHAnsi"/>
          <w:sz w:val="24"/>
        </w:rPr>
        <w:t xml:space="preserve"> (2003) also studies the impact of economic reforms on inequality in Latin America. However, he</w:t>
      </w:r>
      <w:r w:rsidR="00413731" w:rsidRPr="00F14751">
        <w:rPr>
          <w:rFonts w:asciiTheme="majorHAnsi" w:hAnsiTheme="majorHAnsi"/>
          <w:sz w:val="24"/>
        </w:rPr>
        <w:t xml:space="preserve"> also</w:t>
      </w:r>
      <w:r w:rsidRPr="00F14751">
        <w:rPr>
          <w:rFonts w:asciiTheme="majorHAnsi" w:hAnsiTheme="majorHAnsi"/>
          <w:sz w:val="24"/>
        </w:rPr>
        <w:t xml:space="preserve"> focuses on the impact of the reforms on poverty. </w:t>
      </w:r>
      <w:proofErr w:type="spellStart"/>
      <w:r w:rsidRPr="00F14751">
        <w:rPr>
          <w:rFonts w:asciiTheme="majorHAnsi" w:hAnsiTheme="majorHAnsi"/>
          <w:sz w:val="24"/>
        </w:rPr>
        <w:t>Székely</w:t>
      </w:r>
      <w:proofErr w:type="spellEnd"/>
      <w:r w:rsidRPr="00F14751">
        <w:rPr>
          <w:rFonts w:asciiTheme="majorHAnsi" w:hAnsiTheme="majorHAnsi"/>
          <w:sz w:val="24"/>
        </w:rPr>
        <w:t xml:space="preserve"> (2003) employs a database covering 17 Latin American countries over the period 1977-2000. Like Morley (2000</w:t>
      </w:r>
      <w:r w:rsidR="00310BD0" w:rsidRPr="00F14751">
        <w:rPr>
          <w:rFonts w:asciiTheme="majorHAnsi" w:hAnsiTheme="majorHAnsi"/>
          <w:sz w:val="24"/>
        </w:rPr>
        <w:t>), he also uses the SRI of the IDB and focuses on trad</w:t>
      </w:r>
      <w:r w:rsidRPr="00F14751">
        <w:rPr>
          <w:rFonts w:asciiTheme="majorHAnsi" w:hAnsiTheme="majorHAnsi"/>
          <w:sz w:val="24"/>
        </w:rPr>
        <w:t xml:space="preserve">e and financial liberalizations. He combines the other three reform indexes. </w:t>
      </w:r>
      <w:r w:rsidR="00310BD0" w:rsidRPr="00F14751">
        <w:rPr>
          <w:rFonts w:asciiTheme="majorHAnsi" w:hAnsiTheme="majorHAnsi"/>
          <w:sz w:val="24"/>
        </w:rPr>
        <w:t xml:space="preserve">In his estimation, he lags the reform variables for four years to control for a delayed effect on poverty and inequality. Using OLS, he finds that, </w:t>
      </w:r>
      <w:r w:rsidR="008410F9" w:rsidRPr="00F14751">
        <w:rPr>
          <w:rFonts w:asciiTheme="majorHAnsi" w:hAnsiTheme="majorHAnsi"/>
          <w:sz w:val="24"/>
        </w:rPr>
        <w:t xml:space="preserve">financial reforms have a significant positive effect on poverty and inequality. The other reforms do not have any significant effect on </w:t>
      </w:r>
      <w:r w:rsidR="000307CA" w:rsidRPr="00F14751">
        <w:rPr>
          <w:rFonts w:asciiTheme="majorHAnsi" w:hAnsiTheme="majorHAnsi"/>
          <w:sz w:val="24"/>
        </w:rPr>
        <w:t>both</w:t>
      </w:r>
      <w:r w:rsidR="008410F9" w:rsidRPr="00F14751">
        <w:rPr>
          <w:rFonts w:asciiTheme="majorHAnsi" w:hAnsiTheme="majorHAnsi"/>
          <w:sz w:val="24"/>
        </w:rPr>
        <w:t>. T</w:t>
      </w:r>
      <w:r w:rsidR="00A57230">
        <w:rPr>
          <w:rFonts w:asciiTheme="majorHAnsi" w:hAnsiTheme="majorHAnsi"/>
          <w:sz w:val="24"/>
        </w:rPr>
        <w:t xml:space="preserve">herefore, </w:t>
      </w:r>
      <w:proofErr w:type="spellStart"/>
      <w:r w:rsidR="00A57230">
        <w:rPr>
          <w:rFonts w:asciiTheme="majorHAnsi" w:hAnsiTheme="majorHAnsi"/>
          <w:sz w:val="24"/>
        </w:rPr>
        <w:t>Székely</w:t>
      </w:r>
      <w:proofErr w:type="spellEnd"/>
      <w:r w:rsidR="00A57230">
        <w:rPr>
          <w:rFonts w:asciiTheme="majorHAnsi" w:hAnsiTheme="majorHAnsi"/>
          <w:sz w:val="24"/>
        </w:rPr>
        <w:t xml:space="preserve"> (2003) </w:t>
      </w:r>
      <w:r w:rsidR="00310BD0" w:rsidRPr="00F14751">
        <w:rPr>
          <w:rFonts w:asciiTheme="majorHAnsi" w:hAnsiTheme="majorHAnsi"/>
          <w:sz w:val="24"/>
        </w:rPr>
        <w:t xml:space="preserve">concludes that; ‘increasing reliance on the market has not created new income opportunities for the poor, and that financial liberalization in particular has made the poor worse off, relative to </w:t>
      </w:r>
      <w:r w:rsidR="00A57230">
        <w:rPr>
          <w:rFonts w:asciiTheme="majorHAnsi" w:hAnsiTheme="majorHAnsi"/>
          <w:sz w:val="24"/>
        </w:rPr>
        <w:t>the rich and the middle groups’.</w:t>
      </w:r>
    </w:p>
    <w:p w14:paraId="6FE6A3AF" w14:textId="77777777" w:rsidR="00A57230" w:rsidRDefault="00540D41" w:rsidP="00C8508E">
      <w:pPr>
        <w:pStyle w:val="NoSpacing"/>
        <w:spacing w:line="360" w:lineRule="auto"/>
        <w:jc w:val="both"/>
        <w:rPr>
          <w:rFonts w:asciiTheme="majorHAnsi" w:hAnsiTheme="majorHAnsi"/>
          <w:sz w:val="24"/>
        </w:rPr>
      </w:pPr>
      <w:r w:rsidRPr="00F14751">
        <w:rPr>
          <w:rFonts w:asciiTheme="majorHAnsi" w:hAnsiTheme="majorHAnsi"/>
          <w:sz w:val="24"/>
        </w:rPr>
        <w:tab/>
      </w:r>
      <w:r w:rsidR="00310BD0" w:rsidRPr="00F14751">
        <w:rPr>
          <w:rFonts w:asciiTheme="majorHAnsi" w:hAnsiTheme="majorHAnsi"/>
          <w:sz w:val="24"/>
        </w:rPr>
        <w:t xml:space="preserve">In a more </w:t>
      </w:r>
      <w:r w:rsidR="006D3F83" w:rsidRPr="00F14751">
        <w:rPr>
          <w:rFonts w:asciiTheme="majorHAnsi" w:hAnsiTheme="majorHAnsi"/>
          <w:sz w:val="24"/>
        </w:rPr>
        <w:t>recent study, Bucciferro (2010)</w:t>
      </w:r>
      <w:r w:rsidR="0030438B">
        <w:rPr>
          <w:rFonts w:asciiTheme="majorHAnsi" w:hAnsiTheme="majorHAnsi"/>
          <w:sz w:val="24"/>
        </w:rPr>
        <w:t xml:space="preserve"> also</w:t>
      </w:r>
      <w:r w:rsidR="006D3F83" w:rsidRPr="00F14751">
        <w:rPr>
          <w:rFonts w:asciiTheme="majorHAnsi" w:hAnsiTheme="majorHAnsi"/>
          <w:sz w:val="24"/>
        </w:rPr>
        <w:t xml:space="preserve"> </w:t>
      </w:r>
      <w:r w:rsidR="00EA3402">
        <w:rPr>
          <w:rFonts w:asciiTheme="majorHAnsi" w:hAnsiTheme="majorHAnsi"/>
          <w:sz w:val="24"/>
        </w:rPr>
        <w:t>analyze</w:t>
      </w:r>
      <w:r w:rsidR="00EA3402" w:rsidRPr="00F14751">
        <w:rPr>
          <w:rFonts w:asciiTheme="majorHAnsi" w:hAnsiTheme="majorHAnsi"/>
          <w:sz w:val="24"/>
        </w:rPr>
        <w:t xml:space="preserve">s </w:t>
      </w:r>
      <w:r w:rsidR="00310BD0" w:rsidRPr="00F14751">
        <w:rPr>
          <w:rFonts w:asciiTheme="majorHAnsi" w:hAnsiTheme="majorHAnsi"/>
          <w:sz w:val="24"/>
        </w:rPr>
        <w:t>the impact of structural reforms on poverty and inequality in Latin America. He evaluates the relationship between trade reform, financial reform and privatization and five measures of povert</w:t>
      </w:r>
      <w:r w:rsidR="00D3672E" w:rsidRPr="00F14751">
        <w:rPr>
          <w:rFonts w:asciiTheme="majorHAnsi" w:hAnsiTheme="majorHAnsi"/>
          <w:sz w:val="24"/>
        </w:rPr>
        <w:t>y and inequality in the period 1985-</w:t>
      </w:r>
      <w:r w:rsidR="00310BD0" w:rsidRPr="00F14751">
        <w:rPr>
          <w:rFonts w:asciiTheme="majorHAnsi" w:hAnsiTheme="majorHAnsi"/>
          <w:sz w:val="24"/>
        </w:rPr>
        <w:t>2000. Just like Morley (200</w:t>
      </w:r>
      <w:r w:rsidR="00EA6455">
        <w:rPr>
          <w:rFonts w:asciiTheme="majorHAnsi" w:hAnsiTheme="majorHAnsi"/>
          <w:sz w:val="24"/>
        </w:rPr>
        <w:t>0</w:t>
      </w:r>
      <w:r w:rsidR="00310BD0" w:rsidRPr="00F14751">
        <w:rPr>
          <w:rFonts w:asciiTheme="majorHAnsi" w:hAnsiTheme="majorHAnsi"/>
          <w:sz w:val="24"/>
        </w:rPr>
        <w:t xml:space="preserve">) and </w:t>
      </w:r>
      <w:proofErr w:type="spellStart"/>
      <w:r w:rsidR="00310BD0" w:rsidRPr="00F14751">
        <w:rPr>
          <w:rFonts w:asciiTheme="majorHAnsi" w:hAnsiTheme="majorHAnsi"/>
          <w:sz w:val="24"/>
        </w:rPr>
        <w:t>Székely</w:t>
      </w:r>
      <w:proofErr w:type="spellEnd"/>
      <w:r w:rsidR="00310BD0" w:rsidRPr="00F14751">
        <w:rPr>
          <w:rFonts w:asciiTheme="majorHAnsi" w:hAnsiTheme="majorHAnsi"/>
          <w:sz w:val="24"/>
        </w:rPr>
        <w:t xml:space="preserve"> (2003), he also uses the SRI of the IDB. His model controls for average income and political institut</w:t>
      </w:r>
      <w:r w:rsidR="009F0A63">
        <w:rPr>
          <w:rFonts w:asciiTheme="majorHAnsi" w:hAnsiTheme="majorHAnsi"/>
          <w:sz w:val="24"/>
        </w:rPr>
        <w:t xml:space="preserve">ions. The observations </w:t>
      </w:r>
      <w:r w:rsidR="001B3AF2">
        <w:rPr>
          <w:rFonts w:asciiTheme="majorHAnsi" w:hAnsiTheme="majorHAnsi"/>
          <w:sz w:val="24"/>
        </w:rPr>
        <w:t>of</w:t>
      </w:r>
      <w:r w:rsidR="009F0A63">
        <w:rPr>
          <w:rFonts w:asciiTheme="majorHAnsi" w:hAnsiTheme="majorHAnsi"/>
          <w:sz w:val="24"/>
        </w:rPr>
        <w:t xml:space="preserve"> the reforms are lagged for one year. </w:t>
      </w:r>
      <w:r w:rsidRPr="00F14751">
        <w:rPr>
          <w:rFonts w:asciiTheme="majorHAnsi" w:hAnsiTheme="majorHAnsi"/>
          <w:sz w:val="24"/>
        </w:rPr>
        <w:t xml:space="preserve">Bucciferro (2010) finds that structural reforms, in general, have a significant positive effect on poverty and inequality. </w:t>
      </w:r>
      <w:r w:rsidR="00310BD0" w:rsidRPr="00F14751">
        <w:rPr>
          <w:rFonts w:asciiTheme="majorHAnsi" w:hAnsiTheme="majorHAnsi"/>
          <w:sz w:val="24"/>
        </w:rPr>
        <w:t>Moreover, privatizations</w:t>
      </w:r>
      <w:r w:rsidR="00413731" w:rsidRPr="00F14751">
        <w:rPr>
          <w:rFonts w:asciiTheme="majorHAnsi" w:hAnsiTheme="majorHAnsi"/>
          <w:sz w:val="24"/>
        </w:rPr>
        <w:t xml:space="preserve"> in </w:t>
      </w:r>
      <w:r w:rsidR="000307CA" w:rsidRPr="00F14751">
        <w:rPr>
          <w:rFonts w:asciiTheme="majorHAnsi" w:hAnsiTheme="majorHAnsi"/>
          <w:sz w:val="24"/>
        </w:rPr>
        <w:t>particular</w:t>
      </w:r>
      <w:r w:rsidR="00310BD0" w:rsidRPr="00F14751">
        <w:rPr>
          <w:rFonts w:asciiTheme="majorHAnsi" w:hAnsiTheme="majorHAnsi"/>
          <w:sz w:val="24"/>
        </w:rPr>
        <w:t xml:space="preserve"> are positively related to poverty and inequality, and financial reforms are positively related to inequality. </w:t>
      </w:r>
      <w:r w:rsidR="000307CA" w:rsidRPr="00F14751">
        <w:rPr>
          <w:rFonts w:asciiTheme="majorHAnsi" w:hAnsiTheme="majorHAnsi"/>
          <w:sz w:val="24"/>
        </w:rPr>
        <w:t>Although the estimates of trade reforms are not significant, t</w:t>
      </w:r>
      <w:r w:rsidR="00310BD0" w:rsidRPr="00F14751">
        <w:rPr>
          <w:rFonts w:asciiTheme="majorHAnsi" w:hAnsiTheme="majorHAnsi"/>
          <w:sz w:val="24"/>
        </w:rPr>
        <w:t xml:space="preserve">rade reform appears to be negatively related to poverty and inequality. </w:t>
      </w:r>
    </w:p>
    <w:p w14:paraId="08A6C6FB" w14:textId="77777777" w:rsidR="00A57230" w:rsidRDefault="00A57230" w:rsidP="00C8508E">
      <w:pPr>
        <w:pStyle w:val="NoSpacing"/>
        <w:spacing w:line="360" w:lineRule="auto"/>
        <w:jc w:val="both"/>
        <w:rPr>
          <w:rFonts w:asciiTheme="majorHAnsi" w:hAnsiTheme="majorHAnsi"/>
          <w:sz w:val="24"/>
        </w:rPr>
      </w:pPr>
    </w:p>
    <w:p w14:paraId="7AAA5B82" w14:textId="7E2265C2" w:rsidR="000307CA" w:rsidRPr="00F14751" w:rsidRDefault="000307CA" w:rsidP="00C8508E">
      <w:pPr>
        <w:pStyle w:val="NoSpacing"/>
        <w:spacing w:line="360" w:lineRule="auto"/>
        <w:jc w:val="both"/>
        <w:rPr>
          <w:rFonts w:asciiTheme="majorHAnsi" w:hAnsiTheme="majorHAnsi"/>
          <w:sz w:val="24"/>
        </w:rPr>
      </w:pPr>
      <w:r w:rsidRPr="00F14751">
        <w:rPr>
          <w:rFonts w:asciiTheme="majorHAnsi" w:hAnsiTheme="majorHAnsi"/>
          <w:sz w:val="24"/>
        </w:rPr>
        <w:t>These studies provide some suggestive results regarding the relationship between structural reforms and poverty and inequality. Edwards (19</w:t>
      </w:r>
      <w:r w:rsidR="00EA3402">
        <w:rPr>
          <w:rFonts w:asciiTheme="majorHAnsi" w:hAnsiTheme="majorHAnsi"/>
          <w:sz w:val="24"/>
        </w:rPr>
        <w:t>9</w:t>
      </w:r>
      <w:r w:rsidRPr="00F14751">
        <w:rPr>
          <w:rFonts w:asciiTheme="majorHAnsi" w:hAnsiTheme="majorHAnsi"/>
          <w:sz w:val="24"/>
        </w:rPr>
        <w:t xml:space="preserve">7) </w:t>
      </w:r>
      <w:r w:rsidR="008277C8" w:rsidRPr="00F14751">
        <w:rPr>
          <w:rFonts w:asciiTheme="majorHAnsi" w:hAnsiTheme="majorHAnsi"/>
          <w:sz w:val="24"/>
        </w:rPr>
        <w:t>evaluates the impact of structural reforms on global scale and was unable to find any relationship between trade reforms and inequality in the 1970s and 1980s. The results of Morley (</w:t>
      </w:r>
      <w:r w:rsidR="003E01F4" w:rsidRPr="00F14751">
        <w:rPr>
          <w:rFonts w:asciiTheme="majorHAnsi" w:hAnsiTheme="majorHAnsi"/>
          <w:sz w:val="24"/>
        </w:rPr>
        <w:t xml:space="preserve">2000), </w:t>
      </w:r>
      <w:proofErr w:type="spellStart"/>
      <w:r w:rsidR="003E01F4" w:rsidRPr="00F14751">
        <w:rPr>
          <w:rFonts w:asciiTheme="majorHAnsi" w:hAnsiTheme="majorHAnsi"/>
          <w:sz w:val="24"/>
        </w:rPr>
        <w:t>Székely</w:t>
      </w:r>
      <w:proofErr w:type="spellEnd"/>
      <w:r w:rsidR="003E01F4" w:rsidRPr="00F14751">
        <w:rPr>
          <w:rFonts w:asciiTheme="majorHAnsi" w:hAnsiTheme="majorHAnsi"/>
          <w:sz w:val="24"/>
        </w:rPr>
        <w:t xml:space="preserve"> (2003) and </w:t>
      </w:r>
      <w:proofErr w:type="spellStart"/>
      <w:r w:rsidR="003E01F4" w:rsidRPr="00F14751">
        <w:rPr>
          <w:rFonts w:asciiTheme="majorHAnsi" w:hAnsiTheme="majorHAnsi"/>
          <w:sz w:val="24"/>
        </w:rPr>
        <w:t>Buccif</w:t>
      </w:r>
      <w:r w:rsidR="008277C8" w:rsidRPr="00F14751">
        <w:rPr>
          <w:rFonts w:asciiTheme="majorHAnsi" w:hAnsiTheme="majorHAnsi"/>
          <w:sz w:val="24"/>
        </w:rPr>
        <w:t>er</w:t>
      </w:r>
      <w:r w:rsidR="009A3571" w:rsidRPr="00F14751">
        <w:rPr>
          <w:rFonts w:asciiTheme="majorHAnsi" w:hAnsiTheme="majorHAnsi"/>
          <w:sz w:val="24"/>
        </w:rPr>
        <w:t>r</w:t>
      </w:r>
      <w:r w:rsidR="008277C8" w:rsidRPr="00F14751">
        <w:rPr>
          <w:rFonts w:asciiTheme="majorHAnsi" w:hAnsiTheme="majorHAnsi"/>
          <w:sz w:val="24"/>
        </w:rPr>
        <w:t>o</w:t>
      </w:r>
      <w:proofErr w:type="spellEnd"/>
      <w:r w:rsidR="008277C8" w:rsidRPr="00F14751">
        <w:rPr>
          <w:rFonts w:asciiTheme="majorHAnsi" w:hAnsiTheme="majorHAnsi"/>
          <w:sz w:val="24"/>
        </w:rPr>
        <w:t xml:space="preserve"> (2010) are specific to Latin America. All three use the SRI of </w:t>
      </w:r>
      <w:r w:rsidR="0030438B">
        <w:rPr>
          <w:rFonts w:asciiTheme="majorHAnsi" w:hAnsiTheme="majorHAnsi"/>
          <w:sz w:val="24"/>
        </w:rPr>
        <w:t>the IDB</w:t>
      </w:r>
      <w:r w:rsidR="009A3571" w:rsidRPr="00F14751">
        <w:rPr>
          <w:rFonts w:asciiTheme="majorHAnsi" w:hAnsiTheme="majorHAnsi"/>
          <w:sz w:val="24"/>
        </w:rPr>
        <w:t xml:space="preserve">. Both </w:t>
      </w:r>
      <w:proofErr w:type="spellStart"/>
      <w:r w:rsidR="009A3571" w:rsidRPr="00F14751">
        <w:rPr>
          <w:rFonts w:asciiTheme="majorHAnsi" w:hAnsiTheme="majorHAnsi"/>
          <w:sz w:val="24"/>
        </w:rPr>
        <w:t>Székely</w:t>
      </w:r>
      <w:proofErr w:type="spellEnd"/>
      <w:r w:rsidR="009A3571" w:rsidRPr="00F14751">
        <w:rPr>
          <w:rFonts w:asciiTheme="majorHAnsi" w:hAnsiTheme="majorHAnsi"/>
          <w:sz w:val="24"/>
        </w:rPr>
        <w:t xml:space="preserve"> (2003) and </w:t>
      </w:r>
      <w:proofErr w:type="spellStart"/>
      <w:r w:rsidR="009A3571" w:rsidRPr="00F14751">
        <w:rPr>
          <w:rFonts w:asciiTheme="majorHAnsi" w:hAnsiTheme="majorHAnsi"/>
          <w:sz w:val="24"/>
        </w:rPr>
        <w:t>Buccif</w:t>
      </w:r>
      <w:r w:rsidR="008277C8" w:rsidRPr="00F14751">
        <w:rPr>
          <w:rFonts w:asciiTheme="majorHAnsi" w:hAnsiTheme="majorHAnsi"/>
          <w:sz w:val="24"/>
        </w:rPr>
        <w:t>e</w:t>
      </w:r>
      <w:r w:rsidR="009A3571" w:rsidRPr="00F14751">
        <w:rPr>
          <w:rFonts w:asciiTheme="majorHAnsi" w:hAnsiTheme="majorHAnsi"/>
          <w:sz w:val="24"/>
        </w:rPr>
        <w:t>r</w:t>
      </w:r>
      <w:r w:rsidR="008277C8" w:rsidRPr="00F14751">
        <w:rPr>
          <w:rFonts w:asciiTheme="majorHAnsi" w:hAnsiTheme="majorHAnsi"/>
          <w:sz w:val="24"/>
        </w:rPr>
        <w:t>ro</w:t>
      </w:r>
      <w:proofErr w:type="spellEnd"/>
      <w:r w:rsidR="008277C8" w:rsidRPr="00F14751">
        <w:rPr>
          <w:rFonts w:asciiTheme="majorHAnsi" w:hAnsiTheme="majorHAnsi"/>
          <w:sz w:val="24"/>
        </w:rPr>
        <w:t xml:space="preserve"> (2010) find that financial reforms, in particular, increase inequality. The estimated effects of the other reform areas differ </w:t>
      </w:r>
      <w:r w:rsidR="00043959" w:rsidRPr="00F14751">
        <w:rPr>
          <w:rFonts w:asciiTheme="majorHAnsi" w:hAnsiTheme="majorHAnsi"/>
          <w:sz w:val="24"/>
        </w:rPr>
        <w:t>per study</w:t>
      </w:r>
      <w:r w:rsidR="008277C8" w:rsidRPr="00F14751">
        <w:rPr>
          <w:rFonts w:asciiTheme="majorHAnsi" w:hAnsiTheme="majorHAnsi"/>
          <w:sz w:val="24"/>
        </w:rPr>
        <w:t xml:space="preserve"> and are therefore hard to generalize. </w:t>
      </w:r>
    </w:p>
    <w:p w14:paraId="5C3D392D" w14:textId="1E699110" w:rsidR="00B63E09" w:rsidRDefault="00043959" w:rsidP="00C8508E">
      <w:pPr>
        <w:pStyle w:val="NoSpacing"/>
        <w:spacing w:line="360" w:lineRule="auto"/>
        <w:jc w:val="both"/>
        <w:rPr>
          <w:rFonts w:asciiTheme="majorHAnsi" w:hAnsiTheme="majorHAnsi"/>
          <w:sz w:val="24"/>
        </w:rPr>
      </w:pPr>
      <w:r w:rsidRPr="00F14751">
        <w:rPr>
          <w:rFonts w:asciiTheme="majorHAnsi" w:hAnsiTheme="majorHAnsi"/>
          <w:sz w:val="24"/>
        </w:rPr>
        <w:tab/>
      </w:r>
      <w:r w:rsidR="008277C8" w:rsidRPr="00F14751">
        <w:rPr>
          <w:rFonts w:asciiTheme="majorHAnsi" w:hAnsiTheme="majorHAnsi"/>
          <w:sz w:val="24"/>
        </w:rPr>
        <w:t xml:space="preserve">This study </w:t>
      </w:r>
      <w:r w:rsidR="00FF5ED9" w:rsidRPr="00F14751">
        <w:rPr>
          <w:rFonts w:asciiTheme="majorHAnsi" w:hAnsiTheme="majorHAnsi"/>
          <w:sz w:val="24"/>
        </w:rPr>
        <w:t xml:space="preserve">will employ the overall SRI and five sub-indices (trade, financial, tax, privatizations and labor) </w:t>
      </w:r>
      <w:r w:rsidRPr="00F14751">
        <w:rPr>
          <w:rFonts w:asciiTheme="majorHAnsi" w:hAnsiTheme="majorHAnsi"/>
          <w:sz w:val="24"/>
        </w:rPr>
        <w:t>developed by Lora (2012) as</w:t>
      </w:r>
      <w:r w:rsidR="00FF5ED9" w:rsidRPr="00F14751">
        <w:rPr>
          <w:rFonts w:asciiTheme="majorHAnsi" w:hAnsiTheme="majorHAnsi"/>
          <w:sz w:val="24"/>
        </w:rPr>
        <w:t xml:space="preserve"> the indicators of structural reforms. I</w:t>
      </w:r>
      <w:r w:rsidRPr="00F14751">
        <w:rPr>
          <w:rFonts w:asciiTheme="majorHAnsi" w:hAnsiTheme="majorHAnsi"/>
          <w:sz w:val="24"/>
        </w:rPr>
        <w:t xml:space="preserve">n this way, </w:t>
      </w:r>
      <w:r w:rsidR="00A57230">
        <w:rPr>
          <w:rFonts w:asciiTheme="majorHAnsi" w:hAnsiTheme="majorHAnsi"/>
          <w:sz w:val="24"/>
        </w:rPr>
        <w:t>this study focu</w:t>
      </w:r>
      <w:r w:rsidR="00A57230" w:rsidRPr="00F14751">
        <w:rPr>
          <w:rFonts w:asciiTheme="majorHAnsi" w:hAnsiTheme="majorHAnsi"/>
          <w:sz w:val="24"/>
        </w:rPr>
        <w:t>ses</w:t>
      </w:r>
      <w:r w:rsidR="00FF5ED9" w:rsidRPr="00F14751">
        <w:rPr>
          <w:rFonts w:asciiTheme="majorHAnsi" w:hAnsiTheme="majorHAnsi"/>
          <w:sz w:val="24"/>
        </w:rPr>
        <w:t xml:space="preserve"> at the general effects of structural reforms and at the effects of each individual reform area. </w:t>
      </w:r>
      <w:r w:rsidRPr="00F14751">
        <w:rPr>
          <w:rFonts w:asciiTheme="majorHAnsi" w:hAnsiTheme="majorHAnsi"/>
          <w:sz w:val="24"/>
        </w:rPr>
        <w:t>Not at just two or three of the</w:t>
      </w:r>
      <w:r w:rsidR="00DA7522" w:rsidRPr="00F14751">
        <w:rPr>
          <w:rFonts w:asciiTheme="majorHAnsi" w:hAnsiTheme="majorHAnsi"/>
          <w:sz w:val="24"/>
        </w:rPr>
        <w:t xml:space="preserve">m, like </w:t>
      </w:r>
      <w:proofErr w:type="spellStart"/>
      <w:r w:rsidR="00DA7522" w:rsidRPr="00F14751">
        <w:rPr>
          <w:rFonts w:asciiTheme="majorHAnsi" w:hAnsiTheme="majorHAnsi"/>
          <w:sz w:val="24"/>
        </w:rPr>
        <w:t>Székely</w:t>
      </w:r>
      <w:proofErr w:type="spellEnd"/>
      <w:r w:rsidR="00DA7522" w:rsidRPr="00F14751">
        <w:rPr>
          <w:rFonts w:asciiTheme="majorHAnsi" w:hAnsiTheme="majorHAnsi"/>
          <w:sz w:val="24"/>
        </w:rPr>
        <w:t xml:space="preserve"> (2003) and </w:t>
      </w:r>
      <w:proofErr w:type="spellStart"/>
      <w:r w:rsidR="00DA7522" w:rsidRPr="00F14751">
        <w:rPr>
          <w:rFonts w:asciiTheme="majorHAnsi" w:hAnsiTheme="majorHAnsi"/>
          <w:sz w:val="24"/>
        </w:rPr>
        <w:t>Bucci</w:t>
      </w:r>
      <w:r w:rsidRPr="00F14751">
        <w:rPr>
          <w:rFonts w:asciiTheme="majorHAnsi" w:hAnsiTheme="majorHAnsi"/>
          <w:sz w:val="24"/>
        </w:rPr>
        <w:t>fe</w:t>
      </w:r>
      <w:r w:rsidR="00DA7522" w:rsidRPr="00F14751">
        <w:rPr>
          <w:rFonts w:asciiTheme="majorHAnsi" w:hAnsiTheme="majorHAnsi"/>
          <w:sz w:val="24"/>
        </w:rPr>
        <w:t>r</w:t>
      </w:r>
      <w:r w:rsidRPr="00F14751">
        <w:rPr>
          <w:rFonts w:asciiTheme="majorHAnsi" w:hAnsiTheme="majorHAnsi"/>
          <w:sz w:val="24"/>
        </w:rPr>
        <w:t>ro</w:t>
      </w:r>
      <w:proofErr w:type="spellEnd"/>
      <w:r w:rsidRPr="00F14751">
        <w:rPr>
          <w:rFonts w:asciiTheme="majorHAnsi" w:hAnsiTheme="majorHAnsi"/>
          <w:sz w:val="24"/>
        </w:rPr>
        <w:t xml:space="preserve"> (2010), but</w:t>
      </w:r>
      <w:r w:rsidR="004033A5" w:rsidRPr="00F14751">
        <w:rPr>
          <w:rFonts w:asciiTheme="majorHAnsi" w:hAnsiTheme="majorHAnsi"/>
          <w:sz w:val="24"/>
        </w:rPr>
        <w:t xml:space="preserve"> at</w:t>
      </w:r>
      <w:r w:rsidRPr="00F14751">
        <w:rPr>
          <w:rFonts w:asciiTheme="majorHAnsi" w:hAnsiTheme="majorHAnsi"/>
          <w:sz w:val="24"/>
        </w:rPr>
        <w:t xml:space="preserve"> all reform areas. </w:t>
      </w:r>
      <w:r w:rsidR="00BB1B48" w:rsidRPr="00F14751">
        <w:rPr>
          <w:rFonts w:asciiTheme="majorHAnsi" w:hAnsiTheme="majorHAnsi"/>
          <w:sz w:val="24"/>
        </w:rPr>
        <w:t>Ano</w:t>
      </w:r>
      <w:r w:rsidRPr="00F14751">
        <w:rPr>
          <w:rFonts w:asciiTheme="majorHAnsi" w:hAnsiTheme="majorHAnsi"/>
          <w:sz w:val="24"/>
        </w:rPr>
        <w:t>the</w:t>
      </w:r>
      <w:r w:rsidR="00BB1B48" w:rsidRPr="00F14751">
        <w:rPr>
          <w:rFonts w:asciiTheme="majorHAnsi" w:hAnsiTheme="majorHAnsi"/>
          <w:sz w:val="24"/>
        </w:rPr>
        <w:t xml:space="preserve">r improvement is that we use </w:t>
      </w:r>
      <w:r w:rsidR="009A3571" w:rsidRPr="00F14751">
        <w:rPr>
          <w:rFonts w:asciiTheme="majorHAnsi" w:hAnsiTheme="majorHAnsi"/>
          <w:sz w:val="24"/>
        </w:rPr>
        <w:t>a new measure of poverty; the degree of poverty (</w:t>
      </w:r>
      <w:proofErr w:type="spellStart"/>
      <w:r w:rsidR="009A3571" w:rsidRPr="00F14751">
        <w:rPr>
          <w:rFonts w:asciiTheme="majorHAnsi" w:hAnsiTheme="majorHAnsi"/>
          <w:sz w:val="24"/>
        </w:rPr>
        <w:t>DoP</w:t>
      </w:r>
      <w:proofErr w:type="spellEnd"/>
      <w:r w:rsidR="009A3571" w:rsidRPr="00F14751">
        <w:rPr>
          <w:rFonts w:asciiTheme="majorHAnsi" w:hAnsiTheme="majorHAnsi"/>
          <w:sz w:val="24"/>
        </w:rPr>
        <w:t>) r</w:t>
      </w:r>
      <w:r w:rsidR="00BB1B48" w:rsidRPr="00F14751">
        <w:rPr>
          <w:rFonts w:asciiTheme="majorHAnsi" w:hAnsiTheme="majorHAnsi"/>
          <w:sz w:val="24"/>
        </w:rPr>
        <w:t xml:space="preserve">atio. The </w:t>
      </w:r>
      <w:proofErr w:type="spellStart"/>
      <w:r w:rsidR="00BB1B48" w:rsidRPr="00F14751">
        <w:rPr>
          <w:rFonts w:asciiTheme="majorHAnsi" w:hAnsiTheme="majorHAnsi"/>
          <w:sz w:val="24"/>
        </w:rPr>
        <w:t>DoP</w:t>
      </w:r>
      <w:proofErr w:type="spellEnd"/>
      <w:r w:rsidRPr="00F14751">
        <w:rPr>
          <w:rFonts w:asciiTheme="majorHAnsi" w:hAnsiTheme="majorHAnsi"/>
          <w:sz w:val="24"/>
        </w:rPr>
        <w:t xml:space="preserve"> </w:t>
      </w:r>
      <w:r w:rsidR="00B63E09">
        <w:rPr>
          <w:rFonts w:asciiTheme="majorHAnsi" w:hAnsiTheme="majorHAnsi"/>
          <w:sz w:val="24"/>
        </w:rPr>
        <w:t>provides insight in</w:t>
      </w:r>
      <w:r w:rsidRPr="00F14751">
        <w:rPr>
          <w:rFonts w:asciiTheme="majorHAnsi" w:hAnsiTheme="majorHAnsi"/>
          <w:sz w:val="24"/>
        </w:rPr>
        <w:t xml:space="preserve"> both the extent and depth of poverty. Furthermore, </w:t>
      </w:r>
      <w:r w:rsidR="0030438B">
        <w:rPr>
          <w:rFonts w:asciiTheme="majorHAnsi" w:hAnsiTheme="majorHAnsi"/>
          <w:sz w:val="24"/>
        </w:rPr>
        <w:t>this study</w:t>
      </w:r>
      <w:r w:rsidRPr="00F14751">
        <w:rPr>
          <w:rFonts w:asciiTheme="majorHAnsi" w:hAnsiTheme="majorHAnsi"/>
          <w:sz w:val="24"/>
        </w:rPr>
        <w:t xml:space="preserve"> does not only </w:t>
      </w:r>
      <w:r w:rsidR="004033A5" w:rsidRPr="00F14751">
        <w:rPr>
          <w:rFonts w:asciiTheme="majorHAnsi" w:hAnsiTheme="majorHAnsi"/>
          <w:sz w:val="24"/>
        </w:rPr>
        <w:t>evaluate</w:t>
      </w:r>
      <w:r w:rsidRPr="00F14751">
        <w:rPr>
          <w:rFonts w:asciiTheme="majorHAnsi" w:hAnsiTheme="majorHAnsi"/>
          <w:sz w:val="24"/>
        </w:rPr>
        <w:t xml:space="preserve"> the impact on inequality by looking at changes of the Gini coefficient, but also at changes of</w:t>
      </w:r>
      <w:r w:rsidR="004033A5" w:rsidRPr="00F14751">
        <w:rPr>
          <w:rFonts w:asciiTheme="majorHAnsi" w:hAnsiTheme="majorHAnsi"/>
          <w:sz w:val="24"/>
        </w:rPr>
        <w:t xml:space="preserve"> income held by</w:t>
      </w:r>
      <w:r w:rsidRPr="00F14751">
        <w:rPr>
          <w:rFonts w:asciiTheme="majorHAnsi" w:hAnsiTheme="majorHAnsi"/>
          <w:sz w:val="24"/>
        </w:rPr>
        <w:t xml:space="preserve"> deciles and quintiles. In this way </w:t>
      </w:r>
      <w:r w:rsidR="004033A5" w:rsidRPr="00F14751">
        <w:rPr>
          <w:rFonts w:asciiTheme="majorHAnsi" w:hAnsiTheme="majorHAnsi"/>
          <w:sz w:val="24"/>
        </w:rPr>
        <w:t xml:space="preserve">it provides a much more accurate and nuanced picture </w:t>
      </w:r>
      <w:r w:rsidR="0030438B">
        <w:rPr>
          <w:rFonts w:asciiTheme="majorHAnsi" w:hAnsiTheme="majorHAnsi"/>
          <w:sz w:val="24"/>
        </w:rPr>
        <w:t>of</w:t>
      </w:r>
      <w:r w:rsidR="0030438B" w:rsidRPr="00F14751">
        <w:rPr>
          <w:rFonts w:asciiTheme="majorHAnsi" w:hAnsiTheme="majorHAnsi"/>
          <w:sz w:val="24"/>
        </w:rPr>
        <w:t xml:space="preserve"> </w:t>
      </w:r>
      <w:r w:rsidR="004033A5" w:rsidRPr="00F14751">
        <w:rPr>
          <w:rFonts w:asciiTheme="majorHAnsi" w:hAnsiTheme="majorHAnsi"/>
          <w:sz w:val="24"/>
        </w:rPr>
        <w:t xml:space="preserve">the </w:t>
      </w:r>
      <w:r w:rsidR="009A3571" w:rsidRPr="00F14751">
        <w:rPr>
          <w:rFonts w:asciiTheme="majorHAnsi" w:hAnsiTheme="majorHAnsi"/>
          <w:sz w:val="24"/>
        </w:rPr>
        <w:t>distributional</w:t>
      </w:r>
      <w:r w:rsidR="004033A5" w:rsidRPr="00F14751">
        <w:rPr>
          <w:rFonts w:asciiTheme="majorHAnsi" w:hAnsiTheme="majorHAnsi"/>
          <w:sz w:val="24"/>
        </w:rPr>
        <w:t xml:space="preserve"> effects of structural reforms. </w:t>
      </w:r>
      <w:r w:rsidR="00B63E09">
        <w:rPr>
          <w:rFonts w:asciiTheme="majorHAnsi" w:hAnsiTheme="majorHAnsi"/>
          <w:sz w:val="24"/>
        </w:rPr>
        <w:t>Furthermore, this study divides the sample into two groups to examine the effects of structural reforms in high poverty and inequality counties low pov</w:t>
      </w:r>
      <w:r w:rsidR="00973B0D">
        <w:rPr>
          <w:rFonts w:asciiTheme="majorHAnsi" w:hAnsiTheme="majorHAnsi"/>
          <w:sz w:val="24"/>
        </w:rPr>
        <w:t xml:space="preserve">erty and inequality countries. </w:t>
      </w:r>
    </w:p>
    <w:p w14:paraId="20ECE470" w14:textId="77777777" w:rsidR="00E402EA" w:rsidRPr="00E402EA" w:rsidRDefault="00E402EA" w:rsidP="00C8508E">
      <w:pPr>
        <w:pStyle w:val="NoSpacing"/>
        <w:spacing w:line="360" w:lineRule="auto"/>
        <w:jc w:val="both"/>
        <w:rPr>
          <w:rFonts w:asciiTheme="majorHAnsi" w:hAnsiTheme="majorHAnsi"/>
          <w:sz w:val="24"/>
        </w:rPr>
      </w:pPr>
    </w:p>
    <w:p w14:paraId="325E08B1" w14:textId="77777777" w:rsidR="00592218" w:rsidRPr="00F14751" w:rsidRDefault="00592218" w:rsidP="00C8508E">
      <w:pPr>
        <w:pStyle w:val="NoSpacing"/>
        <w:spacing w:line="360" w:lineRule="auto"/>
        <w:jc w:val="both"/>
        <w:rPr>
          <w:rFonts w:asciiTheme="majorHAnsi" w:hAnsiTheme="majorHAnsi"/>
          <w:sz w:val="24"/>
        </w:rPr>
      </w:pPr>
      <w:r w:rsidRPr="00F14751">
        <w:rPr>
          <w:rFonts w:asciiTheme="majorHAnsi" w:hAnsiTheme="majorHAnsi" w:cs="Times New Roman"/>
          <w:b/>
          <w:sz w:val="28"/>
          <w:szCs w:val="24"/>
        </w:rPr>
        <w:t>4. Data Description</w:t>
      </w:r>
    </w:p>
    <w:p w14:paraId="5C803CF9" w14:textId="77777777" w:rsidR="00592218" w:rsidRPr="00F14751" w:rsidRDefault="00592218" w:rsidP="00C8508E">
      <w:pPr>
        <w:pStyle w:val="NoSpacing"/>
        <w:spacing w:line="360" w:lineRule="auto"/>
        <w:jc w:val="both"/>
        <w:rPr>
          <w:rFonts w:asciiTheme="majorHAnsi" w:hAnsiTheme="majorHAnsi" w:cs="Times New Roman"/>
          <w:b/>
          <w:sz w:val="24"/>
          <w:szCs w:val="24"/>
        </w:rPr>
      </w:pPr>
    </w:p>
    <w:p w14:paraId="3EB01205" w14:textId="1A2FBBDF" w:rsidR="00592218"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In order to examine the effect of structural reforms on poverty and inequality </w:t>
      </w:r>
      <w:r w:rsidR="00211887" w:rsidRPr="00F14751">
        <w:rPr>
          <w:rFonts w:asciiTheme="majorHAnsi" w:hAnsiTheme="majorHAnsi" w:cs="Times New Roman"/>
          <w:sz w:val="24"/>
          <w:szCs w:val="24"/>
        </w:rPr>
        <w:t>in Latin America, we construct</w:t>
      </w:r>
      <w:r w:rsidRPr="00F14751">
        <w:rPr>
          <w:rFonts w:asciiTheme="majorHAnsi" w:hAnsiTheme="majorHAnsi" w:cs="Times New Roman"/>
          <w:sz w:val="24"/>
          <w:szCs w:val="24"/>
        </w:rPr>
        <w:t xml:space="preserve"> an annual panel covering 13 </w:t>
      </w:r>
      <w:r w:rsidR="002B4CF4" w:rsidRPr="00F14751">
        <w:rPr>
          <w:rFonts w:asciiTheme="majorHAnsi" w:hAnsiTheme="majorHAnsi" w:cs="Times New Roman"/>
          <w:sz w:val="24"/>
          <w:szCs w:val="24"/>
        </w:rPr>
        <w:t xml:space="preserve">Latin American </w:t>
      </w:r>
      <w:r w:rsidRPr="00F14751">
        <w:rPr>
          <w:rFonts w:asciiTheme="majorHAnsi" w:hAnsiTheme="majorHAnsi" w:cs="Times New Roman"/>
          <w:sz w:val="24"/>
          <w:szCs w:val="24"/>
        </w:rPr>
        <w:t xml:space="preserve">countries (Bolivia, Brazil, Chile, Colombia, Costa Rica, </w:t>
      </w:r>
      <w:r w:rsidR="004E2E6D">
        <w:rPr>
          <w:rFonts w:asciiTheme="majorHAnsi" w:hAnsiTheme="majorHAnsi" w:cs="Times New Roman"/>
          <w:sz w:val="24"/>
          <w:szCs w:val="24"/>
        </w:rPr>
        <w:t xml:space="preserve">the </w:t>
      </w:r>
      <w:r w:rsidRPr="00F14751">
        <w:rPr>
          <w:rFonts w:asciiTheme="majorHAnsi" w:hAnsiTheme="majorHAnsi" w:cs="Times New Roman"/>
          <w:sz w:val="24"/>
          <w:szCs w:val="24"/>
        </w:rPr>
        <w:t>Dominican Republic, Ecuador, El Salvador, Guatemala, Mexico, Paraguay, Peru an</w:t>
      </w:r>
      <w:r w:rsidR="00297970" w:rsidRPr="00F14751">
        <w:rPr>
          <w:rFonts w:asciiTheme="majorHAnsi" w:hAnsiTheme="majorHAnsi" w:cs="Times New Roman"/>
          <w:sz w:val="24"/>
          <w:szCs w:val="24"/>
        </w:rPr>
        <w:t xml:space="preserve">d Uruguay) </w:t>
      </w:r>
      <w:r w:rsidR="0028104F" w:rsidRPr="00F14751">
        <w:rPr>
          <w:rFonts w:asciiTheme="majorHAnsi" w:hAnsiTheme="majorHAnsi" w:cs="Times New Roman"/>
          <w:sz w:val="24"/>
          <w:szCs w:val="24"/>
        </w:rPr>
        <w:t>in</w:t>
      </w:r>
      <w:r w:rsidR="00297970" w:rsidRPr="00F14751">
        <w:rPr>
          <w:rFonts w:asciiTheme="majorHAnsi" w:hAnsiTheme="majorHAnsi" w:cs="Times New Roman"/>
          <w:sz w:val="24"/>
          <w:szCs w:val="24"/>
        </w:rPr>
        <w:t xml:space="preserve"> the period </w:t>
      </w:r>
      <w:r w:rsidR="001C12BB" w:rsidRPr="00F14751">
        <w:rPr>
          <w:rFonts w:asciiTheme="majorHAnsi" w:hAnsiTheme="majorHAnsi" w:cs="Times New Roman"/>
          <w:sz w:val="24"/>
          <w:szCs w:val="24"/>
        </w:rPr>
        <w:t>1985-2</w:t>
      </w:r>
      <w:r w:rsidRPr="00F14751">
        <w:rPr>
          <w:rFonts w:asciiTheme="majorHAnsi" w:hAnsiTheme="majorHAnsi" w:cs="Times New Roman"/>
          <w:sz w:val="24"/>
          <w:szCs w:val="24"/>
        </w:rPr>
        <w:t xml:space="preserve">010. </w:t>
      </w:r>
    </w:p>
    <w:p w14:paraId="03B0236F" w14:textId="77777777" w:rsidR="00DA7522" w:rsidRPr="00973B0D" w:rsidRDefault="00DA7522" w:rsidP="00C8508E">
      <w:pPr>
        <w:pStyle w:val="NoSpacing"/>
        <w:spacing w:line="360" w:lineRule="auto"/>
        <w:jc w:val="both"/>
        <w:rPr>
          <w:rFonts w:asciiTheme="majorHAnsi" w:hAnsiTheme="majorHAnsi" w:cs="Times New Roman"/>
          <w:sz w:val="24"/>
          <w:szCs w:val="24"/>
        </w:rPr>
      </w:pPr>
    </w:p>
    <w:p w14:paraId="174C1618" w14:textId="77777777" w:rsidR="00592218" w:rsidRPr="00F14751" w:rsidRDefault="00592218" w:rsidP="00C8508E">
      <w:pPr>
        <w:pStyle w:val="NoSpacing"/>
        <w:spacing w:line="360" w:lineRule="auto"/>
        <w:jc w:val="both"/>
        <w:rPr>
          <w:rFonts w:asciiTheme="majorHAnsi" w:hAnsiTheme="majorHAnsi" w:cs="Times New Roman"/>
          <w:b/>
          <w:sz w:val="24"/>
          <w:szCs w:val="24"/>
        </w:rPr>
      </w:pPr>
      <w:r w:rsidRPr="00F14751">
        <w:rPr>
          <w:rFonts w:asciiTheme="majorHAnsi" w:hAnsiTheme="majorHAnsi" w:cs="Times New Roman"/>
          <w:b/>
          <w:sz w:val="24"/>
          <w:szCs w:val="24"/>
        </w:rPr>
        <w:t>4.1 Dependent Variables</w:t>
      </w:r>
    </w:p>
    <w:p w14:paraId="5CF8561B" w14:textId="77777777" w:rsidR="004A58B2" w:rsidRPr="00F14751" w:rsidRDefault="004A58B2" w:rsidP="00C8508E">
      <w:pPr>
        <w:pStyle w:val="NoSpacing"/>
        <w:spacing w:line="360" w:lineRule="auto"/>
        <w:jc w:val="both"/>
        <w:rPr>
          <w:rFonts w:asciiTheme="majorHAnsi" w:hAnsiTheme="majorHAnsi" w:cs="Times New Roman"/>
          <w:b/>
          <w:sz w:val="24"/>
          <w:szCs w:val="24"/>
        </w:rPr>
      </w:pPr>
      <w:r w:rsidRPr="00F14751">
        <w:rPr>
          <w:rFonts w:asciiTheme="majorHAnsi" w:hAnsiTheme="majorHAnsi" w:cs="Times New Roman"/>
          <w:sz w:val="24"/>
          <w:szCs w:val="24"/>
        </w:rPr>
        <w:t>The measures of poverty and inequality are the dependent variables in this study. Both are derived from the World Development Indicators</w:t>
      </w:r>
      <w:r w:rsidR="007D1BAF" w:rsidRPr="00F14751">
        <w:rPr>
          <w:rFonts w:asciiTheme="majorHAnsi" w:hAnsiTheme="majorHAnsi" w:cs="Times New Roman"/>
          <w:sz w:val="24"/>
          <w:szCs w:val="24"/>
        </w:rPr>
        <w:t xml:space="preserve"> </w:t>
      </w:r>
      <w:r w:rsidR="001C12BB" w:rsidRPr="00F14751">
        <w:rPr>
          <w:rFonts w:asciiTheme="majorHAnsi" w:hAnsiTheme="majorHAnsi" w:cs="Times New Roman"/>
          <w:sz w:val="24"/>
          <w:szCs w:val="24"/>
        </w:rPr>
        <w:t xml:space="preserve">of the World Bank </w:t>
      </w:r>
      <w:r w:rsidR="007D1BAF" w:rsidRPr="00F14751">
        <w:rPr>
          <w:rFonts w:asciiTheme="majorHAnsi" w:hAnsiTheme="majorHAnsi" w:cs="Times New Roman"/>
          <w:sz w:val="24"/>
          <w:szCs w:val="24"/>
        </w:rPr>
        <w:t>(2015)</w:t>
      </w:r>
      <w:r w:rsidRPr="00F14751">
        <w:rPr>
          <w:rFonts w:asciiTheme="majorHAnsi" w:hAnsiTheme="majorHAnsi" w:cs="Times New Roman"/>
          <w:sz w:val="24"/>
          <w:szCs w:val="24"/>
        </w:rPr>
        <w:t>.</w:t>
      </w:r>
    </w:p>
    <w:p w14:paraId="3E0C3D46" w14:textId="77777777" w:rsidR="004A58B2" w:rsidRPr="00973B0D" w:rsidRDefault="004A58B2" w:rsidP="00C8508E">
      <w:pPr>
        <w:pStyle w:val="NoSpacing"/>
        <w:spacing w:line="360" w:lineRule="auto"/>
        <w:jc w:val="both"/>
        <w:rPr>
          <w:rFonts w:asciiTheme="majorHAnsi" w:hAnsiTheme="majorHAnsi" w:cs="Times New Roman"/>
          <w:sz w:val="24"/>
          <w:szCs w:val="24"/>
        </w:rPr>
      </w:pPr>
    </w:p>
    <w:p w14:paraId="76977CBE" w14:textId="77777777" w:rsidR="004A58B2" w:rsidRPr="00F14751" w:rsidRDefault="004A58B2" w:rsidP="00C8508E">
      <w:pPr>
        <w:pStyle w:val="NoSpacing"/>
        <w:spacing w:line="360" w:lineRule="auto"/>
        <w:jc w:val="both"/>
        <w:rPr>
          <w:rFonts w:asciiTheme="majorHAnsi" w:hAnsiTheme="majorHAnsi" w:cs="Times New Roman"/>
          <w:sz w:val="24"/>
          <w:szCs w:val="24"/>
          <w:u w:val="single"/>
        </w:rPr>
      </w:pPr>
      <w:r w:rsidRPr="00F14751">
        <w:rPr>
          <w:rFonts w:asciiTheme="majorHAnsi" w:hAnsiTheme="majorHAnsi" w:cs="Times New Roman"/>
          <w:sz w:val="24"/>
          <w:szCs w:val="24"/>
          <w:u w:val="single"/>
        </w:rPr>
        <w:t>Measures of Poverty</w:t>
      </w:r>
    </w:p>
    <w:p w14:paraId="2C998ED1" w14:textId="15619924" w:rsidR="000406E7"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The measures of poverty are the</w:t>
      </w:r>
      <w:r w:rsidR="0028104F" w:rsidRPr="00F14751">
        <w:rPr>
          <w:rFonts w:asciiTheme="majorHAnsi" w:hAnsiTheme="majorHAnsi" w:cs="Times New Roman"/>
          <w:sz w:val="24"/>
          <w:szCs w:val="24"/>
        </w:rPr>
        <w:t xml:space="preserve"> poverty headcount ratio (PHR),</w:t>
      </w:r>
      <w:r w:rsidRPr="00F14751">
        <w:rPr>
          <w:rFonts w:asciiTheme="majorHAnsi" w:hAnsiTheme="majorHAnsi" w:cs="Times New Roman"/>
          <w:sz w:val="24"/>
          <w:szCs w:val="24"/>
        </w:rPr>
        <w:t xml:space="preserve"> the poverty gap ratio (PGR)</w:t>
      </w:r>
      <w:r w:rsidR="0028104F" w:rsidRPr="00F14751">
        <w:rPr>
          <w:rFonts w:asciiTheme="majorHAnsi" w:hAnsiTheme="majorHAnsi" w:cs="Times New Roman"/>
          <w:sz w:val="24"/>
          <w:szCs w:val="24"/>
        </w:rPr>
        <w:t xml:space="preserve"> and the degree of poverty ratio (</w:t>
      </w:r>
      <w:proofErr w:type="spellStart"/>
      <w:r w:rsidR="0028104F" w:rsidRPr="00F14751">
        <w:rPr>
          <w:rFonts w:asciiTheme="majorHAnsi" w:hAnsiTheme="majorHAnsi" w:cs="Times New Roman"/>
          <w:sz w:val="24"/>
          <w:szCs w:val="24"/>
        </w:rPr>
        <w:t>DoP</w:t>
      </w:r>
      <w:proofErr w:type="spellEnd"/>
      <w:r w:rsidR="0028104F" w:rsidRPr="00F14751">
        <w:rPr>
          <w:rFonts w:asciiTheme="majorHAnsi" w:hAnsiTheme="majorHAnsi" w:cs="Times New Roman"/>
          <w:sz w:val="24"/>
          <w:szCs w:val="24"/>
        </w:rPr>
        <w:t>)</w:t>
      </w:r>
      <w:r w:rsidRPr="00F14751">
        <w:rPr>
          <w:rFonts w:asciiTheme="majorHAnsi" w:hAnsiTheme="majorHAnsi" w:cs="Times New Roman"/>
          <w:sz w:val="24"/>
          <w:szCs w:val="24"/>
        </w:rPr>
        <w:t>. The PHR</w:t>
      </w:r>
      <w:r w:rsidR="00F21AF9" w:rsidRPr="00F14751">
        <w:rPr>
          <w:rFonts w:asciiTheme="majorHAnsi" w:hAnsiTheme="majorHAnsi" w:cs="Times New Roman"/>
          <w:sz w:val="24"/>
          <w:szCs w:val="24"/>
        </w:rPr>
        <w:t xml:space="preserve"> is </w:t>
      </w:r>
      <w:r w:rsidRPr="00F14751">
        <w:rPr>
          <w:rFonts w:asciiTheme="majorHAnsi" w:hAnsiTheme="majorHAnsi" w:cs="Times New Roman"/>
          <w:sz w:val="24"/>
          <w:szCs w:val="24"/>
        </w:rPr>
        <w:t>t</w:t>
      </w:r>
      <w:r w:rsidR="005C01D8" w:rsidRPr="00F14751">
        <w:rPr>
          <w:rFonts w:asciiTheme="majorHAnsi" w:hAnsiTheme="majorHAnsi" w:cs="Times New Roman"/>
          <w:sz w:val="24"/>
          <w:szCs w:val="24"/>
        </w:rPr>
        <w:t xml:space="preserve">he share of the </w:t>
      </w:r>
      <w:r w:rsidR="00F21AF9" w:rsidRPr="00F14751">
        <w:rPr>
          <w:rFonts w:asciiTheme="majorHAnsi" w:hAnsiTheme="majorHAnsi" w:cs="Times New Roman"/>
          <w:sz w:val="24"/>
          <w:szCs w:val="24"/>
        </w:rPr>
        <w:t xml:space="preserve">total </w:t>
      </w:r>
      <w:r w:rsidR="005C01D8" w:rsidRPr="00F14751">
        <w:rPr>
          <w:rFonts w:asciiTheme="majorHAnsi" w:hAnsiTheme="majorHAnsi" w:cs="Times New Roman"/>
          <w:sz w:val="24"/>
          <w:szCs w:val="24"/>
        </w:rPr>
        <w:t>population considered to be poor</w:t>
      </w:r>
      <w:r w:rsidR="004A58B2" w:rsidRPr="00F14751">
        <w:rPr>
          <w:rFonts w:asciiTheme="majorHAnsi" w:hAnsiTheme="majorHAnsi" w:cs="Times New Roman"/>
          <w:sz w:val="24"/>
          <w:szCs w:val="24"/>
        </w:rPr>
        <w:t>. It</w:t>
      </w:r>
      <w:r w:rsidR="00F21AF9" w:rsidRPr="00F14751">
        <w:rPr>
          <w:rFonts w:asciiTheme="majorHAnsi" w:hAnsiTheme="majorHAnsi" w:cs="Times New Roman"/>
          <w:sz w:val="24"/>
          <w:szCs w:val="24"/>
        </w:rPr>
        <w:t xml:space="preserve"> is </w:t>
      </w:r>
      <w:r w:rsidR="005C01D8" w:rsidRPr="00F14751">
        <w:rPr>
          <w:rFonts w:asciiTheme="majorHAnsi" w:hAnsiTheme="majorHAnsi" w:cs="Times New Roman"/>
          <w:sz w:val="24"/>
          <w:szCs w:val="24"/>
        </w:rPr>
        <w:t xml:space="preserve">defined as the </w:t>
      </w:r>
      <w:r w:rsidR="004A58B2" w:rsidRPr="00F14751">
        <w:rPr>
          <w:rFonts w:asciiTheme="majorHAnsi" w:hAnsiTheme="majorHAnsi" w:cs="Times New Roman"/>
          <w:sz w:val="24"/>
          <w:szCs w:val="24"/>
        </w:rPr>
        <w:t>share</w:t>
      </w:r>
      <w:r w:rsidR="005C01D8" w:rsidRPr="00F14751">
        <w:rPr>
          <w:rFonts w:asciiTheme="majorHAnsi" w:hAnsiTheme="majorHAnsi" w:cs="Times New Roman"/>
          <w:sz w:val="24"/>
          <w:szCs w:val="24"/>
        </w:rPr>
        <w:t xml:space="preserve"> of the </w:t>
      </w:r>
      <w:r w:rsidR="004A58B2" w:rsidRPr="00F14751">
        <w:rPr>
          <w:rFonts w:asciiTheme="majorHAnsi" w:hAnsiTheme="majorHAnsi" w:cs="Times New Roman"/>
          <w:sz w:val="24"/>
          <w:szCs w:val="24"/>
        </w:rPr>
        <w:t xml:space="preserve">total </w:t>
      </w:r>
      <w:r w:rsidR="005C01D8" w:rsidRPr="00F14751">
        <w:rPr>
          <w:rFonts w:asciiTheme="majorHAnsi" w:hAnsiTheme="majorHAnsi" w:cs="Times New Roman"/>
          <w:sz w:val="24"/>
          <w:szCs w:val="24"/>
        </w:rPr>
        <w:t>population whose standard of living is below a poverty line</w:t>
      </w:r>
      <w:r w:rsidR="00F21AF9" w:rsidRPr="00F14751">
        <w:rPr>
          <w:rFonts w:asciiTheme="majorHAnsi" w:hAnsiTheme="majorHAnsi" w:cs="Times New Roman"/>
          <w:sz w:val="24"/>
          <w:szCs w:val="24"/>
        </w:rPr>
        <w:t xml:space="preserve"> ($2 or $1.25 a day at power purchasing parity prices (PPP) at 2005 $US). </w:t>
      </w:r>
      <w:r w:rsidRPr="00F14751">
        <w:rPr>
          <w:rFonts w:asciiTheme="majorHAnsi" w:hAnsiTheme="majorHAnsi" w:cs="Times New Roman"/>
          <w:sz w:val="24"/>
          <w:szCs w:val="24"/>
        </w:rPr>
        <w:t xml:space="preserve">Basically, the PHR counts all the people below the poverty line, in a given population, and considers them equally poor. </w:t>
      </w:r>
      <w:r w:rsidR="008C6C28" w:rsidRPr="00F14751">
        <w:rPr>
          <w:rFonts w:asciiTheme="majorHAnsi" w:hAnsiTheme="majorHAnsi" w:cs="Times New Roman"/>
          <w:sz w:val="24"/>
          <w:szCs w:val="24"/>
        </w:rPr>
        <w:t>The PHR</w:t>
      </w:r>
      <w:r w:rsidR="00140525" w:rsidRPr="00F14751">
        <w:rPr>
          <w:rFonts w:asciiTheme="majorHAnsi" w:hAnsiTheme="majorHAnsi" w:cs="Times New Roman"/>
          <w:sz w:val="24"/>
          <w:szCs w:val="24"/>
        </w:rPr>
        <w:t xml:space="preserve"> is quite useful in addressing overall changes in poverty. </w:t>
      </w:r>
      <w:r w:rsidR="005C01D8" w:rsidRPr="00F14751">
        <w:rPr>
          <w:rFonts w:asciiTheme="majorHAnsi" w:hAnsiTheme="majorHAnsi" w:cs="Times New Roman"/>
          <w:sz w:val="24"/>
          <w:szCs w:val="24"/>
        </w:rPr>
        <w:t xml:space="preserve">However, the main weakness </w:t>
      </w:r>
      <w:r w:rsidR="00140525" w:rsidRPr="00F14751">
        <w:rPr>
          <w:rFonts w:asciiTheme="majorHAnsi" w:hAnsiTheme="majorHAnsi" w:cs="Times New Roman"/>
          <w:sz w:val="24"/>
          <w:szCs w:val="24"/>
        </w:rPr>
        <w:t>of the PHR</w:t>
      </w:r>
      <w:r w:rsidR="005C01D8" w:rsidRPr="00F14751">
        <w:rPr>
          <w:rFonts w:asciiTheme="majorHAnsi" w:hAnsiTheme="majorHAnsi" w:cs="Times New Roman"/>
          <w:sz w:val="24"/>
          <w:szCs w:val="24"/>
        </w:rPr>
        <w:t xml:space="preserve"> is that it only measures changes of income that cross the poverty line and ignores shifts below the poverty line. </w:t>
      </w:r>
      <w:r w:rsidR="00140525" w:rsidRPr="00F14751">
        <w:rPr>
          <w:rFonts w:asciiTheme="majorHAnsi" w:hAnsiTheme="majorHAnsi" w:cs="Times New Roman"/>
          <w:sz w:val="24"/>
          <w:szCs w:val="24"/>
        </w:rPr>
        <w:t xml:space="preserve">Therefore, the PHR does not reflect changes in the income of the poor. The PGR is an improvement over the PHR because it alleviates some of this problem by </w:t>
      </w:r>
      <w:r w:rsidR="008C6C28" w:rsidRPr="00F14751">
        <w:rPr>
          <w:rFonts w:asciiTheme="majorHAnsi" w:hAnsiTheme="majorHAnsi" w:cs="Times New Roman"/>
          <w:sz w:val="24"/>
          <w:szCs w:val="24"/>
        </w:rPr>
        <w:t>estimating the</w:t>
      </w:r>
      <w:r w:rsidR="000406E7" w:rsidRPr="00F14751">
        <w:rPr>
          <w:rFonts w:asciiTheme="majorHAnsi" w:hAnsiTheme="majorHAnsi" w:cs="Times New Roman"/>
          <w:sz w:val="24"/>
          <w:szCs w:val="24"/>
        </w:rPr>
        <w:t xml:space="preserve"> aggregate </w:t>
      </w:r>
      <w:r w:rsidR="00B970E3" w:rsidRPr="00F14751">
        <w:rPr>
          <w:rFonts w:asciiTheme="majorHAnsi" w:hAnsiTheme="majorHAnsi" w:cs="Times New Roman"/>
          <w:sz w:val="24"/>
          <w:szCs w:val="24"/>
        </w:rPr>
        <w:t>extent</w:t>
      </w:r>
      <w:r w:rsidR="000406E7" w:rsidRPr="00F14751">
        <w:rPr>
          <w:rFonts w:asciiTheme="majorHAnsi" w:hAnsiTheme="majorHAnsi" w:cs="Times New Roman"/>
          <w:sz w:val="24"/>
          <w:szCs w:val="24"/>
        </w:rPr>
        <w:t xml:space="preserve"> of poverty relative to the poverty line. </w:t>
      </w:r>
      <w:r w:rsidR="00140525" w:rsidRPr="00F14751">
        <w:rPr>
          <w:rFonts w:asciiTheme="majorHAnsi" w:hAnsiTheme="majorHAnsi" w:cs="Times New Roman"/>
          <w:sz w:val="24"/>
          <w:szCs w:val="24"/>
        </w:rPr>
        <w:t xml:space="preserve">The </w:t>
      </w:r>
      <w:r w:rsidR="008C6C28" w:rsidRPr="00F14751">
        <w:rPr>
          <w:rFonts w:asciiTheme="majorHAnsi" w:hAnsiTheme="majorHAnsi" w:cs="Times New Roman"/>
          <w:sz w:val="24"/>
          <w:szCs w:val="24"/>
        </w:rPr>
        <w:t>PGR measures</w:t>
      </w:r>
      <w:r w:rsidR="00C76CC0" w:rsidRPr="00F14751">
        <w:rPr>
          <w:rFonts w:asciiTheme="majorHAnsi" w:hAnsiTheme="majorHAnsi" w:cs="Times New Roman"/>
          <w:sz w:val="24"/>
          <w:szCs w:val="24"/>
        </w:rPr>
        <w:t xml:space="preserve"> the depth of poverty and </w:t>
      </w:r>
      <w:r w:rsidR="00140525" w:rsidRPr="00F14751">
        <w:rPr>
          <w:rFonts w:asciiTheme="majorHAnsi" w:hAnsiTheme="majorHAnsi" w:cs="Times New Roman"/>
          <w:sz w:val="24"/>
          <w:szCs w:val="24"/>
        </w:rPr>
        <w:t>represents the transfer of income to the poor that would be</w:t>
      </w:r>
      <w:r w:rsidR="000406E7" w:rsidRPr="00F14751">
        <w:rPr>
          <w:rFonts w:asciiTheme="majorHAnsi" w:hAnsiTheme="majorHAnsi" w:cs="Times New Roman"/>
          <w:sz w:val="24"/>
          <w:szCs w:val="24"/>
        </w:rPr>
        <w:t xml:space="preserve"> necessary to eliminate poverty, assuming the $2 or $1.25 poverty line. </w:t>
      </w:r>
      <w:r w:rsidR="00140525" w:rsidRPr="00F14751">
        <w:rPr>
          <w:rFonts w:asciiTheme="majorHAnsi" w:hAnsiTheme="majorHAnsi" w:cs="Times New Roman"/>
          <w:sz w:val="24"/>
          <w:szCs w:val="24"/>
        </w:rPr>
        <w:t xml:space="preserve">The PGR is the simple average of all poverty gaps across the total population. However, the key weakness of the PGR is that it </w:t>
      </w:r>
      <w:r w:rsidR="000406E7" w:rsidRPr="00F14751">
        <w:rPr>
          <w:rFonts w:asciiTheme="majorHAnsi" w:hAnsiTheme="majorHAnsi" w:cs="Times New Roman"/>
          <w:sz w:val="24"/>
          <w:szCs w:val="24"/>
        </w:rPr>
        <w:t>does not say anything about the share of the population that is under the poverty line. Therefore, we construct a third measure of poverty; the degree of poverty ratio (</w:t>
      </w:r>
      <w:proofErr w:type="spellStart"/>
      <w:r w:rsidR="000406E7" w:rsidRPr="00F14751">
        <w:rPr>
          <w:rFonts w:asciiTheme="majorHAnsi" w:hAnsiTheme="majorHAnsi" w:cs="Times New Roman"/>
          <w:sz w:val="24"/>
          <w:szCs w:val="24"/>
        </w:rPr>
        <w:t>DoP</w:t>
      </w:r>
      <w:proofErr w:type="spellEnd"/>
      <w:r w:rsidR="000406E7" w:rsidRPr="00F14751">
        <w:rPr>
          <w:rFonts w:asciiTheme="majorHAnsi" w:hAnsiTheme="majorHAnsi" w:cs="Times New Roman"/>
          <w:sz w:val="24"/>
          <w:szCs w:val="24"/>
        </w:rPr>
        <w:t xml:space="preserve">). This variable covers both the </w:t>
      </w:r>
      <w:r w:rsidR="00B970E3" w:rsidRPr="00F14751">
        <w:rPr>
          <w:rFonts w:asciiTheme="majorHAnsi" w:hAnsiTheme="majorHAnsi" w:cs="Times New Roman"/>
          <w:sz w:val="24"/>
          <w:szCs w:val="24"/>
        </w:rPr>
        <w:t>extent</w:t>
      </w:r>
      <w:r w:rsidR="000406E7" w:rsidRPr="00F14751">
        <w:rPr>
          <w:rFonts w:asciiTheme="majorHAnsi" w:hAnsiTheme="majorHAnsi" w:cs="Times New Roman"/>
          <w:sz w:val="24"/>
          <w:szCs w:val="24"/>
        </w:rPr>
        <w:t xml:space="preserve"> of people living in poverty as the depth of poverty. It is constructed by </w:t>
      </w:r>
      <w:r w:rsidR="00B3691C">
        <w:rPr>
          <w:rFonts w:asciiTheme="majorHAnsi" w:hAnsiTheme="majorHAnsi" w:cs="Times New Roman"/>
          <w:sz w:val="24"/>
          <w:szCs w:val="24"/>
        </w:rPr>
        <w:t xml:space="preserve">simply </w:t>
      </w:r>
      <w:r w:rsidR="000406E7" w:rsidRPr="00F14751">
        <w:rPr>
          <w:rFonts w:asciiTheme="majorHAnsi" w:hAnsiTheme="majorHAnsi" w:cs="Times New Roman"/>
          <w:sz w:val="24"/>
          <w:szCs w:val="24"/>
        </w:rPr>
        <w:t xml:space="preserve">multiplying the PHR with the PGR of the $2 or $1.25 poverty line. The larger the </w:t>
      </w:r>
      <w:proofErr w:type="spellStart"/>
      <w:r w:rsidR="000406E7" w:rsidRPr="00F14751">
        <w:rPr>
          <w:rFonts w:asciiTheme="majorHAnsi" w:hAnsiTheme="majorHAnsi" w:cs="Times New Roman"/>
          <w:sz w:val="24"/>
          <w:szCs w:val="24"/>
        </w:rPr>
        <w:t>DoP</w:t>
      </w:r>
      <w:proofErr w:type="spellEnd"/>
      <w:r w:rsidR="000406E7" w:rsidRPr="00F14751">
        <w:rPr>
          <w:rFonts w:asciiTheme="majorHAnsi" w:hAnsiTheme="majorHAnsi" w:cs="Times New Roman"/>
          <w:sz w:val="24"/>
          <w:szCs w:val="24"/>
        </w:rPr>
        <w:t>, the larger the share of the population living on less than $2 or $1.25 a day, and the further away the poor are fro</w:t>
      </w:r>
      <w:r w:rsidR="00B65A0A">
        <w:rPr>
          <w:rFonts w:asciiTheme="majorHAnsi" w:hAnsiTheme="majorHAnsi" w:cs="Times New Roman"/>
          <w:sz w:val="24"/>
          <w:szCs w:val="24"/>
        </w:rPr>
        <w:t>m the $2 or $1.25 poverty line.</w:t>
      </w:r>
    </w:p>
    <w:p w14:paraId="1A08C344" w14:textId="77777777" w:rsidR="00592218" w:rsidRDefault="00902BFB"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ab/>
      </w:r>
      <w:r w:rsidR="00592218" w:rsidRPr="00F14751">
        <w:rPr>
          <w:rFonts w:asciiTheme="majorHAnsi" w:hAnsiTheme="majorHAnsi" w:cs="Times New Roman"/>
          <w:sz w:val="24"/>
          <w:szCs w:val="24"/>
        </w:rPr>
        <w:t xml:space="preserve">The total number of poverty observations we have is 199. At the beginning of the period (1985), we have observations for only 2 countries, and at the very end of the period (2010) for 9 countries. For all years in between, the number of countries included ranges from 3 to 13.  This is because annual data for each of the 13 countries are not available </w:t>
      </w:r>
      <w:r w:rsidR="00297970" w:rsidRPr="00F14751">
        <w:rPr>
          <w:rFonts w:asciiTheme="majorHAnsi" w:hAnsiTheme="majorHAnsi" w:cs="Times New Roman"/>
          <w:sz w:val="24"/>
          <w:szCs w:val="24"/>
        </w:rPr>
        <w:t>since</w:t>
      </w:r>
      <w:r w:rsidR="00592218" w:rsidRPr="00F14751">
        <w:rPr>
          <w:rFonts w:asciiTheme="majorHAnsi" w:hAnsiTheme="majorHAnsi" w:cs="Times New Roman"/>
          <w:sz w:val="24"/>
          <w:szCs w:val="24"/>
        </w:rPr>
        <w:t xml:space="preserve"> surveys were not conducted in each year. We therefore have an unbalanced panel where the number</w:t>
      </w:r>
      <w:r w:rsidR="0028104F" w:rsidRPr="00F14751">
        <w:rPr>
          <w:rFonts w:asciiTheme="majorHAnsi" w:hAnsiTheme="majorHAnsi" w:cs="Times New Roman"/>
          <w:sz w:val="24"/>
          <w:szCs w:val="24"/>
        </w:rPr>
        <w:t xml:space="preserve"> of observations ranges from </w:t>
      </w:r>
      <w:r w:rsidR="00592218" w:rsidRPr="00F14751">
        <w:rPr>
          <w:rFonts w:asciiTheme="majorHAnsi" w:hAnsiTheme="majorHAnsi" w:cs="Times New Roman"/>
          <w:sz w:val="24"/>
          <w:szCs w:val="24"/>
        </w:rPr>
        <w:t>22</w:t>
      </w:r>
      <w:r w:rsidR="000406E7" w:rsidRPr="00F14751">
        <w:rPr>
          <w:rFonts w:asciiTheme="majorHAnsi" w:hAnsiTheme="majorHAnsi" w:cs="Times New Roman"/>
          <w:sz w:val="24"/>
          <w:szCs w:val="24"/>
        </w:rPr>
        <w:t xml:space="preserve"> for Brazil to 8 for Guatemala.</w:t>
      </w:r>
    </w:p>
    <w:p w14:paraId="5AFA0B36" w14:textId="77777777" w:rsidR="00010FF4" w:rsidRDefault="0042644F" w:rsidP="00C8508E">
      <w:pPr>
        <w:pStyle w:val="NoSpacing"/>
        <w:spacing w:line="360" w:lineRule="auto"/>
        <w:jc w:val="both"/>
        <w:rPr>
          <w:rFonts w:asciiTheme="majorHAnsi" w:hAnsiTheme="majorHAnsi" w:cs="Times New Roman"/>
          <w:sz w:val="24"/>
          <w:szCs w:val="24"/>
        </w:rPr>
      </w:pPr>
      <w:r>
        <w:rPr>
          <w:rFonts w:asciiTheme="majorHAnsi" w:hAnsiTheme="majorHAnsi" w:cs="Times New Roman"/>
          <w:sz w:val="24"/>
          <w:szCs w:val="24"/>
        </w:rPr>
        <w:tab/>
        <w:t xml:space="preserve">The PHRs, PGRs and </w:t>
      </w:r>
      <w:proofErr w:type="spellStart"/>
      <w:r>
        <w:rPr>
          <w:rFonts w:asciiTheme="majorHAnsi" w:hAnsiTheme="majorHAnsi" w:cs="Times New Roman"/>
          <w:sz w:val="24"/>
          <w:szCs w:val="24"/>
        </w:rPr>
        <w:t>DoPs</w:t>
      </w:r>
      <w:proofErr w:type="spellEnd"/>
      <w:r>
        <w:rPr>
          <w:rFonts w:asciiTheme="majorHAnsi" w:hAnsiTheme="majorHAnsi" w:cs="Times New Roman"/>
          <w:sz w:val="24"/>
          <w:szCs w:val="24"/>
        </w:rPr>
        <w:t xml:space="preserve"> move in a very similar pattern (see figure 5 and 6)</w:t>
      </w:r>
      <w:r w:rsidR="002B1FDD">
        <w:rPr>
          <w:rFonts w:asciiTheme="majorHAnsi" w:hAnsiTheme="majorHAnsi" w:cs="Times New Roman"/>
          <w:sz w:val="24"/>
          <w:szCs w:val="24"/>
        </w:rPr>
        <w:t xml:space="preserve"> and w</w:t>
      </w:r>
      <w:r>
        <w:rPr>
          <w:rFonts w:asciiTheme="majorHAnsi" w:hAnsiTheme="majorHAnsi" w:cs="Times New Roman"/>
          <w:sz w:val="24"/>
          <w:szCs w:val="24"/>
        </w:rPr>
        <w:t xml:space="preserve">e will pay attention to this later. Over the sample period, </w:t>
      </w:r>
      <w:r w:rsidR="007842F5" w:rsidRPr="00F14751">
        <w:rPr>
          <w:rFonts w:asciiTheme="majorHAnsi" w:hAnsiTheme="majorHAnsi" w:cs="Times New Roman"/>
          <w:sz w:val="24"/>
          <w:szCs w:val="24"/>
        </w:rPr>
        <w:t>on average 16.</w:t>
      </w:r>
      <w:r w:rsidR="00DA651B">
        <w:rPr>
          <w:rFonts w:asciiTheme="majorHAnsi" w:hAnsiTheme="majorHAnsi" w:cs="Times New Roman"/>
          <w:sz w:val="24"/>
          <w:szCs w:val="24"/>
        </w:rPr>
        <w:t>46</w:t>
      </w:r>
      <w:r w:rsidR="007842F5" w:rsidRPr="00F14751">
        <w:rPr>
          <w:rFonts w:asciiTheme="majorHAnsi" w:hAnsiTheme="majorHAnsi" w:cs="Times New Roman"/>
          <w:sz w:val="24"/>
          <w:szCs w:val="24"/>
        </w:rPr>
        <w:t xml:space="preserve"> </w:t>
      </w:r>
      <w:r w:rsidR="00592218" w:rsidRPr="00F14751">
        <w:rPr>
          <w:rFonts w:asciiTheme="majorHAnsi" w:hAnsiTheme="majorHAnsi" w:cs="Times New Roman"/>
          <w:sz w:val="24"/>
          <w:szCs w:val="24"/>
        </w:rPr>
        <w:t xml:space="preserve">percent of the population lived on less than $2 a day, and </w:t>
      </w:r>
      <w:r w:rsidR="00DA651B">
        <w:rPr>
          <w:rFonts w:asciiTheme="majorHAnsi" w:hAnsiTheme="majorHAnsi" w:cs="Times New Roman"/>
          <w:sz w:val="24"/>
          <w:szCs w:val="24"/>
        </w:rPr>
        <w:t>8.27</w:t>
      </w:r>
      <w:r w:rsidR="00592218" w:rsidRPr="00F14751">
        <w:rPr>
          <w:rFonts w:asciiTheme="majorHAnsi" w:hAnsiTheme="majorHAnsi" w:cs="Times New Roman"/>
          <w:sz w:val="24"/>
          <w:szCs w:val="24"/>
        </w:rPr>
        <w:t xml:space="preserve"> percent lived on less than $1.25 a day. The average PGR ($2) and PGR ($1.25) are </w:t>
      </w:r>
      <w:r w:rsidR="00DA651B">
        <w:rPr>
          <w:rFonts w:asciiTheme="majorHAnsi" w:hAnsiTheme="majorHAnsi" w:cs="Times New Roman"/>
          <w:sz w:val="24"/>
          <w:szCs w:val="24"/>
        </w:rPr>
        <w:t>6.86 and 3.62</w:t>
      </w:r>
      <w:r w:rsidR="00592218" w:rsidRPr="00F14751">
        <w:rPr>
          <w:rFonts w:asciiTheme="majorHAnsi" w:hAnsiTheme="majorHAnsi" w:cs="Times New Roman"/>
          <w:sz w:val="24"/>
          <w:szCs w:val="24"/>
        </w:rPr>
        <w:t xml:space="preserve"> percent</w:t>
      </w:r>
      <w:r w:rsidR="00297970" w:rsidRPr="00F14751">
        <w:rPr>
          <w:rFonts w:asciiTheme="majorHAnsi" w:hAnsiTheme="majorHAnsi" w:cs="Times New Roman"/>
          <w:sz w:val="24"/>
          <w:szCs w:val="24"/>
        </w:rPr>
        <w:t>,</w:t>
      </w:r>
      <w:r w:rsidR="00592218" w:rsidRPr="00F14751">
        <w:rPr>
          <w:rFonts w:asciiTheme="majorHAnsi" w:hAnsiTheme="majorHAnsi" w:cs="Times New Roman"/>
          <w:sz w:val="24"/>
          <w:szCs w:val="24"/>
        </w:rPr>
        <w:t xml:space="preserve"> respectively. The </w:t>
      </w:r>
      <w:r w:rsidR="00793906" w:rsidRPr="00F14751">
        <w:rPr>
          <w:rFonts w:asciiTheme="majorHAnsi" w:hAnsiTheme="majorHAnsi" w:cs="Times New Roman"/>
          <w:sz w:val="24"/>
          <w:szCs w:val="24"/>
        </w:rPr>
        <w:t>measures of poverty fluctuate</w:t>
      </w:r>
      <w:r w:rsidR="00592218" w:rsidRPr="00F14751">
        <w:rPr>
          <w:rFonts w:asciiTheme="majorHAnsi" w:hAnsiTheme="majorHAnsi" w:cs="Times New Roman"/>
          <w:sz w:val="24"/>
          <w:szCs w:val="24"/>
        </w:rPr>
        <w:t xml:space="preserve"> a lot in the first 15 years of the period. However, from 1999 onwards, poverty decline</w:t>
      </w:r>
      <w:r w:rsidR="00297970" w:rsidRPr="00F14751">
        <w:rPr>
          <w:rFonts w:asciiTheme="majorHAnsi" w:hAnsiTheme="majorHAnsi" w:cs="Times New Roman"/>
          <w:sz w:val="24"/>
          <w:szCs w:val="24"/>
        </w:rPr>
        <w:t>s</w:t>
      </w:r>
      <w:r w:rsidR="00592218" w:rsidRPr="00F14751">
        <w:rPr>
          <w:rFonts w:asciiTheme="majorHAnsi" w:hAnsiTheme="majorHAnsi" w:cs="Times New Roman"/>
          <w:sz w:val="24"/>
          <w:szCs w:val="24"/>
        </w:rPr>
        <w:t xml:space="preserve">. The PHR ($2) decreases </w:t>
      </w:r>
      <w:r w:rsidR="00793906" w:rsidRPr="00F14751">
        <w:rPr>
          <w:rFonts w:asciiTheme="majorHAnsi" w:hAnsiTheme="majorHAnsi" w:cs="Times New Roman"/>
          <w:sz w:val="24"/>
          <w:szCs w:val="24"/>
        </w:rPr>
        <w:t>with 15.1</w:t>
      </w:r>
      <w:r w:rsidR="00592218" w:rsidRPr="00F14751">
        <w:rPr>
          <w:rFonts w:asciiTheme="majorHAnsi" w:hAnsiTheme="majorHAnsi" w:cs="Times New Roman"/>
          <w:sz w:val="24"/>
          <w:szCs w:val="24"/>
        </w:rPr>
        <w:t xml:space="preserve"> percent-points from 23.5 percent in 1999 to 8.4 percent in 2010. The PHR ($1.25) declines from 13.7 to 3.2 percent. The PGR ($2) declines from 11.3 to 2.8 percent, and the PGR ($1.25) falls from 6.9 in 1999 to 1.1 percent 2010. </w:t>
      </w:r>
      <w:r>
        <w:rPr>
          <w:rFonts w:asciiTheme="majorHAnsi" w:hAnsiTheme="majorHAnsi" w:cs="Times New Roman"/>
          <w:sz w:val="24"/>
          <w:szCs w:val="24"/>
        </w:rPr>
        <w:t xml:space="preserve">The two </w:t>
      </w:r>
      <w:proofErr w:type="spellStart"/>
      <w:r>
        <w:rPr>
          <w:rFonts w:asciiTheme="majorHAnsi" w:hAnsiTheme="majorHAnsi" w:cs="Times New Roman"/>
          <w:sz w:val="24"/>
          <w:szCs w:val="24"/>
        </w:rPr>
        <w:t>DoPs</w:t>
      </w:r>
      <w:proofErr w:type="spellEnd"/>
      <w:r>
        <w:rPr>
          <w:rFonts w:asciiTheme="majorHAnsi" w:hAnsiTheme="majorHAnsi" w:cs="Times New Roman"/>
          <w:sz w:val="24"/>
          <w:szCs w:val="24"/>
        </w:rPr>
        <w:t xml:space="preserve"> also </w:t>
      </w:r>
      <w:r w:rsidR="000406E7" w:rsidRPr="00F14751">
        <w:rPr>
          <w:rFonts w:asciiTheme="majorHAnsi" w:hAnsiTheme="majorHAnsi" w:cs="Times New Roman"/>
          <w:sz w:val="24"/>
          <w:szCs w:val="24"/>
        </w:rPr>
        <w:t>fluctuate a lot in the 1980s and 1990s. After 2000</w:t>
      </w:r>
      <w:r w:rsidR="00116784" w:rsidRPr="00F14751">
        <w:rPr>
          <w:rFonts w:asciiTheme="majorHAnsi" w:hAnsiTheme="majorHAnsi" w:cs="Times New Roman"/>
          <w:sz w:val="24"/>
          <w:szCs w:val="24"/>
        </w:rPr>
        <w:t>,</w:t>
      </w:r>
      <w:r w:rsidR="000406E7" w:rsidRPr="00F14751">
        <w:rPr>
          <w:rFonts w:asciiTheme="majorHAnsi" w:hAnsiTheme="majorHAnsi" w:cs="Times New Roman"/>
          <w:sz w:val="24"/>
          <w:szCs w:val="24"/>
        </w:rPr>
        <w:t xml:space="preserve"> both </w:t>
      </w:r>
      <w:proofErr w:type="spellStart"/>
      <w:r w:rsidR="000406E7" w:rsidRPr="00F14751">
        <w:rPr>
          <w:rFonts w:asciiTheme="majorHAnsi" w:hAnsiTheme="majorHAnsi" w:cs="Times New Roman"/>
          <w:sz w:val="24"/>
          <w:szCs w:val="24"/>
        </w:rPr>
        <w:t>DoPs</w:t>
      </w:r>
      <w:proofErr w:type="spellEnd"/>
      <w:r w:rsidR="000406E7" w:rsidRPr="00F14751">
        <w:rPr>
          <w:rFonts w:asciiTheme="majorHAnsi" w:hAnsiTheme="majorHAnsi" w:cs="Times New Roman"/>
          <w:sz w:val="24"/>
          <w:szCs w:val="24"/>
        </w:rPr>
        <w:t xml:space="preserve"> decline</w:t>
      </w:r>
      <w:r w:rsidR="004A58B2" w:rsidRPr="00F14751">
        <w:rPr>
          <w:rFonts w:asciiTheme="majorHAnsi" w:hAnsiTheme="majorHAnsi" w:cs="Times New Roman"/>
          <w:sz w:val="24"/>
          <w:szCs w:val="24"/>
        </w:rPr>
        <w:t>.</w:t>
      </w:r>
    </w:p>
    <w:p w14:paraId="4CB1F600" w14:textId="77777777" w:rsidR="00010FF4" w:rsidRDefault="00010FF4" w:rsidP="00C8508E">
      <w:pPr>
        <w:pStyle w:val="NoSpacing"/>
        <w:spacing w:line="360" w:lineRule="auto"/>
        <w:jc w:val="both"/>
        <w:rPr>
          <w:rFonts w:asciiTheme="majorHAnsi" w:hAnsiTheme="majorHAnsi" w:cs="Times New Roman"/>
          <w:sz w:val="24"/>
          <w:szCs w:val="24"/>
        </w:rPr>
      </w:pPr>
    </w:p>
    <w:p w14:paraId="2DB29120" w14:textId="77777777" w:rsidR="00973B0D" w:rsidRDefault="00973B0D">
      <w:pPr>
        <w:rPr>
          <w:rFonts w:asciiTheme="majorHAnsi" w:hAnsiTheme="majorHAnsi" w:cs="Times New Roman"/>
          <w:sz w:val="24"/>
          <w:szCs w:val="24"/>
        </w:rPr>
      </w:pPr>
      <w:r>
        <w:rPr>
          <w:rFonts w:asciiTheme="majorHAnsi" w:hAnsiTheme="majorHAnsi" w:cs="Times New Roman"/>
          <w:sz w:val="24"/>
          <w:szCs w:val="24"/>
        </w:rPr>
        <w:br w:type="page"/>
      </w:r>
    </w:p>
    <w:p w14:paraId="66812F17" w14:textId="52EEC96F" w:rsidR="00592218"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Figure </w:t>
      </w:r>
      <w:r w:rsidR="00895EE5" w:rsidRPr="00F14751">
        <w:rPr>
          <w:rFonts w:asciiTheme="majorHAnsi" w:hAnsiTheme="majorHAnsi" w:cs="Times New Roman"/>
          <w:sz w:val="24"/>
          <w:szCs w:val="24"/>
        </w:rPr>
        <w:t>5</w:t>
      </w:r>
      <w:r w:rsidRPr="00F14751">
        <w:rPr>
          <w:rFonts w:asciiTheme="majorHAnsi" w:hAnsiTheme="majorHAnsi" w:cs="Times New Roman"/>
          <w:sz w:val="24"/>
          <w:szCs w:val="24"/>
        </w:rPr>
        <w:t>: Evolution of the PHR ($2), PHR ($</w:t>
      </w:r>
      <w:r w:rsidR="004B7E3F" w:rsidRPr="00F14751">
        <w:rPr>
          <w:rFonts w:asciiTheme="majorHAnsi" w:hAnsiTheme="majorHAnsi" w:cs="Times New Roman"/>
          <w:sz w:val="24"/>
          <w:szCs w:val="24"/>
        </w:rPr>
        <w:t>1.25), PGR ($2) and PGR ($1.25)</w:t>
      </w:r>
    </w:p>
    <w:p w14:paraId="04F88197" w14:textId="77777777" w:rsidR="00592218"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noProof/>
          <w:sz w:val="24"/>
          <w:szCs w:val="24"/>
          <w:lang w:val="nl-NL" w:eastAsia="nl-NL"/>
        </w:rPr>
        <w:drawing>
          <wp:inline distT="0" distB="0" distL="0" distR="0" wp14:anchorId="5406F0DD" wp14:editId="7A98057F">
            <wp:extent cx="4320000" cy="2700000"/>
            <wp:effectExtent l="0" t="0" r="2349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90377A" w14:textId="77777777" w:rsidR="00592218"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Note: The unweighted (unbalanced </w:t>
      </w:r>
      <w:r w:rsidR="0001621E" w:rsidRPr="00F14751">
        <w:rPr>
          <w:rFonts w:asciiTheme="majorHAnsi" w:hAnsiTheme="majorHAnsi" w:cs="Times New Roman"/>
          <w:sz w:val="24"/>
          <w:szCs w:val="24"/>
        </w:rPr>
        <w:t>panel) average for 13 countries</w:t>
      </w:r>
    </w:p>
    <w:p w14:paraId="637F12CC" w14:textId="77777777" w:rsidR="00E402EA"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Source: World Bank, 2015</w:t>
      </w:r>
    </w:p>
    <w:p w14:paraId="4BF05A08" w14:textId="77777777" w:rsidR="00E402EA" w:rsidRDefault="00E402EA" w:rsidP="00C8508E">
      <w:pPr>
        <w:pStyle w:val="NoSpacing"/>
        <w:spacing w:line="360" w:lineRule="auto"/>
        <w:jc w:val="both"/>
        <w:rPr>
          <w:rFonts w:asciiTheme="majorHAnsi" w:hAnsiTheme="majorHAnsi" w:cs="Times New Roman"/>
          <w:sz w:val="24"/>
          <w:szCs w:val="24"/>
        </w:rPr>
      </w:pPr>
    </w:p>
    <w:p w14:paraId="128AC45A" w14:textId="1D010A2E" w:rsidR="005E400B" w:rsidRPr="007716F7" w:rsidRDefault="00895EE5"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Figure 6</w:t>
      </w:r>
      <w:r w:rsidR="005E400B" w:rsidRPr="00F14751">
        <w:rPr>
          <w:rFonts w:asciiTheme="majorHAnsi" w:hAnsiTheme="majorHAnsi" w:cs="Times New Roman"/>
          <w:sz w:val="24"/>
          <w:szCs w:val="24"/>
        </w:rPr>
        <w:t xml:space="preserve">: Evolution of the </w:t>
      </w:r>
      <w:proofErr w:type="spellStart"/>
      <w:r w:rsidR="007C4152">
        <w:rPr>
          <w:rFonts w:asciiTheme="majorHAnsi" w:hAnsiTheme="majorHAnsi" w:cs="Times New Roman"/>
          <w:sz w:val="24"/>
          <w:szCs w:val="24"/>
        </w:rPr>
        <w:t>DoP</w:t>
      </w:r>
      <w:proofErr w:type="spellEnd"/>
      <w:r w:rsidR="007C4152">
        <w:rPr>
          <w:rFonts w:asciiTheme="majorHAnsi" w:hAnsiTheme="majorHAnsi" w:cs="Times New Roman"/>
          <w:sz w:val="24"/>
          <w:szCs w:val="24"/>
        </w:rPr>
        <w:t xml:space="preserve"> ($2) and </w:t>
      </w:r>
      <w:proofErr w:type="spellStart"/>
      <w:r w:rsidR="007C4152">
        <w:rPr>
          <w:rFonts w:asciiTheme="majorHAnsi" w:hAnsiTheme="majorHAnsi" w:cs="Times New Roman"/>
          <w:sz w:val="24"/>
          <w:szCs w:val="24"/>
        </w:rPr>
        <w:t>DoP</w:t>
      </w:r>
      <w:proofErr w:type="spellEnd"/>
      <w:r w:rsidR="007C4152">
        <w:rPr>
          <w:rFonts w:asciiTheme="majorHAnsi" w:hAnsiTheme="majorHAnsi" w:cs="Times New Roman"/>
          <w:sz w:val="24"/>
          <w:szCs w:val="24"/>
        </w:rPr>
        <w:t xml:space="preserve"> (</w:t>
      </w:r>
      <w:r w:rsidR="00B235BD">
        <w:rPr>
          <w:rFonts w:asciiTheme="majorHAnsi" w:hAnsiTheme="majorHAnsi" w:cs="Times New Roman"/>
          <w:sz w:val="24"/>
          <w:szCs w:val="24"/>
        </w:rPr>
        <w:t xml:space="preserve">$1.25) </w:t>
      </w:r>
      <w:r w:rsidR="00D63D70">
        <w:rPr>
          <w:rFonts w:asciiTheme="majorHAnsi" w:hAnsiTheme="majorHAnsi" w:cs="Times New Roman"/>
          <w:sz w:val="24"/>
          <w:szCs w:val="24"/>
        </w:rPr>
        <w:t>(</w:t>
      </w:r>
      <w:r w:rsidR="00B235BD">
        <w:rPr>
          <w:rFonts w:asciiTheme="majorHAnsi" w:hAnsiTheme="majorHAnsi" w:cs="Times New Roman"/>
          <w:sz w:val="24"/>
          <w:szCs w:val="24"/>
        </w:rPr>
        <w:t>expressed in percentage</w:t>
      </w:r>
      <w:r w:rsidR="00D63D70">
        <w:rPr>
          <w:rFonts w:asciiTheme="majorHAnsi" w:hAnsiTheme="majorHAnsi" w:cs="Times New Roman"/>
          <w:sz w:val="24"/>
          <w:szCs w:val="24"/>
        </w:rPr>
        <w:t>)</w:t>
      </w:r>
    </w:p>
    <w:p w14:paraId="09D95098" w14:textId="4D696FD9" w:rsidR="00732E7D" w:rsidRPr="007C4152" w:rsidRDefault="007C4152" w:rsidP="00C8508E">
      <w:pPr>
        <w:pStyle w:val="NoSpacing"/>
        <w:spacing w:line="360" w:lineRule="auto"/>
        <w:jc w:val="both"/>
        <w:rPr>
          <w:rFonts w:asciiTheme="majorHAnsi" w:hAnsiTheme="majorHAnsi" w:cs="Times New Roman"/>
          <w:sz w:val="24"/>
          <w:szCs w:val="24"/>
        </w:rPr>
      </w:pPr>
      <w:r>
        <w:rPr>
          <w:noProof/>
          <w:lang w:val="nl-NL" w:eastAsia="nl-NL"/>
        </w:rPr>
        <w:drawing>
          <wp:inline distT="0" distB="0" distL="0" distR="0" wp14:anchorId="363E826E" wp14:editId="2097CCC9">
            <wp:extent cx="4320000" cy="2700000"/>
            <wp:effectExtent l="0" t="0" r="23495"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9B7B06" w14:textId="77777777" w:rsidR="005E400B" w:rsidRPr="00F14751" w:rsidRDefault="005E400B"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Note: The unweighted (unbalanced </w:t>
      </w:r>
      <w:r w:rsidR="0001621E" w:rsidRPr="00F14751">
        <w:rPr>
          <w:rFonts w:asciiTheme="majorHAnsi" w:hAnsiTheme="majorHAnsi" w:cs="Times New Roman"/>
          <w:sz w:val="24"/>
          <w:szCs w:val="24"/>
        </w:rPr>
        <w:t>panel) average for 13 countries</w:t>
      </w:r>
    </w:p>
    <w:p w14:paraId="3007CBE6" w14:textId="77777777" w:rsidR="00010FF4" w:rsidRDefault="00116784"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Source: World Bank, 2015</w:t>
      </w:r>
    </w:p>
    <w:p w14:paraId="6D0DA756" w14:textId="77777777" w:rsidR="00010FF4" w:rsidRDefault="00010FF4" w:rsidP="00C8508E">
      <w:pPr>
        <w:pStyle w:val="NoSpacing"/>
        <w:spacing w:line="360" w:lineRule="auto"/>
        <w:jc w:val="both"/>
        <w:rPr>
          <w:rFonts w:asciiTheme="majorHAnsi" w:hAnsiTheme="majorHAnsi" w:cs="Times New Roman"/>
          <w:sz w:val="24"/>
          <w:szCs w:val="24"/>
        </w:rPr>
      </w:pPr>
    </w:p>
    <w:p w14:paraId="7144138F" w14:textId="77777777" w:rsidR="00973B0D" w:rsidRDefault="00973B0D">
      <w:pPr>
        <w:rPr>
          <w:rFonts w:asciiTheme="majorHAnsi" w:hAnsiTheme="majorHAnsi"/>
          <w:sz w:val="24"/>
          <w:szCs w:val="24"/>
          <w:u w:val="single"/>
        </w:rPr>
      </w:pPr>
      <w:r>
        <w:rPr>
          <w:rFonts w:asciiTheme="majorHAnsi" w:hAnsiTheme="majorHAnsi"/>
          <w:sz w:val="24"/>
          <w:szCs w:val="24"/>
          <w:u w:val="single"/>
        </w:rPr>
        <w:br w:type="page"/>
      </w:r>
    </w:p>
    <w:p w14:paraId="23E5CC35" w14:textId="36763E62" w:rsidR="004A58B2" w:rsidRPr="00010FF4" w:rsidRDefault="004A58B2" w:rsidP="00C8508E">
      <w:pPr>
        <w:pStyle w:val="NoSpacing"/>
        <w:spacing w:line="360" w:lineRule="auto"/>
        <w:jc w:val="both"/>
        <w:rPr>
          <w:rFonts w:asciiTheme="majorHAnsi" w:hAnsiTheme="majorHAnsi" w:cs="Times New Roman"/>
          <w:sz w:val="24"/>
          <w:szCs w:val="24"/>
        </w:rPr>
      </w:pPr>
      <w:r w:rsidRPr="002108E7">
        <w:rPr>
          <w:rFonts w:asciiTheme="majorHAnsi" w:hAnsiTheme="majorHAnsi"/>
          <w:sz w:val="24"/>
          <w:szCs w:val="24"/>
          <w:u w:val="single"/>
        </w:rPr>
        <w:t>Measures of Income Inequality</w:t>
      </w:r>
    </w:p>
    <w:p w14:paraId="41D7C839" w14:textId="77777777" w:rsidR="00827DB8"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The measures of inequ</w:t>
      </w:r>
      <w:r w:rsidR="001348F3" w:rsidRPr="00F14751">
        <w:rPr>
          <w:rFonts w:asciiTheme="majorHAnsi" w:hAnsiTheme="majorHAnsi" w:cs="Times New Roman"/>
          <w:sz w:val="24"/>
          <w:szCs w:val="24"/>
        </w:rPr>
        <w:t>ality are the Gini coefficient,</w:t>
      </w:r>
      <w:r w:rsidRPr="00F14751">
        <w:rPr>
          <w:rFonts w:asciiTheme="majorHAnsi" w:hAnsiTheme="majorHAnsi" w:cs="Times New Roman"/>
          <w:sz w:val="24"/>
          <w:szCs w:val="24"/>
        </w:rPr>
        <w:t xml:space="preserve"> the </w:t>
      </w:r>
      <w:r w:rsidR="00814C11" w:rsidRPr="00F14751">
        <w:rPr>
          <w:rFonts w:asciiTheme="majorHAnsi" w:hAnsiTheme="majorHAnsi" w:cs="Times New Roman"/>
          <w:sz w:val="24"/>
          <w:szCs w:val="24"/>
        </w:rPr>
        <w:t xml:space="preserve">percentage share of income held </w:t>
      </w:r>
      <w:r w:rsidRPr="00F14751">
        <w:rPr>
          <w:rFonts w:asciiTheme="majorHAnsi" w:hAnsiTheme="majorHAnsi" w:cs="Times New Roman"/>
          <w:sz w:val="24"/>
          <w:szCs w:val="24"/>
        </w:rPr>
        <w:t xml:space="preserve">by the </w:t>
      </w:r>
      <w:r w:rsidR="00211887" w:rsidRPr="00F14751">
        <w:rPr>
          <w:rFonts w:asciiTheme="majorHAnsi" w:hAnsiTheme="majorHAnsi" w:cs="Times New Roman"/>
          <w:sz w:val="24"/>
          <w:szCs w:val="24"/>
        </w:rPr>
        <w:t>poorest</w:t>
      </w:r>
      <w:r w:rsidR="00827DB8" w:rsidRPr="00F14751">
        <w:rPr>
          <w:rFonts w:asciiTheme="majorHAnsi" w:hAnsiTheme="majorHAnsi" w:cs="Times New Roman"/>
          <w:sz w:val="24"/>
          <w:szCs w:val="24"/>
        </w:rPr>
        <w:t xml:space="preserve"> (D1)</w:t>
      </w:r>
      <w:r w:rsidR="00211887" w:rsidRPr="00F14751">
        <w:rPr>
          <w:rFonts w:asciiTheme="majorHAnsi" w:hAnsiTheme="majorHAnsi" w:cs="Times New Roman"/>
          <w:sz w:val="24"/>
          <w:szCs w:val="24"/>
        </w:rPr>
        <w:t>, s</w:t>
      </w:r>
      <w:r w:rsidR="00350B18" w:rsidRPr="00F14751">
        <w:rPr>
          <w:rFonts w:asciiTheme="majorHAnsi" w:hAnsiTheme="majorHAnsi" w:cs="Times New Roman"/>
          <w:sz w:val="24"/>
          <w:szCs w:val="24"/>
        </w:rPr>
        <w:t>econd</w:t>
      </w:r>
      <w:r w:rsidR="00211887" w:rsidRPr="00F14751">
        <w:rPr>
          <w:rFonts w:asciiTheme="majorHAnsi" w:hAnsiTheme="majorHAnsi" w:cs="Times New Roman"/>
          <w:sz w:val="24"/>
          <w:szCs w:val="24"/>
        </w:rPr>
        <w:t xml:space="preserve"> poorest</w:t>
      </w:r>
      <w:r w:rsidR="00827DB8" w:rsidRPr="00F14751">
        <w:rPr>
          <w:rFonts w:asciiTheme="majorHAnsi" w:hAnsiTheme="majorHAnsi" w:cs="Times New Roman"/>
          <w:sz w:val="24"/>
          <w:szCs w:val="24"/>
        </w:rPr>
        <w:t xml:space="preserve"> (D2)</w:t>
      </w:r>
      <w:r w:rsidR="00211887" w:rsidRPr="00F14751">
        <w:rPr>
          <w:rFonts w:asciiTheme="majorHAnsi" w:hAnsiTheme="majorHAnsi" w:cs="Times New Roman"/>
          <w:sz w:val="24"/>
          <w:szCs w:val="24"/>
        </w:rPr>
        <w:t>, second richest</w:t>
      </w:r>
      <w:r w:rsidR="00827DB8" w:rsidRPr="00F14751">
        <w:rPr>
          <w:rFonts w:asciiTheme="majorHAnsi" w:hAnsiTheme="majorHAnsi" w:cs="Times New Roman"/>
          <w:sz w:val="24"/>
          <w:szCs w:val="24"/>
        </w:rPr>
        <w:t xml:space="preserve"> (D9)</w:t>
      </w:r>
      <w:r w:rsidR="00211887" w:rsidRPr="00F14751">
        <w:rPr>
          <w:rFonts w:asciiTheme="majorHAnsi" w:hAnsiTheme="majorHAnsi" w:cs="Times New Roman"/>
          <w:sz w:val="24"/>
          <w:szCs w:val="24"/>
        </w:rPr>
        <w:t xml:space="preserve"> and richest</w:t>
      </w:r>
      <w:r w:rsidR="00350B18" w:rsidRPr="00F14751">
        <w:rPr>
          <w:rFonts w:asciiTheme="majorHAnsi" w:hAnsiTheme="majorHAnsi" w:cs="Times New Roman"/>
          <w:sz w:val="24"/>
          <w:szCs w:val="24"/>
        </w:rPr>
        <w:t xml:space="preserve"> 10 percent of the population</w:t>
      </w:r>
      <w:r w:rsidR="00827DB8" w:rsidRPr="00F14751">
        <w:rPr>
          <w:rFonts w:asciiTheme="majorHAnsi" w:hAnsiTheme="majorHAnsi" w:cs="Times New Roman"/>
          <w:sz w:val="24"/>
          <w:szCs w:val="24"/>
        </w:rPr>
        <w:t xml:space="preserve"> (D10), </w:t>
      </w:r>
      <w:r w:rsidR="00350B18" w:rsidRPr="00F14751">
        <w:rPr>
          <w:rFonts w:asciiTheme="majorHAnsi" w:hAnsiTheme="majorHAnsi" w:cs="Times New Roman"/>
          <w:sz w:val="24"/>
          <w:szCs w:val="24"/>
        </w:rPr>
        <w:t xml:space="preserve">and the </w:t>
      </w:r>
      <w:r w:rsidR="001348F3" w:rsidRPr="00F14751">
        <w:rPr>
          <w:rFonts w:asciiTheme="majorHAnsi" w:hAnsiTheme="majorHAnsi" w:cs="Times New Roman"/>
          <w:sz w:val="24"/>
          <w:szCs w:val="24"/>
        </w:rPr>
        <w:t>poorest</w:t>
      </w:r>
      <w:r w:rsidR="00827DB8" w:rsidRPr="00F14751">
        <w:rPr>
          <w:rFonts w:asciiTheme="majorHAnsi" w:hAnsiTheme="majorHAnsi" w:cs="Times New Roman"/>
          <w:sz w:val="24"/>
          <w:szCs w:val="24"/>
        </w:rPr>
        <w:t xml:space="preserve"> (Q1)</w:t>
      </w:r>
      <w:r w:rsidR="00E0478B" w:rsidRPr="00F14751">
        <w:rPr>
          <w:rFonts w:asciiTheme="majorHAnsi" w:hAnsiTheme="majorHAnsi" w:cs="Times New Roman"/>
          <w:sz w:val="24"/>
          <w:szCs w:val="24"/>
        </w:rPr>
        <w:t>,</w:t>
      </w:r>
      <w:r w:rsidR="00350B18" w:rsidRPr="00F14751">
        <w:rPr>
          <w:rFonts w:asciiTheme="majorHAnsi" w:hAnsiTheme="majorHAnsi" w:cs="Times New Roman"/>
          <w:sz w:val="24"/>
          <w:szCs w:val="24"/>
        </w:rPr>
        <w:t xml:space="preserve"> </w:t>
      </w:r>
      <w:r w:rsidRPr="00F14751">
        <w:rPr>
          <w:rFonts w:asciiTheme="majorHAnsi" w:hAnsiTheme="majorHAnsi" w:cs="Times New Roman"/>
          <w:sz w:val="24"/>
          <w:szCs w:val="24"/>
        </w:rPr>
        <w:t>second</w:t>
      </w:r>
      <w:r w:rsidR="00827DB8" w:rsidRPr="00F14751">
        <w:rPr>
          <w:rFonts w:asciiTheme="majorHAnsi" w:hAnsiTheme="majorHAnsi" w:cs="Times New Roman"/>
          <w:sz w:val="24"/>
          <w:szCs w:val="24"/>
        </w:rPr>
        <w:t xml:space="preserve"> (Q2)</w:t>
      </w:r>
      <w:r w:rsidRPr="00F14751">
        <w:rPr>
          <w:rFonts w:asciiTheme="majorHAnsi" w:hAnsiTheme="majorHAnsi" w:cs="Times New Roman"/>
          <w:sz w:val="24"/>
          <w:szCs w:val="24"/>
        </w:rPr>
        <w:t>, third</w:t>
      </w:r>
      <w:r w:rsidR="00827DB8" w:rsidRPr="00F14751">
        <w:rPr>
          <w:rFonts w:asciiTheme="majorHAnsi" w:hAnsiTheme="majorHAnsi" w:cs="Times New Roman"/>
          <w:sz w:val="24"/>
          <w:szCs w:val="24"/>
        </w:rPr>
        <w:t xml:space="preserve"> (Q3)</w:t>
      </w:r>
      <w:r w:rsidRPr="00F14751">
        <w:rPr>
          <w:rFonts w:asciiTheme="majorHAnsi" w:hAnsiTheme="majorHAnsi" w:cs="Times New Roman"/>
          <w:sz w:val="24"/>
          <w:szCs w:val="24"/>
        </w:rPr>
        <w:t>, fourth</w:t>
      </w:r>
      <w:r w:rsidR="00827DB8" w:rsidRPr="00F14751">
        <w:rPr>
          <w:rFonts w:asciiTheme="majorHAnsi" w:hAnsiTheme="majorHAnsi" w:cs="Times New Roman"/>
          <w:sz w:val="24"/>
          <w:szCs w:val="24"/>
        </w:rPr>
        <w:t xml:space="preserve"> (Q4)</w:t>
      </w:r>
      <w:r w:rsidRPr="00F14751">
        <w:rPr>
          <w:rFonts w:asciiTheme="majorHAnsi" w:hAnsiTheme="majorHAnsi" w:cs="Times New Roman"/>
          <w:sz w:val="24"/>
          <w:szCs w:val="24"/>
        </w:rPr>
        <w:t xml:space="preserve"> and </w:t>
      </w:r>
      <w:r w:rsidR="00350B18" w:rsidRPr="00F14751">
        <w:rPr>
          <w:rFonts w:asciiTheme="majorHAnsi" w:hAnsiTheme="majorHAnsi" w:cs="Times New Roman"/>
          <w:sz w:val="24"/>
          <w:szCs w:val="24"/>
        </w:rPr>
        <w:t>richest</w:t>
      </w:r>
      <w:r w:rsidRPr="00F14751">
        <w:rPr>
          <w:rFonts w:asciiTheme="majorHAnsi" w:hAnsiTheme="majorHAnsi" w:cs="Times New Roman"/>
          <w:sz w:val="24"/>
          <w:szCs w:val="24"/>
        </w:rPr>
        <w:t xml:space="preserve"> 20 percent of the population</w:t>
      </w:r>
      <w:r w:rsidR="00827DB8" w:rsidRPr="00F14751">
        <w:rPr>
          <w:rFonts w:asciiTheme="majorHAnsi" w:hAnsiTheme="majorHAnsi" w:cs="Times New Roman"/>
          <w:sz w:val="24"/>
          <w:szCs w:val="24"/>
        </w:rPr>
        <w:t xml:space="preserve"> (Q5)</w:t>
      </w:r>
      <w:r w:rsidRPr="00F14751">
        <w:rPr>
          <w:rFonts w:asciiTheme="majorHAnsi" w:hAnsiTheme="majorHAnsi" w:cs="Times New Roman"/>
          <w:sz w:val="24"/>
          <w:szCs w:val="24"/>
        </w:rPr>
        <w:t xml:space="preserve">. </w:t>
      </w:r>
    </w:p>
    <w:p w14:paraId="0E290AAD" w14:textId="77777777" w:rsidR="00827DB8" w:rsidRPr="00F14751" w:rsidRDefault="00592218" w:rsidP="00C8508E">
      <w:pPr>
        <w:pStyle w:val="NoSpacing"/>
        <w:spacing w:line="360" w:lineRule="auto"/>
        <w:ind w:firstLine="708"/>
        <w:jc w:val="both"/>
        <w:rPr>
          <w:rFonts w:asciiTheme="majorHAnsi" w:hAnsiTheme="majorHAnsi" w:cs="Times New Roman"/>
          <w:sz w:val="24"/>
          <w:szCs w:val="24"/>
        </w:rPr>
      </w:pPr>
      <w:r w:rsidRPr="00F14751">
        <w:rPr>
          <w:rFonts w:asciiTheme="majorHAnsi" w:hAnsiTheme="majorHAnsi" w:cs="Times New Roman"/>
          <w:sz w:val="24"/>
          <w:szCs w:val="24"/>
        </w:rPr>
        <w:t xml:space="preserve">The Gini coefficient is the standard measure of income inequality and measures </w:t>
      </w:r>
      <w:r w:rsidR="00723890" w:rsidRPr="00F14751">
        <w:rPr>
          <w:rFonts w:asciiTheme="majorHAnsi" w:hAnsiTheme="majorHAnsi" w:cs="Times New Roman"/>
          <w:sz w:val="24"/>
          <w:szCs w:val="24"/>
        </w:rPr>
        <w:t>to what</w:t>
      </w:r>
      <w:r w:rsidRPr="00F14751">
        <w:rPr>
          <w:rFonts w:asciiTheme="majorHAnsi" w:hAnsiTheme="majorHAnsi" w:cs="Times New Roman"/>
          <w:sz w:val="24"/>
          <w:szCs w:val="24"/>
        </w:rPr>
        <w:t xml:space="preserve"> extent the distribution of income among individuals within an economy deviates from a perfectly equal distribution. The Gini coefficient is based on the Lorenz curve. In the Lorenz curve, the cumulative percentage of income held by shares of society appears on the y axis, whereas the percentage of the population holding the particular income share appears on the x axis. The 45-degree line denotes perfect income equality (e.g. 10% of the population holds 10% of the national income). The Gini coefficient measures the area between the Lorenz curve and the 45-degree line of absolute equality and is expressed as a percentage of the maximum area under the line. A Gini coefficient of zero represents perfect equality, while a Gini coefficient of 100 implies perfect income inequality (World Bank, 2015). </w:t>
      </w:r>
    </w:p>
    <w:p w14:paraId="578B4BC3" w14:textId="344720E5" w:rsidR="009107AA" w:rsidRPr="00F14751" w:rsidRDefault="00827DB8" w:rsidP="00C8508E">
      <w:pPr>
        <w:pStyle w:val="NoSpacing"/>
        <w:spacing w:line="360" w:lineRule="auto"/>
        <w:ind w:firstLine="708"/>
        <w:jc w:val="both"/>
        <w:rPr>
          <w:rFonts w:asciiTheme="majorHAnsi" w:hAnsiTheme="majorHAnsi" w:cs="Times New Roman"/>
          <w:sz w:val="24"/>
          <w:szCs w:val="24"/>
        </w:rPr>
      </w:pPr>
      <w:r w:rsidRPr="00F14751">
        <w:rPr>
          <w:rFonts w:asciiTheme="majorHAnsi" w:hAnsiTheme="majorHAnsi" w:cs="Times New Roman"/>
          <w:sz w:val="24"/>
          <w:szCs w:val="24"/>
        </w:rPr>
        <w:t>The main reason we use the deciles</w:t>
      </w:r>
      <w:r w:rsidR="008C6C28" w:rsidRPr="00F14751">
        <w:rPr>
          <w:rFonts w:asciiTheme="majorHAnsi" w:hAnsiTheme="majorHAnsi" w:cs="Times New Roman"/>
          <w:sz w:val="24"/>
          <w:szCs w:val="24"/>
        </w:rPr>
        <w:t xml:space="preserve"> (D1, D2, D9 and D10</w:t>
      </w:r>
      <w:r w:rsidRPr="00F14751">
        <w:rPr>
          <w:rFonts w:asciiTheme="majorHAnsi" w:hAnsiTheme="majorHAnsi" w:cs="Times New Roman"/>
          <w:sz w:val="24"/>
          <w:szCs w:val="24"/>
        </w:rPr>
        <w:t xml:space="preserve">) and quintiles (Q1, Q2, Q3, Q4 and Q5) is because they give a much more nuanced and accurate picture of the distribution of income than the Gini coefficient. Particularly </w:t>
      </w:r>
      <w:r w:rsidR="009107AA" w:rsidRPr="00F14751">
        <w:rPr>
          <w:rFonts w:asciiTheme="majorHAnsi" w:hAnsiTheme="majorHAnsi" w:cs="Times New Roman"/>
          <w:sz w:val="24"/>
          <w:szCs w:val="24"/>
        </w:rPr>
        <w:t xml:space="preserve">on </w:t>
      </w:r>
      <w:r w:rsidRPr="00F14751">
        <w:rPr>
          <w:rFonts w:asciiTheme="majorHAnsi" w:hAnsiTheme="majorHAnsi" w:cs="Times New Roman"/>
          <w:sz w:val="24"/>
          <w:szCs w:val="24"/>
        </w:rPr>
        <w:t xml:space="preserve">the income shares held by poorest and second </w:t>
      </w:r>
      <w:r w:rsidR="004E2E6D">
        <w:rPr>
          <w:rFonts w:asciiTheme="majorHAnsi" w:hAnsiTheme="majorHAnsi" w:cs="Times New Roman"/>
          <w:sz w:val="24"/>
          <w:szCs w:val="24"/>
        </w:rPr>
        <w:t xml:space="preserve">poorest </w:t>
      </w:r>
      <w:r w:rsidRPr="00F14751">
        <w:rPr>
          <w:rFonts w:asciiTheme="majorHAnsi" w:hAnsiTheme="majorHAnsi" w:cs="Times New Roman"/>
          <w:sz w:val="24"/>
          <w:szCs w:val="24"/>
        </w:rPr>
        <w:t>10 percent of the population</w:t>
      </w:r>
      <w:r w:rsidR="009107AA" w:rsidRPr="00F14751">
        <w:rPr>
          <w:rFonts w:asciiTheme="majorHAnsi" w:hAnsiTheme="majorHAnsi" w:cs="Times New Roman"/>
          <w:sz w:val="24"/>
          <w:szCs w:val="24"/>
        </w:rPr>
        <w:t>.</w:t>
      </w:r>
    </w:p>
    <w:p w14:paraId="15E66B88" w14:textId="77777777" w:rsidR="00814C11" w:rsidRDefault="00592218" w:rsidP="00C8508E">
      <w:pPr>
        <w:pStyle w:val="NoSpacing"/>
        <w:spacing w:line="360" w:lineRule="auto"/>
        <w:ind w:firstLine="708"/>
        <w:jc w:val="both"/>
        <w:rPr>
          <w:rFonts w:asciiTheme="majorHAnsi" w:hAnsiTheme="majorHAnsi" w:cs="Times New Roman"/>
          <w:sz w:val="24"/>
          <w:szCs w:val="24"/>
        </w:rPr>
      </w:pPr>
      <w:r w:rsidRPr="00F14751">
        <w:rPr>
          <w:rFonts w:asciiTheme="majorHAnsi" w:hAnsiTheme="majorHAnsi" w:cs="Times New Roman"/>
          <w:sz w:val="24"/>
          <w:szCs w:val="24"/>
        </w:rPr>
        <w:t>The total number of inequality observations we have is 198 for the Gini coefficient and 199 for the</w:t>
      </w:r>
      <w:r w:rsidR="00E0478B" w:rsidRPr="00F14751">
        <w:rPr>
          <w:rFonts w:asciiTheme="majorHAnsi" w:hAnsiTheme="majorHAnsi" w:cs="Times New Roman"/>
          <w:sz w:val="24"/>
          <w:szCs w:val="24"/>
        </w:rPr>
        <w:t xml:space="preserve"> deciles and</w:t>
      </w:r>
      <w:r w:rsidRPr="00F14751">
        <w:rPr>
          <w:rFonts w:asciiTheme="majorHAnsi" w:hAnsiTheme="majorHAnsi" w:cs="Times New Roman"/>
          <w:sz w:val="24"/>
          <w:szCs w:val="24"/>
        </w:rPr>
        <w:t xml:space="preserve"> quintiles. Similar to poverty surveys, inequality surveys were not conducted in each year. Therefore, the number of countries included differs per year. At the beginning of the period, we have observations for only 2 countries, and at the end of the period for 9 countries. For all years in between, the number of countries included ranges from 3 to 13. </w:t>
      </w:r>
      <w:r w:rsidR="00814C11" w:rsidRPr="00F14751">
        <w:rPr>
          <w:rFonts w:asciiTheme="majorHAnsi" w:hAnsiTheme="majorHAnsi" w:cs="Times New Roman"/>
          <w:sz w:val="24"/>
          <w:szCs w:val="24"/>
        </w:rPr>
        <w:t>We have an unbalanced panel where the number of observation ranges from 8 for Guatemala to 22 for Brazil.</w:t>
      </w:r>
    </w:p>
    <w:p w14:paraId="593783D5" w14:textId="45DA1F6B" w:rsidR="00010FF4" w:rsidRDefault="00FD5B5A" w:rsidP="00C8508E">
      <w:pPr>
        <w:pStyle w:val="NoSpacing"/>
        <w:spacing w:line="360" w:lineRule="auto"/>
        <w:ind w:firstLine="708"/>
        <w:jc w:val="both"/>
        <w:rPr>
          <w:rFonts w:asciiTheme="majorHAnsi" w:hAnsiTheme="majorHAnsi" w:cs="Times New Roman"/>
          <w:sz w:val="24"/>
          <w:szCs w:val="24"/>
        </w:rPr>
      </w:pPr>
      <w:r>
        <w:rPr>
          <w:rFonts w:asciiTheme="majorHAnsi" w:hAnsiTheme="majorHAnsi" w:cs="Times New Roman"/>
          <w:sz w:val="24"/>
          <w:szCs w:val="24"/>
        </w:rPr>
        <w:t xml:space="preserve">From 1985 to 2010, the average Gini-coefficient of the sample is 51.73. </w:t>
      </w:r>
      <w:r w:rsidRPr="00F14751">
        <w:rPr>
          <w:rFonts w:asciiTheme="majorHAnsi" w:hAnsiTheme="majorHAnsi" w:cs="Times New Roman"/>
          <w:sz w:val="24"/>
          <w:szCs w:val="24"/>
        </w:rPr>
        <w:t>In the 1980s and 1990s, the Gini coefficient fluctuates. After that, it shows a declining trend. From 1999 to 2010, the Gini coefficient decreases with 7.4 points from 55.6 to 48</w:t>
      </w:r>
      <w:r>
        <w:rPr>
          <w:rFonts w:asciiTheme="majorHAnsi" w:hAnsiTheme="majorHAnsi" w:cs="Times New Roman"/>
          <w:sz w:val="24"/>
          <w:szCs w:val="24"/>
        </w:rPr>
        <w:t>.2 and thus ine</w:t>
      </w:r>
      <w:r w:rsidR="00010FF4">
        <w:rPr>
          <w:rFonts w:asciiTheme="majorHAnsi" w:hAnsiTheme="majorHAnsi" w:cs="Times New Roman"/>
          <w:sz w:val="24"/>
          <w:szCs w:val="24"/>
        </w:rPr>
        <w:t>quality declines (see figure 7).</w:t>
      </w:r>
    </w:p>
    <w:p w14:paraId="4242BC86" w14:textId="77777777" w:rsidR="00B63E09" w:rsidRDefault="00B63E09" w:rsidP="00B63E09">
      <w:pPr>
        <w:pStyle w:val="NoSpacing"/>
        <w:spacing w:line="360" w:lineRule="auto"/>
        <w:ind w:firstLine="708"/>
        <w:jc w:val="both"/>
        <w:rPr>
          <w:rFonts w:asciiTheme="majorHAnsi" w:hAnsiTheme="majorHAnsi" w:cs="Times New Roman"/>
          <w:sz w:val="24"/>
          <w:szCs w:val="24"/>
        </w:rPr>
      </w:pPr>
      <w:r>
        <w:rPr>
          <w:rFonts w:asciiTheme="majorHAnsi" w:hAnsiTheme="majorHAnsi" w:cs="Times New Roman"/>
          <w:sz w:val="24"/>
          <w:szCs w:val="24"/>
        </w:rPr>
        <w:t>Over the sample period, D1 and D2 move</w:t>
      </w:r>
      <w:r w:rsidRPr="00F14751">
        <w:rPr>
          <w:rFonts w:asciiTheme="majorHAnsi" w:hAnsiTheme="majorHAnsi" w:cs="Times New Roman"/>
          <w:sz w:val="24"/>
          <w:szCs w:val="24"/>
        </w:rPr>
        <w:t xml:space="preserve"> in a very similar pattern</w:t>
      </w:r>
      <w:r>
        <w:rPr>
          <w:rFonts w:asciiTheme="majorHAnsi" w:hAnsiTheme="majorHAnsi" w:cs="Times New Roman"/>
          <w:sz w:val="24"/>
          <w:szCs w:val="24"/>
        </w:rPr>
        <w:t xml:space="preserve"> (see figure 8) and w</w:t>
      </w:r>
      <w:r w:rsidRPr="00F14751">
        <w:rPr>
          <w:rFonts w:asciiTheme="majorHAnsi" w:hAnsiTheme="majorHAnsi" w:cs="Times New Roman"/>
          <w:sz w:val="24"/>
          <w:szCs w:val="24"/>
        </w:rPr>
        <w:t xml:space="preserve">e will come back to this later. From 1985 to 2000, </w:t>
      </w:r>
      <w:r>
        <w:rPr>
          <w:rFonts w:asciiTheme="majorHAnsi" w:hAnsiTheme="majorHAnsi" w:cs="Times New Roman"/>
          <w:sz w:val="24"/>
          <w:szCs w:val="24"/>
        </w:rPr>
        <w:t>D1 and D2</w:t>
      </w:r>
      <w:r w:rsidRPr="00F14751">
        <w:rPr>
          <w:rFonts w:asciiTheme="majorHAnsi" w:hAnsiTheme="majorHAnsi" w:cs="Times New Roman"/>
          <w:sz w:val="24"/>
          <w:szCs w:val="24"/>
        </w:rPr>
        <w:t xml:space="preserve"> fluctuate a lot. </w:t>
      </w:r>
      <w:r>
        <w:rPr>
          <w:rFonts w:asciiTheme="majorHAnsi" w:hAnsiTheme="majorHAnsi" w:cs="Times New Roman"/>
          <w:sz w:val="24"/>
          <w:szCs w:val="24"/>
        </w:rPr>
        <w:t>D1</w:t>
      </w:r>
      <w:r w:rsidRPr="00F14751">
        <w:rPr>
          <w:rFonts w:asciiTheme="majorHAnsi" w:hAnsiTheme="majorHAnsi" w:cs="Times New Roman"/>
          <w:sz w:val="24"/>
          <w:szCs w:val="24"/>
        </w:rPr>
        <w:t xml:space="preserve"> fluctuates between 1 and 1.5 percent, while </w:t>
      </w:r>
      <w:r>
        <w:rPr>
          <w:rFonts w:asciiTheme="majorHAnsi" w:hAnsiTheme="majorHAnsi" w:cs="Times New Roman"/>
          <w:sz w:val="24"/>
          <w:szCs w:val="24"/>
        </w:rPr>
        <w:t>D2</w:t>
      </w:r>
      <w:r w:rsidRPr="00F14751">
        <w:rPr>
          <w:rFonts w:asciiTheme="majorHAnsi" w:hAnsiTheme="majorHAnsi" w:cs="Times New Roman"/>
          <w:sz w:val="24"/>
          <w:szCs w:val="24"/>
        </w:rPr>
        <w:t xml:space="preserve"> fluctuates between 2 and 2.5 percent. After 2000, the income shares of both deciles rise. From 2000 to 2010, </w:t>
      </w:r>
      <w:r>
        <w:rPr>
          <w:rFonts w:asciiTheme="majorHAnsi" w:hAnsiTheme="majorHAnsi" w:cs="Times New Roman"/>
          <w:sz w:val="24"/>
          <w:szCs w:val="24"/>
        </w:rPr>
        <w:t>D1</w:t>
      </w:r>
      <w:r w:rsidRPr="00F14751">
        <w:rPr>
          <w:rFonts w:asciiTheme="majorHAnsi" w:hAnsiTheme="majorHAnsi" w:cs="Times New Roman"/>
          <w:sz w:val="24"/>
          <w:szCs w:val="24"/>
        </w:rPr>
        <w:t xml:space="preserve"> increases</w:t>
      </w:r>
      <w:r>
        <w:rPr>
          <w:rFonts w:asciiTheme="majorHAnsi" w:hAnsiTheme="majorHAnsi" w:cs="Times New Roman"/>
          <w:sz w:val="24"/>
          <w:szCs w:val="24"/>
        </w:rPr>
        <w:t xml:space="preserve"> from 0.98 to 1.58 percent and D2</w:t>
      </w:r>
      <w:r w:rsidRPr="00F14751">
        <w:rPr>
          <w:rFonts w:asciiTheme="majorHAnsi" w:hAnsiTheme="majorHAnsi" w:cs="Times New Roman"/>
          <w:sz w:val="24"/>
          <w:szCs w:val="24"/>
        </w:rPr>
        <w:t xml:space="preserve"> rises from 2.18 to 2.78 percent.</w:t>
      </w:r>
      <w:r>
        <w:rPr>
          <w:rFonts w:asciiTheme="majorHAnsi" w:hAnsiTheme="majorHAnsi" w:cs="Times New Roman"/>
          <w:sz w:val="24"/>
          <w:szCs w:val="24"/>
        </w:rPr>
        <w:t xml:space="preserve"> </w:t>
      </w:r>
    </w:p>
    <w:p w14:paraId="10446EFD" w14:textId="154729AA" w:rsidR="00B63E09" w:rsidRDefault="00B63E09" w:rsidP="00B63E09">
      <w:pPr>
        <w:pStyle w:val="NoSpacing"/>
        <w:spacing w:line="360" w:lineRule="auto"/>
        <w:ind w:firstLine="708"/>
        <w:jc w:val="both"/>
        <w:rPr>
          <w:rFonts w:asciiTheme="majorHAnsi" w:hAnsiTheme="majorHAnsi" w:cs="Times New Roman"/>
          <w:sz w:val="24"/>
          <w:szCs w:val="24"/>
        </w:rPr>
      </w:pPr>
      <w:r>
        <w:rPr>
          <w:rFonts w:asciiTheme="majorHAnsi" w:hAnsiTheme="majorHAnsi" w:cs="Times New Roman"/>
          <w:sz w:val="24"/>
          <w:szCs w:val="24"/>
        </w:rPr>
        <w:t xml:space="preserve">Looking at the income distribution of the whole population, from 1985 to 2010, about 56.35 percent of total income was held by the richest quintile of the population (see figure 9). In contrast, the poorest quintile only held 3.56 (!) percent of total income. From 2000 onwards, the difference between D5 and the other deciles declines. This is mainly because of the share of income held by the richest 10 percent decreases. The income held by the rest of the population slightly increase. </w:t>
      </w:r>
      <w:r w:rsidRPr="00F14751">
        <w:rPr>
          <w:rFonts w:asciiTheme="majorHAnsi" w:hAnsiTheme="majorHAnsi" w:cs="Times New Roman"/>
          <w:sz w:val="24"/>
          <w:szCs w:val="24"/>
        </w:rPr>
        <w:t>As a result, income is spread more evenly among the population. This corresponds with the decrease in the Gini coefficient.</w:t>
      </w:r>
    </w:p>
    <w:p w14:paraId="30723A73" w14:textId="77777777" w:rsidR="00B63E09" w:rsidRPr="00B63E09" w:rsidRDefault="00B63E09" w:rsidP="00B63E09">
      <w:pPr>
        <w:pStyle w:val="NoSpacing"/>
        <w:spacing w:line="360" w:lineRule="auto"/>
        <w:rPr>
          <w:rFonts w:asciiTheme="majorHAnsi" w:hAnsiTheme="majorHAnsi"/>
          <w:sz w:val="24"/>
        </w:rPr>
      </w:pPr>
    </w:p>
    <w:p w14:paraId="2B13599D" w14:textId="305605A6" w:rsidR="00010FF4" w:rsidRPr="00B63E09" w:rsidRDefault="00010FF4" w:rsidP="00B63E09">
      <w:pPr>
        <w:pStyle w:val="NoSpacing"/>
        <w:spacing w:line="360" w:lineRule="auto"/>
        <w:rPr>
          <w:rFonts w:asciiTheme="majorHAnsi" w:hAnsiTheme="majorHAnsi"/>
          <w:sz w:val="24"/>
        </w:rPr>
      </w:pPr>
      <w:r w:rsidRPr="00B63E09">
        <w:rPr>
          <w:rFonts w:asciiTheme="majorHAnsi" w:hAnsiTheme="majorHAnsi"/>
          <w:sz w:val="24"/>
        </w:rPr>
        <w:t>Figure 7: Evolution of the Gini coefficient</w:t>
      </w:r>
    </w:p>
    <w:p w14:paraId="2061B13B" w14:textId="31537ED6" w:rsidR="00010FF4" w:rsidRPr="00B63E09" w:rsidRDefault="00010FF4" w:rsidP="00B63E09">
      <w:pPr>
        <w:pStyle w:val="NoSpacing"/>
        <w:spacing w:line="360" w:lineRule="auto"/>
        <w:rPr>
          <w:rFonts w:asciiTheme="majorHAnsi" w:hAnsiTheme="majorHAnsi"/>
          <w:sz w:val="24"/>
        </w:rPr>
      </w:pPr>
      <w:r w:rsidRPr="00B63E09">
        <w:rPr>
          <w:rFonts w:asciiTheme="majorHAnsi" w:hAnsiTheme="majorHAnsi"/>
          <w:noProof/>
          <w:sz w:val="24"/>
          <w:lang w:val="nl-NL" w:eastAsia="nl-NL"/>
        </w:rPr>
        <w:drawing>
          <wp:inline distT="0" distB="0" distL="0" distR="0" wp14:anchorId="6B359D93" wp14:editId="3A83A577">
            <wp:extent cx="4320000" cy="2700000"/>
            <wp:effectExtent l="0" t="0" r="23495"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66F92C" w14:textId="77777777" w:rsidR="00010FF4" w:rsidRPr="00B63E09" w:rsidRDefault="00010FF4" w:rsidP="00B63E09">
      <w:pPr>
        <w:pStyle w:val="NoSpacing"/>
        <w:spacing w:line="360" w:lineRule="auto"/>
        <w:rPr>
          <w:rFonts w:asciiTheme="majorHAnsi" w:hAnsiTheme="majorHAnsi"/>
          <w:sz w:val="24"/>
        </w:rPr>
      </w:pPr>
      <w:r w:rsidRPr="00B63E09">
        <w:rPr>
          <w:rFonts w:asciiTheme="majorHAnsi" w:hAnsiTheme="majorHAnsi"/>
          <w:sz w:val="24"/>
        </w:rPr>
        <w:t>Note: The unweighted (unbalanced panel) average for 13 countries</w:t>
      </w:r>
    </w:p>
    <w:p w14:paraId="5AAA3B6B" w14:textId="77777777" w:rsidR="00973B0D" w:rsidRDefault="00973B0D" w:rsidP="00973B0D">
      <w:pPr>
        <w:pStyle w:val="NoSpacing"/>
        <w:spacing w:line="360" w:lineRule="auto"/>
        <w:rPr>
          <w:rFonts w:asciiTheme="majorHAnsi" w:hAnsiTheme="majorHAnsi"/>
          <w:sz w:val="24"/>
        </w:rPr>
      </w:pPr>
      <w:r>
        <w:rPr>
          <w:rFonts w:asciiTheme="majorHAnsi" w:hAnsiTheme="majorHAnsi"/>
          <w:sz w:val="24"/>
        </w:rPr>
        <w:t xml:space="preserve">Source: World Bank, 2015 </w:t>
      </w:r>
    </w:p>
    <w:p w14:paraId="24FB7028" w14:textId="77777777" w:rsidR="00973B0D" w:rsidRDefault="00973B0D">
      <w:pPr>
        <w:rPr>
          <w:rFonts w:asciiTheme="majorHAnsi" w:hAnsiTheme="majorHAnsi"/>
          <w:sz w:val="24"/>
        </w:rPr>
      </w:pPr>
      <w:r>
        <w:rPr>
          <w:rFonts w:asciiTheme="majorHAnsi" w:hAnsiTheme="majorHAnsi"/>
          <w:sz w:val="24"/>
        </w:rPr>
        <w:br w:type="page"/>
      </w:r>
    </w:p>
    <w:p w14:paraId="33C6BFB1" w14:textId="4FB67035" w:rsidR="00601B43" w:rsidRPr="00010FF4" w:rsidRDefault="00814C11" w:rsidP="00973B0D">
      <w:pPr>
        <w:pStyle w:val="NoSpacing"/>
        <w:spacing w:line="360" w:lineRule="auto"/>
        <w:rPr>
          <w:rFonts w:asciiTheme="majorHAnsi" w:hAnsiTheme="majorHAnsi"/>
          <w:sz w:val="24"/>
        </w:rPr>
      </w:pPr>
      <w:r w:rsidRPr="00010FF4">
        <w:rPr>
          <w:rFonts w:asciiTheme="majorHAnsi" w:hAnsiTheme="majorHAnsi"/>
          <w:sz w:val="24"/>
        </w:rPr>
        <w:t xml:space="preserve">Figure </w:t>
      </w:r>
      <w:r w:rsidR="00895EE5" w:rsidRPr="00010FF4">
        <w:rPr>
          <w:rFonts w:asciiTheme="majorHAnsi" w:hAnsiTheme="majorHAnsi"/>
          <w:sz w:val="24"/>
        </w:rPr>
        <w:t>8</w:t>
      </w:r>
      <w:r w:rsidR="00601B43" w:rsidRPr="00010FF4">
        <w:rPr>
          <w:rFonts w:asciiTheme="majorHAnsi" w:hAnsiTheme="majorHAnsi"/>
          <w:sz w:val="24"/>
        </w:rPr>
        <w:t xml:space="preserve">: </w:t>
      </w:r>
      <w:r w:rsidR="00802335" w:rsidRPr="00010FF4">
        <w:rPr>
          <w:rFonts w:asciiTheme="majorHAnsi" w:hAnsiTheme="majorHAnsi"/>
          <w:sz w:val="24"/>
        </w:rPr>
        <w:t>Evolution of D1 and D2</w:t>
      </w:r>
    </w:p>
    <w:p w14:paraId="6AB4C4F0" w14:textId="671ACE50" w:rsidR="00601B43" w:rsidRPr="00010FF4" w:rsidRDefault="00732E7D" w:rsidP="00C8508E">
      <w:pPr>
        <w:pStyle w:val="NoSpacing"/>
        <w:spacing w:line="360" w:lineRule="auto"/>
        <w:jc w:val="both"/>
        <w:rPr>
          <w:rFonts w:asciiTheme="majorHAnsi" w:hAnsiTheme="majorHAnsi"/>
          <w:sz w:val="24"/>
        </w:rPr>
      </w:pPr>
      <w:r w:rsidRPr="00010FF4">
        <w:rPr>
          <w:rFonts w:asciiTheme="majorHAnsi" w:hAnsiTheme="majorHAnsi"/>
          <w:noProof/>
          <w:sz w:val="24"/>
          <w:lang w:val="nl-NL" w:eastAsia="nl-NL"/>
        </w:rPr>
        <w:drawing>
          <wp:inline distT="0" distB="0" distL="0" distR="0" wp14:anchorId="6167E8B6" wp14:editId="676FA16B">
            <wp:extent cx="4320000" cy="2520000"/>
            <wp:effectExtent l="0" t="0" r="2349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F40AA6" w14:textId="58E41265" w:rsidR="00601B43" w:rsidRPr="00010FF4" w:rsidRDefault="00601B43" w:rsidP="00C8508E">
      <w:pPr>
        <w:pStyle w:val="NoSpacing"/>
        <w:spacing w:line="360" w:lineRule="auto"/>
        <w:jc w:val="both"/>
        <w:rPr>
          <w:rFonts w:asciiTheme="majorHAnsi" w:hAnsiTheme="majorHAnsi"/>
          <w:sz w:val="24"/>
        </w:rPr>
      </w:pPr>
      <w:r w:rsidRPr="00010FF4">
        <w:rPr>
          <w:rFonts w:asciiTheme="majorHAnsi" w:hAnsiTheme="majorHAnsi"/>
          <w:sz w:val="24"/>
        </w:rPr>
        <w:t xml:space="preserve">Note: The unweighted (unbalanced </w:t>
      </w:r>
      <w:r w:rsidR="002B1FDD" w:rsidRPr="00010FF4">
        <w:rPr>
          <w:rFonts w:asciiTheme="majorHAnsi" w:hAnsiTheme="majorHAnsi"/>
          <w:sz w:val="24"/>
        </w:rPr>
        <w:t>panel) average for 13 countries</w:t>
      </w:r>
    </w:p>
    <w:p w14:paraId="25E3D46E" w14:textId="77777777" w:rsidR="00010FF4" w:rsidRPr="00010FF4" w:rsidRDefault="00AB15E1" w:rsidP="00C8508E">
      <w:pPr>
        <w:pStyle w:val="NoSpacing"/>
        <w:spacing w:line="360" w:lineRule="auto"/>
        <w:jc w:val="both"/>
        <w:rPr>
          <w:rFonts w:asciiTheme="majorHAnsi" w:hAnsiTheme="majorHAnsi"/>
        </w:rPr>
      </w:pPr>
      <w:r w:rsidRPr="00010FF4">
        <w:rPr>
          <w:rFonts w:asciiTheme="majorHAnsi" w:hAnsiTheme="majorHAnsi"/>
          <w:sz w:val="24"/>
        </w:rPr>
        <w:t>Source: World Bank, 2015</w:t>
      </w:r>
    </w:p>
    <w:p w14:paraId="6D896E25" w14:textId="77777777" w:rsidR="00010FF4" w:rsidRDefault="00010FF4" w:rsidP="00C8508E">
      <w:pPr>
        <w:pStyle w:val="NoSpacing"/>
        <w:spacing w:line="360" w:lineRule="auto"/>
        <w:jc w:val="both"/>
        <w:rPr>
          <w:rFonts w:asciiTheme="majorHAnsi" w:hAnsiTheme="majorHAnsi" w:cs="Times New Roman"/>
          <w:sz w:val="24"/>
          <w:szCs w:val="24"/>
        </w:rPr>
      </w:pPr>
    </w:p>
    <w:p w14:paraId="76115329" w14:textId="2AA4844B" w:rsidR="00592218" w:rsidRPr="00973B0D" w:rsidRDefault="00814C11" w:rsidP="00973B0D">
      <w:pPr>
        <w:pStyle w:val="NoSpacing"/>
        <w:spacing w:line="360" w:lineRule="auto"/>
        <w:rPr>
          <w:rFonts w:asciiTheme="majorHAnsi" w:hAnsiTheme="majorHAnsi"/>
          <w:sz w:val="24"/>
        </w:rPr>
      </w:pPr>
      <w:r w:rsidRPr="00973B0D">
        <w:rPr>
          <w:rFonts w:asciiTheme="majorHAnsi" w:hAnsiTheme="majorHAnsi"/>
          <w:sz w:val="24"/>
        </w:rPr>
        <w:t xml:space="preserve">Figure </w:t>
      </w:r>
      <w:r w:rsidR="00895EE5" w:rsidRPr="00973B0D">
        <w:rPr>
          <w:rFonts w:asciiTheme="majorHAnsi" w:hAnsiTheme="majorHAnsi"/>
          <w:sz w:val="24"/>
        </w:rPr>
        <w:t>9</w:t>
      </w:r>
      <w:r w:rsidR="00592218" w:rsidRPr="00973B0D">
        <w:rPr>
          <w:rFonts w:asciiTheme="majorHAnsi" w:hAnsiTheme="majorHAnsi"/>
          <w:sz w:val="24"/>
        </w:rPr>
        <w:t xml:space="preserve">: Evolution of </w:t>
      </w:r>
      <w:r w:rsidR="00802335" w:rsidRPr="00973B0D">
        <w:rPr>
          <w:rFonts w:asciiTheme="majorHAnsi" w:hAnsiTheme="majorHAnsi"/>
          <w:sz w:val="24"/>
        </w:rPr>
        <w:t>Q1, Q2, Q3</w:t>
      </w:r>
      <w:r w:rsidR="002B1FDD" w:rsidRPr="00973B0D">
        <w:rPr>
          <w:rFonts w:asciiTheme="majorHAnsi" w:hAnsiTheme="majorHAnsi"/>
          <w:sz w:val="24"/>
        </w:rPr>
        <w:t>, Q4 and Q5</w:t>
      </w:r>
    </w:p>
    <w:p w14:paraId="1505A906" w14:textId="23E35A17" w:rsidR="007C4152" w:rsidRPr="00973B0D" w:rsidRDefault="007C4152" w:rsidP="00973B0D">
      <w:pPr>
        <w:pStyle w:val="NoSpacing"/>
        <w:spacing w:line="360" w:lineRule="auto"/>
        <w:rPr>
          <w:rFonts w:asciiTheme="majorHAnsi" w:hAnsiTheme="majorHAnsi"/>
          <w:i/>
          <w:sz w:val="24"/>
        </w:rPr>
      </w:pPr>
      <w:r w:rsidRPr="00973B0D">
        <w:rPr>
          <w:rFonts w:asciiTheme="majorHAnsi" w:hAnsiTheme="majorHAnsi"/>
          <w:noProof/>
          <w:sz w:val="24"/>
          <w:lang w:val="nl-NL" w:eastAsia="nl-NL"/>
        </w:rPr>
        <w:drawing>
          <wp:inline distT="0" distB="0" distL="0" distR="0" wp14:anchorId="6403D894" wp14:editId="129D0F9B">
            <wp:extent cx="4320000" cy="2700000"/>
            <wp:effectExtent l="0" t="0" r="23495" b="247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B03A6B" w14:textId="77777777" w:rsidR="00DA7522" w:rsidRPr="00973B0D" w:rsidRDefault="00592218" w:rsidP="00973B0D">
      <w:pPr>
        <w:pStyle w:val="NoSpacing"/>
        <w:spacing w:line="360" w:lineRule="auto"/>
        <w:rPr>
          <w:rFonts w:asciiTheme="majorHAnsi" w:hAnsiTheme="majorHAnsi"/>
          <w:sz w:val="24"/>
        </w:rPr>
      </w:pPr>
      <w:r w:rsidRPr="00973B0D">
        <w:rPr>
          <w:rFonts w:asciiTheme="majorHAnsi" w:hAnsiTheme="majorHAnsi"/>
          <w:sz w:val="24"/>
        </w:rPr>
        <w:t xml:space="preserve">Note: The unweighted (unbalanced </w:t>
      </w:r>
      <w:r w:rsidR="00DA7522" w:rsidRPr="00973B0D">
        <w:rPr>
          <w:rFonts w:asciiTheme="majorHAnsi" w:hAnsiTheme="majorHAnsi"/>
          <w:sz w:val="24"/>
        </w:rPr>
        <w:t>panel) average for 13 countries</w:t>
      </w:r>
    </w:p>
    <w:p w14:paraId="10FE4E8A" w14:textId="77777777" w:rsidR="00010FF4" w:rsidRPr="00973B0D" w:rsidRDefault="00951F98" w:rsidP="00973B0D">
      <w:pPr>
        <w:pStyle w:val="NoSpacing"/>
        <w:spacing w:line="360" w:lineRule="auto"/>
        <w:rPr>
          <w:rFonts w:asciiTheme="majorHAnsi" w:hAnsiTheme="majorHAnsi"/>
          <w:sz w:val="24"/>
        </w:rPr>
      </w:pPr>
      <w:r w:rsidRPr="00973B0D">
        <w:rPr>
          <w:rFonts w:asciiTheme="majorHAnsi" w:hAnsiTheme="majorHAnsi"/>
          <w:sz w:val="24"/>
        </w:rPr>
        <w:t>Source: World Bank, 2015</w:t>
      </w:r>
      <w:r w:rsidR="00CC182A" w:rsidRPr="00973B0D">
        <w:rPr>
          <w:rFonts w:asciiTheme="majorHAnsi" w:hAnsiTheme="majorHAnsi"/>
          <w:sz w:val="24"/>
        </w:rPr>
        <w:t xml:space="preserve"> </w:t>
      </w:r>
    </w:p>
    <w:p w14:paraId="7A257C22" w14:textId="77777777" w:rsidR="00E402EA" w:rsidRDefault="00E402EA" w:rsidP="00C8508E">
      <w:pPr>
        <w:pStyle w:val="NoSpacing"/>
        <w:spacing w:line="360" w:lineRule="auto"/>
        <w:jc w:val="both"/>
        <w:rPr>
          <w:rFonts w:asciiTheme="majorHAnsi" w:hAnsiTheme="majorHAnsi"/>
          <w:b/>
          <w:sz w:val="24"/>
        </w:rPr>
      </w:pPr>
    </w:p>
    <w:p w14:paraId="7C2F032C" w14:textId="0717B823" w:rsidR="00902BFB" w:rsidRPr="00010FF4" w:rsidRDefault="00902BFB" w:rsidP="00C8508E">
      <w:pPr>
        <w:pStyle w:val="NoSpacing"/>
        <w:spacing w:line="360" w:lineRule="auto"/>
        <w:jc w:val="both"/>
        <w:rPr>
          <w:rFonts w:asciiTheme="majorHAnsi" w:hAnsiTheme="majorHAnsi" w:cs="Times New Roman"/>
          <w:sz w:val="24"/>
          <w:szCs w:val="24"/>
        </w:rPr>
      </w:pPr>
      <w:r w:rsidRPr="002108E7">
        <w:rPr>
          <w:rFonts w:asciiTheme="majorHAnsi" w:hAnsiTheme="majorHAnsi"/>
          <w:b/>
          <w:sz w:val="24"/>
        </w:rPr>
        <w:t xml:space="preserve">4.2 </w:t>
      </w:r>
      <w:r w:rsidR="00AF5AA9" w:rsidRPr="002108E7">
        <w:rPr>
          <w:rFonts w:asciiTheme="majorHAnsi" w:hAnsiTheme="majorHAnsi"/>
          <w:b/>
          <w:sz w:val="24"/>
        </w:rPr>
        <w:t>Main Independent Variables</w:t>
      </w:r>
    </w:p>
    <w:p w14:paraId="3299BA21" w14:textId="77777777" w:rsidR="00902BFB" w:rsidRPr="00F14751" w:rsidRDefault="00902BFB" w:rsidP="00C8508E">
      <w:pPr>
        <w:pStyle w:val="NoSpacing"/>
        <w:spacing w:line="360" w:lineRule="auto"/>
        <w:jc w:val="both"/>
        <w:rPr>
          <w:rFonts w:asciiTheme="majorHAnsi" w:hAnsiTheme="majorHAnsi"/>
          <w:sz w:val="24"/>
        </w:rPr>
      </w:pPr>
      <w:r w:rsidRPr="00F14751">
        <w:rPr>
          <w:rFonts w:asciiTheme="majorHAnsi" w:hAnsiTheme="majorHAnsi"/>
          <w:sz w:val="24"/>
        </w:rPr>
        <w:t xml:space="preserve">The </w:t>
      </w:r>
      <w:r w:rsidR="00FA76FE" w:rsidRPr="00F14751">
        <w:rPr>
          <w:rFonts w:asciiTheme="majorHAnsi" w:hAnsiTheme="majorHAnsi"/>
          <w:sz w:val="24"/>
        </w:rPr>
        <w:t>independent</w:t>
      </w:r>
      <w:r w:rsidRPr="00F14751">
        <w:rPr>
          <w:rFonts w:asciiTheme="majorHAnsi" w:hAnsiTheme="majorHAnsi"/>
          <w:sz w:val="24"/>
        </w:rPr>
        <w:t xml:space="preserve"> variable we are most interested in is the measure of structural reforms: the Structural Reform Index (SRI). </w:t>
      </w:r>
      <w:r w:rsidR="001F5295" w:rsidRPr="00F14751">
        <w:rPr>
          <w:rFonts w:asciiTheme="majorHAnsi" w:hAnsiTheme="majorHAnsi"/>
          <w:sz w:val="24"/>
        </w:rPr>
        <w:t xml:space="preserve">The SRI is developed by Lora (2012) and reflects </w:t>
      </w:r>
      <w:r w:rsidR="00E85D1B" w:rsidRPr="00F14751">
        <w:rPr>
          <w:rFonts w:asciiTheme="majorHAnsi" w:hAnsiTheme="majorHAnsi"/>
          <w:sz w:val="24"/>
        </w:rPr>
        <w:t>the evolution</w:t>
      </w:r>
      <w:r w:rsidRPr="00F14751">
        <w:rPr>
          <w:rFonts w:asciiTheme="majorHAnsi" w:hAnsiTheme="majorHAnsi"/>
          <w:sz w:val="24"/>
        </w:rPr>
        <w:t xml:space="preserve"> of five reform areas; trade policy, financial policy, tax policy, privatizations and labor legislation. </w:t>
      </w:r>
      <w:r w:rsidR="001C23C3" w:rsidRPr="00F14751">
        <w:rPr>
          <w:rFonts w:asciiTheme="majorHAnsi" w:hAnsiTheme="majorHAnsi"/>
          <w:sz w:val="24"/>
        </w:rPr>
        <w:t xml:space="preserve">The indicators in each are intended to measure the degree of openness and neutrality of economic policies, under the assumption that the central focus of the reforms is to facilitate the </w:t>
      </w:r>
      <w:r w:rsidR="0016207A" w:rsidRPr="00F14751">
        <w:rPr>
          <w:rFonts w:asciiTheme="majorHAnsi" w:hAnsiTheme="majorHAnsi"/>
          <w:sz w:val="24"/>
        </w:rPr>
        <w:t xml:space="preserve">working </w:t>
      </w:r>
      <w:r w:rsidR="001C23C3" w:rsidRPr="00F14751">
        <w:rPr>
          <w:rFonts w:asciiTheme="majorHAnsi" w:hAnsiTheme="majorHAnsi"/>
          <w:sz w:val="24"/>
        </w:rPr>
        <w:t xml:space="preserve">of markets and remove controls on the allocation of productive resources. </w:t>
      </w:r>
      <w:r w:rsidR="00A31DFB" w:rsidRPr="00F14751">
        <w:rPr>
          <w:rFonts w:asciiTheme="majorHAnsi" w:hAnsiTheme="majorHAnsi"/>
          <w:sz w:val="24"/>
        </w:rPr>
        <w:t xml:space="preserve">The SRI measures how favorable policies in trade, financial, tax, privatization and labor areas are for the proper working of markets. </w:t>
      </w:r>
      <w:r w:rsidR="001C23C3" w:rsidRPr="00F14751">
        <w:rPr>
          <w:rFonts w:asciiTheme="majorHAnsi" w:hAnsiTheme="majorHAnsi"/>
          <w:sz w:val="24"/>
        </w:rPr>
        <w:t xml:space="preserve">The indicator ranges from 0 to 1 for each policy variable. </w:t>
      </w:r>
      <w:r w:rsidRPr="00F14751">
        <w:rPr>
          <w:rFonts w:asciiTheme="majorHAnsi" w:hAnsiTheme="majorHAnsi"/>
          <w:sz w:val="24"/>
        </w:rPr>
        <w:t>The SRI is the simple average of the indexes of the fi</w:t>
      </w:r>
      <w:r w:rsidR="001C23C3" w:rsidRPr="00F14751">
        <w:rPr>
          <w:rFonts w:asciiTheme="majorHAnsi" w:hAnsiTheme="majorHAnsi"/>
          <w:sz w:val="24"/>
        </w:rPr>
        <w:t>ve areas, which are in turn the s</w:t>
      </w:r>
      <w:r w:rsidRPr="00F14751">
        <w:rPr>
          <w:rFonts w:asciiTheme="majorHAnsi" w:hAnsiTheme="majorHAnsi"/>
          <w:sz w:val="24"/>
        </w:rPr>
        <w:t xml:space="preserve">imple average of the indexes for the policy variables considered. The trade reform index is the average of two sub-components: average tariffs and tariff dispersion. Financial reform index is the average four sub-indexes: bank reserve ratios, freedom of interest, taxes on financial transactions, and quality of banking supervision. Tax reform </w:t>
      </w:r>
      <w:r w:rsidR="00AF5AA9" w:rsidRPr="00F14751">
        <w:rPr>
          <w:rFonts w:asciiTheme="majorHAnsi" w:hAnsiTheme="majorHAnsi"/>
          <w:sz w:val="24"/>
        </w:rPr>
        <w:t>index has five</w:t>
      </w:r>
      <w:r w:rsidRPr="00F14751">
        <w:rPr>
          <w:rFonts w:asciiTheme="majorHAnsi" w:hAnsiTheme="majorHAnsi"/>
          <w:sz w:val="24"/>
        </w:rPr>
        <w:t xml:space="preserve"> sub-components: maximum marginal rate of corporate income tax, maximum marginal rate of personal income tax, productivity of income taxes, basic rate of value added tax, and VAT productivity. The index for privatizations is the total or partial participation of the private sector, either as owner, financier, manager or operator in infrastructure projects in the energy, telecommunications</w:t>
      </w:r>
      <w:r w:rsidR="00E85D1B" w:rsidRPr="00F14751">
        <w:rPr>
          <w:rFonts w:asciiTheme="majorHAnsi" w:hAnsiTheme="majorHAnsi"/>
          <w:sz w:val="24"/>
        </w:rPr>
        <w:t xml:space="preserve">, </w:t>
      </w:r>
      <w:proofErr w:type="gramStart"/>
      <w:r w:rsidR="00E85D1B" w:rsidRPr="00F14751">
        <w:rPr>
          <w:rFonts w:asciiTheme="majorHAnsi" w:hAnsiTheme="majorHAnsi"/>
          <w:sz w:val="24"/>
        </w:rPr>
        <w:t>transport</w:t>
      </w:r>
      <w:proofErr w:type="gramEnd"/>
      <w:r w:rsidR="001C23C3" w:rsidRPr="00F14751">
        <w:rPr>
          <w:rFonts w:asciiTheme="majorHAnsi" w:hAnsiTheme="majorHAnsi"/>
          <w:sz w:val="24"/>
        </w:rPr>
        <w:t xml:space="preserve"> and water sectors. </w:t>
      </w:r>
      <w:r w:rsidR="00AF5AA9" w:rsidRPr="00F14751">
        <w:rPr>
          <w:rFonts w:asciiTheme="majorHAnsi" w:hAnsiTheme="majorHAnsi"/>
          <w:sz w:val="24"/>
        </w:rPr>
        <w:t xml:space="preserve">It </w:t>
      </w:r>
      <w:r w:rsidRPr="00F14751">
        <w:rPr>
          <w:rFonts w:asciiTheme="majorHAnsi" w:hAnsiTheme="majorHAnsi"/>
          <w:sz w:val="24"/>
        </w:rPr>
        <w:t>is constructed from the accumulated value of the privatizations as a percentage of GDP. The labor reform index is the average of five sub-indexes: ease of hiring, ease of firing, flexibility of working hours, social security contributions and other taxes and contributions on payroll, and minimum wages. We multiply the SRI by 100 to ease the interpretation of the estimation results. So, the index ranges from 0 to 100</w:t>
      </w:r>
      <w:r w:rsidR="002E4734" w:rsidRPr="00F14751">
        <w:rPr>
          <w:rFonts w:asciiTheme="majorHAnsi" w:hAnsiTheme="majorHAnsi"/>
          <w:sz w:val="24"/>
        </w:rPr>
        <w:t xml:space="preserve">. The closer to 100, </w:t>
      </w:r>
      <w:r w:rsidR="001C23C3" w:rsidRPr="00F14751">
        <w:rPr>
          <w:rFonts w:asciiTheme="majorHAnsi" w:hAnsiTheme="majorHAnsi"/>
          <w:sz w:val="24"/>
        </w:rPr>
        <w:t xml:space="preserve">the higher the degree of openness and neutrality of economic policies. </w:t>
      </w:r>
      <w:r w:rsidRPr="00F14751">
        <w:rPr>
          <w:rFonts w:asciiTheme="majorHAnsi" w:hAnsiTheme="majorHAnsi"/>
          <w:sz w:val="24"/>
        </w:rPr>
        <w:t>According to Lora (2012), the SRI can serve as the basis for identifying the effects that different reforms have had across countries and can be used to make comparisons over time, between areas and between countries. However, it is important to note that the SRI does not cover some aspects of economic policies. For instance, it does not consider non-tariff restrictions on imports, temporary freezing of savers’ deposits in the banking system, privatizations and nationalizations in sectors other than infrastructure, and general price controls on products in the basic consumption basket. During the 2000s, Argentina and Venezuela mainly adopted policies in the areas not covered by the SRI. Therefore, Argentina and Venezuela are not included in this study.</w:t>
      </w:r>
      <w:r w:rsidRPr="00F14751">
        <w:rPr>
          <w:sz w:val="24"/>
        </w:rPr>
        <w:t xml:space="preserve"> </w:t>
      </w:r>
    </w:p>
    <w:p w14:paraId="20F9569D" w14:textId="77777777" w:rsidR="00E402EA" w:rsidRDefault="00902BFB" w:rsidP="00C8508E">
      <w:pPr>
        <w:pStyle w:val="NoSpacing"/>
        <w:spacing w:line="360" w:lineRule="auto"/>
        <w:jc w:val="both"/>
        <w:rPr>
          <w:rFonts w:asciiTheme="majorHAnsi" w:hAnsiTheme="majorHAnsi" w:cs="Times New Roman"/>
          <w:sz w:val="24"/>
          <w:szCs w:val="24"/>
        </w:rPr>
      </w:pPr>
      <w:r w:rsidRPr="00F14751">
        <w:tab/>
      </w:r>
      <w:r w:rsidR="006F2456" w:rsidRPr="00F14751">
        <w:rPr>
          <w:rFonts w:asciiTheme="majorHAnsi" w:hAnsiTheme="majorHAnsi" w:cs="Times New Roman"/>
          <w:sz w:val="24"/>
          <w:szCs w:val="24"/>
        </w:rPr>
        <w:t xml:space="preserve">Figure </w:t>
      </w:r>
      <w:r w:rsidR="00895EE5" w:rsidRPr="00F14751">
        <w:rPr>
          <w:rFonts w:asciiTheme="majorHAnsi" w:hAnsiTheme="majorHAnsi" w:cs="Times New Roman"/>
          <w:sz w:val="24"/>
          <w:szCs w:val="24"/>
        </w:rPr>
        <w:t>10</w:t>
      </w:r>
      <w:r w:rsidR="00592218" w:rsidRPr="00F14751">
        <w:rPr>
          <w:rFonts w:asciiTheme="majorHAnsi" w:hAnsiTheme="majorHAnsi" w:cs="Times New Roman"/>
          <w:sz w:val="24"/>
          <w:szCs w:val="24"/>
        </w:rPr>
        <w:t xml:space="preserve"> summarizes evolution of the region-wide averages for each of the reform indexes</w:t>
      </w:r>
      <w:r w:rsidR="0041749B" w:rsidRPr="00F14751">
        <w:rPr>
          <w:rFonts w:asciiTheme="majorHAnsi" w:hAnsiTheme="majorHAnsi" w:cs="Times New Roman"/>
          <w:sz w:val="24"/>
          <w:szCs w:val="24"/>
        </w:rPr>
        <w:t>. It</w:t>
      </w:r>
      <w:r w:rsidR="00592218" w:rsidRPr="00F14751">
        <w:rPr>
          <w:rFonts w:asciiTheme="majorHAnsi" w:hAnsiTheme="majorHAnsi" w:cs="Times New Roman"/>
          <w:sz w:val="24"/>
          <w:szCs w:val="24"/>
        </w:rPr>
        <w:t xml:space="preserve"> gives a quick picture of what has been reformed most and when the process occurred. From 1985 to 2010, the SRI increases from 37.8 in 1985 to 64.5 in 2010</w:t>
      </w:r>
      <w:r w:rsidR="00592218" w:rsidRPr="00F14751">
        <w:rPr>
          <w:rFonts w:asciiTheme="majorHAnsi" w:hAnsiTheme="majorHAnsi"/>
          <w:sz w:val="24"/>
          <w:szCs w:val="24"/>
        </w:rPr>
        <w:t>. The increase in the index implies important changes. The m</w:t>
      </w:r>
      <w:r w:rsidR="00AF5AA9" w:rsidRPr="00F14751">
        <w:rPr>
          <w:rFonts w:asciiTheme="majorHAnsi" w:hAnsiTheme="majorHAnsi"/>
          <w:sz w:val="24"/>
          <w:szCs w:val="24"/>
        </w:rPr>
        <w:t>ost dynamic period of reforms is</w:t>
      </w:r>
      <w:r w:rsidR="00592218" w:rsidRPr="00F14751">
        <w:rPr>
          <w:rFonts w:asciiTheme="majorHAnsi" w:hAnsiTheme="majorHAnsi"/>
          <w:sz w:val="24"/>
          <w:szCs w:val="24"/>
        </w:rPr>
        <w:t xml:space="preserve"> between 1985 and 1995, when the SRI </w:t>
      </w:r>
      <w:r w:rsidR="00AF5AA9" w:rsidRPr="00F14751">
        <w:rPr>
          <w:rFonts w:asciiTheme="majorHAnsi" w:hAnsiTheme="majorHAnsi"/>
          <w:sz w:val="24"/>
          <w:szCs w:val="24"/>
        </w:rPr>
        <w:t>gains</w:t>
      </w:r>
      <w:r w:rsidR="00592218" w:rsidRPr="00F14751">
        <w:rPr>
          <w:rFonts w:asciiTheme="majorHAnsi" w:hAnsiTheme="majorHAnsi"/>
          <w:sz w:val="24"/>
          <w:szCs w:val="24"/>
        </w:rPr>
        <w:t xml:space="preserve">17.7 points of the total 26.7 points increase. Although changes have been very modest in the 2000s, the SRI </w:t>
      </w:r>
      <w:r w:rsidR="00AF5AA9" w:rsidRPr="00F14751">
        <w:rPr>
          <w:rFonts w:asciiTheme="majorHAnsi" w:hAnsiTheme="majorHAnsi"/>
          <w:sz w:val="24"/>
          <w:szCs w:val="24"/>
        </w:rPr>
        <w:t xml:space="preserve">does not </w:t>
      </w:r>
      <w:r w:rsidR="00FA76FE" w:rsidRPr="00F14751">
        <w:rPr>
          <w:rFonts w:asciiTheme="majorHAnsi" w:hAnsiTheme="majorHAnsi"/>
          <w:sz w:val="24"/>
          <w:szCs w:val="24"/>
        </w:rPr>
        <w:t>decrease</w:t>
      </w:r>
      <w:r w:rsidR="00592218" w:rsidRPr="00F14751">
        <w:rPr>
          <w:rFonts w:asciiTheme="majorHAnsi" w:hAnsiTheme="majorHAnsi"/>
          <w:sz w:val="24"/>
          <w:szCs w:val="24"/>
        </w:rPr>
        <w:t xml:space="preserve"> in any year. The progress of reforms has been very uneven by policy areas. Reforms in the trade policy were very intense between the mid-1980s and the mid-1990s. The trade reform index increased from 50.9 in 1985 to 88.3 in 1994. After that, there were no major changes. Also, on financial reform, there is a significant increase in the index until 2004, with only minor changes later. The financial reform index increased with 41.3 points from 46.9 in 1985 to 88.2 in 2004. Reforms have been much less in the </w:t>
      </w:r>
      <w:r w:rsidR="001348F3" w:rsidRPr="00F14751">
        <w:rPr>
          <w:rFonts w:asciiTheme="majorHAnsi" w:hAnsiTheme="majorHAnsi"/>
          <w:sz w:val="24"/>
          <w:szCs w:val="24"/>
        </w:rPr>
        <w:t>other reform areas. Reforms in</w:t>
      </w:r>
      <w:r w:rsidR="00592218" w:rsidRPr="00F14751">
        <w:rPr>
          <w:rFonts w:asciiTheme="majorHAnsi" w:hAnsiTheme="majorHAnsi"/>
          <w:sz w:val="24"/>
          <w:szCs w:val="24"/>
        </w:rPr>
        <w:t xml:space="preserve"> tax policy have been limited. The largest </w:t>
      </w:r>
      <w:r w:rsidR="00AF5AA9" w:rsidRPr="00F14751">
        <w:rPr>
          <w:rFonts w:asciiTheme="majorHAnsi" w:hAnsiTheme="majorHAnsi"/>
          <w:sz w:val="24"/>
          <w:szCs w:val="24"/>
        </w:rPr>
        <w:t>increase</w:t>
      </w:r>
      <w:r w:rsidR="00592218" w:rsidRPr="00F14751">
        <w:rPr>
          <w:rFonts w:asciiTheme="majorHAnsi" w:hAnsiTheme="majorHAnsi"/>
          <w:sz w:val="24"/>
          <w:szCs w:val="24"/>
        </w:rPr>
        <w:t xml:space="preserve"> in the tax reform index is between 1985 and 1994. After that, the index does not change much. With respect to infrastructure, because there is a large difference between countries, the average progress of the region is also limited. However, most privatizations took place in the end of the 1990s. Regarding the labor legislation, practically no use has been made of the potential in many countries for liberalizing labor regimes to facilitate the working of the labor market. The index of the labor legislation does not seem to change at all. </w:t>
      </w:r>
      <w:r w:rsidR="00592218" w:rsidRPr="00F14751">
        <w:rPr>
          <w:rFonts w:asciiTheme="majorHAnsi" w:hAnsiTheme="majorHAnsi" w:cs="Times New Roman"/>
          <w:sz w:val="24"/>
          <w:szCs w:val="24"/>
        </w:rPr>
        <w:t>The depth and speed of the reforms varies not only across policy areas, but</w:t>
      </w:r>
      <w:r w:rsidR="006F2456" w:rsidRPr="00F14751">
        <w:rPr>
          <w:rFonts w:asciiTheme="majorHAnsi" w:hAnsiTheme="majorHAnsi" w:cs="Times New Roman"/>
          <w:sz w:val="24"/>
          <w:szCs w:val="24"/>
        </w:rPr>
        <w:t xml:space="preserve"> also across countries. Figure </w:t>
      </w:r>
      <w:r w:rsidR="00895EE5" w:rsidRPr="00F14751">
        <w:rPr>
          <w:rFonts w:asciiTheme="majorHAnsi" w:hAnsiTheme="majorHAnsi" w:cs="Times New Roman"/>
          <w:sz w:val="24"/>
          <w:szCs w:val="24"/>
        </w:rPr>
        <w:t>11</w:t>
      </w:r>
      <w:r w:rsidR="00592218" w:rsidRPr="00F14751">
        <w:rPr>
          <w:rFonts w:asciiTheme="majorHAnsi" w:hAnsiTheme="majorHAnsi" w:cs="Times New Roman"/>
          <w:sz w:val="24"/>
          <w:szCs w:val="24"/>
        </w:rPr>
        <w:t xml:space="preserve"> shows the </w:t>
      </w:r>
      <w:r w:rsidR="001348F3" w:rsidRPr="00F14751">
        <w:rPr>
          <w:rFonts w:asciiTheme="majorHAnsi" w:hAnsiTheme="majorHAnsi" w:cs="Times New Roman"/>
          <w:sz w:val="24"/>
          <w:szCs w:val="24"/>
        </w:rPr>
        <w:t>development</w:t>
      </w:r>
      <w:r w:rsidR="00592218" w:rsidRPr="00F14751">
        <w:rPr>
          <w:rFonts w:asciiTheme="majorHAnsi" w:hAnsiTheme="majorHAnsi" w:cs="Times New Roman"/>
          <w:sz w:val="24"/>
          <w:szCs w:val="24"/>
        </w:rPr>
        <w:t xml:space="preserve"> of reforms in each </w:t>
      </w:r>
      <w:r w:rsidR="009F291C" w:rsidRPr="00F14751">
        <w:rPr>
          <w:rFonts w:asciiTheme="majorHAnsi" w:hAnsiTheme="majorHAnsi" w:cs="Times New Roman"/>
          <w:sz w:val="24"/>
          <w:szCs w:val="24"/>
        </w:rPr>
        <w:t>country</w:t>
      </w:r>
      <w:r w:rsidR="00E402EA">
        <w:rPr>
          <w:rFonts w:asciiTheme="majorHAnsi" w:hAnsiTheme="majorHAnsi" w:cs="Times New Roman"/>
          <w:sz w:val="24"/>
          <w:szCs w:val="24"/>
        </w:rPr>
        <w:t>.</w:t>
      </w:r>
    </w:p>
    <w:p w14:paraId="7EEAD46D" w14:textId="77777777" w:rsidR="00E402EA" w:rsidRDefault="00E402EA" w:rsidP="00C8508E">
      <w:pPr>
        <w:pStyle w:val="NoSpacing"/>
        <w:spacing w:line="360" w:lineRule="auto"/>
        <w:jc w:val="both"/>
        <w:rPr>
          <w:rFonts w:asciiTheme="majorHAnsi" w:hAnsiTheme="majorHAnsi" w:cs="Times New Roman"/>
          <w:sz w:val="24"/>
          <w:szCs w:val="24"/>
        </w:rPr>
      </w:pPr>
    </w:p>
    <w:p w14:paraId="0E4FC8F7" w14:textId="6BCF9CC5" w:rsidR="00592218" w:rsidRPr="00E402EA" w:rsidRDefault="006F2456"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 xml:space="preserve">Figure </w:t>
      </w:r>
      <w:r w:rsidR="00895EE5" w:rsidRPr="00F14751">
        <w:rPr>
          <w:rFonts w:asciiTheme="majorHAnsi" w:hAnsiTheme="majorHAnsi" w:cs="Times New Roman"/>
          <w:sz w:val="24"/>
          <w:szCs w:val="24"/>
        </w:rPr>
        <w:t>10</w:t>
      </w:r>
      <w:r w:rsidR="00592218" w:rsidRPr="00F14751">
        <w:rPr>
          <w:rFonts w:asciiTheme="majorHAnsi" w:hAnsiTheme="majorHAnsi" w:cs="Times New Roman"/>
          <w:sz w:val="24"/>
          <w:szCs w:val="24"/>
        </w:rPr>
        <w:t xml:space="preserve">: Evolution of SRI and </w:t>
      </w:r>
      <w:r w:rsidR="006F5842">
        <w:rPr>
          <w:rFonts w:asciiTheme="majorHAnsi" w:hAnsiTheme="majorHAnsi" w:cs="Times New Roman"/>
          <w:sz w:val="24"/>
          <w:szCs w:val="24"/>
        </w:rPr>
        <w:t xml:space="preserve">the indexes of the five reform areas </w:t>
      </w:r>
    </w:p>
    <w:p w14:paraId="25DD6427" w14:textId="77777777" w:rsidR="00592218" w:rsidRPr="00F14751" w:rsidRDefault="00592218" w:rsidP="00C8508E">
      <w:pPr>
        <w:pStyle w:val="NoSpacing"/>
        <w:spacing w:line="360" w:lineRule="auto"/>
        <w:jc w:val="both"/>
        <w:rPr>
          <w:rFonts w:asciiTheme="majorHAnsi" w:hAnsiTheme="majorHAnsi"/>
          <w:sz w:val="24"/>
          <w:szCs w:val="24"/>
        </w:rPr>
      </w:pPr>
      <w:r w:rsidRPr="00F14751">
        <w:rPr>
          <w:rFonts w:asciiTheme="majorHAnsi" w:hAnsiTheme="majorHAnsi"/>
          <w:noProof/>
          <w:sz w:val="24"/>
          <w:szCs w:val="24"/>
          <w:lang w:val="nl-NL" w:eastAsia="nl-NL"/>
        </w:rPr>
        <w:drawing>
          <wp:inline distT="0" distB="0" distL="0" distR="0" wp14:anchorId="0D44ECFE" wp14:editId="741CEBD4">
            <wp:extent cx="4320000" cy="2700000"/>
            <wp:effectExtent l="0" t="0" r="23495" b="247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D4243E" w14:textId="77777777" w:rsidR="00973B0D" w:rsidRDefault="0041749B" w:rsidP="00973B0D">
      <w:pPr>
        <w:pStyle w:val="NoSpacing"/>
        <w:spacing w:line="360" w:lineRule="auto"/>
        <w:jc w:val="both"/>
        <w:rPr>
          <w:rFonts w:asciiTheme="majorHAnsi" w:hAnsiTheme="majorHAnsi"/>
          <w:sz w:val="24"/>
          <w:szCs w:val="24"/>
        </w:rPr>
      </w:pPr>
      <w:r w:rsidRPr="00F14751">
        <w:rPr>
          <w:rFonts w:asciiTheme="majorHAnsi" w:hAnsiTheme="majorHAnsi"/>
          <w:sz w:val="24"/>
          <w:szCs w:val="24"/>
        </w:rPr>
        <w:t xml:space="preserve">Source: </w:t>
      </w:r>
      <w:r w:rsidR="007F1474" w:rsidRPr="00F14751">
        <w:rPr>
          <w:rFonts w:asciiTheme="majorHAnsi" w:hAnsiTheme="majorHAnsi"/>
          <w:sz w:val="24"/>
          <w:szCs w:val="24"/>
        </w:rPr>
        <w:t>Lora</w:t>
      </w:r>
      <w:r w:rsidR="00973B0D">
        <w:rPr>
          <w:rFonts w:asciiTheme="majorHAnsi" w:hAnsiTheme="majorHAnsi"/>
          <w:sz w:val="24"/>
          <w:szCs w:val="24"/>
        </w:rPr>
        <w:t>, 2012</w:t>
      </w:r>
    </w:p>
    <w:p w14:paraId="5309694A" w14:textId="77777777" w:rsidR="00973B0D" w:rsidRDefault="00973B0D" w:rsidP="00973B0D">
      <w:pPr>
        <w:pStyle w:val="NoSpacing"/>
        <w:spacing w:line="360" w:lineRule="auto"/>
        <w:jc w:val="both"/>
        <w:rPr>
          <w:rFonts w:asciiTheme="majorHAnsi" w:hAnsiTheme="majorHAnsi"/>
          <w:sz w:val="24"/>
          <w:szCs w:val="24"/>
        </w:rPr>
      </w:pPr>
    </w:p>
    <w:p w14:paraId="543D2D04" w14:textId="5E7F41BA" w:rsidR="00592218" w:rsidRPr="00973B0D" w:rsidRDefault="00895EE5" w:rsidP="00973B0D">
      <w:pPr>
        <w:pStyle w:val="NoSpacing"/>
        <w:spacing w:line="360" w:lineRule="auto"/>
        <w:jc w:val="both"/>
        <w:rPr>
          <w:rFonts w:asciiTheme="majorHAnsi" w:hAnsiTheme="majorHAnsi"/>
          <w:sz w:val="24"/>
          <w:szCs w:val="24"/>
        </w:rPr>
      </w:pPr>
      <w:r w:rsidRPr="00F14751">
        <w:rPr>
          <w:rFonts w:asciiTheme="majorHAnsi" w:hAnsiTheme="majorHAnsi"/>
          <w:sz w:val="24"/>
        </w:rPr>
        <w:t>Figure 11</w:t>
      </w:r>
      <w:r w:rsidR="006F2456" w:rsidRPr="00F14751">
        <w:rPr>
          <w:rFonts w:asciiTheme="majorHAnsi" w:hAnsiTheme="majorHAnsi"/>
          <w:sz w:val="24"/>
        </w:rPr>
        <w:t>:</w:t>
      </w:r>
      <w:r w:rsidR="00592218" w:rsidRPr="00F14751">
        <w:rPr>
          <w:rFonts w:asciiTheme="majorHAnsi" w:hAnsiTheme="majorHAnsi"/>
          <w:sz w:val="24"/>
        </w:rPr>
        <w:t xml:space="preserve"> The </w:t>
      </w:r>
      <w:r w:rsidR="00E90ECF" w:rsidRPr="00F14751">
        <w:rPr>
          <w:rFonts w:asciiTheme="majorHAnsi" w:hAnsiTheme="majorHAnsi"/>
          <w:sz w:val="24"/>
        </w:rPr>
        <w:t>SRI</w:t>
      </w:r>
      <w:r w:rsidR="00592218" w:rsidRPr="00F14751">
        <w:rPr>
          <w:rFonts w:asciiTheme="majorHAnsi" w:hAnsiTheme="majorHAnsi"/>
          <w:sz w:val="24"/>
        </w:rPr>
        <w:t xml:space="preserve"> by country</w:t>
      </w:r>
    </w:p>
    <w:p w14:paraId="49F4E278" w14:textId="77777777" w:rsidR="002E4734" w:rsidRPr="00F14751" w:rsidRDefault="001348F3" w:rsidP="00973B0D">
      <w:pPr>
        <w:pStyle w:val="NoSpacing"/>
        <w:spacing w:line="360" w:lineRule="auto"/>
        <w:jc w:val="both"/>
        <w:rPr>
          <w:rFonts w:asciiTheme="majorHAnsi" w:hAnsiTheme="majorHAnsi"/>
          <w:sz w:val="24"/>
        </w:rPr>
      </w:pPr>
      <w:r w:rsidRPr="00F14751">
        <w:rPr>
          <w:noProof/>
          <w:lang w:val="nl-NL" w:eastAsia="nl-NL"/>
        </w:rPr>
        <w:drawing>
          <wp:inline distT="0" distB="0" distL="0" distR="0" wp14:anchorId="68EB2324" wp14:editId="596A8CC4">
            <wp:extent cx="4500562" cy="4014788"/>
            <wp:effectExtent l="0" t="0" r="14605"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A104A3" w14:textId="77777777" w:rsidR="00763661" w:rsidRPr="00F14751" w:rsidRDefault="007F1474" w:rsidP="00973B0D">
      <w:pPr>
        <w:pStyle w:val="NoSpacing"/>
        <w:spacing w:line="360" w:lineRule="auto"/>
        <w:jc w:val="both"/>
        <w:rPr>
          <w:rFonts w:asciiTheme="majorHAnsi" w:hAnsiTheme="majorHAnsi"/>
          <w:sz w:val="24"/>
        </w:rPr>
      </w:pPr>
      <w:r w:rsidRPr="00F14751">
        <w:rPr>
          <w:rFonts w:asciiTheme="majorHAnsi" w:hAnsiTheme="majorHAnsi"/>
          <w:sz w:val="24"/>
        </w:rPr>
        <w:t>Source: Lora</w:t>
      </w:r>
      <w:r w:rsidR="00592218" w:rsidRPr="00F14751">
        <w:rPr>
          <w:rFonts w:asciiTheme="majorHAnsi" w:hAnsiTheme="majorHAnsi"/>
          <w:sz w:val="24"/>
        </w:rPr>
        <w:t>, 2012</w:t>
      </w:r>
    </w:p>
    <w:p w14:paraId="14901024" w14:textId="77777777" w:rsidR="00973B0D" w:rsidRDefault="00973B0D" w:rsidP="00C8508E">
      <w:pPr>
        <w:pStyle w:val="NoSpacing"/>
        <w:spacing w:line="360" w:lineRule="auto"/>
        <w:jc w:val="both"/>
        <w:rPr>
          <w:rFonts w:asciiTheme="majorHAnsi" w:hAnsiTheme="majorHAnsi"/>
          <w:b/>
          <w:sz w:val="24"/>
        </w:rPr>
      </w:pPr>
    </w:p>
    <w:p w14:paraId="063BC267" w14:textId="77777777" w:rsidR="00592218" w:rsidRPr="00F14751" w:rsidRDefault="00592218" w:rsidP="00C8508E">
      <w:pPr>
        <w:pStyle w:val="NoSpacing"/>
        <w:spacing w:line="360" w:lineRule="auto"/>
        <w:jc w:val="both"/>
        <w:rPr>
          <w:rFonts w:asciiTheme="majorHAnsi" w:hAnsiTheme="majorHAnsi"/>
          <w:b/>
          <w:sz w:val="24"/>
        </w:rPr>
      </w:pPr>
      <w:r w:rsidRPr="00F14751">
        <w:rPr>
          <w:rFonts w:asciiTheme="majorHAnsi" w:hAnsiTheme="majorHAnsi"/>
          <w:b/>
          <w:sz w:val="24"/>
        </w:rPr>
        <w:t xml:space="preserve">4.3 </w:t>
      </w:r>
      <w:r w:rsidR="00AF5AA9" w:rsidRPr="00F14751">
        <w:rPr>
          <w:rFonts w:asciiTheme="majorHAnsi" w:hAnsiTheme="majorHAnsi"/>
          <w:b/>
          <w:sz w:val="24"/>
        </w:rPr>
        <w:t>Control Variables</w:t>
      </w:r>
    </w:p>
    <w:p w14:paraId="3D9D8D16" w14:textId="77437B40" w:rsidR="00592218" w:rsidRPr="00F14751" w:rsidRDefault="00592218"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The type of governmental regime is represented by the Polity IV measure</w:t>
      </w:r>
      <w:r w:rsidR="00514DFA">
        <w:rPr>
          <w:rFonts w:asciiTheme="majorHAnsi" w:hAnsiTheme="majorHAnsi"/>
          <w:sz w:val="24"/>
          <w:szCs w:val="24"/>
        </w:rPr>
        <w:t xml:space="preserve"> whic</w:t>
      </w:r>
      <w:r w:rsidR="002C37FD">
        <w:rPr>
          <w:rFonts w:asciiTheme="majorHAnsi" w:hAnsiTheme="majorHAnsi"/>
          <w:sz w:val="24"/>
          <w:szCs w:val="24"/>
        </w:rPr>
        <w:t>h is obtained from the Center for</w:t>
      </w:r>
      <w:r w:rsidR="00514DFA">
        <w:rPr>
          <w:rFonts w:asciiTheme="majorHAnsi" w:hAnsiTheme="majorHAnsi"/>
          <w:sz w:val="24"/>
          <w:szCs w:val="24"/>
        </w:rPr>
        <w:t xml:space="preserve"> Systematic Peace (2014).</w:t>
      </w:r>
      <w:r w:rsidRPr="00F14751">
        <w:rPr>
          <w:rFonts w:asciiTheme="majorHAnsi" w:hAnsiTheme="majorHAnsi"/>
          <w:sz w:val="24"/>
          <w:szCs w:val="24"/>
        </w:rPr>
        <w:t xml:space="preserve"> Polity IV codes authority characteristics of countries in the world. It includes measures for both institutionalized democracy and autocracy. The values of the democracy and autocracy measures range from 0 to 10. Often policies show mixed qualities of authorities. The polity IV measure is derived by subtracting the autocracy value from the democracy value. This procedure provides a 21 range polity measure which ranges from -10 (strongly autocratic) to +10 (strongly democratic). Data on per-capita PPP gross domestic product (GDP) (at 2005 $US) is obtained from </w:t>
      </w:r>
      <w:r w:rsidR="00D35080" w:rsidRPr="00F14751">
        <w:rPr>
          <w:rFonts w:asciiTheme="majorHAnsi" w:hAnsiTheme="majorHAnsi"/>
          <w:sz w:val="24"/>
          <w:szCs w:val="24"/>
        </w:rPr>
        <w:t>Penn World Tables 8.0</w:t>
      </w:r>
      <w:r w:rsidR="008B46B8">
        <w:rPr>
          <w:rFonts w:asciiTheme="majorHAnsi" w:hAnsiTheme="majorHAnsi"/>
          <w:sz w:val="24"/>
          <w:szCs w:val="24"/>
        </w:rPr>
        <w:t xml:space="preserve"> (</w:t>
      </w:r>
      <w:proofErr w:type="spellStart"/>
      <w:r w:rsidR="008B46B8">
        <w:rPr>
          <w:rFonts w:asciiTheme="majorHAnsi" w:hAnsiTheme="majorHAnsi"/>
          <w:sz w:val="24"/>
          <w:szCs w:val="24"/>
        </w:rPr>
        <w:t>Feenstra</w:t>
      </w:r>
      <w:proofErr w:type="spellEnd"/>
      <w:r w:rsidR="008B46B8">
        <w:rPr>
          <w:rFonts w:asciiTheme="majorHAnsi" w:hAnsiTheme="majorHAnsi"/>
          <w:sz w:val="24"/>
          <w:szCs w:val="24"/>
        </w:rPr>
        <w:t xml:space="preserve"> et al., 2015)</w:t>
      </w:r>
      <w:r w:rsidR="00D35080" w:rsidRPr="00F14751">
        <w:rPr>
          <w:rFonts w:asciiTheme="majorHAnsi" w:hAnsiTheme="majorHAnsi"/>
          <w:sz w:val="24"/>
          <w:szCs w:val="24"/>
        </w:rPr>
        <w:t xml:space="preserve">. </w:t>
      </w:r>
      <w:r w:rsidRPr="00F14751">
        <w:rPr>
          <w:rFonts w:asciiTheme="majorHAnsi" w:hAnsiTheme="majorHAnsi"/>
          <w:sz w:val="24"/>
          <w:szCs w:val="24"/>
        </w:rPr>
        <w:t xml:space="preserve">The per-capita PPP GDP (at 2005 $US) is divided by 100 to ease the interpretation of the estimation results. Furthermore, based on this data, we calculated the annual growth rate of the per-capita GDP (at 2005 $US). Data on the average years of total schooling is derived from </w:t>
      </w:r>
      <w:proofErr w:type="spellStart"/>
      <w:r w:rsidRPr="00F14751">
        <w:rPr>
          <w:rFonts w:asciiTheme="majorHAnsi" w:hAnsiTheme="majorHAnsi"/>
          <w:sz w:val="24"/>
          <w:szCs w:val="24"/>
        </w:rPr>
        <w:t>Barro</w:t>
      </w:r>
      <w:proofErr w:type="spellEnd"/>
      <w:r w:rsidRPr="00F14751">
        <w:rPr>
          <w:rFonts w:asciiTheme="majorHAnsi" w:hAnsiTheme="majorHAnsi"/>
          <w:sz w:val="24"/>
          <w:szCs w:val="24"/>
        </w:rPr>
        <w:t xml:space="preserve"> and Lee</w:t>
      </w:r>
      <w:r w:rsidR="00207689" w:rsidRPr="00F14751">
        <w:rPr>
          <w:rFonts w:asciiTheme="majorHAnsi" w:hAnsiTheme="majorHAnsi"/>
          <w:sz w:val="24"/>
          <w:szCs w:val="24"/>
        </w:rPr>
        <w:t xml:space="preserve"> (2010)</w:t>
      </w:r>
      <w:r w:rsidRPr="00F14751">
        <w:rPr>
          <w:rFonts w:asciiTheme="majorHAnsi" w:hAnsiTheme="majorHAnsi"/>
          <w:sz w:val="24"/>
          <w:szCs w:val="24"/>
        </w:rPr>
        <w:t>. Health is represented by the death rate, which indicates the number of deaths occurring during the year, per 1000 people estimated at midyear. Urban population is the share of the total population living in urban areas. Annual urban population growth (annual %) and death rate data are obtained from the World Development Indicators of the World Bank</w:t>
      </w:r>
      <w:r w:rsidR="009D7137" w:rsidRPr="00F14751">
        <w:rPr>
          <w:rFonts w:asciiTheme="majorHAnsi" w:hAnsiTheme="majorHAnsi"/>
          <w:sz w:val="24"/>
          <w:szCs w:val="24"/>
        </w:rPr>
        <w:t xml:space="preserve"> (2015)</w:t>
      </w:r>
      <w:r w:rsidRPr="00F14751">
        <w:rPr>
          <w:rFonts w:asciiTheme="majorHAnsi" w:hAnsiTheme="majorHAnsi"/>
          <w:sz w:val="24"/>
          <w:szCs w:val="24"/>
        </w:rPr>
        <w:t>. Mercosur and Union of South American Nations (USAN) are both free trade agreements. Mercosur is a sub-regional bloc established in 1991 comprising Brazil, Paraguay, Uruguay and Venezuela. Mercosur later integrated into USAN which was established in 2008. USAN comprises Bolivia, Brazil, Chile, Colombia, E</w:t>
      </w:r>
      <w:r w:rsidR="001348F3" w:rsidRPr="00F14751">
        <w:rPr>
          <w:rFonts w:asciiTheme="majorHAnsi" w:hAnsiTheme="majorHAnsi"/>
          <w:sz w:val="24"/>
          <w:szCs w:val="24"/>
        </w:rPr>
        <w:t>cuador, Paraguay, Peru and Uruguay</w:t>
      </w:r>
      <w:r w:rsidRPr="00F14751">
        <w:rPr>
          <w:rFonts w:asciiTheme="majorHAnsi" w:hAnsiTheme="majorHAnsi"/>
          <w:sz w:val="24"/>
          <w:szCs w:val="24"/>
        </w:rPr>
        <w:t>. Mercosur and USAN are dummy variables that take the value one (1) in the year the country is a member of the free trade agreement, and zero (0) otherwise. Table 1 reports the summary statistics.</w:t>
      </w:r>
    </w:p>
    <w:p w14:paraId="603A4A26" w14:textId="4AD1A219" w:rsidR="00E4659D" w:rsidRPr="00F14751" w:rsidRDefault="00902BFB" w:rsidP="00C8508E">
      <w:pPr>
        <w:pStyle w:val="NoSpacing"/>
        <w:spacing w:line="360" w:lineRule="auto"/>
        <w:jc w:val="both"/>
        <w:rPr>
          <w:rFonts w:asciiTheme="majorHAnsi" w:hAnsiTheme="majorHAnsi" w:cs="Times New Roman"/>
          <w:sz w:val="24"/>
          <w:szCs w:val="24"/>
        </w:rPr>
      </w:pPr>
      <w:r w:rsidRPr="00F14751">
        <w:rPr>
          <w:rFonts w:asciiTheme="majorHAnsi" w:hAnsiTheme="majorHAnsi" w:cs="Times New Roman"/>
          <w:sz w:val="24"/>
          <w:szCs w:val="24"/>
        </w:rPr>
        <w:tab/>
      </w:r>
      <w:r w:rsidR="00B26926" w:rsidRPr="00F14751">
        <w:rPr>
          <w:rFonts w:asciiTheme="majorHAnsi" w:hAnsiTheme="majorHAnsi" w:cs="Times New Roman"/>
          <w:sz w:val="24"/>
          <w:szCs w:val="24"/>
        </w:rPr>
        <w:t xml:space="preserve">From 1985 to 2010, about </w:t>
      </w:r>
      <w:r w:rsidR="00DA651B">
        <w:rPr>
          <w:rFonts w:asciiTheme="majorHAnsi" w:hAnsiTheme="majorHAnsi" w:cs="Times New Roman"/>
          <w:sz w:val="24"/>
          <w:szCs w:val="24"/>
        </w:rPr>
        <w:t>16.46</w:t>
      </w:r>
      <w:r w:rsidR="00E30A5F" w:rsidRPr="00F14751">
        <w:rPr>
          <w:rFonts w:asciiTheme="majorHAnsi" w:hAnsiTheme="majorHAnsi" w:cs="Times New Roman"/>
          <w:sz w:val="24"/>
          <w:szCs w:val="24"/>
        </w:rPr>
        <w:t xml:space="preserve"> percent of the total population lived on less than $2 a day. </w:t>
      </w:r>
      <w:r w:rsidR="00DA651B">
        <w:rPr>
          <w:rFonts w:asciiTheme="majorHAnsi" w:hAnsiTheme="majorHAnsi" w:cs="Times New Roman"/>
          <w:sz w:val="24"/>
          <w:szCs w:val="24"/>
        </w:rPr>
        <w:t>8.27</w:t>
      </w:r>
      <w:r w:rsidR="00B26926" w:rsidRPr="00F14751">
        <w:rPr>
          <w:rFonts w:asciiTheme="majorHAnsi" w:hAnsiTheme="majorHAnsi" w:cs="Times New Roman"/>
          <w:sz w:val="24"/>
          <w:szCs w:val="24"/>
        </w:rPr>
        <w:t xml:space="preserve"> percent of the</w:t>
      </w:r>
      <w:r w:rsidR="00763661" w:rsidRPr="00F14751">
        <w:rPr>
          <w:rFonts w:asciiTheme="majorHAnsi" w:hAnsiTheme="majorHAnsi" w:cs="Times New Roman"/>
          <w:sz w:val="24"/>
          <w:szCs w:val="24"/>
        </w:rPr>
        <w:t xml:space="preserve"> total</w:t>
      </w:r>
      <w:r w:rsidR="00B26926" w:rsidRPr="00F14751">
        <w:rPr>
          <w:rFonts w:asciiTheme="majorHAnsi" w:hAnsiTheme="majorHAnsi" w:cs="Times New Roman"/>
          <w:sz w:val="24"/>
          <w:szCs w:val="24"/>
        </w:rPr>
        <w:t xml:space="preserve"> population lived on less than $</w:t>
      </w:r>
      <w:r w:rsidR="00E30A5F" w:rsidRPr="00F14751">
        <w:rPr>
          <w:rFonts w:asciiTheme="majorHAnsi" w:hAnsiTheme="majorHAnsi" w:cs="Times New Roman"/>
          <w:sz w:val="24"/>
          <w:szCs w:val="24"/>
        </w:rPr>
        <w:t>1.</w:t>
      </w:r>
      <w:r w:rsidR="00B26926" w:rsidRPr="00F14751">
        <w:rPr>
          <w:rFonts w:asciiTheme="majorHAnsi" w:hAnsiTheme="majorHAnsi" w:cs="Times New Roman"/>
          <w:sz w:val="24"/>
          <w:szCs w:val="24"/>
        </w:rPr>
        <w:t>2</w:t>
      </w:r>
      <w:r w:rsidR="00E30A5F" w:rsidRPr="00F14751">
        <w:rPr>
          <w:rFonts w:asciiTheme="majorHAnsi" w:hAnsiTheme="majorHAnsi" w:cs="Times New Roman"/>
          <w:sz w:val="24"/>
          <w:szCs w:val="24"/>
        </w:rPr>
        <w:t>5</w:t>
      </w:r>
      <w:r w:rsidR="00B26926" w:rsidRPr="00F14751">
        <w:rPr>
          <w:rFonts w:asciiTheme="majorHAnsi" w:hAnsiTheme="majorHAnsi" w:cs="Times New Roman"/>
          <w:sz w:val="24"/>
          <w:szCs w:val="24"/>
        </w:rPr>
        <w:t xml:space="preserve"> a day. The average per-ca</w:t>
      </w:r>
      <w:r w:rsidR="00763661" w:rsidRPr="00F14751">
        <w:rPr>
          <w:rFonts w:asciiTheme="majorHAnsi" w:hAnsiTheme="majorHAnsi" w:cs="Times New Roman"/>
          <w:sz w:val="24"/>
          <w:szCs w:val="24"/>
        </w:rPr>
        <w:t xml:space="preserve">pita PPP GDP is $60890 per year, which is </w:t>
      </w:r>
      <w:r w:rsidR="00B26926" w:rsidRPr="00F14751">
        <w:rPr>
          <w:rFonts w:asciiTheme="majorHAnsi" w:hAnsiTheme="majorHAnsi" w:cs="Times New Roman"/>
          <w:sz w:val="24"/>
          <w:szCs w:val="24"/>
        </w:rPr>
        <w:t xml:space="preserve">equal to $166.82 ($60890 / 365 days) </w:t>
      </w:r>
      <w:r w:rsidR="004326F8" w:rsidRPr="00F14751">
        <w:rPr>
          <w:rFonts w:asciiTheme="majorHAnsi" w:hAnsiTheme="majorHAnsi" w:cs="Times New Roman"/>
          <w:sz w:val="24"/>
          <w:szCs w:val="24"/>
        </w:rPr>
        <w:t>per</w:t>
      </w:r>
      <w:r w:rsidR="00B26926" w:rsidRPr="00F14751">
        <w:rPr>
          <w:rFonts w:asciiTheme="majorHAnsi" w:hAnsiTheme="majorHAnsi" w:cs="Times New Roman"/>
          <w:sz w:val="24"/>
          <w:szCs w:val="24"/>
        </w:rPr>
        <w:t xml:space="preserve"> day. The summary statistics show that the poorest</w:t>
      </w:r>
      <w:r w:rsidR="00547148" w:rsidRPr="00F14751">
        <w:rPr>
          <w:rFonts w:asciiTheme="majorHAnsi" w:hAnsiTheme="majorHAnsi" w:cs="Times New Roman"/>
          <w:sz w:val="24"/>
          <w:szCs w:val="24"/>
        </w:rPr>
        <w:t xml:space="preserve"> 10 percent of the population ho</w:t>
      </w:r>
      <w:r w:rsidR="00B26926" w:rsidRPr="00F14751">
        <w:rPr>
          <w:rFonts w:asciiTheme="majorHAnsi" w:hAnsiTheme="majorHAnsi" w:cs="Times New Roman"/>
          <w:sz w:val="24"/>
          <w:szCs w:val="24"/>
        </w:rPr>
        <w:t>ld</w:t>
      </w:r>
      <w:r w:rsidR="000E45EB" w:rsidRPr="00F14751">
        <w:rPr>
          <w:rFonts w:asciiTheme="majorHAnsi" w:hAnsiTheme="majorHAnsi" w:cs="Times New Roman"/>
          <w:sz w:val="24"/>
          <w:szCs w:val="24"/>
        </w:rPr>
        <w:t>s</w:t>
      </w:r>
      <w:r w:rsidR="00B26926" w:rsidRPr="00F14751">
        <w:rPr>
          <w:rFonts w:asciiTheme="majorHAnsi" w:hAnsiTheme="majorHAnsi" w:cs="Times New Roman"/>
          <w:sz w:val="24"/>
          <w:szCs w:val="24"/>
        </w:rPr>
        <w:t xml:space="preserve"> </w:t>
      </w:r>
      <w:r w:rsidR="00A547F7" w:rsidRPr="00F14751">
        <w:rPr>
          <w:rFonts w:asciiTheme="majorHAnsi" w:hAnsiTheme="majorHAnsi" w:cs="Times New Roman"/>
          <w:sz w:val="24"/>
          <w:szCs w:val="24"/>
        </w:rPr>
        <w:t xml:space="preserve">about </w:t>
      </w:r>
      <w:r w:rsidR="00863480" w:rsidRPr="00F14751">
        <w:rPr>
          <w:rFonts w:asciiTheme="majorHAnsi" w:hAnsiTheme="majorHAnsi" w:cs="Times New Roman"/>
          <w:sz w:val="24"/>
          <w:szCs w:val="24"/>
        </w:rPr>
        <w:t>1.</w:t>
      </w:r>
      <w:r w:rsidR="00F70063" w:rsidRPr="00F14751">
        <w:rPr>
          <w:rFonts w:asciiTheme="majorHAnsi" w:hAnsiTheme="majorHAnsi" w:cs="Times New Roman"/>
          <w:sz w:val="24"/>
          <w:szCs w:val="24"/>
        </w:rPr>
        <w:t>18</w:t>
      </w:r>
      <w:r w:rsidR="00B26926" w:rsidRPr="00F14751">
        <w:rPr>
          <w:rFonts w:asciiTheme="majorHAnsi" w:hAnsiTheme="majorHAnsi" w:cs="Times New Roman"/>
          <w:sz w:val="24"/>
          <w:szCs w:val="24"/>
        </w:rPr>
        <w:t xml:space="preserve"> percent of total income. This is e</w:t>
      </w:r>
      <w:r w:rsidR="00763661" w:rsidRPr="00F14751">
        <w:rPr>
          <w:rFonts w:asciiTheme="majorHAnsi" w:hAnsiTheme="majorHAnsi" w:cs="Times New Roman"/>
          <w:sz w:val="24"/>
          <w:szCs w:val="24"/>
        </w:rPr>
        <w:t>quivalent</w:t>
      </w:r>
      <w:r w:rsidR="00B26926" w:rsidRPr="00F14751">
        <w:rPr>
          <w:rFonts w:asciiTheme="majorHAnsi" w:hAnsiTheme="majorHAnsi" w:cs="Times New Roman"/>
          <w:sz w:val="24"/>
          <w:szCs w:val="24"/>
        </w:rPr>
        <w:t xml:space="preserve"> to </w:t>
      </w:r>
      <w:r w:rsidR="00763661" w:rsidRPr="00F14751">
        <w:rPr>
          <w:rFonts w:asciiTheme="majorHAnsi" w:hAnsiTheme="majorHAnsi" w:cs="Times New Roman"/>
          <w:sz w:val="24"/>
          <w:szCs w:val="24"/>
        </w:rPr>
        <w:t>around</w:t>
      </w:r>
      <w:r w:rsidR="00B26926" w:rsidRPr="00F14751">
        <w:rPr>
          <w:rFonts w:asciiTheme="majorHAnsi" w:hAnsiTheme="majorHAnsi" w:cs="Times New Roman"/>
          <w:sz w:val="24"/>
          <w:szCs w:val="24"/>
        </w:rPr>
        <w:t xml:space="preserve"> $1.97</w:t>
      </w:r>
      <w:r w:rsidR="00E30A5F" w:rsidRPr="00F14751">
        <w:rPr>
          <w:rFonts w:asciiTheme="majorHAnsi" w:hAnsiTheme="majorHAnsi" w:cs="Times New Roman"/>
          <w:sz w:val="24"/>
          <w:szCs w:val="24"/>
        </w:rPr>
        <w:t xml:space="preserve"> ($166.82 * 0.0118</w:t>
      </w:r>
      <w:r w:rsidR="00547148" w:rsidRPr="00F14751">
        <w:rPr>
          <w:rFonts w:asciiTheme="majorHAnsi" w:hAnsiTheme="majorHAnsi" w:cs="Times New Roman"/>
          <w:sz w:val="24"/>
          <w:szCs w:val="24"/>
        </w:rPr>
        <w:t>)</w:t>
      </w:r>
      <w:r w:rsidR="00B26926" w:rsidRPr="00F14751">
        <w:rPr>
          <w:rFonts w:asciiTheme="majorHAnsi" w:hAnsiTheme="majorHAnsi" w:cs="Times New Roman"/>
          <w:sz w:val="24"/>
          <w:szCs w:val="24"/>
        </w:rPr>
        <w:t xml:space="preserve"> per day. So, the </w:t>
      </w:r>
      <w:r w:rsidR="00547148" w:rsidRPr="00F14751">
        <w:rPr>
          <w:rFonts w:asciiTheme="majorHAnsi" w:hAnsiTheme="majorHAnsi" w:cs="Times New Roman"/>
          <w:sz w:val="24"/>
          <w:szCs w:val="24"/>
        </w:rPr>
        <w:t>poorest 1</w:t>
      </w:r>
      <w:r w:rsidR="004326F8" w:rsidRPr="00F14751">
        <w:rPr>
          <w:rFonts w:asciiTheme="majorHAnsi" w:hAnsiTheme="majorHAnsi" w:cs="Times New Roman"/>
          <w:sz w:val="24"/>
          <w:szCs w:val="24"/>
        </w:rPr>
        <w:t>0 percent of the population has</w:t>
      </w:r>
      <w:r w:rsidR="00547148" w:rsidRPr="00F14751">
        <w:rPr>
          <w:rFonts w:asciiTheme="majorHAnsi" w:hAnsiTheme="majorHAnsi" w:cs="Times New Roman"/>
          <w:sz w:val="24"/>
          <w:szCs w:val="24"/>
        </w:rPr>
        <w:t xml:space="preserve"> an income of $1.97 per day, </w:t>
      </w:r>
      <w:r w:rsidR="000E45EB" w:rsidRPr="00F14751">
        <w:rPr>
          <w:rFonts w:asciiTheme="majorHAnsi" w:hAnsiTheme="majorHAnsi" w:cs="Times New Roman"/>
          <w:sz w:val="24"/>
          <w:szCs w:val="24"/>
        </w:rPr>
        <w:t>which</w:t>
      </w:r>
      <w:r w:rsidR="004E2E6D">
        <w:rPr>
          <w:rFonts w:asciiTheme="majorHAnsi" w:hAnsiTheme="majorHAnsi" w:cs="Times New Roman"/>
          <w:sz w:val="24"/>
          <w:szCs w:val="24"/>
        </w:rPr>
        <w:t xml:space="preserve"> is less than $2</w:t>
      </w:r>
      <w:r w:rsidR="00547148" w:rsidRPr="00F14751">
        <w:rPr>
          <w:rFonts w:asciiTheme="majorHAnsi" w:hAnsiTheme="majorHAnsi" w:cs="Times New Roman"/>
          <w:sz w:val="24"/>
          <w:szCs w:val="24"/>
        </w:rPr>
        <w:t>.</w:t>
      </w:r>
      <w:r w:rsidR="00DE0144" w:rsidRPr="00F14751">
        <w:rPr>
          <w:rFonts w:asciiTheme="majorHAnsi" w:hAnsiTheme="majorHAnsi" w:cs="Times New Roman"/>
          <w:sz w:val="24"/>
          <w:szCs w:val="24"/>
        </w:rPr>
        <w:t xml:space="preserve"> </w:t>
      </w:r>
      <w:r w:rsidR="00547148" w:rsidRPr="00F14751">
        <w:rPr>
          <w:rFonts w:asciiTheme="majorHAnsi" w:hAnsiTheme="majorHAnsi" w:cs="Times New Roman"/>
          <w:sz w:val="24"/>
          <w:szCs w:val="24"/>
        </w:rPr>
        <w:t>The second deci</w:t>
      </w:r>
      <w:r w:rsidR="00A547F7" w:rsidRPr="00F14751">
        <w:rPr>
          <w:rFonts w:asciiTheme="majorHAnsi" w:hAnsiTheme="majorHAnsi" w:cs="Times New Roman"/>
          <w:sz w:val="24"/>
          <w:szCs w:val="24"/>
        </w:rPr>
        <w:t xml:space="preserve">le of the population holds around </w:t>
      </w:r>
      <w:r w:rsidR="00863480" w:rsidRPr="00F14751">
        <w:rPr>
          <w:rFonts w:asciiTheme="majorHAnsi" w:hAnsiTheme="majorHAnsi" w:cs="Times New Roman"/>
          <w:sz w:val="24"/>
          <w:szCs w:val="24"/>
        </w:rPr>
        <w:t>2.</w:t>
      </w:r>
      <w:r w:rsidR="00F70063" w:rsidRPr="00F14751">
        <w:rPr>
          <w:rFonts w:asciiTheme="majorHAnsi" w:hAnsiTheme="majorHAnsi" w:cs="Times New Roman"/>
          <w:sz w:val="24"/>
          <w:szCs w:val="24"/>
        </w:rPr>
        <w:t>38</w:t>
      </w:r>
      <w:r w:rsidR="00547148" w:rsidRPr="00F14751">
        <w:rPr>
          <w:rFonts w:asciiTheme="majorHAnsi" w:hAnsiTheme="majorHAnsi" w:cs="Times New Roman"/>
          <w:sz w:val="24"/>
          <w:szCs w:val="24"/>
        </w:rPr>
        <w:t xml:space="preserve"> percent of total income. This is e</w:t>
      </w:r>
      <w:r w:rsidR="00E30A5F" w:rsidRPr="00F14751">
        <w:rPr>
          <w:rFonts w:asciiTheme="majorHAnsi" w:hAnsiTheme="majorHAnsi" w:cs="Times New Roman"/>
          <w:sz w:val="24"/>
          <w:szCs w:val="24"/>
        </w:rPr>
        <w:t>qual to about $</w:t>
      </w:r>
      <w:r w:rsidR="00F70063" w:rsidRPr="00F14751">
        <w:rPr>
          <w:rFonts w:asciiTheme="majorHAnsi" w:hAnsiTheme="majorHAnsi" w:cs="Times New Roman"/>
          <w:sz w:val="24"/>
          <w:szCs w:val="24"/>
        </w:rPr>
        <w:t>3.97</w:t>
      </w:r>
      <w:r w:rsidR="00547148" w:rsidRPr="00F14751">
        <w:rPr>
          <w:rFonts w:asciiTheme="majorHAnsi" w:hAnsiTheme="majorHAnsi" w:cs="Times New Roman"/>
          <w:sz w:val="24"/>
          <w:szCs w:val="24"/>
        </w:rPr>
        <w:t xml:space="preserve"> (</w:t>
      </w:r>
      <w:r w:rsidR="00F70063" w:rsidRPr="00F14751">
        <w:rPr>
          <w:rFonts w:asciiTheme="majorHAnsi" w:hAnsiTheme="majorHAnsi" w:cs="Times New Roman"/>
          <w:sz w:val="24"/>
          <w:szCs w:val="24"/>
        </w:rPr>
        <w:t>$166.82 * 0.0238</w:t>
      </w:r>
      <w:r w:rsidR="001C1F30" w:rsidRPr="00F14751">
        <w:rPr>
          <w:rFonts w:asciiTheme="majorHAnsi" w:hAnsiTheme="majorHAnsi" w:cs="Times New Roman"/>
          <w:sz w:val="24"/>
          <w:szCs w:val="24"/>
        </w:rPr>
        <w:t>) per day and</w:t>
      </w:r>
      <w:r w:rsidR="00547148" w:rsidRPr="00F14751">
        <w:rPr>
          <w:rFonts w:asciiTheme="majorHAnsi" w:hAnsiTheme="majorHAnsi" w:cs="Times New Roman"/>
          <w:sz w:val="24"/>
          <w:szCs w:val="24"/>
        </w:rPr>
        <w:t xml:space="preserve"> indicates that only a very small share of the </w:t>
      </w:r>
      <w:r w:rsidR="0016207A" w:rsidRPr="00F14751">
        <w:rPr>
          <w:rFonts w:asciiTheme="majorHAnsi" w:hAnsiTheme="majorHAnsi" w:cs="Times New Roman"/>
          <w:sz w:val="24"/>
          <w:szCs w:val="24"/>
        </w:rPr>
        <w:t>second poorest 10 percent of the population</w:t>
      </w:r>
      <w:r w:rsidR="00547148" w:rsidRPr="00F14751">
        <w:rPr>
          <w:rFonts w:asciiTheme="majorHAnsi" w:hAnsiTheme="majorHAnsi" w:cs="Times New Roman"/>
          <w:sz w:val="24"/>
          <w:szCs w:val="24"/>
        </w:rPr>
        <w:t xml:space="preserve"> lives on less than $2 a day.</w:t>
      </w:r>
      <w:r w:rsidR="00C85522" w:rsidRPr="00F14751">
        <w:rPr>
          <w:rFonts w:asciiTheme="majorHAnsi" w:hAnsiTheme="majorHAnsi" w:cs="Times New Roman"/>
          <w:sz w:val="24"/>
          <w:szCs w:val="24"/>
        </w:rPr>
        <w:t xml:space="preserve"> It is</w:t>
      </w:r>
      <w:r w:rsidR="0092114D" w:rsidRPr="00F14751">
        <w:rPr>
          <w:rFonts w:asciiTheme="majorHAnsi" w:hAnsiTheme="majorHAnsi" w:cs="Times New Roman"/>
          <w:sz w:val="24"/>
          <w:szCs w:val="24"/>
        </w:rPr>
        <w:t xml:space="preserve"> </w:t>
      </w:r>
      <w:r w:rsidR="00C85522" w:rsidRPr="00F14751">
        <w:rPr>
          <w:rFonts w:asciiTheme="majorHAnsi" w:hAnsiTheme="majorHAnsi" w:cs="Times New Roman"/>
          <w:sz w:val="24"/>
          <w:szCs w:val="24"/>
        </w:rPr>
        <w:t>import</w:t>
      </w:r>
      <w:r w:rsidR="004E2E6D">
        <w:rPr>
          <w:rFonts w:asciiTheme="majorHAnsi" w:hAnsiTheme="majorHAnsi" w:cs="Times New Roman"/>
          <w:sz w:val="24"/>
          <w:szCs w:val="24"/>
        </w:rPr>
        <w:t xml:space="preserve">ant to note that changes in PHR </w:t>
      </w:r>
      <w:r w:rsidR="00C85522" w:rsidRPr="00F14751">
        <w:rPr>
          <w:rFonts w:asciiTheme="majorHAnsi" w:hAnsiTheme="majorHAnsi" w:cs="Times New Roman"/>
          <w:sz w:val="24"/>
          <w:szCs w:val="24"/>
        </w:rPr>
        <w:t>($1.25) and P</w:t>
      </w:r>
      <w:r w:rsidR="00E2029C" w:rsidRPr="00F14751">
        <w:rPr>
          <w:rFonts w:asciiTheme="majorHAnsi" w:hAnsiTheme="majorHAnsi" w:cs="Times New Roman"/>
          <w:sz w:val="24"/>
          <w:szCs w:val="24"/>
        </w:rPr>
        <w:t>HR ($2)</w:t>
      </w:r>
      <w:r w:rsidR="001C1F30" w:rsidRPr="00F14751">
        <w:rPr>
          <w:rFonts w:asciiTheme="majorHAnsi" w:hAnsiTheme="majorHAnsi" w:cs="Times New Roman"/>
          <w:sz w:val="24"/>
          <w:szCs w:val="24"/>
        </w:rPr>
        <w:t xml:space="preserve"> are</w:t>
      </w:r>
      <w:r w:rsidR="00763661" w:rsidRPr="00F14751">
        <w:rPr>
          <w:rFonts w:asciiTheme="majorHAnsi" w:hAnsiTheme="majorHAnsi" w:cs="Times New Roman"/>
          <w:sz w:val="24"/>
          <w:szCs w:val="24"/>
        </w:rPr>
        <w:t xml:space="preserve"> thus </w:t>
      </w:r>
      <w:r w:rsidR="001C1F30" w:rsidRPr="00F14751">
        <w:rPr>
          <w:rFonts w:asciiTheme="majorHAnsi" w:hAnsiTheme="majorHAnsi" w:cs="Times New Roman"/>
          <w:sz w:val="24"/>
          <w:szCs w:val="24"/>
        </w:rPr>
        <w:t>likely to be reflected in D1</w:t>
      </w:r>
      <w:r w:rsidR="00763661" w:rsidRPr="00F14751">
        <w:rPr>
          <w:rFonts w:asciiTheme="majorHAnsi" w:hAnsiTheme="majorHAnsi" w:cs="Times New Roman"/>
          <w:sz w:val="24"/>
          <w:szCs w:val="24"/>
        </w:rPr>
        <w:t xml:space="preserve">. </w:t>
      </w:r>
      <w:r w:rsidR="000E45EB" w:rsidRPr="00F14751">
        <w:rPr>
          <w:rFonts w:asciiTheme="majorHAnsi" w:hAnsiTheme="majorHAnsi" w:cs="Times New Roman"/>
          <w:sz w:val="24"/>
          <w:szCs w:val="24"/>
        </w:rPr>
        <w:t>However, the standard deviat</w:t>
      </w:r>
      <w:r w:rsidR="00E30A5F" w:rsidRPr="00F14751">
        <w:rPr>
          <w:rFonts w:asciiTheme="majorHAnsi" w:hAnsiTheme="majorHAnsi" w:cs="Times New Roman"/>
          <w:sz w:val="24"/>
          <w:szCs w:val="24"/>
        </w:rPr>
        <w:t>ion of D1 is 0.46</w:t>
      </w:r>
      <w:r w:rsidR="000E45EB" w:rsidRPr="00F14751">
        <w:rPr>
          <w:rFonts w:asciiTheme="majorHAnsi" w:hAnsiTheme="majorHAnsi" w:cs="Times New Roman"/>
          <w:sz w:val="24"/>
          <w:szCs w:val="24"/>
        </w:rPr>
        <w:t xml:space="preserve">. This means that </w:t>
      </w:r>
      <w:r w:rsidR="001C1F30" w:rsidRPr="00F14751">
        <w:rPr>
          <w:rFonts w:asciiTheme="majorHAnsi" w:hAnsiTheme="majorHAnsi" w:cs="Times New Roman"/>
          <w:sz w:val="24"/>
          <w:szCs w:val="24"/>
        </w:rPr>
        <w:t xml:space="preserve">the share of </w:t>
      </w:r>
      <w:r w:rsidR="007842F5" w:rsidRPr="00F14751">
        <w:rPr>
          <w:rFonts w:asciiTheme="majorHAnsi" w:hAnsiTheme="majorHAnsi" w:cs="Times New Roman"/>
          <w:sz w:val="24"/>
          <w:szCs w:val="24"/>
        </w:rPr>
        <w:t>income held</w:t>
      </w:r>
      <w:r w:rsidR="001C1F30" w:rsidRPr="00F14751">
        <w:rPr>
          <w:rFonts w:asciiTheme="majorHAnsi" w:hAnsiTheme="majorHAnsi" w:cs="Times New Roman"/>
          <w:sz w:val="24"/>
          <w:szCs w:val="24"/>
        </w:rPr>
        <w:t xml:space="preserve"> by</w:t>
      </w:r>
      <w:r w:rsidR="00E30A5F" w:rsidRPr="00F14751">
        <w:rPr>
          <w:rFonts w:asciiTheme="majorHAnsi" w:hAnsiTheme="majorHAnsi" w:cs="Times New Roman"/>
          <w:sz w:val="24"/>
          <w:szCs w:val="24"/>
        </w:rPr>
        <w:t xml:space="preserve"> the D1 fluctuates between 0.72 (lower bound) and 1.64</w:t>
      </w:r>
      <w:r w:rsidR="001C1F30" w:rsidRPr="00F14751">
        <w:rPr>
          <w:rFonts w:asciiTheme="majorHAnsi" w:hAnsiTheme="majorHAnsi" w:cs="Times New Roman"/>
          <w:sz w:val="24"/>
          <w:szCs w:val="24"/>
        </w:rPr>
        <w:t xml:space="preserve"> (upper bound) percent. The lower bound</w:t>
      </w:r>
      <w:r w:rsidR="00E30A5F" w:rsidRPr="00F14751">
        <w:rPr>
          <w:rFonts w:asciiTheme="majorHAnsi" w:hAnsiTheme="majorHAnsi" w:cs="Times New Roman"/>
          <w:sz w:val="24"/>
          <w:szCs w:val="24"/>
        </w:rPr>
        <w:t xml:space="preserve"> is equal to approximately $1.20 ($166.82 * 0.0072</w:t>
      </w:r>
      <w:r w:rsidR="001C1F30" w:rsidRPr="00F14751">
        <w:rPr>
          <w:rFonts w:asciiTheme="majorHAnsi" w:hAnsiTheme="majorHAnsi" w:cs="Times New Roman"/>
          <w:sz w:val="24"/>
          <w:szCs w:val="24"/>
        </w:rPr>
        <w:t xml:space="preserve">) per day, while the upper bound is equivalent to </w:t>
      </w:r>
      <w:r w:rsidR="00E30A5F" w:rsidRPr="00F14751">
        <w:rPr>
          <w:rFonts w:asciiTheme="majorHAnsi" w:hAnsiTheme="majorHAnsi" w:cs="Times New Roman"/>
          <w:sz w:val="24"/>
          <w:szCs w:val="24"/>
        </w:rPr>
        <w:t>about $2.74 ($166.82 * 0.0164</w:t>
      </w:r>
      <w:r w:rsidR="001C1F30" w:rsidRPr="00F14751">
        <w:rPr>
          <w:rFonts w:asciiTheme="majorHAnsi" w:hAnsiTheme="majorHAnsi" w:cs="Times New Roman"/>
          <w:sz w:val="24"/>
          <w:szCs w:val="24"/>
        </w:rPr>
        <w:t xml:space="preserve">) per day. </w:t>
      </w:r>
      <w:r w:rsidR="00F6061D" w:rsidRPr="00F14751">
        <w:rPr>
          <w:rFonts w:asciiTheme="majorHAnsi" w:hAnsiTheme="majorHAnsi" w:cs="Times New Roman"/>
          <w:sz w:val="24"/>
          <w:szCs w:val="24"/>
        </w:rPr>
        <w:t xml:space="preserve">As a result, changes in </w:t>
      </w:r>
      <w:r w:rsidR="001C1F30" w:rsidRPr="00F14751">
        <w:rPr>
          <w:rFonts w:asciiTheme="majorHAnsi" w:hAnsiTheme="majorHAnsi" w:cs="Times New Roman"/>
          <w:sz w:val="24"/>
          <w:szCs w:val="24"/>
        </w:rPr>
        <w:t xml:space="preserve">the measures of poverty </w:t>
      </w:r>
      <w:r w:rsidR="004E2E6D">
        <w:rPr>
          <w:rFonts w:asciiTheme="majorHAnsi" w:hAnsiTheme="majorHAnsi" w:cs="Times New Roman"/>
          <w:sz w:val="24"/>
          <w:szCs w:val="24"/>
        </w:rPr>
        <w:t>might</w:t>
      </w:r>
      <w:r w:rsidR="00E4659D" w:rsidRPr="00F14751">
        <w:rPr>
          <w:rFonts w:asciiTheme="majorHAnsi" w:hAnsiTheme="majorHAnsi" w:cs="Times New Roman"/>
          <w:sz w:val="24"/>
          <w:szCs w:val="24"/>
        </w:rPr>
        <w:t xml:space="preserve">, but do not have to be reflected in D1. </w:t>
      </w:r>
    </w:p>
    <w:p w14:paraId="373B86BF" w14:textId="77777777" w:rsidR="00001A2B" w:rsidRPr="00F14751" w:rsidRDefault="00902BFB" w:rsidP="00C8508E">
      <w:pPr>
        <w:pStyle w:val="NoSpacing"/>
        <w:spacing w:line="360" w:lineRule="auto"/>
        <w:ind w:firstLine="708"/>
        <w:jc w:val="both"/>
        <w:rPr>
          <w:rFonts w:asciiTheme="majorHAnsi" w:hAnsiTheme="majorHAnsi"/>
          <w:sz w:val="24"/>
        </w:rPr>
      </w:pPr>
      <w:r w:rsidRPr="00F14751">
        <w:rPr>
          <w:rFonts w:asciiTheme="majorHAnsi" w:hAnsiTheme="majorHAnsi"/>
          <w:sz w:val="24"/>
        </w:rPr>
        <w:t xml:space="preserve">Earlier in this chapter, we noticed that the measures of poverty and inequality move in a very similar pattern. This suggests that there is a high degree of correlation among the measures of poverty and the measures of inequality. Table 2 shows the correlation </w:t>
      </w:r>
      <w:r w:rsidR="00CC3BE7" w:rsidRPr="00F14751">
        <w:rPr>
          <w:rFonts w:asciiTheme="majorHAnsi" w:hAnsiTheme="majorHAnsi"/>
          <w:sz w:val="24"/>
        </w:rPr>
        <w:t>coefficients</w:t>
      </w:r>
      <w:r w:rsidR="00763661" w:rsidRPr="00F14751">
        <w:rPr>
          <w:rFonts w:asciiTheme="majorHAnsi" w:hAnsiTheme="majorHAnsi"/>
          <w:sz w:val="24"/>
        </w:rPr>
        <w:t xml:space="preserve"> of the dependent and main independent variable</w:t>
      </w:r>
      <w:r w:rsidR="007E2B39" w:rsidRPr="00F14751">
        <w:rPr>
          <w:rFonts w:asciiTheme="majorHAnsi" w:hAnsiTheme="majorHAnsi"/>
          <w:sz w:val="24"/>
        </w:rPr>
        <w:t>s</w:t>
      </w:r>
      <w:r w:rsidRPr="00F14751">
        <w:rPr>
          <w:rFonts w:asciiTheme="majorHAnsi" w:hAnsiTheme="majorHAnsi"/>
          <w:sz w:val="24"/>
        </w:rPr>
        <w:t xml:space="preserve">. Indeed, there is a high degree of correlation among the measures of poverty and </w:t>
      </w:r>
      <w:r w:rsidR="00CC3BE7" w:rsidRPr="00F14751">
        <w:rPr>
          <w:rFonts w:asciiTheme="majorHAnsi" w:hAnsiTheme="majorHAnsi"/>
          <w:sz w:val="24"/>
        </w:rPr>
        <w:t xml:space="preserve">the measures of </w:t>
      </w:r>
      <w:r w:rsidRPr="00F14751">
        <w:rPr>
          <w:rFonts w:asciiTheme="majorHAnsi" w:hAnsiTheme="majorHAnsi"/>
          <w:sz w:val="24"/>
        </w:rPr>
        <w:t xml:space="preserve">inequality. </w:t>
      </w:r>
      <w:r w:rsidR="00CC3BE7" w:rsidRPr="00F14751">
        <w:rPr>
          <w:rFonts w:asciiTheme="majorHAnsi" w:hAnsiTheme="majorHAnsi"/>
          <w:sz w:val="24"/>
        </w:rPr>
        <w:t xml:space="preserve">Except for one, all correlation coefficients of </w:t>
      </w:r>
      <w:r w:rsidR="006F23E3">
        <w:rPr>
          <w:rFonts w:asciiTheme="majorHAnsi" w:hAnsiTheme="majorHAnsi"/>
          <w:sz w:val="24"/>
        </w:rPr>
        <w:t>the measures of poverty are 0.88</w:t>
      </w:r>
      <w:r w:rsidR="00CC3BE7" w:rsidRPr="00F14751">
        <w:rPr>
          <w:rFonts w:asciiTheme="majorHAnsi" w:hAnsiTheme="majorHAnsi"/>
          <w:sz w:val="24"/>
        </w:rPr>
        <w:t xml:space="preserve"> or higher. The measures of inequality have different correlation coefficients. Some are low, while other</w:t>
      </w:r>
      <w:r w:rsidR="00503381" w:rsidRPr="00F14751">
        <w:rPr>
          <w:rFonts w:asciiTheme="majorHAnsi" w:hAnsiTheme="majorHAnsi"/>
          <w:sz w:val="24"/>
        </w:rPr>
        <w:t>s</w:t>
      </w:r>
      <w:r w:rsidR="00CC3BE7" w:rsidRPr="00F14751">
        <w:rPr>
          <w:rFonts w:asciiTheme="majorHAnsi" w:hAnsiTheme="majorHAnsi"/>
          <w:sz w:val="24"/>
        </w:rPr>
        <w:t xml:space="preserve"> are very high. </w:t>
      </w:r>
      <w:r w:rsidRPr="00F14751">
        <w:rPr>
          <w:rFonts w:asciiTheme="majorHAnsi" w:hAnsiTheme="majorHAnsi"/>
          <w:sz w:val="24"/>
        </w:rPr>
        <w:t>This high degree of correlation can cause problems when these variables ar</w:t>
      </w:r>
      <w:r w:rsidR="00CC3BE7" w:rsidRPr="00F14751">
        <w:rPr>
          <w:rFonts w:asciiTheme="majorHAnsi" w:hAnsiTheme="majorHAnsi"/>
          <w:sz w:val="24"/>
        </w:rPr>
        <w:t xml:space="preserve">e </w:t>
      </w:r>
      <w:r w:rsidR="00FA2C6F" w:rsidRPr="00F14751">
        <w:rPr>
          <w:rFonts w:asciiTheme="majorHAnsi" w:hAnsiTheme="majorHAnsi"/>
          <w:sz w:val="24"/>
        </w:rPr>
        <w:t>used as explanatory variables and w</w:t>
      </w:r>
      <w:r w:rsidRPr="00F14751">
        <w:rPr>
          <w:rFonts w:asciiTheme="majorHAnsi" w:hAnsiTheme="majorHAnsi"/>
          <w:sz w:val="24"/>
        </w:rPr>
        <w:t>e will discuss this in the following chapter. The correlations between the other variables are moderate or low (see Appendix).</w:t>
      </w:r>
    </w:p>
    <w:p w14:paraId="01AD194B" w14:textId="77777777" w:rsidR="00001A2B" w:rsidRPr="00F14751" w:rsidRDefault="00001A2B" w:rsidP="00C8508E">
      <w:pPr>
        <w:pStyle w:val="NoSpacing"/>
        <w:spacing w:line="360" w:lineRule="auto"/>
        <w:jc w:val="both"/>
        <w:rPr>
          <w:rFonts w:asciiTheme="majorHAnsi" w:hAnsiTheme="majorHAnsi"/>
          <w:sz w:val="24"/>
        </w:rPr>
      </w:pPr>
    </w:p>
    <w:p w14:paraId="43DB3BC1" w14:textId="16BE148D" w:rsidR="00592218" w:rsidRPr="00E402EA" w:rsidRDefault="005E594F" w:rsidP="00C8508E">
      <w:pPr>
        <w:pStyle w:val="NoSpacing"/>
        <w:spacing w:line="360" w:lineRule="auto"/>
        <w:jc w:val="both"/>
        <w:rPr>
          <w:rFonts w:asciiTheme="majorHAnsi" w:hAnsiTheme="majorHAnsi"/>
        </w:rPr>
      </w:pPr>
      <w:r w:rsidRPr="00E402EA">
        <w:rPr>
          <w:rFonts w:asciiTheme="majorHAnsi" w:hAnsiTheme="majorHAnsi"/>
          <w:sz w:val="24"/>
        </w:rPr>
        <w:t>Table 1: Summary s</w:t>
      </w:r>
      <w:r w:rsidR="00592218" w:rsidRPr="00E402EA">
        <w:rPr>
          <w:rFonts w:asciiTheme="majorHAnsi" w:hAnsiTheme="majorHAnsi"/>
          <w:sz w:val="24"/>
        </w:rPr>
        <w:t>tatistics. The table reports the number of observations (N), mean, standard deviation (</w:t>
      </w:r>
      <w:proofErr w:type="spellStart"/>
      <w:proofErr w:type="gramStart"/>
      <w:r w:rsidR="00592218" w:rsidRPr="00E402EA">
        <w:rPr>
          <w:rFonts w:asciiTheme="majorHAnsi" w:hAnsiTheme="majorHAnsi"/>
          <w:sz w:val="24"/>
        </w:rPr>
        <w:t>sd</w:t>
      </w:r>
      <w:proofErr w:type="spellEnd"/>
      <w:proofErr w:type="gramEnd"/>
      <w:r w:rsidR="00592218" w:rsidRPr="00E402EA">
        <w:rPr>
          <w:rFonts w:asciiTheme="majorHAnsi" w:hAnsiTheme="majorHAnsi"/>
          <w:sz w:val="24"/>
        </w:rPr>
        <w:t>), max</w:t>
      </w:r>
      <w:r w:rsidR="0001621E" w:rsidRPr="00E402EA">
        <w:rPr>
          <w:rFonts w:asciiTheme="majorHAnsi" w:hAnsiTheme="majorHAnsi"/>
          <w:sz w:val="24"/>
        </w:rPr>
        <w:t>imum, and minimum per variable</w:t>
      </w:r>
    </w:p>
    <w:tbl>
      <w:tblPr>
        <w:tblW w:w="0" w:type="auto"/>
        <w:tblLayout w:type="fixed"/>
        <w:tblCellMar>
          <w:left w:w="75" w:type="dxa"/>
          <w:right w:w="75" w:type="dxa"/>
        </w:tblCellMar>
        <w:tblLook w:val="0000" w:firstRow="0" w:lastRow="0" w:firstColumn="0" w:lastColumn="0" w:noHBand="0" w:noVBand="0"/>
      </w:tblPr>
      <w:tblGrid>
        <w:gridCol w:w="3477"/>
        <w:gridCol w:w="1134"/>
        <w:gridCol w:w="1134"/>
        <w:gridCol w:w="1134"/>
        <w:gridCol w:w="1134"/>
        <w:gridCol w:w="1134"/>
      </w:tblGrid>
      <w:tr w:rsidR="00592218" w:rsidRPr="006F5842" w14:paraId="6022CAFD" w14:textId="77777777" w:rsidTr="00AD2AA2">
        <w:tc>
          <w:tcPr>
            <w:tcW w:w="3477" w:type="dxa"/>
            <w:tcBorders>
              <w:top w:val="single" w:sz="6" w:space="0" w:color="auto"/>
              <w:left w:val="nil"/>
              <w:bottom w:val="nil"/>
              <w:right w:val="nil"/>
            </w:tcBorders>
            <w:vAlign w:val="center"/>
          </w:tcPr>
          <w:p w14:paraId="4C902105" w14:textId="77777777" w:rsidR="00592218" w:rsidRPr="006F5842" w:rsidRDefault="00592218" w:rsidP="00AD2AA2">
            <w:pPr>
              <w:pStyle w:val="NoSpacing"/>
              <w:spacing w:line="360" w:lineRule="auto"/>
              <w:rPr>
                <w:rFonts w:asciiTheme="majorHAnsi" w:hAnsiTheme="majorHAnsi" w:cs="Times New Roman"/>
                <w:sz w:val="20"/>
                <w:szCs w:val="24"/>
              </w:rPr>
            </w:pPr>
          </w:p>
        </w:tc>
        <w:tc>
          <w:tcPr>
            <w:tcW w:w="1134" w:type="dxa"/>
            <w:tcBorders>
              <w:top w:val="single" w:sz="6" w:space="0" w:color="auto"/>
              <w:left w:val="nil"/>
              <w:bottom w:val="nil"/>
              <w:right w:val="nil"/>
            </w:tcBorders>
            <w:vAlign w:val="center"/>
          </w:tcPr>
          <w:p w14:paraId="504FA8B6"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w:t>
            </w:r>
          </w:p>
        </w:tc>
        <w:tc>
          <w:tcPr>
            <w:tcW w:w="1134" w:type="dxa"/>
            <w:tcBorders>
              <w:top w:val="single" w:sz="6" w:space="0" w:color="auto"/>
              <w:left w:val="nil"/>
              <w:bottom w:val="nil"/>
              <w:right w:val="nil"/>
            </w:tcBorders>
            <w:vAlign w:val="center"/>
          </w:tcPr>
          <w:p w14:paraId="1B083D8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w:t>
            </w:r>
          </w:p>
        </w:tc>
        <w:tc>
          <w:tcPr>
            <w:tcW w:w="1134" w:type="dxa"/>
            <w:tcBorders>
              <w:top w:val="single" w:sz="6" w:space="0" w:color="auto"/>
              <w:left w:val="nil"/>
              <w:bottom w:val="nil"/>
              <w:right w:val="nil"/>
            </w:tcBorders>
            <w:vAlign w:val="center"/>
          </w:tcPr>
          <w:p w14:paraId="262D8E6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w:t>
            </w:r>
          </w:p>
        </w:tc>
        <w:tc>
          <w:tcPr>
            <w:tcW w:w="1134" w:type="dxa"/>
            <w:tcBorders>
              <w:top w:val="single" w:sz="6" w:space="0" w:color="auto"/>
              <w:left w:val="nil"/>
              <w:bottom w:val="nil"/>
              <w:right w:val="nil"/>
            </w:tcBorders>
            <w:vAlign w:val="center"/>
          </w:tcPr>
          <w:p w14:paraId="3CBDEDC0"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w:t>
            </w:r>
          </w:p>
        </w:tc>
        <w:tc>
          <w:tcPr>
            <w:tcW w:w="1134" w:type="dxa"/>
            <w:tcBorders>
              <w:top w:val="single" w:sz="6" w:space="0" w:color="auto"/>
              <w:left w:val="nil"/>
              <w:bottom w:val="nil"/>
              <w:right w:val="nil"/>
            </w:tcBorders>
            <w:vAlign w:val="center"/>
          </w:tcPr>
          <w:p w14:paraId="5D56A5C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w:t>
            </w:r>
          </w:p>
        </w:tc>
      </w:tr>
      <w:tr w:rsidR="00592218" w:rsidRPr="006F5842" w14:paraId="5FBDF422" w14:textId="77777777" w:rsidTr="00AD2AA2">
        <w:tc>
          <w:tcPr>
            <w:tcW w:w="3477" w:type="dxa"/>
            <w:tcBorders>
              <w:top w:val="nil"/>
              <w:left w:val="nil"/>
              <w:bottom w:val="single" w:sz="6" w:space="0" w:color="auto"/>
              <w:right w:val="nil"/>
            </w:tcBorders>
            <w:vAlign w:val="center"/>
          </w:tcPr>
          <w:p w14:paraId="31D223E1"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VARIABLES</w:t>
            </w:r>
          </w:p>
        </w:tc>
        <w:tc>
          <w:tcPr>
            <w:tcW w:w="1134" w:type="dxa"/>
            <w:tcBorders>
              <w:top w:val="nil"/>
              <w:left w:val="nil"/>
              <w:bottom w:val="single" w:sz="6" w:space="0" w:color="auto"/>
              <w:right w:val="nil"/>
            </w:tcBorders>
            <w:vAlign w:val="center"/>
          </w:tcPr>
          <w:p w14:paraId="65B72BA7"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N</w:t>
            </w:r>
          </w:p>
        </w:tc>
        <w:tc>
          <w:tcPr>
            <w:tcW w:w="1134" w:type="dxa"/>
            <w:tcBorders>
              <w:top w:val="nil"/>
              <w:left w:val="nil"/>
              <w:bottom w:val="single" w:sz="6" w:space="0" w:color="auto"/>
              <w:right w:val="nil"/>
            </w:tcBorders>
            <w:vAlign w:val="center"/>
          </w:tcPr>
          <w:p w14:paraId="3F12995C"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M</w:t>
            </w:r>
            <w:r w:rsidR="00592218" w:rsidRPr="006F5842">
              <w:rPr>
                <w:rFonts w:asciiTheme="majorHAnsi" w:hAnsiTheme="majorHAnsi" w:cs="Times New Roman"/>
                <w:sz w:val="20"/>
                <w:szCs w:val="24"/>
              </w:rPr>
              <w:t>ean</w:t>
            </w:r>
          </w:p>
        </w:tc>
        <w:tc>
          <w:tcPr>
            <w:tcW w:w="1134" w:type="dxa"/>
            <w:tcBorders>
              <w:top w:val="nil"/>
              <w:left w:val="nil"/>
              <w:bottom w:val="single" w:sz="6" w:space="0" w:color="auto"/>
              <w:right w:val="nil"/>
            </w:tcBorders>
            <w:vAlign w:val="center"/>
          </w:tcPr>
          <w:p w14:paraId="47922348" w14:textId="77777777" w:rsidR="00592218" w:rsidRPr="006F5842" w:rsidRDefault="003148DD" w:rsidP="00AD2AA2">
            <w:pPr>
              <w:pStyle w:val="NoSpacing"/>
              <w:spacing w:line="360" w:lineRule="auto"/>
              <w:jc w:val="center"/>
              <w:rPr>
                <w:rFonts w:asciiTheme="majorHAnsi" w:hAnsiTheme="majorHAnsi" w:cs="Times New Roman"/>
                <w:sz w:val="20"/>
                <w:szCs w:val="24"/>
              </w:rPr>
            </w:pPr>
            <w:proofErr w:type="spellStart"/>
            <w:r w:rsidRPr="006F5842">
              <w:rPr>
                <w:rFonts w:asciiTheme="majorHAnsi" w:hAnsiTheme="majorHAnsi" w:cs="Times New Roman"/>
                <w:sz w:val="20"/>
                <w:szCs w:val="24"/>
              </w:rPr>
              <w:t>S</w:t>
            </w:r>
            <w:r w:rsidR="00592218" w:rsidRPr="006F5842">
              <w:rPr>
                <w:rFonts w:asciiTheme="majorHAnsi" w:hAnsiTheme="majorHAnsi" w:cs="Times New Roman"/>
                <w:sz w:val="20"/>
                <w:szCs w:val="24"/>
              </w:rPr>
              <w:t>d</w:t>
            </w:r>
            <w:proofErr w:type="spellEnd"/>
          </w:p>
        </w:tc>
        <w:tc>
          <w:tcPr>
            <w:tcW w:w="1134" w:type="dxa"/>
            <w:tcBorders>
              <w:top w:val="nil"/>
              <w:left w:val="nil"/>
              <w:bottom w:val="single" w:sz="6" w:space="0" w:color="auto"/>
              <w:right w:val="nil"/>
            </w:tcBorders>
            <w:vAlign w:val="center"/>
          </w:tcPr>
          <w:p w14:paraId="4C605839"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M</w:t>
            </w:r>
            <w:r w:rsidR="00592218" w:rsidRPr="006F5842">
              <w:rPr>
                <w:rFonts w:asciiTheme="majorHAnsi" w:hAnsiTheme="majorHAnsi" w:cs="Times New Roman"/>
                <w:sz w:val="20"/>
                <w:szCs w:val="24"/>
              </w:rPr>
              <w:t>in</w:t>
            </w:r>
          </w:p>
        </w:tc>
        <w:tc>
          <w:tcPr>
            <w:tcW w:w="1134" w:type="dxa"/>
            <w:tcBorders>
              <w:top w:val="nil"/>
              <w:left w:val="nil"/>
              <w:bottom w:val="single" w:sz="6" w:space="0" w:color="auto"/>
              <w:right w:val="nil"/>
            </w:tcBorders>
            <w:vAlign w:val="center"/>
          </w:tcPr>
          <w:p w14:paraId="27255F18" w14:textId="77777777" w:rsidR="00592218" w:rsidRPr="006F5842" w:rsidRDefault="003148D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M</w:t>
            </w:r>
            <w:r w:rsidR="00592218" w:rsidRPr="006F5842">
              <w:rPr>
                <w:rFonts w:asciiTheme="majorHAnsi" w:hAnsiTheme="majorHAnsi" w:cs="Times New Roman"/>
                <w:sz w:val="20"/>
                <w:szCs w:val="24"/>
              </w:rPr>
              <w:t>ax</w:t>
            </w:r>
          </w:p>
        </w:tc>
      </w:tr>
      <w:tr w:rsidR="00592218" w:rsidRPr="006F5842" w14:paraId="6FA29D98" w14:textId="77777777" w:rsidTr="00AD2AA2">
        <w:tc>
          <w:tcPr>
            <w:tcW w:w="3477" w:type="dxa"/>
            <w:tcBorders>
              <w:top w:val="nil"/>
              <w:left w:val="nil"/>
              <w:bottom w:val="nil"/>
              <w:right w:val="nil"/>
            </w:tcBorders>
            <w:vAlign w:val="center"/>
          </w:tcPr>
          <w:p w14:paraId="154BA315"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Poverty Headcount Ratio ($2)</w:t>
            </w:r>
          </w:p>
        </w:tc>
        <w:tc>
          <w:tcPr>
            <w:tcW w:w="1134" w:type="dxa"/>
            <w:tcBorders>
              <w:top w:val="nil"/>
              <w:left w:val="nil"/>
              <w:bottom w:val="nil"/>
              <w:right w:val="nil"/>
            </w:tcBorders>
            <w:vAlign w:val="center"/>
          </w:tcPr>
          <w:p w14:paraId="11BC113B"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76EDCB8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16.46</w:t>
            </w:r>
          </w:p>
        </w:tc>
        <w:tc>
          <w:tcPr>
            <w:tcW w:w="1134" w:type="dxa"/>
            <w:tcBorders>
              <w:top w:val="nil"/>
              <w:left w:val="nil"/>
              <w:bottom w:val="nil"/>
              <w:right w:val="nil"/>
            </w:tcBorders>
            <w:vAlign w:val="center"/>
          </w:tcPr>
          <w:p w14:paraId="1BA6556F"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9.04</w:t>
            </w:r>
          </w:p>
        </w:tc>
        <w:tc>
          <w:tcPr>
            <w:tcW w:w="1134" w:type="dxa"/>
            <w:tcBorders>
              <w:top w:val="nil"/>
              <w:left w:val="nil"/>
              <w:bottom w:val="nil"/>
              <w:right w:val="nil"/>
            </w:tcBorders>
            <w:vAlign w:val="center"/>
          </w:tcPr>
          <w:p w14:paraId="5728572B"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1.18</w:t>
            </w:r>
          </w:p>
        </w:tc>
        <w:tc>
          <w:tcPr>
            <w:tcW w:w="1134" w:type="dxa"/>
            <w:tcBorders>
              <w:top w:val="nil"/>
              <w:left w:val="nil"/>
              <w:bottom w:val="nil"/>
              <w:right w:val="nil"/>
            </w:tcBorders>
            <w:vAlign w:val="center"/>
          </w:tcPr>
          <w:p w14:paraId="41A4F047"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56.75</w:t>
            </w:r>
          </w:p>
        </w:tc>
      </w:tr>
      <w:tr w:rsidR="00592218" w:rsidRPr="006F5842" w14:paraId="39C2DC27" w14:textId="77777777" w:rsidTr="00AD2AA2">
        <w:tc>
          <w:tcPr>
            <w:tcW w:w="3477" w:type="dxa"/>
            <w:tcBorders>
              <w:top w:val="nil"/>
              <w:left w:val="nil"/>
              <w:bottom w:val="nil"/>
              <w:right w:val="nil"/>
            </w:tcBorders>
            <w:vAlign w:val="center"/>
          </w:tcPr>
          <w:p w14:paraId="4C84CD33"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Poverty Headcount Ratio ($1.25)</w:t>
            </w:r>
          </w:p>
        </w:tc>
        <w:tc>
          <w:tcPr>
            <w:tcW w:w="1134" w:type="dxa"/>
            <w:tcBorders>
              <w:top w:val="nil"/>
              <w:left w:val="nil"/>
              <w:bottom w:val="nil"/>
              <w:right w:val="nil"/>
            </w:tcBorders>
            <w:vAlign w:val="center"/>
          </w:tcPr>
          <w:p w14:paraId="1DC0F67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0EBC2460" w14:textId="77777777" w:rsidR="00592218" w:rsidRPr="006F5842" w:rsidRDefault="00B26926"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8.27</w:t>
            </w:r>
          </w:p>
        </w:tc>
        <w:tc>
          <w:tcPr>
            <w:tcW w:w="1134" w:type="dxa"/>
            <w:tcBorders>
              <w:top w:val="nil"/>
              <w:left w:val="nil"/>
              <w:bottom w:val="nil"/>
              <w:right w:val="nil"/>
            </w:tcBorders>
            <w:vAlign w:val="center"/>
          </w:tcPr>
          <w:p w14:paraId="62CC34FD"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5.96</w:t>
            </w:r>
          </w:p>
        </w:tc>
        <w:tc>
          <w:tcPr>
            <w:tcW w:w="1134" w:type="dxa"/>
            <w:tcBorders>
              <w:top w:val="nil"/>
              <w:left w:val="nil"/>
              <w:bottom w:val="nil"/>
              <w:right w:val="nil"/>
            </w:tcBorders>
            <w:vAlign w:val="center"/>
          </w:tcPr>
          <w:p w14:paraId="4F19BE01"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0.20</w:t>
            </w:r>
          </w:p>
        </w:tc>
        <w:tc>
          <w:tcPr>
            <w:tcW w:w="1134" w:type="dxa"/>
            <w:tcBorders>
              <w:top w:val="nil"/>
              <w:left w:val="nil"/>
              <w:bottom w:val="nil"/>
              <w:right w:val="nil"/>
            </w:tcBorders>
            <w:vAlign w:val="center"/>
          </w:tcPr>
          <w:p w14:paraId="299AFC04"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38.64</w:t>
            </w:r>
          </w:p>
        </w:tc>
      </w:tr>
      <w:tr w:rsidR="00592218" w:rsidRPr="006F5842" w14:paraId="687F769F" w14:textId="77777777" w:rsidTr="00AD2AA2">
        <w:tc>
          <w:tcPr>
            <w:tcW w:w="3477" w:type="dxa"/>
            <w:tcBorders>
              <w:top w:val="nil"/>
              <w:left w:val="nil"/>
              <w:bottom w:val="nil"/>
              <w:right w:val="nil"/>
            </w:tcBorders>
            <w:vAlign w:val="center"/>
          </w:tcPr>
          <w:p w14:paraId="03848E93"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Poverty Gap Ratio ($2)</w:t>
            </w:r>
          </w:p>
        </w:tc>
        <w:tc>
          <w:tcPr>
            <w:tcW w:w="1134" w:type="dxa"/>
            <w:tcBorders>
              <w:top w:val="nil"/>
              <w:left w:val="nil"/>
              <w:bottom w:val="nil"/>
              <w:right w:val="nil"/>
            </w:tcBorders>
            <w:vAlign w:val="center"/>
          </w:tcPr>
          <w:p w14:paraId="0F5E5F0B"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3270E0F8" w14:textId="77777777" w:rsidR="00592218" w:rsidRPr="006F5842" w:rsidRDefault="003148D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6.86</w:t>
            </w:r>
          </w:p>
        </w:tc>
        <w:tc>
          <w:tcPr>
            <w:tcW w:w="1134" w:type="dxa"/>
            <w:tcBorders>
              <w:top w:val="nil"/>
              <w:left w:val="nil"/>
              <w:bottom w:val="nil"/>
              <w:right w:val="nil"/>
            </w:tcBorders>
            <w:vAlign w:val="center"/>
          </w:tcPr>
          <w:p w14:paraId="2F7357DF"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4.70</w:t>
            </w:r>
          </w:p>
        </w:tc>
        <w:tc>
          <w:tcPr>
            <w:tcW w:w="1134" w:type="dxa"/>
            <w:tcBorders>
              <w:top w:val="nil"/>
              <w:left w:val="nil"/>
              <w:bottom w:val="nil"/>
              <w:right w:val="nil"/>
            </w:tcBorders>
            <w:vAlign w:val="center"/>
          </w:tcPr>
          <w:p w14:paraId="76FECE51"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0.26</w:t>
            </w:r>
          </w:p>
        </w:tc>
        <w:tc>
          <w:tcPr>
            <w:tcW w:w="1134" w:type="dxa"/>
            <w:tcBorders>
              <w:top w:val="nil"/>
              <w:left w:val="nil"/>
              <w:bottom w:val="nil"/>
              <w:right w:val="nil"/>
            </w:tcBorders>
            <w:vAlign w:val="center"/>
          </w:tcPr>
          <w:p w14:paraId="283DDE22"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28.97</w:t>
            </w:r>
          </w:p>
        </w:tc>
      </w:tr>
      <w:tr w:rsidR="00592218" w:rsidRPr="006F5842" w14:paraId="69110264" w14:textId="77777777" w:rsidTr="00AD2AA2">
        <w:tc>
          <w:tcPr>
            <w:tcW w:w="3477" w:type="dxa"/>
            <w:tcBorders>
              <w:top w:val="nil"/>
              <w:left w:val="nil"/>
              <w:bottom w:val="nil"/>
              <w:right w:val="nil"/>
            </w:tcBorders>
            <w:vAlign w:val="center"/>
          </w:tcPr>
          <w:p w14:paraId="7CF69B68"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 xml:space="preserve">Poverty </w:t>
            </w:r>
            <w:r w:rsidR="00185083" w:rsidRPr="006F5842">
              <w:rPr>
                <w:rFonts w:asciiTheme="majorHAnsi" w:hAnsiTheme="majorHAnsi" w:cs="Times New Roman"/>
                <w:sz w:val="20"/>
                <w:szCs w:val="24"/>
              </w:rPr>
              <w:t>Gap Ratio</w:t>
            </w:r>
            <w:r w:rsidRPr="006F5842">
              <w:rPr>
                <w:rFonts w:asciiTheme="majorHAnsi" w:hAnsiTheme="majorHAnsi" w:cs="Times New Roman"/>
                <w:sz w:val="20"/>
                <w:szCs w:val="24"/>
              </w:rPr>
              <w:t xml:space="preserve"> ($1.25)</w:t>
            </w:r>
          </w:p>
        </w:tc>
        <w:tc>
          <w:tcPr>
            <w:tcW w:w="1134" w:type="dxa"/>
            <w:tcBorders>
              <w:top w:val="nil"/>
              <w:left w:val="nil"/>
              <w:bottom w:val="nil"/>
              <w:right w:val="nil"/>
            </w:tcBorders>
            <w:vAlign w:val="center"/>
          </w:tcPr>
          <w:p w14:paraId="1BB4E955"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066821CC" w14:textId="77777777" w:rsidR="00592218" w:rsidRPr="006F5842" w:rsidRDefault="003148D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3.62</w:t>
            </w:r>
          </w:p>
        </w:tc>
        <w:tc>
          <w:tcPr>
            <w:tcW w:w="1134" w:type="dxa"/>
            <w:tcBorders>
              <w:top w:val="nil"/>
              <w:left w:val="nil"/>
              <w:bottom w:val="nil"/>
              <w:right w:val="nil"/>
            </w:tcBorders>
            <w:vAlign w:val="center"/>
          </w:tcPr>
          <w:p w14:paraId="63E54043"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3.18</w:t>
            </w:r>
          </w:p>
        </w:tc>
        <w:tc>
          <w:tcPr>
            <w:tcW w:w="1134" w:type="dxa"/>
            <w:tcBorders>
              <w:top w:val="nil"/>
              <w:left w:val="nil"/>
              <w:bottom w:val="nil"/>
              <w:right w:val="nil"/>
            </w:tcBorders>
            <w:vAlign w:val="center"/>
          </w:tcPr>
          <w:p w14:paraId="6CDF2A2C"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0.05</w:t>
            </w:r>
          </w:p>
        </w:tc>
        <w:tc>
          <w:tcPr>
            <w:tcW w:w="1134" w:type="dxa"/>
            <w:tcBorders>
              <w:top w:val="nil"/>
              <w:left w:val="nil"/>
              <w:bottom w:val="nil"/>
              <w:right w:val="nil"/>
            </w:tcBorders>
            <w:vAlign w:val="center"/>
          </w:tcPr>
          <w:p w14:paraId="4861C009"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17.76</w:t>
            </w:r>
          </w:p>
        </w:tc>
      </w:tr>
      <w:tr w:rsidR="00DF7183" w:rsidRPr="006F5842" w14:paraId="7C1DF8E7" w14:textId="77777777" w:rsidTr="00AD2AA2">
        <w:tc>
          <w:tcPr>
            <w:tcW w:w="3477" w:type="dxa"/>
            <w:tcBorders>
              <w:top w:val="nil"/>
              <w:left w:val="nil"/>
              <w:bottom w:val="nil"/>
              <w:right w:val="nil"/>
            </w:tcBorders>
            <w:vAlign w:val="center"/>
          </w:tcPr>
          <w:p w14:paraId="4C95B076" w14:textId="77777777" w:rsidR="00DF7183" w:rsidRPr="006F5842" w:rsidRDefault="00DF7183"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Degree of Poverty ($2)</w:t>
            </w:r>
          </w:p>
        </w:tc>
        <w:tc>
          <w:tcPr>
            <w:tcW w:w="1134" w:type="dxa"/>
            <w:tcBorders>
              <w:top w:val="nil"/>
              <w:left w:val="nil"/>
              <w:bottom w:val="nil"/>
              <w:right w:val="nil"/>
            </w:tcBorders>
            <w:vAlign w:val="center"/>
          </w:tcPr>
          <w:p w14:paraId="259F7B8E"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7253C482" w14:textId="77777777" w:rsidR="00DF7183" w:rsidRPr="006F5842" w:rsidRDefault="005436B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153.55</w:t>
            </w:r>
          </w:p>
        </w:tc>
        <w:tc>
          <w:tcPr>
            <w:tcW w:w="1134" w:type="dxa"/>
            <w:tcBorders>
              <w:top w:val="nil"/>
              <w:left w:val="nil"/>
              <w:bottom w:val="nil"/>
              <w:right w:val="nil"/>
            </w:tcBorders>
            <w:vAlign w:val="center"/>
          </w:tcPr>
          <w:p w14:paraId="12A6ABD6"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188.68</w:t>
            </w:r>
          </w:p>
        </w:tc>
        <w:tc>
          <w:tcPr>
            <w:tcW w:w="1134" w:type="dxa"/>
            <w:tcBorders>
              <w:top w:val="nil"/>
              <w:left w:val="nil"/>
              <w:bottom w:val="nil"/>
              <w:right w:val="nil"/>
            </w:tcBorders>
            <w:vAlign w:val="center"/>
          </w:tcPr>
          <w:p w14:paraId="1F1AE6EB"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0.31</w:t>
            </w:r>
          </w:p>
        </w:tc>
        <w:tc>
          <w:tcPr>
            <w:tcW w:w="1134" w:type="dxa"/>
            <w:tcBorders>
              <w:top w:val="nil"/>
              <w:left w:val="nil"/>
              <w:bottom w:val="nil"/>
              <w:right w:val="nil"/>
            </w:tcBorders>
            <w:vAlign w:val="center"/>
          </w:tcPr>
          <w:p w14:paraId="6619855C" w14:textId="77777777" w:rsidR="00DF7183" w:rsidRPr="006F5842" w:rsidRDefault="003148D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1644.05</w:t>
            </w:r>
          </w:p>
        </w:tc>
      </w:tr>
      <w:tr w:rsidR="00DF7183" w:rsidRPr="006F5842" w14:paraId="3F582F06" w14:textId="77777777" w:rsidTr="00AD2AA2">
        <w:tc>
          <w:tcPr>
            <w:tcW w:w="3477" w:type="dxa"/>
            <w:tcBorders>
              <w:top w:val="nil"/>
              <w:left w:val="nil"/>
              <w:bottom w:val="nil"/>
              <w:right w:val="nil"/>
            </w:tcBorders>
            <w:vAlign w:val="center"/>
          </w:tcPr>
          <w:p w14:paraId="24E2B7FF" w14:textId="77777777" w:rsidR="00DF7183" w:rsidRPr="006F5842" w:rsidRDefault="00DF7183"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Degree of Poverty ($1.25)</w:t>
            </w:r>
          </w:p>
        </w:tc>
        <w:tc>
          <w:tcPr>
            <w:tcW w:w="1134" w:type="dxa"/>
            <w:tcBorders>
              <w:top w:val="nil"/>
              <w:left w:val="nil"/>
              <w:bottom w:val="nil"/>
              <w:right w:val="nil"/>
            </w:tcBorders>
            <w:vAlign w:val="center"/>
          </w:tcPr>
          <w:p w14:paraId="28B971B4"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6D4BC57A" w14:textId="77777777" w:rsidR="00DF7183" w:rsidRPr="006F5842" w:rsidRDefault="005436B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47.95</w:t>
            </w:r>
          </w:p>
        </w:tc>
        <w:tc>
          <w:tcPr>
            <w:tcW w:w="1134" w:type="dxa"/>
            <w:tcBorders>
              <w:top w:val="nil"/>
              <w:left w:val="nil"/>
              <w:bottom w:val="nil"/>
              <w:right w:val="nil"/>
            </w:tcBorders>
            <w:vAlign w:val="center"/>
          </w:tcPr>
          <w:p w14:paraId="0EE3D747"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79.87</w:t>
            </w:r>
          </w:p>
        </w:tc>
        <w:tc>
          <w:tcPr>
            <w:tcW w:w="1134" w:type="dxa"/>
            <w:tcBorders>
              <w:top w:val="nil"/>
              <w:left w:val="nil"/>
              <w:bottom w:val="nil"/>
              <w:right w:val="nil"/>
            </w:tcBorders>
            <w:vAlign w:val="center"/>
          </w:tcPr>
          <w:p w14:paraId="55C67F4E"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0.01</w:t>
            </w:r>
          </w:p>
        </w:tc>
        <w:tc>
          <w:tcPr>
            <w:tcW w:w="1134" w:type="dxa"/>
            <w:tcBorders>
              <w:top w:val="nil"/>
              <w:left w:val="nil"/>
              <w:bottom w:val="nil"/>
              <w:right w:val="nil"/>
            </w:tcBorders>
            <w:vAlign w:val="center"/>
          </w:tcPr>
          <w:p w14:paraId="3B0EBC3C"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670.79</w:t>
            </w:r>
          </w:p>
        </w:tc>
      </w:tr>
      <w:tr w:rsidR="00592218" w:rsidRPr="006F5842" w14:paraId="3CF91317" w14:textId="77777777" w:rsidTr="00AD2AA2">
        <w:tc>
          <w:tcPr>
            <w:tcW w:w="3477" w:type="dxa"/>
            <w:tcBorders>
              <w:top w:val="nil"/>
              <w:left w:val="nil"/>
              <w:bottom w:val="nil"/>
              <w:right w:val="nil"/>
            </w:tcBorders>
            <w:vAlign w:val="center"/>
          </w:tcPr>
          <w:p w14:paraId="3510E23B"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Gini Coefficient</w:t>
            </w:r>
          </w:p>
        </w:tc>
        <w:tc>
          <w:tcPr>
            <w:tcW w:w="1134" w:type="dxa"/>
            <w:tcBorders>
              <w:top w:val="nil"/>
              <w:left w:val="nil"/>
              <w:bottom w:val="nil"/>
              <w:right w:val="nil"/>
            </w:tcBorders>
            <w:vAlign w:val="center"/>
          </w:tcPr>
          <w:p w14:paraId="63C3BE3C"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198</w:t>
            </w:r>
          </w:p>
        </w:tc>
        <w:tc>
          <w:tcPr>
            <w:tcW w:w="1134" w:type="dxa"/>
            <w:tcBorders>
              <w:top w:val="nil"/>
              <w:left w:val="nil"/>
              <w:bottom w:val="nil"/>
              <w:right w:val="nil"/>
            </w:tcBorders>
            <w:vAlign w:val="center"/>
          </w:tcPr>
          <w:p w14:paraId="6765E49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51.73</w:t>
            </w:r>
          </w:p>
        </w:tc>
        <w:tc>
          <w:tcPr>
            <w:tcW w:w="1134" w:type="dxa"/>
            <w:tcBorders>
              <w:top w:val="nil"/>
              <w:left w:val="nil"/>
              <w:bottom w:val="nil"/>
              <w:right w:val="nil"/>
            </w:tcBorders>
            <w:vAlign w:val="center"/>
          </w:tcPr>
          <w:p w14:paraId="4AFFDBDC"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5.15</w:t>
            </w:r>
          </w:p>
        </w:tc>
        <w:tc>
          <w:tcPr>
            <w:tcW w:w="1134" w:type="dxa"/>
            <w:tcBorders>
              <w:top w:val="nil"/>
              <w:left w:val="nil"/>
              <w:bottom w:val="nil"/>
              <w:right w:val="nil"/>
            </w:tcBorders>
            <w:vAlign w:val="center"/>
          </w:tcPr>
          <w:p w14:paraId="54A260A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34.42</w:t>
            </w:r>
          </w:p>
        </w:tc>
        <w:tc>
          <w:tcPr>
            <w:tcW w:w="1134" w:type="dxa"/>
            <w:tcBorders>
              <w:top w:val="nil"/>
              <w:left w:val="nil"/>
              <w:bottom w:val="nil"/>
              <w:right w:val="nil"/>
            </w:tcBorders>
            <w:vAlign w:val="center"/>
          </w:tcPr>
          <w:p w14:paraId="74640AA3"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63.30</w:t>
            </w:r>
          </w:p>
        </w:tc>
      </w:tr>
      <w:tr w:rsidR="00DF7183" w:rsidRPr="006F5842" w14:paraId="6CA08F6A" w14:textId="77777777" w:rsidTr="00AD2AA2">
        <w:tc>
          <w:tcPr>
            <w:tcW w:w="3477" w:type="dxa"/>
            <w:tcBorders>
              <w:top w:val="nil"/>
              <w:left w:val="nil"/>
              <w:bottom w:val="nil"/>
              <w:right w:val="nil"/>
            </w:tcBorders>
            <w:vAlign w:val="center"/>
          </w:tcPr>
          <w:p w14:paraId="3A5E2735" w14:textId="77777777" w:rsidR="00DF7183" w:rsidRPr="006F5842" w:rsidRDefault="00DF7183"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Poorest Decile</w:t>
            </w:r>
          </w:p>
        </w:tc>
        <w:tc>
          <w:tcPr>
            <w:tcW w:w="1134" w:type="dxa"/>
            <w:tcBorders>
              <w:top w:val="nil"/>
              <w:left w:val="nil"/>
              <w:bottom w:val="nil"/>
              <w:right w:val="nil"/>
            </w:tcBorders>
            <w:vAlign w:val="center"/>
          </w:tcPr>
          <w:p w14:paraId="4912EB87"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75E27A9F" w14:textId="77777777" w:rsidR="00DF7183" w:rsidRPr="006F5842" w:rsidRDefault="005436B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1.18</w:t>
            </w:r>
          </w:p>
        </w:tc>
        <w:tc>
          <w:tcPr>
            <w:tcW w:w="1134" w:type="dxa"/>
            <w:tcBorders>
              <w:top w:val="nil"/>
              <w:left w:val="nil"/>
              <w:bottom w:val="nil"/>
              <w:right w:val="nil"/>
            </w:tcBorders>
            <w:vAlign w:val="center"/>
          </w:tcPr>
          <w:p w14:paraId="0C872B23"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0.46</w:t>
            </w:r>
          </w:p>
        </w:tc>
        <w:tc>
          <w:tcPr>
            <w:tcW w:w="1134" w:type="dxa"/>
            <w:tcBorders>
              <w:top w:val="nil"/>
              <w:left w:val="nil"/>
              <w:bottom w:val="nil"/>
              <w:right w:val="nil"/>
            </w:tcBorders>
            <w:vAlign w:val="center"/>
          </w:tcPr>
          <w:p w14:paraId="388E9D7B"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0.13</w:t>
            </w:r>
          </w:p>
        </w:tc>
        <w:tc>
          <w:tcPr>
            <w:tcW w:w="1134" w:type="dxa"/>
            <w:tcBorders>
              <w:top w:val="nil"/>
              <w:left w:val="nil"/>
              <w:bottom w:val="nil"/>
              <w:right w:val="nil"/>
            </w:tcBorders>
            <w:vAlign w:val="center"/>
          </w:tcPr>
          <w:p w14:paraId="523C4143"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3.230</w:t>
            </w:r>
          </w:p>
        </w:tc>
      </w:tr>
      <w:tr w:rsidR="00DF7183" w:rsidRPr="006F5842" w14:paraId="63E0B975" w14:textId="77777777" w:rsidTr="00AD2AA2">
        <w:tc>
          <w:tcPr>
            <w:tcW w:w="3477" w:type="dxa"/>
            <w:tcBorders>
              <w:top w:val="nil"/>
              <w:left w:val="nil"/>
              <w:bottom w:val="nil"/>
              <w:right w:val="nil"/>
            </w:tcBorders>
            <w:vAlign w:val="center"/>
          </w:tcPr>
          <w:p w14:paraId="66AABACF" w14:textId="77777777" w:rsidR="00DF7183" w:rsidRPr="006F5842" w:rsidRDefault="00DF7183"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Second Decile</w:t>
            </w:r>
          </w:p>
        </w:tc>
        <w:tc>
          <w:tcPr>
            <w:tcW w:w="1134" w:type="dxa"/>
            <w:tcBorders>
              <w:top w:val="nil"/>
              <w:left w:val="nil"/>
              <w:bottom w:val="nil"/>
              <w:right w:val="nil"/>
            </w:tcBorders>
            <w:vAlign w:val="center"/>
          </w:tcPr>
          <w:p w14:paraId="3ECD8738"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6DC93806" w14:textId="77777777" w:rsidR="00DF7183" w:rsidRPr="006F5842" w:rsidRDefault="005436B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2.38</w:t>
            </w:r>
          </w:p>
        </w:tc>
        <w:tc>
          <w:tcPr>
            <w:tcW w:w="1134" w:type="dxa"/>
            <w:tcBorders>
              <w:top w:val="nil"/>
              <w:left w:val="nil"/>
              <w:bottom w:val="nil"/>
              <w:right w:val="nil"/>
            </w:tcBorders>
            <w:vAlign w:val="center"/>
          </w:tcPr>
          <w:p w14:paraId="5B771F5C"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0.52</w:t>
            </w:r>
          </w:p>
        </w:tc>
        <w:tc>
          <w:tcPr>
            <w:tcW w:w="1134" w:type="dxa"/>
            <w:tcBorders>
              <w:top w:val="nil"/>
              <w:left w:val="nil"/>
              <w:bottom w:val="nil"/>
              <w:right w:val="nil"/>
            </w:tcBorders>
            <w:vAlign w:val="center"/>
          </w:tcPr>
          <w:p w14:paraId="03FAFCE5" w14:textId="77777777" w:rsidR="00DF7183"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0.67</w:t>
            </w:r>
          </w:p>
        </w:tc>
        <w:tc>
          <w:tcPr>
            <w:tcW w:w="1134" w:type="dxa"/>
            <w:tcBorders>
              <w:top w:val="nil"/>
              <w:left w:val="nil"/>
              <w:bottom w:val="nil"/>
              <w:right w:val="nil"/>
            </w:tcBorders>
            <w:vAlign w:val="center"/>
          </w:tcPr>
          <w:p w14:paraId="4EC482F4" w14:textId="77777777" w:rsidR="00DF7183" w:rsidRPr="006F5842" w:rsidRDefault="00E044C2"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4.330</w:t>
            </w:r>
          </w:p>
        </w:tc>
      </w:tr>
      <w:tr w:rsidR="000E45EB" w:rsidRPr="006F5842" w14:paraId="67C4C2F6" w14:textId="77777777" w:rsidTr="00AD2AA2">
        <w:tc>
          <w:tcPr>
            <w:tcW w:w="3477" w:type="dxa"/>
            <w:tcBorders>
              <w:top w:val="nil"/>
              <w:left w:val="nil"/>
              <w:bottom w:val="nil"/>
              <w:right w:val="nil"/>
            </w:tcBorders>
            <w:vAlign w:val="center"/>
          </w:tcPr>
          <w:p w14:paraId="3F37B025" w14:textId="77777777" w:rsidR="000E45EB" w:rsidRPr="006F5842" w:rsidRDefault="00E76045"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Ninth</w:t>
            </w:r>
            <w:r w:rsidR="000E45EB" w:rsidRPr="006F5842">
              <w:rPr>
                <w:rFonts w:asciiTheme="majorHAnsi" w:hAnsiTheme="majorHAnsi" w:cs="Times New Roman"/>
                <w:sz w:val="20"/>
                <w:szCs w:val="24"/>
              </w:rPr>
              <w:t xml:space="preserve"> Decile</w:t>
            </w:r>
          </w:p>
        </w:tc>
        <w:tc>
          <w:tcPr>
            <w:tcW w:w="1134" w:type="dxa"/>
            <w:tcBorders>
              <w:top w:val="nil"/>
              <w:left w:val="nil"/>
              <w:bottom w:val="nil"/>
              <w:right w:val="nil"/>
            </w:tcBorders>
            <w:vAlign w:val="center"/>
          </w:tcPr>
          <w:p w14:paraId="566D51D5" w14:textId="77777777" w:rsidR="000E45EB" w:rsidRPr="006F5842" w:rsidRDefault="000E45E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3AE942C7" w14:textId="77777777" w:rsidR="000E45EB" w:rsidRPr="006F5842" w:rsidRDefault="005436B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16.05</w:t>
            </w:r>
          </w:p>
        </w:tc>
        <w:tc>
          <w:tcPr>
            <w:tcW w:w="1134" w:type="dxa"/>
            <w:tcBorders>
              <w:top w:val="nil"/>
              <w:left w:val="nil"/>
              <w:bottom w:val="nil"/>
              <w:right w:val="nil"/>
            </w:tcBorders>
            <w:vAlign w:val="center"/>
          </w:tcPr>
          <w:p w14:paraId="21B3A370" w14:textId="77777777" w:rsidR="000E45EB"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0.59</w:t>
            </w:r>
          </w:p>
        </w:tc>
        <w:tc>
          <w:tcPr>
            <w:tcW w:w="1134" w:type="dxa"/>
            <w:tcBorders>
              <w:top w:val="nil"/>
              <w:left w:val="nil"/>
              <w:bottom w:val="nil"/>
              <w:right w:val="nil"/>
            </w:tcBorders>
            <w:vAlign w:val="center"/>
          </w:tcPr>
          <w:p w14:paraId="0391BCAF" w14:textId="77777777" w:rsidR="000E45EB" w:rsidRPr="006F5842" w:rsidRDefault="005426C7"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14.52</w:t>
            </w:r>
          </w:p>
        </w:tc>
        <w:tc>
          <w:tcPr>
            <w:tcW w:w="1134" w:type="dxa"/>
            <w:tcBorders>
              <w:top w:val="nil"/>
              <w:left w:val="nil"/>
              <w:bottom w:val="nil"/>
              <w:right w:val="nil"/>
            </w:tcBorders>
            <w:vAlign w:val="center"/>
          </w:tcPr>
          <w:p w14:paraId="09003382" w14:textId="77777777" w:rsidR="000E45EB" w:rsidRPr="006F5842" w:rsidRDefault="005426C7"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17.92</w:t>
            </w:r>
          </w:p>
        </w:tc>
      </w:tr>
      <w:tr w:rsidR="00211887" w:rsidRPr="006F5842" w14:paraId="198075D1" w14:textId="77777777" w:rsidTr="00AD2AA2">
        <w:tc>
          <w:tcPr>
            <w:tcW w:w="3477" w:type="dxa"/>
            <w:tcBorders>
              <w:top w:val="nil"/>
              <w:left w:val="nil"/>
              <w:bottom w:val="nil"/>
              <w:right w:val="nil"/>
            </w:tcBorders>
            <w:vAlign w:val="center"/>
          </w:tcPr>
          <w:p w14:paraId="0278552D" w14:textId="77777777" w:rsidR="00211887" w:rsidRPr="006F5842" w:rsidRDefault="00211887"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Richest Decile</w:t>
            </w:r>
          </w:p>
        </w:tc>
        <w:tc>
          <w:tcPr>
            <w:tcW w:w="1134" w:type="dxa"/>
            <w:tcBorders>
              <w:top w:val="nil"/>
              <w:left w:val="nil"/>
              <w:bottom w:val="nil"/>
              <w:right w:val="nil"/>
            </w:tcBorders>
            <w:vAlign w:val="center"/>
          </w:tcPr>
          <w:p w14:paraId="5D6851D9" w14:textId="77777777" w:rsidR="00211887" w:rsidRPr="006F5842" w:rsidRDefault="000E45E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0618DC03" w14:textId="77777777" w:rsidR="00211887" w:rsidRPr="006F5842" w:rsidRDefault="005436B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40.30</w:t>
            </w:r>
          </w:p>
        </w:tc>
        <w:tc>
          <w:tcPr>
            <w:tcW w:w="1134" w:type="dxa"/>
            <w:tcBorders>
              <w:top w:val="nil"/>
              <w:left w:val="nil"/>
              <w:bottom w:val="nil"/>
              <w:right w:val="nil"/>
            </w:tcBorders>
            <w:vAlign w:val="center"/>
          </w:tcPr>
          <w:p w14:paraId="02BD11F8" w14:textId="77777777" w:rsidR="00211887"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4.85</w:t>
            </w:r>
          </w:p>
        </w:tc>
        <w:tc>
          <w:tcPr>
            <w:tcW w:w="1134" w:type="dxa"/>
            <w:tcBorders>
              <w:top w:val="nil"/>
              <w:left w:val="nil"/>
              <w:bottom w:val="nil"/>
              <w:right w:val="nil"/>
            </w:tcBorders>
            <w:vAlign w:val="center"/>
          </w:tcPr>
          <w:p w14:paraId="2A671762" w14:textId="77777777" w:rsidR="00211887" w:rsidRPr="006F5842" w:rsidRDefault="005426C7"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23.09</w:t>
            </w:r>
          </w:p>
        </w:tc>
        <w:tc>
          <w:tcPr>
            <w:tcW w:w="1134" w:type="dxa"/>
            <w:tcBorders>
              <w:top w:val="nil"/>
              <w:left w:val="nil"/>
              <w:bottom w:val="nil"/>
              <w:right w:val="nil"/>
            </w:tcBorders>
            <w:vAlign w:val="center"/>
          </w:tcPr>
          <w:p w14:paraId="4FF8DE99" w14:textId="77777777" w:rsidR="00211887" w:rsidRPr="006F5842" w:rsidRDefault="005426C7"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51.15</w:t>
            </w:r>
          </w:p>
        </w:tc>
      </w:tr>
      <w:tr w:rsidR="00592218" w:rsidRPr="006F5842" w14:paraId="72B9FA05" w14:textId="77777777" w:rsidTr="00AD2AA2">
        <w:tc>
          <w:tcPr>
            <w:tcW w:w="3477" w:type="dxa"/>
            <w:tcBorders>
              <w:top w:val="nil"/>
              <w:left w:val="nil"/>
              <w:bottom w:val="nil"/>
              <w:right w:val="nil"/>
            </w:tcBorders>
            <w:vAlign w:val="center"/>
          </w:tcPr>
          <w:p w14:paraId="70348B6B" w14:textId="77777777" w:rsidR="00592218" w:rsidRPr="006F5842" w:rsidRDefault="00DF7183"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Poorest</w:t>
            </w:r>
            <w:r w:rsidR="00592218" w:rsidRPr="006F5842">
              <w:rPr>
                <w:rFonts w:asciiTheme="majorHAnsi" w:hAnsiTheme="majorHAnsi" w:cs="Times New Roman"/>
                <w:sz w:val="20"/>
                <w:szCs w:val="24"/>
              </w:rPr>
              <w:t xml:space="preserve"> Quintile</w:t>
            </w:r>
          </w:p>
        </w:tc>
        <w:tc>
          <w:tcPr>
            <w:tcW w:w="1134" w:type="dxa"/>
            <w:tcBorders>
              <w:top w:val="nil"/>
              <w:left w:val="nil"/>
              <w:bottom w:val="nil"/>
              <w:right w:val="nil"/>
            </w:tcBorders>
            <w:vAlign w:val="center"/>
          </w:tcPr>
          <w:p w14:paraId="2AD5866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5C92D57E" w14:textId="77777777" w:rsidR="00592218" w:rsidRPr="006F5842" w:rsidRDefault="003148D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3.56</w:t>
            </w:r>
          </w:p>
        </w:tc>
        <w:tc>
          <w:tcPr>
            <w:tcW w:w="1134" w:type="dxa"/>
            <w:tcBorders>
              <w:top w:val="nil"/>
              <w:left w:val="nil"/>
              <w:bottom w:val="nil"/>
              <w:right w:val="nil"/>
            </w:tcBorders>
            <w:vAlign w:val="center"/>
          </w:tcPr>
          <w:p w14:paraId="08153112"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0.96</w:t>
            </w:r>
          </w:p>
        </w:tc>
        <w:tc>
          <w:tcPr>
            <w:tcW w:w="1134" w:type="dxa"/>
            <w:tcBorders>
              <w:top w:val="nil"/>
              <w:left w:val="nil"/>
              <w:bottom w:val="nil"/>
              <w:right w:val="nil"/>
            </w:tcBorders>
            <w:vAlign w:val="center"/>
          </w:tcPr>
          <w:p w14:paraId="30084167"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0.80</w:t>
            </w:r>
          </w:p>
        </w:tc>
        <w:tc>
          <w:tcPr>
            <w:tcW w:w="1134" w:type="dxa"/>
            <w:tcBorders>
              <w:top w:val="nil"/>
              <w:left w:val="nil"/>
              <w:bottom w:val="nil"/>
              <w:right w:val="nil"/>
            </w:tcBorders>
            <w:vAlign w:val="center"/>
          </w:tcPr>
          <w:p w14:paraId="47C1D94B"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7.560</w:t>
            </w:r>
          </w:p>
        </w:tc>
      </w:tr>
      <w:tr w:rsidR="00592218" w:rsidRPr="006F5842" w14:paraId="3D6EF8E9" w14:textId="77777777" w:rsidTr="00AD2AA2">
        <w:tc>
          <w:tcPr>
            <w:tcW w:w="3477" w:type="dxa"/>
            <w:tcBorders>
              <w:top w:val="nil"/>
              <w:left w:val="nil"/>
              <w:bottom w:val="nil"/>
              <w:right w:val="nil"/>
            </w:tcBorders>
            <w:vAlign w:val="center"/>
          </w:tcPr>
          <w:p w14:paraId="63B9819C"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Second Quintile</w:t>
            </w:r>
          </w:p>
        </w:tc>
        <w:tc>
          <w:tcPr>
            <w:tcW w:w="1134" w:type="dxa"/>
            <w:tcBorders>
              <w:top w:val="nil"/>
              <w:left w:val="nil"/>
              <w:bottom w:val="nil"/>
              <w:right w:val="nil"/>
            </w:tcBorders>
            <w:vAlign w:val="center"/>
          </w:tcPr>
          <w:p w14:paraId="5EAE17C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57D44DBE" w14:textId="77777777" w:rsidR="00592218" w:rsidRPr="006F5842" w:rsidRDefault="003148DD"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7.77</w:t>
            </w:r>
          </w:p>
        </w:tc>
        <w:tc>
          <w:tcPr>
            <w:tcW w:w="1134" w:type="dxa"/>
            <w:tcBorders>
              <w:top w:val="nil"/>
              <w:left w:val="nil"/>
              <w:bottom w:val="nil"/>
              <w:right w:val="nil"/>
            </w:tcBorders>
            <w:vAlign w:val="center"/>
          </w:tcPr>
          <w:p w14:paraId="06B7614C"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1.20</w:t>
            </w:r>
          </w:p>
        </w:tc>
        <w:tc>
          <w:tcPr>
            <w:tcW w:w="1134" w:type="dxa"/>
            <w:tcBorders>
              <w:top w:val="nil"/>
              <w:left w:val="nil"/>
              <w:bottom w:val="nil"/>
              <w:right w:val="nil"/>
            </w:tcBorders>
            <w:vAlign w:val="center"/>
          </w:tcPr>
          <w:p w14:paraId="441C49F8"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4.90</w:t>
            </w:r>
          </w:p>
        </w:tc>
        <w:tc>
          <w:tcPr>
            <w:tcW w:w="1134" w:type="dxa"/>
            <w:tcBorders>
              <w:top w:val="nil"/>
              <w:left w:val="nil"/>
              <w:bottom w:val="nil"/>
              <w:right w:val="nil"/>
            </w:tcBorders>
            <w:vAlign w:val="center"/>
          </w:tcPr>
          <w:p w14:paraId="0C4E9320"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11.96</w:t>
            </w:r>
          </w:p>
        </w:tc>
      </w:tr>
      <w:tr w:rsidR="00592218" w:rsidRPr="006F5842" w14:paraId="6C699F3C" w14:textId="77777777" w:rsidTr="00AD2AA2">
        <w:tc>
          <w:tcPr>
            <w:tcW w:w="3477" w:type="dxa"/>
            <w:tcBorders>
              <w:top w:val="nil"/>
              <w:left w:val="nil"/>
              <w:bottom w:val="nil"/>
              <w:right w:val="nil"/>
            </w:tcBorders>
            <w:vAlign w:val="center"/>
          </w:tcPr>
          <w:p w14:paraId="654FC4A8"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Third Quintile</w:t>
            </w:r>
          </w:p>
        </w:tc>
        <w:tc>
          <w:tcPr>
            <w:tcW w:w="1134" w:type="dxa"/>
            <w:tcBorders>
              <w:top w:val="nil"/>
              <w:left w:val="nil"/>
              <w:bottom w:val="nil"/>
              <w:right w:val="nil"/>
            </w:tcBorders>
            <w:vAlign w:val="center"/>
          </w:tcPr>
          <w:p w14:paraId="40383BD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485CAD01"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12.41</w:t>
            </w:r>
          </w:p>
        </w:tc>
        <w:tc>
          <w:tcPr>
            <w:tcW w:w="1134" w:type="dxa"/>
            <w:tcBorders>
              <w:top w:val="nil"/>
              <w:left w:val="nil"/>
              <w:bottom w:val="nil"/>
              <w:right w:val="nil"/>
            </w:tcBorders>
            <w:vAlign w:val="center"/>
          </w:tcPr>
          <w:p w14:paraId="2665C98B"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1.40</w:t>
            </w:r>
          </w:p>
        </w:tc>
        <w:tc>
          <w:tcPr>
            <w:tcW w:w="1134" w:type="dxa"/>
            <w:tcBorders>
              <w:top w:val="nil"/>
              <w:left w:val="nil"/>
              <w:bottom w:val="nil"/>
              <w:right w:val="nil"/>
            </w:tcBorders>
            <w:vAlign w:val="center"/>
          </w:tcPr>
          <w:p w14:paraId="29F1AC98"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8.91</w:t>
            </w:r>
          </w:p>
        </w:tc>
        <w:tc>
          <w:tcPr>
            <w:tcW w:w="1134" w:type="dxa"/>
            <w:tcBorders>
              <w:top w:val="nil"/>
              <w:left w:val="nil"/>
              <w:bottom w:val="nil"/>
              <w:right w:val="nil"/>
            </w:tcBorders>
            <w:vAlign w:val="center"/>
          </w:tcPr>
          <w:p w14:paraId="3777078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18.03</w:t>
            </w:r>
          </w:p>
        </w:tc>
      </w:tr>
      <w:tr w:rsidR="00592218" w:rsidRPr="006F5842" w14:paraId="713882EF" w14:textId="77777777" w:rsidTr="00AD2AA2">
        <w:tc>
          <w:tcPr>
            <w:tcW w:w="3477" w:type="dxa"/>
            <w:tcBorders>
              <w:top w:val="nil"/>
              <w:left w:val="nil"/>
              <w:bottom w:val="nil"/>
              <w:right w:val="nil"/>
            </w:tcBorders>
            <w:vAlign w:val="center"/>
          </w:tcPr>
          <w:p w14:paraId="2B0EBA08"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Fourth Quintile</w:t>
            </w:r>
          </w:p>
        </w:tc>
        <w:tc>
          <w:tcPr>
            <w:tcW w:w="1134" w:type="dxa"/>
            <w:tcBorders>
              <w:top w:val="nil"/>
              <w:left w:val="nil"/>
              <w:bottom w:val="nil"/>
              <w:right w:val="nil"/>
            </w:tcBorders>
            <w:vAlign w:val="center"/>
          </w:tcPr>
          <w:p w14:paraId="6F039AD9"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78585DC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19.92</w:t>
            </w:r>
          </w:p>
        </w:tc>
        <w:tc>
          <w:tcPr>
            <w:tcW w:w="1134" w:type="dxa"/>
            <w:tcBorders>
              <w:top w:val="nil"/>
              <w:left w:val="nil"/>
              <w:bottom w:val="nil"/>
              <w:right w:val="nil"/>
            </w:tcBorders>
            <w:vAlign w:val="center"/>
          </w:tcPr>
          <w:p w14:paraId="7112B1AC"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1.40</w:t>
            </w:r>
          </w:p>
        </w:tc>
        <w:tc>
          <w:tcPr>
            <w:tcW w:w="1134" w:type="dxa"/>
            <w:tcBorders>
              <w:top w:val="nil"/>
              <w:left w:val="nil"/>
              <w:bottom w:val="nil"/>
              <w:right w:val="nil"/>
            </w:tcBorders>
            <w:vAlign w:val="center"/>
          </w:tcPr>
          <w:p w14:paraId="7537029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16.83</w:t>
            </w:r>
          </w:p>
        </w:tc>
        <w:tc>
          <w:tcPr>
            <w:tcW w:w="1134" w:type="dxa"/>
            <w:tcBorders>
              <w:top w:val="nil"/>
              <w:left w:val="nil"/>
              <w:bottom w:val="nil"/>
              <w:right w:val="nil"/>
            </w:tcBorders>
            <w:vAlign w:val="center"/>
          </w:tcPr>
          <w:p w14:paraId="5A6BB62B"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25.18</w:t>
            </w:r>
          </w:p>
        </w:tc>
      </w:tr>
      <w:tr w:rsidR="00592218" w:rsidRPr="006F5842" w14:paraId="5D00D7A5" w14:textId="77777777" w:rsidTr="00AD2AA2">
        <w:tc>
          <w:tcPr>
            <w:tcW w:w="3477" w:type="dxa"/>
            <w:tcBorders>
              <w:top w:val="nil"/>
              <w:left w:val="nil"/>
              <w:bottom w:val="nil"/>
              <w:right w:val="nil"/>
            </w:tcBorders>
            <w:vAlign w:val="center"/>
          </w:tcPr>
          <w:p w14:paraId="2003F992" w14:textId="77777777" w:rsidR="00592218" w:rsidRPr="006F5842" w:rsidRDefault="00DF7183"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Richest</w:t>
            </w:r>
            <w:r w:rsidR="00592218" w:rsidRPr="006F5842">
              <w:rPr>
                <w:rFonts w:asciiTheme="majorHAnsi" w:hAnsiTheme="majorHAnsi" w:cs="Times New Roman"/>
                <w:sz w:val="20"/>
                <w:szCs w:val="24"/>
              </w:rPr>
              <w:t xml:space="preserve"> Quintile</w:t>
            </w:r>
          </w:p>
        </w:tc>
        <w:tc>
          <w:tcPr>
            <w:tcW w:w="1134" w:type="dxa"/>
            <w:tcBorders>
              <w:top w:val="nil"/>
              <w:left w:val="nil"/>
              <w:bottom w:val="nil"/>
              <w:right w:val="nil"/>
            </w:tcBorders>
            <w:vAlign w:val="center"/>
          </w:tcPr>
          <w:p w14:paraId="538A1B7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199</w:t>
            </w:r>
          </w:p>
        </w:tc>
        <w:tc>
          <w:tcPr>
            <w:tcW w:w="1134" w:type="dxa"/>
            <w:tcBorders>
              <w:top w:val="nil"/>
              <w:left w:val="nil"/>
              <w:bottom w:val="nil"/>
              <w:right w:val="nil"/>
            </w:tcBorders>
            <w:vAlign w:val="center"/>
          </w:tcPr>
          <w:p w14:paraId="744DBF95"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56.35</w:t>
            </w:r>
          </w:p>
        </w:tc>
        <w:tc>
          <w:tcPr>
            <w:tcW w:w="1134" w:type="dxa"/>
            <w:tcBorders>
              <w:top w:val="nil"/>
              <w:left w:val="nil"/>
              <w:bottom w:val="nil"/>
              <w:right w:val="nil"/>
            </w:tcBorders>
            <w:vAlign w:val="center"/>
          </w:tcPr>
          <w:p w14:paraId="65BBBF46"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4.65</w:t>
            </w:r>
          </w:p>
        </w:tc>
        <w:tc>
          <w:tcPr>
            <w:tcW w:w="1134" w:type="dxa"/>
            <w:tcBorders>
              <w:top w:val="nil"/>
              <w:left w:val="nil"/>
              <w:bottom w:val="nil"/>
              <w:right w:val="nil"/>
            </w:tcBorders>
            <w:vAlign w:val="center"/>
          </w:tcPr>
          <w:p w14:paraId="6EA5BBE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39.44</w:t>
            </w:r>
          </w:p>
        </w:tc>
        <w:tc>
          <w:tcPr>
            <w:tcW w:w="1134" w:type="dxa"/>
            <w:tcBorders>
              <w:top w:val="nil"/>
              <w:left w:val="nil"/>
              <w:bottom w:val="nil"/>
              <w:right w:val="nil"/>
            </w:tcBorders>
            <w:vAlign w:val="center"/>
          </w:tcPr>
          <w:p w14:paraId="6726F7E4"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67.31</w:t>
            </w:r>
          </w:p>
        </w:tc>
      </w:tr>
      <w:tr w:rsidR="00592218" w:rsidRPr="006F5842" w14:paraId="42439291" w14:textId="77777777" w:rsidTr="00AD2AA2">
        <w:tc>
          <w:tcPr>
            <w:tcW w:w="3477" w:type="dxa"/>
            <w:tcBorders>
              <w:top w:val="nil"/>
              <w:left w:val="nil"/>
              <w:bottom w:val="nil"/>
              <w:right w:val="nil"/>
            </w:tcBorders>
            <w:vAlign w:val="center"/>
          </w:tcPr>
          <w:p w14:paraId="045DAB6A"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Structural Reform Index</w:t>
            </w:r>
          </w:p>
        </w:tc>
        <w:tc>
          <w:tcPr>
            <w:tcW w:w="1134" w:type="dxa"/>
            <w:tcBorders>
              <w:top w:val="nil"/>
              <w:left w:val="nil"/>
              <w:bottom w:val="nil"/>
              <w:right w:val="nil"/>
            </w:tcBorders>
            <w:vAlign w:val="center"/>
          </w:tcPr>
          <w:p w14:paraId="1885A627"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5A43D2D3"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55.52</w:t>
            </w:r>
          </w:p>
        </w:tc>
        <w:tc>
          <w:tcPr>
            <w:tcW w:w="1134" w:type="dxa"/>
            <w:tcBorders>
              <w:top w:val="nil"/>
              <w:left w:val="nil"/>
              <w:bottom w:val="nil"/>
              <w:right w:val="nil"/>
            </w:tcBorders>
            <w:vAlign w:val="center"/>
          </w:tcPr>
          <w:p w14:paraId="76FBCC61"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10.45</w:t>
            </w:r>
          </w:p>
        </w:tc>
        <w:tc>
          <w:tcPr>
            <w:tcW w:w="1134" w:type="dxa"/>
            <w:tcBorders>
              <w:top w:val="nil"/>
              <w:left w:val="nil"/>
              <w:bottom w:val="nil"/>
              <w:right w:val="nil"/>
            </w:tcBorders>
            <w:vAlign w:val="center"/>
          </w:tcPr>
          <w:p w14:paraId="34DC9C60"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28</w:t>
            </w:r>
          </w:p>
        </w:tc>
        <w:tc>
          <w:tcPr>
            <w:tcW w:w="1134" w:type="dxa"/>
            <w:tcBorders>
              <w:top w:val="nil"/>
              <w:left w:val="nil"/>
              <w:bottom w:val="nil"/>
              <w:right w:val="nil"/>
            </w:tcBorders>
            <w:vAlign w:val="center"/>
          </w:tcPr>
          <w:p w14:paraId="0E67E186"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80.20</w:t>
            </w:r>
          </w:p>
        </w:tc>
      </w:tr>
      <w:tr w:rsidR="00592218" w:rsidRPr="006F5842" w14:paraId="1AD96ADF" w14:textId="77777777" w:rsidTr="00AD2AA2">
        <w:tc>
          <w:tcPr>
            <w:tcW w:w="3477" w:type="dxa"/>
            <w:tcBorders>
              <w:top w:val="nil"/>
              <w:left w:val="nil"/>
              <w:bottom w:val="nil"/>
              <w:right w:val="nil"/>
            </w:tcBorders>
            <w:vAlign w:val="center"/>
          </w:tcPr>
          <w:p w14:paraId="355AAA0E"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Trade Reform Index</w:t>
            </w:r>
          </w:p>
        </w:tc>
        <w:tc>
          <w:tcPr>
            <w:tcW w:w="1134" w:type="dxa"/>
            <w:tcBorders>
              <w:top w:val="nil"/>
              <w:left w:val="nil"/>
              <w:bottom w:val="nil"/>
              <w:right w:val="nil"/>
            </w:tcBorders>
            <w:vAlign w:val="center"/>
          </w:tcPr>
          <w:p w14:paraId="723AABB5"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333</w:t>
            </w:r>
          </w:p>
        </w:tc>
        <w:tc>
          <w:tcPr>
            <w:tcW w:w="1134" w:type="dxa"/>
            <w:tcBorders>
              <w:top w:val="nil"/>
              <w:left w:val="nil"/>
              <w:bottom w:val="nil"/>
              <w:right w:val="nil"/>
            </w:tcBorders>
            <w:vAlign w:val="center"/>
          </w:tcPr>
          <w:p w14:paraId="4FDA29A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82.20</w:t>
            </w:r>
          </w:p>
        </w:tc>
        <w:tc>
          <w:tcPr>
            <w:tcW w:w="1134" w:type="dxa"/>
            <w:tcBorders>
              <w:top w:val="nil"/>
              <w:left w:val="nil"/>
              <w:bottom w:val="nil"/>
              <w:right w:val="nil"/>
            </w:tcBorders>
            <w:vAlign w:val="center"/>
          </w:tcPr>
          <w:p w14:paraId="7F7DB37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14.85</w:t>
            </w:r>
          </w:p>
        </w:tc>
        <w:tc>
          <w:tcPr>
            <w:tcW w:w="1134" w:type="dxa"/>
            <w:tcBorders>
              <w:top w:val="nil"/>
              <w:left w:val="nil"/>
              <w:bottom w:val="nil"/>
              <w:right w:val="nil"/>
            </w:tcBorders>
            <w:vAlign w:val="center"/>
          </w:tcPr>
          <w:p w14:paraId="145B432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w:t>
            </w:r>
          </w:p>
        </w:tc>
        <w:tc>
          <w:tcPr>
            <w:tcW w:w="1134" w:type="dxa"/>
            <w:tcBorders>
              <w:top w:val="nil"/>
              <w:left w:val="nil"/>
              <w:bottom w:val="nil"/>
              <w:right w:val="nil"/>
            </w:tcBorders>
            <w:vAlign w:val="center"/>
          </w:tcPr>
          <w:p w14:paraId="0C2C4ED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98</w:t>
            </w:r>
          </w:p>
        </w:tc>
      </w:tr>
      <w:tr w:rsidR="00592218" w:rsidRPr="006F5842" w14:paraId="37520388" w14:textId="77777777" w:rsidTr="00AD2AA2">
        <w:tc>
          <w:tcPr>
            <w:tcW w:w="3477" w:type="dxa"/>
            <w:tcBorders>
              <w:top w:val="nil"/>
              <w:left w:val="nil"/>
              <w:bottom w:val="nil"/>
              <w:right w:val="nil"/>
            </w:tcBorders>
            <w:vAlign w:val="center"/>
          </w:tcPr>
          <w:p w14:paraId="21E59B8B"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Financial Reform Index</w:t>
            </w:r>
          </w:p>
        </w:tc>
        <w:tc>
          <w:tcPr>
            <w:tcW w:w="1134" w:type="dxa"/>
            <w:tcBorders>
              <w:top w:val="nil"/>
              <w:left w:val="nil"/>
              <w:bottom w:val="nil"/>
              <w:right w:val="nil"/>
            </w:tcBorders>
            <w:vAlign w:val="center"/>
          </w:tcPr>
          <w:p w14:paraId="008CF59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3AB78B3C"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74.11</w:t>
            </w:r>
          </w:p>
        </w:tc>
        <w:tc>
          <w:tcPr>
            <w:tcW w:w="1134" w:type="dxa"/>
            <w:tcBorders>
              <w:top w:val="nil"/>
              <w:left w:val="nil"/>
              <w:bottom w:val="nil"/>
              <w:right w:val="nil"/>
            </w:tcBorders>
            <w:vAlign w:val="center"/>
          </w:tcPr>
          <w:p w14:paraId="2E6558A9"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16.86</w:t>
            </w:r>
          </w:p>
        </w:tc>
        <w:tc>
          <w:tcPr>
            <w:tcW w:w="1134" w:type="dxa"/>
            <w:tcBorders>
              <w:top w:val="nil"/>
              <w:left w:val="nil"/>
              <w:bottom w:val="nil"/>
              <w:right w:val="nil"/>
            </w:tcBorders>
            <w:vAlign w:val="center"/>
          </w:tcPr>
          <w:p w14:paraId="010724D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29</w:t>
            </w:r>
          </w:p>
        </w:tc>
        <w:tc>
          <w:tcPr>
            <w:tcW w:w="1134" w:type="dxa"/>
            <w:tcBorders>
              <w:top w:val="nil"/>
              <w:left w:val="nil"/>
              <w:bottom w:val="nil"/>
              <w:right w:val="nil"/>
            </w:tcBorders>
            <w:vAlign w:val="center"/>
          </w:tcPr>
          <w:p w14:paraId="0A1DE11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99</w:t>
            </w:r>
          </w:p>
        </w:tc>
      </w:tr>
      <w:tr w:rsidR="00592218" w:rsidRPr="006F5842" w14:paraId="0D247DC3" w14:textId="77777777" w:rsidTr="00AD2AA2">
        <w:tc>
          <w:tcPr>
            <w:tcW w:w="3477" w:type="dxa"/>
            <w:tcBorders>
              <w:top w:val="nil"/>
              <w:left w:val="nil"/>
              <w:bottom w:val="nil"/>
              <w:right w:val="nil"/>
            </w:tcBorders>
            <w:vAlign w:val="center"/>
          </w:tcPr>
          <w:p w14:paraId="605E5042"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Tax Reform Index</w:t>
            </w:r>
          </w:p>
        </w:tc>
        <w:tc>
          <w:tcPr>
            <w:tcW w:w="1134" w:type="dxa"/>
            <w:tcBorders>
              <w:top w:val="nil"/>
              <w:left w:val="nil"/>
              <w:bottom w:val="nil"/>
              <w:right w:val="nil"/>
            </w:tcBorders>
            <w:vAlign w:val="center"/>
          </w:tcPr>
          <w:p w14:paraId="1D39E007"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50541D2C"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46.16</w:t>
            </w:r>
          </w:p>
        </w:tc>
        <w:tc>
          <w:tcPr>
            <w:tcW w:w="1134" w:type="dxa"/>
            <w:tcBorders>
              <w:top w:val="nil"/>
              <w:left w:val="nil"/>
              <w:bottom w:val="nil"/>
              <w:right w:val="nil"/>
            </w:tcBorders>
            <w:vAlign w:val="center"/>
          </w:tcPr>
          <w:p w14:paraId="45EFF667"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10.01</w:t>
            </w:r>
          </w:p>
        </w:tc>
        <w:tc>
          <w:tcPr>
            <w:tcW w:w="1134" w:type="dxa"/>
            <w:tcBorders>
              <w:top w:val="nil"/>
              <w:left w:val="nil"/>
              <w:bottom w:val="nil"/>
              <w:right w:val="nil"/>
            </w:tcBorders>
            <w:vAlign w:val="center"/>
          </w:tcPr>
          <w:p w14:paraId="21CCA9F5"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18</w:t>
            </w:r>
          </w:p>
        </w:tc>
        <w:tc>
          <w:tcPr>
            <w:tcW w:w="1134" w:type="dxa"/>
            <w:tcBorders>
              <w:top w:val="nil"/>
              <w:left w:val="nil"/>
              <w:bottom w:val="nil"/>
              <w:right w:val="nil"/>
            </w:tcBorders>
            <w:vAlign w:val="center"/>
          </w:tcPr>
          <w:p w14:paraId="43A0DBF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87</w:t>
            </w:r>
          </w:p>
        </w:tc>
      </w:tr>
      <w:tr w:rsidR="00592218" w:rsidRPr="006F5842" w14:paraId="1099F105" w14:textId="77777777" w:rsidTr="00AD2AA2">
        <w:tc>
          <w:tcPr>
            <w:tcW w:w="3477" w:type="dxa"/>
            <w:tcBorders>
              <w:top w:val="nil"/>
              <w:left w:val="nil"/>
              <w:bottom w:val="nil"/>
              <w:right w:val="nil"/>
            </w:tcBorders>
            <w:vAlign w:val="center"/>
          </w:tcPr>
          <w:p w14:paraId="4BF95730"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Privatizations Index</w:t>
            </w:r>
          </w:p>
        </w:tc>
        <w:tc>
          <w:tcPr>
            <w:tcW w:w="1134" w:type="dxa"/>
            <w:tcBorders>
              <w:top w:val="nil"/>
              <w:left w:val="nil"/>
              <w:bottom w:val="nil"/>
              <w:right w:val="nil"/>
            </w:tcBorders>
            <w:vAlign w:val="center"/>
          </w:tcPr>
          <w:p w14:paraId="3792B2D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11E4ADB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16.38</w:t>
            </w:r>
          </w:p>
        </w:tc>
        <w:tc>
          <w:tcPr>
            <w:tcW w:w="1134" w:type="dxa"/>
            <w:tcBorders>
              <w:top w:val="nil"/>
              <w:left w:val="nil"/>
              <w:bottom w:val="nil"/>
              <w:right w:val="nil"/>
            </w:tcBorders>
            <w:vAlign w:val="center"/>
          </w:tcPr>
          <w:p w14:paraId="0CEA0341"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22.13</w:t>
            </w:r>
          </w:p>
        </w:tc>
        <w:tc>
          <w:tcPr>
            <w:tcW w:w="1134" w:type="dxa"/>
            <w:tcBorders>
              <w:top w:val="nil"/>
              <w:left w:val="nil"/>
              <w:bottom w:val="nil"/>
              <w:right w:val="nil"/>
            </w:tcBorders>
            <w:vAlign w:val="center"/>
          </w:tcPr>
          <w:p w14:paraId="088B950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w:t>
            </w:r>
          </w:p>
        </w:tc>
        <w:tc>
          <w:tcPr>
            <w:tcW w:w="1134" w:type="dxa"/>
            <w:tcBorders>
              <w:top w:val="nil"/>
              <w:left w:val="nil"/>
              <w:bottom w:val="nil"/>
              <w:right w:val="nil"/>
            </w:tcBorders>
            <w:vAlign w:val="center"/>
          </w:tcPr>
          <w:p w14:paraId="6DE1F5A7"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100</w:t>
            </w:r>
          </w:p>
        </w:tc>
      </w:tr>
      <w:tr w:rsidR="00592218" w:rsidRPr="006F5842" w14:paraId="7E8B1D79" w14:textId="77777777" w:rsidTr="00AD2AA2">
        <w:tc>
          <w:tcPr>
            <w:tcW w:w="3477" w:type="dxa"/>
            <w:tcBorders>
              <w:top w:val="nil"/>
              <w:left w:val="nil"/>
              <w:bottom w:val="nil"/>
              <w:right w:val="nil"/>
            </w:tcBorders>
            <w:vAlign w:val="center"/>
          </w:tcPr>
          <w:p w14:paraId="7CC00F46"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Labor Reform Index</w:t>
            </w:r>
          </w:p>
        </w:tc>
        <w:tc>
          <w:tcPr>
            <w:tcW w:w="1134" w:type="dxa"/>
            <w:tcBorders>
              <w:top w:val="nil"/>
              <w:left w:val="nil"/>
              <w:bottom w:val="nil"/>
              <w:right w:val="nil"/>
            </w:tcBorders>
            <w:vAlign w:val="center"/>
          </w:tcPr>
          <w:p w14:paraId="6F16F50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5EC3E10B"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59.49</w:t>
            </w:r>
          </w:p>
        </w:tc>
        <w:tc>
          <w:tcPr>
            <w:tcW w:w="1134" w:type="dxa"/>
            <w:tcBorders>
              <w:top w:val="nil"/>
              <w:left w:val="nil"/>
              <w:bottom w:val="nil"/>
              <w:right w:val="nil"/>
            </w:tcBorders>
            <w:vAlign w:val="center"/>
          </w:tcPr>
          <w:p w14:paraId="1B9D3D70"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11.03</w:t>
            </w:r>
          </w:p>
        </w:tc>
        <w:tc>
          <w:tcPr>
            <w:tcW w:w="1134" w:type="dxa"/>
            <w:tcBorders>
              <w:top w:val="nil"/>
              <w:left w:val="nil"/>
              <w:bottom w:val="nil"/>
              <w:right w:val="nil"/>
            </w:tcBorders>
            <w:vAlign w:val="center"/>
          </w:tcPr>
          <w:p w14:paraId="7A4AAE60"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39</w:t>
            </w:r>
          </w:p>
        </w:tc>
        <w:tc>
          <w:tcPr>
            <w:tcW w:w="1134" w:type="dxa"/>
            <w:tcBorders>
              <w:top w:val="nil"/>
              <w:left w:val="nil"/>
              <w:bottom w:val="nil"/>
              <w:right w:val="nil"/>
            </w:tcBorders>
            <w:vAlign w:val="center"/>
          </w:tcPr>
          <w:p w14:paraId="1E109E06"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78</w:t>
            </w:r>
          </w:p>
        </w:tc>
      </w:tr>
      <w:tr w:rsidR="00592218" w:rsidRPr="006F5842" w14:paraId="0E9AD596" w14:textId="77777777" w:rsidTr="00AD2AA2">
        <w:tc>
          <w:tcPr>
            <w:tcW w:w="3477" w:type="dxa"/>
            <w:tcBorders>
              <w:top w:val="nil"/>
              <w:left w:val="nil"/>
              <w:bottom w:val="nil"/>
              <w:right w:val="nil"/>
            </w:tcBorders>
            <w:vAlign w:val="center"/>
          </w:tcPr>
          <w:p w14:paraId="39F6AE3B"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Polity Measure</w:t>
            </w:r>
          </w:p>
        </w:tc>
        <w:tc>
          <w:tcPr>
            <w:tcW w:w="1134" w:type="dxa"/>
            <w:tcBorders>
              <w:top w:val="nil"/>
              <w:left w:val="nil"/>
              <w:bottom w:val="nil"/>
              <w:right w:val="nil"/>
            </w:tcBorders>
            <w:vAlign w:val="center"/>
          </w:tcPr>
          <w:p w14:paraId="4786F044"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1EBC2A96"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7.08</w:t>
            </w:r>
          </w:p>
        </w:tc>
        <w:tc>
          <w:tcPr>
            <w:tcW w:w="1134" w:type="dxa"/>
            <w:tcBorders>
              <w:top w:val="nil"/>
              <w:left w:val="nil"/>
              <w:bottom w:val="nil"/>
              <w:right w:val="nil"/>
            </w:tcBorders>
            <w:vAlign w:val="center"/>
          </w:tcPr>
          <w:p w14:paraId="33BA73B7"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3.26</w:t>
            </w:r>
          </w:p>
        </w:tc>
        <w:tc>
          <w:tcPr>
            <w:tcW w:w="1134" w:type="dxa"/>
            <w:tcBorders>
              <w:top w:val="nil"/>
              <w:left w:val="nil"/>
              <w:bottom w:val="nil"/>
              <w:right w:val="nil"/>
            </w:tcBorders>
            <w:vAlign w:val="center"/>
          </w:tcPr>
          <w:p w14:paraId="12F6084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-8</w:t>
            </w:r>
          </w:p>
        </w:tc>
        <w:tc>
          <w:tcPr>
            <w:tcW w:w="1134" w:type="dxa"/>
            <w:tcBorders>
              <w:top w:val="nil"/>
              <w:left w:val="nil"/>
              <w:bottom w:val="nil"/>
              <w:right w:val="nil"/>
            </w:tcBorders>
            <w:vAlign w:val="center"/>
          </w:tcPr>
          <w:p w14:paraId="03A93D21"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10</w:t>
            </w:r>
          </w:p>
        </w:tc>
      </w:tr>
      <w:tr w:rsidR="00592218" w:rsidRPr="006F5842" w14:paraId="77ADE1CE" w14:textId="77777777" w:rsidTr="00AD2AA2">
        <w:tc>
          <w:tcPr>
            <w:tcW w:w="3477" w:type="dxa"/>
            <w:tcBorders>
              <w:top w:val="nil"/>
              <w:left w:val="nil"/>
              <w:bottom w:val="nil"/>
              <w:right w:val="nil"/>
            </w:tcBorders>
            <w:vAlign w:val="center"/>
          </w:tcPr>
          <w:p w14:paraId="6500909D"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Per-capita PPP GDP (in $100)</w:t>
            </w:r>
          </w:p>
        </w:tc>
        <w:tc>
          <w:tcPr>
            <w:tcW w:w="1134" w:type="dxa"/>
            <w:tcBorders>
              <w:top w:val="nil"/>
              <w:left w:val="nil"/>
              <w:bottom w:val="nil"/>
              <w:right w:val="nil"/>
            </w:tcBorders>
            <w:vAlign w:val="center"/>
          </w:tcPr>
          <w:p w14:paraId="61B8CEEB"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09E6FF31"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60.89</w:t>
            </w:r>
          </w:p>
        </w:tc>
        <w:tc>
          <w:tcPr>
            <w:tcW w:w="1134" w:type="dxa"/>
            <w:tcBorders>
              <w:top w:val="nil"/>
              <w:left w:val="nil"/>
              <w:bottom w:val="nil"/>
              <w:right w:val="nil"/>
            </w:tcBorders>
            <w:vAlign w:val="center"/>
          </w:tcPr>
          <w:p w14:paraId="7DD8AAE7"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25.40</w:t>
            </w:r>
          </w:p>
        </w:tc>
        <w:tc>
          <w:tcPr>
            <w:tcW w:w="1134" w:type="dxa"/>
            <w:tcBorders>
              <w:top w:val="nil"/>
              <w:left w:val="nil"/>
              <w:bottom w:val="nil"/>
              <w:right w:val="nil"/>
            </w:tcBorders>
            <w:vAlign w:val="center"/>
          </w:tcPr>
          <w:p w14:paraId="7C21514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18.88</w:t>
            </w:r>
          </w:p>
        </w:tc>
        <w:tc>
          <w:tcPr>
            <w:tcW w:w="1134" w:type="dxa"/>
            <w:tcBorders>
              <w:top w:val="nil"/>
              <w:left w:val="nil"/>
              <w:bottom w:val="nil"/>
              <w:right w:val="nil"/>
            </w:tcBorders>
            <w:vAlign w:val="center"/>
          </w:tcPr>
          <w:p w14:paraId="2538309E"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133.65</w:t>
            </w:r>
          </w:p>
        </w:tc>
      </w:tr>
      <w:tr w:rsidR="00592218" w:rsidRPr="006F5842" w14:paraId="627E1867" w14:textId="77777777" w:rsidTr="00AD2AA2">
        <w:tc>
          <w:tcPr>
            <w:tcW w:w="3477" w:type="dxa"/>
            <w:tcBorders>
              <w:top w:val="nil"/>
              <w:left w:val="nil"/>
              <w:bottom w:val="nil"/>
              <w:right w:val="nil"/>
            </w:tcBorders>
            <w:vAlign w:val="center"/>
          </w:tcPr>
          <w:p w14:paraId="64BC95D1"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Annual per-capita PPP GDP Growth</w:t>
            </w:r>
          </w:p>
        </w:tc>
        <w:tc>
          <w:tcPr>
            <w:tcW w:w="1134" w:type="dxa"/>
            <w:tcBorders>
              <w:top w:val="nil"/>
              <w:left w:val="nil"/>
              <w:bottom w:val="nil"/>
              <w:right w:val="nil"/>
            </w:tcBorders>
            <w:vAlign w:val="center"/>
          </w:tcPr>
          <w:p w14:paraId="31CC680A"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325</w:t>
            </w:r>
          </w:p>
        </w:tc>
        <w:tc>
          <w:tcPr>
            <w:tcW w:w="1134" w:type="dxa"/>
            <w:tcBorders>
              <w:top w:val="nil"/>
              <w:left w:val="nil"/>
              <w:bottom w:val="nil"/>
              <w:right w:val="nil"/>
            </w:tcBorders>
            <w:vAlign w:val="center"/>
          </w:tcPr>
          <w:p w14:paraId="09C01DCE"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2.00</w:t>
            </w:r>
          </w:p>
        </w:tc>
        <w:tc>
          <w:tcPr>
            <w:tcW w:w="1134" w:type="dxa"/>
            <w:tcBorders>
              <w:top w:val="nil"/>
              <w:left w:val="nil"/>
              <w:bottom w:val="nil"/>
              <w:right w:val="nil"/>
            </w:tcBorders>
            <w:vAlign w:val="center"/>
          </w:tcPr>
          <w:p w14:paraId="2A4416F8"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4.61</w:t>
            </w:r>
          </w:p>
        </w:tc>
        <w:tc>
          <w:tcPr>
            <w:tcW w:w="1134" w:type="dxa"/>
            <w:tcBorders>
              <w:top w:val="nil"/>
              <w:left w:val="nil"/>
              <w:bottom w:val="nil"/>
              <w:right w:val="nil"/>
            </w:tcBorders>
            <w:vAlign w:val="center"/>
          </w:tcPr>
          <w:p w14:paraId="1131E53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-18.11</w:t>
            </w:r>
          </w:p>
        </w:tc>
        <w:tc>
          <w:tcPr>
            <w:tcW w:w="1134" w:type="dxa"/>
            <w:tcBorders>
              <w:top w:val="nil"/>
              <w:left w:val="nil"/>
              <w:bottom w:val="nil"/>
              <w:right w:val="nil"/>
            </w:tcBorders>
            <w:vAlign w:val="center"/>
          </w:tcPr>
          <w:p w14:paraId="42341107"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18.84</w:t>
            </w:r>
          </w:p>
        </w:tc>
      </w:tr>
      <w:tr w:rsidR="00592218" w:rsidRPr="006F5842" w14:paraId="61A9947E" w14:textId="77777777" w:rsidTr="00AD2AA2">
        <w:tc>
          <w:tcPr>
            <w:tcW w:w="3477" w:type="dxa"/>
            <w:tcBorders>
              <w:top w:val="nil"/>
              <w:left w:val="nil"/>
              <w:bottom w:val="nil"/>
              <w:right w:val="nil"/>
            </w:tcBorders>
            <w:vAlign w:val="center"/>
          </w:tcPr>
          <w:p w14:paraId="1A7AFF9C"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Average Years of Schooling</w:t>
            </w:r>
          </w:p>
        </w:tc>
        <w:tc>
          <w:tcPr>
            <w:tcW w:w="1134" w:type="dxa"/>
            <w:tcBorders>
              <w:top w:val="nil"/>
              <w:left w:val="nil"/>
              <w:bottom w:val="nil"/>
              <w:right w:val="nil"/>
            </w:tcBorders>
            <w:vAlign w:val="center"/>
          </w:tcPr>
          <w:p w14:paraId="7BACD57E"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30872A1A"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6.48</w:t>
            </w:r>
          </w:p>
        </w:tc>
        <w:tc>
          <w:tcPr>
            <w:tcW w:w="1134" w:type="dxa"/>
            <w:tcBorders>
              <w:top w:val="nil"/>
              <w:left w:val="nil"/>
              <w:bottom w:val="nil"/>
              <w:right w:val="nil"/>
            </w:tcBorders>
            <w:vAlign w:val="center"/>
          </w:tcPr>
          <w:p w14:paraId="4C66ED81"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1.52</w:t>
            </w:r>
          </w:p>
        </w:tc>
        <w:tc>
          <w:tcPr>
            <w:tcW w:w="1134" w:type="dxa"/>
            <w:tcBorders>
              <w:top w:val="nil"/>
              <w:left w:val="nil"/>
              <w:bottom w:val="nil"/>
              <w:right w:val="nil"/>
            </w:tcBorders>
            <w:vAlign w:val="center"/>
          </w:tcPr>
          <w:p w14:paraId="23B24156"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2.72</w:t>
            </w:r>
          </w:p>
        </w:tc>
        <w:tc>
          <w:tcPr>
            <w:tcW w:w="1134" w:type="dxa"/>
            <w:tcBorders>
              <w:top w:val="nil"/>
              <w:left w:val="nil"/>
              <w:bottom w:val="nil"/>
              <w:right w:val="nil"/>
            </w:tcBorders>
            <w:vAlign w:val="center"/>
          </w:tcPr>
          <w:p w14:paraId="0881410F"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9.71</w:t>
            </w:r>
          </w:p>
        </w:tc>
      </w:tr>
      <w:tr w:rsidR="00592218" w:rsidRPr="006F5842" w14:paraId="01CBA35D" w14:textId="77777777" w:rsidTr="00AD2AA2">
        <w:tc>
          <w:tcPr>
            <w:tcW w:w="3477" w:type="dxa"/>
            <w:tcBorders>
              <w:top w:val="nil"/>
              <w:left w:val="nil"/>
              <w:bottom w:val="nil"/>
              <w:right w:val="nil"/>
            </w:tcBorders>
            <w:vAlign w:val="center"/>
          </w:tcPr>
          <w:p w14:paraId="41B2A0E1"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Death Rate</w:t>
            </w:r>
          </w:p>
        </w:tc>
        <w:tc>
          <w:tcPr>
            <w:tcW w:w="1134" w:type="dxa"/>
            <w:tcBorders>
              <w:top w:val="nil"/>
              <w:left w:val="nil"/>
              <w:bottom w:val="nil"/>
              <w:right w:val="nil"/>
            </w:tcBorders>
            <w:vAlign w:val="center"/>
          </w:tcPr>
          <w:p w14:paraId="7CD2C248"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3C744F99"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6.47</w:t>
            </w:r>
          </w:p>
        </w:tc>
        <w:tc>
          <w:tcPr>
            <w:tcW w:w="1134" w:type="dxa"/>
            <w:tcBorders>
              <w:top w:val="nil"/>
              <w:left w:val="nil"/>
              <w:bottom w:val="nil"/>
              <w:right w:val="nil"/>
            </w:tcBorders>
            <w:vAlign w:val="center"/>
          </w:tcPr>
          <w:p w14:paraId="551E7BC5"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1.66</w:t>
            </w:r>
          </w:p>
        </w:tc>
        <w:tc>
          <w:tcPr>
            <w:tcW w:w="1134" w:type="dxa"/>
            <w:tcBorders>
              <w:top w:val="nil"/>
              <w:left w:val="nil"/>
              <w:bottom w:val="nil"/>
              <w:right w:val="nil"/>
            </w:tcBorders>
            <w:vAlign w:val="center"/>
          </w:tcPr>
          <w:p w14:paraId="0D7F1095"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3.95</w:t>
            </w:r>
          </w:p>
        </w:tc>
        <w:tc>
          <w:tcPr>
            <w:tcW w:w="1134" w:type="dxa"/>
            <w:tcBorders>
              <w:top w:val="nil"/>
              <w:left w:val="nil"/>
              <w:bottom w:val="nil"/>
              <w:right w:val="nil"/>
            </w:tcBorders>
            <w:vAlign w:val="center"/>
          </w:tcPr>
          <w:p w14:paraId="5EABD9B3"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12.16</w:t>
            </w:r>
          </w:p>
        </w:tc>
      </w:tr>
      <w:tr w:rsidR="00592218" w:rsidRPr="006F5842" w14:paraId="539764E5" w14:textId="77777777" w:rsidTr="00AD2AA2">
        <w:tc>
          <w:tcPr>
            <w:tcW w:w="3477" w:type="dxa"/>
            <w:tcBorders>
              <w:top w:val="nil"/>
              <w:left w:val="nil"/>
              <w:bottom w:val="nil"/>
              <w:right w:val="nil"/>
            </w:tcBorders>
            <w:vAlign w:val="center"/>
          </w:tcPr>
          <w:p w14:paraId="7C46D982"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Urban Population Growth</w:t>
            </w:r>
          </w:p>
        </w:tc>
        <w:tc>
          <w:tcPr>
            <w:tcW w:w="1134" w:type="dxa"/>
            <w:tcBorders>
              <w:top w:val="nil"/>
              <w:left w:val="nil"/>
              <w:bottom w:val="nil"/>
              <w:right w:val="nil"/>
            </w:tcBorders>
            <w:vAlign w:val="center"/>
          </w:tcPr>
          <w:p w14:paraId="45134F4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nil"/>
              <w:right w:val="nil"/>
            </w:tcBorders>
            <w:vAlign w:val="center"/>
          </w:tcPr>
          <w:p w14:paraId="10D656A7"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2.56</w:t>
            </w:r>
          </w:p>
        </w:tc>
        <w:tc>
          <w:tcPr>
            <w:tcW w:w="1134" w:type="dxa"/>
            <w:tcBorders>
              <w:top w:val="nil"/>
              <w:left w:val="nil"/>
              <w:bottom w:val="nil"/>
              <w:right w:val="nil"/>
            </w:tcBorders>
            <w:vAlign w:val="center"/>
          </w:tcPr>
          <w:p w14:paraId="09C70D0D"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0.9</w:t>
            </w:r>
            <w:r w:rsidR="00D97D5B" w:rsidRPr="006F5842">
              <w:rPr>
                <w:rFonts w:asciiTheme="majorHAnsi" w:hAnsiTheme="majorHAnsi" w:cs="Times New Roman"/>
                <w:sz w:val="20"/>
                <w:szCs w:val="24"/>
              </w:rPr>
              <w:t>9</w:t>
            </w:r>
          </w:p>
        </w:tc>
        <w:tc>
          <w:tcPr>
            <w:tcW w:w="1134" w:type="dxa"/>
            <w:tcBorders>
              <w:top w:val="nil"/>
              <w:left w:val="nil"/>
              <w:bottom w:val="nil"/>
              <w:right w:val="nil"/>
            </w:tcBorders>
            <w:vAlign w:val="center"/>
          </w:tcPr>
          <w:p w14:paraId="344C7108"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0.22</w:t>
            </w:r>
          </w:p>
        </w:tc>
        <w:tc>
          <w:tcPr>
            <w:tcW w:w="1134" w:type="dxa"/>
            <w:tcBorders>
              <w:top w:val="nil"/>
              <w:left w:val="nil"/>
              <w:bottom w:val="nil"/>
              <w:right w:val="nil"/>
            </w:tcBorders>
            <w:vAlign w:val="center"/>
          </w:tcPr>
          <w:p w14:paraId="73991A6B"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4.75</w:t>
            </w:r>
          </w:p>
        </w:tc>
      </w:tr>
      <w:tr w:rsidR="00592218" w:rsidRPr="006F5842" w14:paraId="4A5AF0D2" w14:textId="77777777" w:rsidTr="00AD2AA2">
        <w:tc>
          <w:tcPr>
            <w:tcW w:w="3477" w:type="dxa"/>
            <w:tcBorders>
              <w:top w:val="nil"/>
              <w:left w:val="nil"/>
              <w:right w:val="nil"/>
            </w:tcBorders>
            <w:vAlign w:val="center"/>
          </w:tcPr>
          <w:p w14:paraId="72067FED" w14:textId="77777777" w:rsidR="00592218" w:rsidRPr="006F5842" w:rsidRDefault="00592218" w:rsidP="00AD2AA2">
            <w:pPr>
              <w:pStyle w:val="NoSpacing"/>
              <w:spacing w:line="360" w:lineRule="auto"/>
              <w:rPr>
                <w:rFonts w:asciiTheme="majorHAnsi" w:hAnsiTheme="majorHAnsi" w:cs="Times New Roman"/>
                <w:sz w:val="20"/>
                <w:szCs w:val="24"/>
              </w:rPr>
            </w:pPr>
            <w:r w:rsidRPr="006F5842">
              <w:rPr>
                <w:rFonts w:asciiTheme="majorHAnsi" w:hAnsiTheme="majorHAnsi" w:cs="Times New Roman"/>
                <w:sz w:val="20"/>
                <w:szCs w:val="24"/>
              </w:rPr>
              <w:t>Mercosur</w:t>
            </w:r>
            <w:r w:rsidRPr="006F5842">
              <w:rPr>
                <w:rFonts w:asciiTheme="majorHAnsi" w:hAnsiTheme="majorHAnsi" w:cs="Times New Roman"/>
                <w:sz w:val="20"/>
                <w:szCs w:val="24"/>
              </w:rPr>
              <w:tab/>
            </w:r>
          </w:p>
        </w:tc>
        <w:tc>
          <w:tcPr>
            <w:tcW w:w="1134" w:type="dxa"/>
            <w:tcBorders>
              <w:top w:val="nil"/>
              <w:left w:val="nil"/>
              <w:right w:val="nil"/>
            </w:tcBorders>
            <w:vAlign w:val="center"/>
          </w:tcPr>
          <w:p w14:paraId="7E66A606"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right w:val="nil"/>
            </w:tcBorders>
            <w:vAlign w:val="center"/>
          </w:tcPr>
          <w:p w14:paraId="42FC28FE"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0.18</w:t>
            </w:r>
          </w:p>
        </w:tc>
        <w:tc>
          <w:tcPr>
            <w:tcW w:w="1134" w:type="dxa"/>
            <w:tcBorders>
              <w:top w:val="nil"/>
              <w:left w:val="nil"/>
              <w:right w:val="nil"/>
            </w:tcBorders>
            <w:vAlign w:val="center"/>
          </w:tcPr>
          <w:p w14:paraId="5EBD7901"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0.38</w:t>
            </w:r>
          </w:p>
        </w:tc>
        <w:tc>
          <w:tcPr>
            <w:tcW w:w="1134" w:type="dxa"/>
            <w:tcBorders>
              <w:top w:val="nil"/>
              <w:left w:val="nil"/>
              <w:right w:val="nil"/>
            </w:tcBorders>
            <w:vAlign w:val="center"/>
          </w:tcPr>
          <w:p w14:paraId="25D80850"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w:t>
            </w:r>
          </w:p>
        </w:tc>
        <w:tc>
          <w:tcPr>
            <w:tcW w:w="1134" w:type="dxa"/>
            <w:tcBorders>
              <w:top w:val="nil"/>
              <w:left w:val="nil"/>
              <w:right w:val="nil"/>
            </w:tcBorders>
            <w:vAlign w:val="center"/>
          </w:tcPr>
          <w:p w14:paraId="6BC39C95"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w:t>
            </w:r>
          </w:p>
        </w:tc>
      </w:tr>
      <w:tr w:rsidR="00592218" w:rsidRPr="006F5842" w14:paraId="1E549C4C" w14:textId="77777777" w:rsidTr="00AD2AA2">
        <w:tc>
          <w:tcPr>
            <w:tcW w:w="3477" w:type="dxa"/>
            <w:tcBorders>
              <w:top w:val="nil"/>
              <w:left w:val="nil"/>
              <w:bottom w:val="single" w:sz="4" w:space="0" w:color="auto"/>
              <w:right w:val="nil"/>
            </w:tcBorders>
            <w:vAlign w:val="center"/>
          </w:tcPr>
          <w:p w14:paraId="1DD58953" w14:textId="77777777" w:rsidR="00592218" w:rsidRPr="006F5842" w:rsidRDefault="00592218" w:rsidP="00AD2AA2">
            <w:pPr>
              <w:pStyle w:val="NoSpacing"/>
              <w:spacing w:line="360" w:lineRule="auto"/>
              <w:rPr>
                <w:rFonts w:asciiTheme="majorHAnsi" w:hAnsiTheme="majorHAnsi" w:cs="Times New Roman"/>
                <w:sz w:val="20"/>
                <w:szCs w:val="24"/>
              </w:rPr>
            </w:pPr>
            <w:proofErr w:type="spellStart"/>
            <w:r w:rsidRPr="006F5842">
              <w:rPr>
                <w:rFonts w:asciiTheme="majorHAnsi" w:hAnsiTheme="majorHAnsi" w:cs="Times New Roman"/>
                <w:sz w:val="20"/>
                <w:szCs w:val="24"/>
              </w:rPr>
              <w:t>Unasur</w:t>
            </w:r>
            <w:proofErr w:type="spellEnd"/>
          </w:p>
        </w:tc>
        <w:tc>
          <w:tcPr>
            <w:tcW w:w="1134" w:type="dxa"/>
            <w:tcBorders>
              <w:top w:val="nil"/>
              <w:left w:val="nil"/>
              <w:bottom w:val="single" w:sz="4" w:space="0" w:color="auto"/>
              <w:right w:val="nil"/>
            </w:tcBorders>
            <w:vAlign w:val="center"/>
          </w:tcPr>
          <w:p w14:paraId="2401F13F"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338</w:t>
            </w:r>
          </w:p>
        </w:tc>
        <w:tc>
          <w:tcPr>
            <w:tcW w:w="1134" w:type="dxa"/>
            <w:tcBorders>
              <w:top w:val="nil"/>
              <w:left w:val="nil"/>
              <w:bottom w:val="single" w:sz="4" w:space="0" w:color="auto"/>
              <w:right w:val="nil"/>
            </w:tcBorders>
            <w:vAlign w:val="center"/>
          </w:tcPr>
          <w:p w14:paraId="7990CB49"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0.07</w:t>
            </w:r>
          </w:p>
        </w:tc>
        <w:tc>
          <w:tcPr>
            <w:tcW w:w="1134" w:type="dxa"/>
            <w:tcBorders>
              <w:top w:val="nil"/>
              <w:left w:val="nil"/>
              <w:bottom w:val="single" w:sz="4" w:space="0" w:color="auto"/>
              <w:right w:val="nil"/>
            </w:tcBorders>
            <w:vAlign w:val="center"/>
          </w:tcPr>
          <w:p w14:paraId="42D3A1B6" w14:textId="77777777" w:rsidR="00592218" w:rsidRPr="006F5842" w:rsidRDefault="00D97D5B"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0.26</w:t>
            </w:r>
          </w:p>
        </w:tc>
        <w:tc>
          <w:tcPr>
            <w:tcW w:w="1134" w:type="dxa"/>
            <w:tcBorders>
              <w:top w:val="nil"/>
              <w:left w:val="nil"/>
              <w:bottom w:val="single" w:sz="4" w:space="0" w:color="auto"/>
              <w:right w:val="nil"/>
            </w:tcBorders>
            <w:vAlign w:val="center"/>
          </w:tcPr>
          <w:p w14:paraId="4BEF9610"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0</w:t>
            </w:r>
          </w:p>
        </w:tc>
        <w:tc>
          <w:tcPr>
            <w:tcW w:w="1134" w:type="dxa"/>
            <w:tcBorders>
              <w:top w:val="nil"/>
              <w:left w:val="nil"/>
              <w:bottom w:val="single" w:sz="4" w:space="0" w:color="auto"/>
              <w:right w:val="nil"/>
            </w:tcBorders>
            <w:vAlign w:val="center"/>
          </w:tcPr>
          <w:p w14:paraId="415CC093" w14:textId="77777777" w:rsidR="00592218" w:rsidRPr="006F5842" w:rsidRDefault="00592218" w:rsidP="00AD2AA2">
            <w:pPr>
              <w:pStyle w:val="NoSpacing"/>
              <w:spacing w:line="360" w:lineRule="auto"/>
              <w:jc w:val="center"/>
              <w:rPr>
                <w:rFonts w:asciiTheme="majorHAnsi" w:hAnsiTheme="majorHAnsi" w:cs="Times New Roman"/>
                <w:sz w:val="20"/>
                <w:szCs w:val="24"/>
              </w:rPr>
            </w:pPr>
            <w:r w:rsidRPr="006F5842">
              <w:rPr>
                <w:rFonts w:asciiTheme="majorHAnsi" w:hAnsiTheme="majorHAnsi" w:cs="Times New Roman"/>
                <w:sz w:val="20"/>
                <w:szCs w:val="24"/>
              </w:rPr>
              <w:t>1</w:t>
            </w:r>
          </w:p>
        </w:tc>
      </w:tr>
    </w:tbl>
    <w:p w14:paraId="2EFCE1BB" w14:textId="77777777" w:rsidR="00B26926" w:rsidRPr="00F14751" w:rsidRDefault="00B26926" w:rsidP="00C8508E">
      <w:pPr>
        <w:pStyle w:val="NoSpacing"/>
        <w:spacing w:line="360" w:lineRule="auto"/>
        <w:jc w:val="both"/>
        <w:rPr>
          <w:rFonts w:asciiTheme="majorHAnsi" w:hAnsiTheme="majorHAnsi"/>
          <w:b/>
          <w:sz w:val="24"/>
          <w:szCs w:val="24"/>
        </w:rPr>
        <w:sectPr w:rsidR="00B26926" w:rsidRPr="00F14751" w:rsidSect="00734D39">
          <w:footerReference w:type="default" r:id="rId19"/>
          <w:pgSz w:w="11906" w:h="16838"/>
          <w:pgMar w:top="1417" w:right="1417" w:bottom="1417" w:left="1417" w:header="708" w:footer="708" w:gutter="0"/>
          <w:cols w:space="708"/>
          <w:titlePg/>
          <w:docGrid w:linePitch="360"/>
        </w:sectPr>
      </w:pPr>
    </w:p>
    <w:p w14:paraId="366C9FC5" w14:textId="77777777" w:rsidR="00E41E4B" w:rsidRDefault="00592218"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Table 2: Corr</w:t>
      </w:r>
      <w:r w:rsidR="00343371" w:rsidRPr="00F14751">
        <w:rPr>
          <w:rFonts w:asciiTheme="majorHAnsi" w:hAnsiTheme="majorHAnsi"/>
          <w:sz w:val="24"/>
          <w:szCs w:val="24"/>
        </w:rPr>
        <w:t xml:space="preserve">elation matrix of the dependent </w:t>
      </w:r>
      <w:r w:rsidRPr="00F14751">
        <w:rPr>
          <w:rFonts w:asciiTheme="majorHAnsi" w:hAnsiTheme="majorHAnsi"/>
          <w:sz w:val="24"/>
          <w:szCs w:val="24"/>
        </w:rPr>
        <w:t>variables and the SRI</w:t>
      </w:r>
    </w:p>
    <w:tbl>
      <w:tblPr>
        <w:tblStyle w:val="TableGrid"/>
        <w:tblW w:w="16302" w:type="dxa"/>
        <w:tblInd w:w="-1026" w:type="dxa"/>
        <w:tblLayout w:type="fixed"/>
        <w:tblLook w:val="04A0" w:firstRow="1" w:lastRow="0" w:firstColumn="1" w:lastColumn="0" w:noHBand="0" w:noVBand="1"/>
      </w:tblPr>
      <w:tblGrid>
        <w:gridCol w:w="1264"/>
        <w:gridCol w:w="884"/>
        <w:gridCol w:w="885"/>
        <w:gridCol w:w="884"/>
        <w:gridCol w:w="885"/>
        <w:gridCol w:w="884"/>
        <w:gridCol w:w="885"/>
        <w:gridCol w:w="885"/>
        <w:gridCol w:w="884"/>
        <w:gridCol w:w="885"/>
        <w:gridCol w:w="884"/>
        <w:gridCol w:w="885"/>
        <w:gridCol w:w="885"/>
        <w:gridCol w:w="884"/>
        <w:gridCol w:w="885"/>
        <w:gridCol w:w="884"/>
        <w:gridCol w:w="885"/>
        <w:gridCol w:w="885"/>
      </w:tblGrid>
      <w:tr w:rsidR="00734B6E" w:rsidRPr="007174B5" w14:paraId="119224FD" w14:textId="77777777" w:rsidTr="00AD2AA2">
        <w:trPr>
          <w:trHeight w:val="394"/>
        </w:trPr>
        <w:tc>
          <w:tcPr>
            <w:tcW w:w="1264" w:type="dxa"/>
          </w:tcPr>
          <w:p w14:paraId="003A246F" w14:textId="77777777" w:rsidR="00734B6E" w:rsidRPr="007174B5" w:rsidRDefault="00734B6E" w:rsidP="00C8508E">
            <w:pPr>
              <w:pStyle w:val="NoSpacing"/>
              <w:spacing w:line="360" w:lineRule="auto"/>
              <w:jc w:val="both"/>
              <w:rPr>
                <w:rFonts w:asciiTheme="majorHAnsi" w:hAnsiTheme="majorHAnsi"/>
                <w:sz w:val="16"/>
                <w:szCs w:val="16"/>
              </w:rPr>
            </w:pPr>
          </w:p>
        </w:tc>
        <w:tc>
          <w:tcPr>
            <w:tcW w:w="884" w:type="dxa"/>
            <w:vAlign w:val="center"/>
          </w:tcPr>
          <w:p w14:paraId="51945DF6"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PHR ($2)</w:t>
            </w:r>
          </w:p>
        </w:tc>
        <w:tc>
          <w:tcPr>
            <w:tcW w:w="885" w:type="dxa"/>
            <w:vAlign w:val="center"/>
          </w:tcPr>
          <w:p w14:paraId="43E58394"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PHR ($1.25)</w:t>
            </w:r>
          </w:p>
        </w:tc>
        <w:tc>
          <w:tcPr>
            <w:tcW w:w="884" w:type="dxa"/>
            <w:vAlign w:val="center"/>
          </w:tcPr>
          <w:p w14:paraId="56F5AB7E"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PGR ($2)</w:t>
            </w:r>
          </w:p>
        </w:tc>
        <w:tc>
          <w:tcPr>
            <w:tcW w:w="885" w:type="dxa"/>
            <w:vAlign w:val="center"/>
          </w:tcPr>
          <w:p w14:paraId="29C0DBBD"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PGR ($1.25)</w:t>
            </w:r>
          </w:p>
        </w:tc>
        <w:tc>
          <w:tcPr>
            <w:tcW w:w="884" w:type="dxa"/>
            <w:vAlign w:val="center"/>
          </w:tcPr>
          <w:p w14:paraId="66BAA8C4" w14:textId="77777777" w:rsidR="00734B6E" w:rsidRPr="007174B5" w:rsidRDefault="00734B6E" w:rsidP="00AD2AA2">
            <w:pPr>
              <w:pStyle w:val="NoSpacing"/>
              <w:spacing w:line="360" w:lineRule="auto"/>
              <w:jc w:val="center"/>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($2)</w:t>
            </w:r>
          </w:p>
        </w:tc>
        <w:tc>
          <w:tcPr>
            <w:tcW w:w="885" w:type="dxa"/>
            <w:vAlign w:val="center"/>
          </w:tcPr>
          <w:p w14:paraId="21E94F81" w14:textId="77777777" w:rsidR="00734B6E" w:rsidRPr="007174B5" w:rsidRDefault="00734B6E" w:rsidP="00AD2AA2">
            <w:pPr>
              <w:pStyle w:val="NoSpacing"/>
              <w:spacing w:line="360" w:lineRule="auto"/>
              <w:jc w:val="center"/>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($1.25)</w:t>
            </w:r>
          </w:p>
        </w:tc>
        <w:tc>
          <w:tcPr>
            <w:tcW w:w="885" w:type="dxa"/>
            <w:vAlign w:val="center"/>
          </w:tcPr>
          <w:p w14:paraId="0E9BDBB6"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Gini</w:t>
            </w:r>
          </w:p>
        </w:tc>
        <w:tc>
          <w:tcPr>
            <w:tcW w:w="884" w:type="dxa"/>
            <w:vAlign w:val="center"/>
          </w:tcPr>
          <w:p w14:paraId="0C489269"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D1</w:t>
            </w:r>
          </w:p>
        </w:tc>
        <w:tc>
          <w:tcPr>
            <w:tcW w:w="885" w:type="dxa"/>
            <w:vAlign w:val="center"/>
          </w:tcPr>
          <w:p w14:paraId="57258FF3"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D2</w:t>
            </w:r>
          </w:p>
        </w:tc>
        <w:tc>
          <w:tcPr>
            <w:tcW w:w="884" w:type="dxa"/>
            <w:vAlign w:val="center"/>
          </w:tcPr>
          <w:p w14:paraId="571033E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Q1</w:t>
            </w:r>
          </w:p>
        </w:tc>
        <w:tc>
          <w:tcPr>
            <w:tcW w:w="885" w:type="dxa"/>
            <w:vAlign w:val="center"/>
          </w:tcPr>
          <w:p w14:paraId="23A3B12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Q2</w:t>
            </w:r>
          </w:p>
        </w:tc>
        <w:tc>
          <w:tcPr>
            <w:tcW w:w="885" w:type="dxa"/>
            <w:vAlign w:val="center"/>
          </w:tcPr>
          <w:p w14:paraId="59CF3021"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Q3</w:t>
            </w:r>
          </w:p>
        </w:tc>
        <w:tc>
          <w:tcPr>
            <w:tcW w:w="884" w:type="dxa"/>
            <w:vAlign w:val="center"/>
          </w:tcPr>
          <w:p w14:paraId="7C764677"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Q4</w:t>
            </w:r>
          </w:p>
        </w:tc>
        <w:tc>
          <w:tcPr>
            <w:tcW w:w="885" w:type="dxa"/>
            <w:vAlign w:val="center"/>
          </w:tcPr>
          <w:p w14:paraId="607A335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Q5</w:t>
            </w:r>
          </w:p>
        </w:tc>
        <w:tc>
          <w:tcPr>
            <w:tcW w:w="884" w:type="dxa"/>
            <w:vAlign w:val="center"/>
          </w:tcPr>
          <w:p w14:paraId="4B0FC6C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D9</w:t>
            </w:r>
          </w:p>
        </w:tc>
        <w:tc>
          <w:tcPr>
            <w:tcW w:w="885" w:type="dxa"/>
            <w:vAlign w:val="center"/>
          </w:tcPr>
          <w:p w14:paraId="374A8389"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D10</w:t>
            </w:r>
          </w:p>
        </w:tc>
        <w:tc>
          <w:tcPr>
            <w:tcW w:w="885" w:type="dxa"/>
            <w:vAlign w:val="center"/>
          </w:tcPr>
          <w:p w14:paraId="40A4E92C"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SRI</w:t>
            </w:r>
          </w:p>
        </w:tc>
      </w:tr>
      <w:tr w:rsidR="00734B6E" w:rsidRPr="007174B5" w14:paraId="6318DE30" w14:textId="77777777" w:rsidTr="00AD2AA2">
        <w:trPr>
          <w:trHeight w:val="394"/>
        </w:trPr>
        <w:tc>
          <w:tcPr>
            <w:tcW w:w="1264" w:type="dxa"/>
            <w:vAlign w:val="center"/>
          </w:tcPr>
          <w:p w14:paraId="2EA1B5E2"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PHR ($2)</w:t>
            </w:r>
          </w:p>
        </w:tc>
        <w:tc>
          <w:tcPr>
            <w:tcW w:w="884" w:type="dxa"/>
            <w:vAlign w:val="center"/>
          </w:tcPr>
          <w:p w14:paraId="0CCB6CE1"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731CBC0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066D6B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4476FA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393900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F09D45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7238EB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6A276B48"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54B90B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EFB4AA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96B5C1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6B857B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908CE68"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1E352F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48F25F6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15433A4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F1E93CC"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5CB516B8" w14:textId="77777777" w:rsidTr="00AD2AA2">
        <w:trPr>
          <w:trHeight w:val="394"/>
        </w:trPr>
        <w:tc>
          <w:tcPr>
            <w:tcW w:w="1264" w:type="dxa"/>
            <w:vAlign w:val="center"/>
          </w:tcPr>
          <w:p w14:paraId="4C10B28D"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PHR ($1.25)</w:t>
            </w:r>
          </w:p>
        </w:tc>
        <w:tc>
          <w:tcPr>
            <w:tcW w:w="884" w:type="dxa"/>
            <w:vAlign w:val="center"/>
          </w:tcPr>
          <w:p w14:paraId="379EA044"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009693</w:t>
            </w:r>
          </w:p>
        </w:tc>
        <w:tc>
          <w:tcPr>
            <w:tcW w:w="885" w:type="dxa"/>
            <w:vAlign w:val="center"/>
          </w:tcPr>
          <w:p w14:paraId="5B7730C3"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4" w:type="dxa"/>
            <w:vAlign w:val="center"/>
          </w:tcPr>
          <w:p w14:paraId="06967D7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656E7E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F0CA92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3C1CAC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C8E1CE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2F86CA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F6CA06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5534F1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80CEE27"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3194A1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C3C8B8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9C2A4B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B351FE7"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10158F3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624614A"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63ECEAE4" w14:textId="77777777" w:rsidTr="00AD2AA2">
        <w:trPr>
          <w:trHeight w:val="394"/>
        </w:trPr>
        <w:tc>
          <w:tcPr>
            <w:tcW w:w="1264" w:type="dxa"/>
            <w:vAlign w:val="center"/>
          </w:tcPr>
          <w:p w14:paraId="2A356B95"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PGR ($2)</w:t>
            </w:r>
          </w:p>
        </w:tc>
        <w:tc>
          <w:tcPr>
            <w:tcW w:w="884" w:type="dxa"/>
            <w:vAlign w:val="center"/>
          </w:tcPr>
          <w:p w14:paraId="5E6D0BB1"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0.9665</w:t>
            </w:r>
          </w:p>
        </w:tc>
        <w:tc>
          <w:tcPr>
            <w:tcW w:w="885" w:type="dxa"/>
            <w:vAlign w:val="center"/>
          </w:tcPr>
          <w:p w14:paraId="186679F8"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0.9964</w:t>
            </w:r>
          </w:p>
        </w:tc>
        <w:tc>
          <w:tcPr>
            <w:tcW w:w="884" w:type="dxa"/>
            <w:vAlign w:val="center"/>
          </w:tcPr>
          <w:p w14:paraId="2E61CB74"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78C6E8FE"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1E55FE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79CA55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F7FC99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46534D7"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9A90288"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3D300D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0D4CF8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F29BB7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F09AD2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143BBC2"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E86C33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2FAEDBD"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F7F5BAD"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7490D557" w14:textId="77777777" w:rsidTr="00AD2AA2">
        <w:trPr>
          <w:trHeight w:val="394"/>
        </w:trPr>
        <w:tc>
          <w:tcPr>
            <w:tcW w:w="1264" w:type="dxa"/>
            <w:vAlign w:val="center"/>
          </w:tcPr>
          <w:p w14:paraId="12FC0E03"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PGR ($1.25)</w:t>
            </w:r>
          </w:p>
        </w:tc>
        <w:tc>
          <w:tcPr>
            <w:tcW w:w="884" w:type="dxa"/>
            <w:vAlign w:val="center"/>
          </w:tcPr>
          <w:p w14:paraId="6AB2531E"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0.8804</w:t>
            </w:r>
          </w:p>
        </w:tc>
        <w:tc>
          <w:tcPr>
            <w:tcW w:w="885" w:type="dxa"/>
            <w:vAlign w:val="center"/>
          </w:tcPr>
          <w:p w14:paraId="562B916B"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0.9581</w:t>
            </w:r>
          </w:p>
        </w:tc>
        <w:tc>
          <w:tcPr>
            <w:tcW w:w="884" w:type="dxa"/>
            <w:vAlign w:val="center"/>
          </w:tcPr>
          <w:p w14:paraId="6076A8CF"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0.9716</w:t>
            </w:r>
          </w:p>
        </w:tc>
        <w:tc>
          <w:tcPr>
            <w:tcW w:w="885" w:type="dxa"/>
            <w:vAlign w:val="center"/>
          </w:tcPr>
          <w:p w14:paraId="4336FF77"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4" w:type="dxa"/>
            <w:vAlign w:val="center"/>
          </w:tcPr>
          <w:p w14:paraId="2FF3522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4A32E1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32BB0E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E2E3627"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DE064C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14866A9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3B36C2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154923C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1EF778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AC9E3F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E3A633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0FD774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6D56BAD"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79B4496B" w14:textId="77777777" w:rsidTr="00AD2AA2">
        <w:trPr>
          <w:trHeight w:val="394"/>
        </w:trPr>
        <w:tc>
          <w:tcPr>
            <w:tcW w:w="1264" w:type="dxa"/>
            <w:vAlign w:val="center"/>
          </w:tcPr>
          <w:p w14:paraId="7355506E" w14:textId="77777777" w:rsidR="00734B6E" w:rsidRPr="007174B5" w:rsidRDefault="00734B6E" w:rsidP="00AD2AA2">
            <w:pPr>
              <w:pStyle w:val="NoSpacing"/>
              <w:spacing w:line="360" w:lineRule="auto"/>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($2)</w:t>
            </w:r>
          </w:p>
        </w:tc>
        <w:tc>
          <w:tcPr>
            <w:tcW w:w="884" w:type="dxa"/>
            <w:vAlign w:val="center"/>
          </w:tcPr>
          <w:p w14:paraId="2AFB8678"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0.8949</w:t>
            </w:r>
          </w:p>
        </w:tc>
        <w:tc>
          <w:tcPr>
            <w:tcW w:w="885" w:type="dxa"/>
            <w:vAlign w:val="center"/>
          </w:tcPr>
          <w:p w14:paraId="0E6282D6"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0.9452</w:t>
            </w:r>
          </w:p>
        </w:tc>
        <w:tc>
          <w:tcPr>
            <w:tcW w:w="884" w:type="dxa"/>
            <w:vAlign w:val="center"/>
          </w:tcPr>
          <w:p w14:paraId="74420C07"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0.9382</w:t>
            </w:r>
          </w:p>
        </w:tc>
        <w:tc>
          <w:tcPr>
            <w:tcW w:w="885" w:type="dxa"/>
            <w:vAlign w:val="center"/>
          </w:tcPr>
          <w:p w14:paraId="24D462E7"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0.9316</w:t>
            </w:r>
          </w:p>
        </w:tc>
        <w:tc>
          <w:tcPr>
            <w:tcW w:w="884" w:type="dxa"/>
            <w:vAlign w:val="center"/>
          </w:tcPr>
          <w:p w14:paraId="02E3033A"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59FF6A3D"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69B796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58D740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1EAA1EC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F6C263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301F47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D0CBBA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C8876B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A405F3D"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1292AFE8"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0731DC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B4AA54C"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494B0C73" w14:textId="77777777" w:rsidTr="00AD2AA2">
        <w:trPr>
          <w:trHeight w:val="394"/>
        </w:trPr>
        <w:tc>
          <w:tcPr>
            <w:tcW w:w="1264" w:type="dxa"/>
            <w:vAlign w:val="center"/>
          </w:tcPr>
          <w:p w14:paraId="147194F8" w14:textId="77777777" w:rsidR="00734B6E" w:rsidRPr="007174B5" w:rsidRDefault="00734B6E" w:rsidP="00AD2AA2">
            <w:pPr>
              <w:pStyle w:val="NoSpacing"/>
              <w:spacing w:line="360" w:lineRule="auto"/>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($1.25)</w:t>
            </w:r>
          </w:p>
        </w:tc>
        <w:tc>
          <w:tcPr>
            <w:tcW w:w="884" w:type="dxa"/>
            <w:vAlign w:val="center"/>
          </w:tcPr>
          <w:p w14:paraId="646CB4C0"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0.8009</w:t>
            </w:r>
          </w:p>
        </w:tc>
        <w:tc>
          <w:tcPr>
            <w:tcW w:w="885" w:type="dxa"/>
            <w:vAlign w:val="center"/>
          </w:tcPr>
          <w:p w14:paraId="395F0E9B"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0.8923</w:t>
            </w:r>
          </w:p>
        </w:tc>
        <w:tc>
          <w:tcPr>
            <w:tcW w:w="884" w:type="dxa"/>
            <w:vAlign w:val="center"/>
          </w:tcPr>
          <w:p w14:paraId="0EC01685"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0.8940</w:t>
            </w:r>
          </w:p>
        </w:tc>
        <w:tc>
          <w:tcPr>
            <w:tcW w:w="885" w:type="dxa"/>
            <w:vAlign w:val="center"/>
          </w:tcPr>
          <w:p w14:paraId="7A2CA75B"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0.9193</w:t>
            </w:r>
          </w:p>
        </w:tc>
        <w:tc>
          <w:tcPr>
            <w:tcW w:w="884" w:type="dxa"/>
            <w:vAlign w:val="center"/>
          </w:tcPr>
          <w:p w14:paraId="1E1D535C" w14:textId="77777777" w:rsidR="00734B6E" w:rsidRPr="00734B6E" w:rsidRDefault="00734B6E" w:rsidP="00AD2AA2">
            <w:pPr>
              <w:pStyle w:val="NoSpacing"/>
              <w:spacing w:line="360" w:lineRule="auto"/>
              <w:jc w:val="center"/>
              <w:rPr>
                <w:rFonts w:asciiTheme="majorHAnsi" w:hAnsiTheme="majorHAnsi"/>
                <w:color w:val="FF0000"/>
                <w:sz w:val="16"/>
                <w:szCs w:val="16"/>
              </w:rPr>
            </w:pPr>
            <w:r w:rsidRPr="00734B6E">
              <w:rPr>
                <w:rFonts w:asciiTheme="majorHAnsi" w:hAnsiTheme="majorHAnsi"/>
                <w:color w:val="FF0000"/>
                <w:sz w:val="16"/>
                <w:szCs w:val="16"/>
              </w:rPr>
              <w:t>0.9718</w:t>
            </w:r>
          </w:p>
        </w:tc>
        <w:tc>
          <w:tcPr>
            <w:tcW w:w="885" w:type="dxa"/>
            <w:vAlign w:val="center"/>
          </w:tcPr>
          <w:p w14:paraId="6613A94A"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1B5276E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45A8D29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8A3ADB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A4B3A0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2FE6A4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53FD4B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1CCFA5C8"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517997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567195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F44C1ED"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BD08354"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21413729" w14:textId="77777777" w:rsidTr="00AD2AA2">
        <w:trPr>
          <w:trHeight w:val="394"/>
        </w:trPr>
        <w:tc>
          <w:tcPr>
            <w:tcW w:w="1264" w:type="dxa"/>
            <w:vAlign w:val="center"/>
          </w:tcPr>
          <w:p w14:paraId="5F2976EF"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Gini</w:t>
            </w:r>
          </w:p>
        </w:tc>
        <w:tc>
          <w:tcPr>
            <w:tcW w:w="884" w:type="dxa"/>
            <w:vAlign w:val="center"/>
          </w:tcPr>
          <w:p w14:paraId="54C4A2E3"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0.6561</w:t>
            </w:r>
          </w:p>
        </w:tc>
        <w:tc>
          <w:tcPr>
            <w:tcW w:w="885" w:type="dxa"/>
            <w:vAlign w:val="center"/>
          </w:tcPr>
          <w:p w14:paraId="16A9C62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0.6562</w:t>
            </w:r>
          </w:p>
        </w:tc>
        <w:tc>
          <w:tcPr>
            <w:tcW w:w="884" w:type="dxa"/>
            <w:vAlign w:val="center"/>
          </w:tcPr>
          <w:p w14:paraId="0A24221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0.6578</w:t>
            </w:r>
          </w:p>
        </w:tc>
        <w:tc>
          <w:tcPr>
            <w:tcW w:w="885" w:type="dxa"/>
            <w:vAlign w:val="center"/>
          </w:tcPr>
          <w:p w14:paraId="273C5DE4"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0.6211</w:t>
            </w:r>
          </w:p>
        </w:tc>
        <w:tc>
          <w:tcPr>
            <w:tcW w:w="884" w:type="dxa"/>
            <w:vAlign w:val="center"/>
          </w:tcPr>
          <w:p w14:paraId="51EABAA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0.5531</w:t>
            </w:r>
          </w:p>
        </w:tc>
        <w:tc>
          <w:tcPr>
            <w:tcW w:w="885" w:type="dxa"/>
            <w:vAlign w:val="center"/>
          </w:tcPr>
          <w:p w14:paraId="3506CBA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0.5009</w:t>
            </w:r>
          </w:p>
        </w:tc>
        <w:tc>
          <w:tcPr>
            <w:tcW w:w="885" w:type="dxa"/>
            <w:vAlign w:val="center"/>
          </w:tcPr>
          <w:p w14:paraId="60BF36E8"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4" w:type="dxa"/>
            <w:vAlign w:val="center"/>
          </w:tcPr>
          <w:p w14:paraId="22AA447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910549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02898E1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21C66B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69D3EF8"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19857B6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0DBC09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9780DB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DB3DDE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855DE62"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5316CB4B" w14:textId="77777777" w:rsidTr="00AD2AA2">
        <w:trPr>
          <w:trHeight w:val="394"/>
        </w:trPr>
        <w:tc>
          <w:tcPr>
            <w:tcW w:w="1264" w:type="dxa"/>
            <w:vAlign w:val="center"/>
          </w:tcPr>
          <w:p w14:paraId="5DEDE667"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D1</w:t>
            </w:r>
          </w:p>
        </w:tc>
        <w:tc>
          <w:tcPr>
            <w:tcW w:w="884" w:type="dxa"/>
            <w:vAlign w:val="center"/>
          </w:tcPr>
          <w:p w14:paraId="0AACD457"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-0.6814</w:t>
            </w:r>
          </w:p>
        </w:tc>
        <w:tc>
          <w:tcPr>
            <w:tcW w:w="885" w:type="dxa"/>
            <w:vAlign w:val="center"/>
          </w:tcPr>
          <w:p w14:paraId="235AB5B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-0.7559</w:t>
            </w:r>
          </w:p>
        </w:tc>
        <w:tc>
          <w:tcPr>
            <w:tcW w:w="884" w:type="dxa"/>
            <w:vAlign w:val="center"/>
          </w:tcPr>
          <w:p w14:paraId="69F927F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-0.7713</w:t>
            </w:r>
          </w:p>
        </w:tc>
        <w:tc>
          <w:tcPr>
            <w:tcW w:w="885" w:type="dxa"/>
            <w:vAlign w:val="center"/>
          </w:tcPr>
          <w:p w14:paraId="167EC7F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-0.8111</w:t>
            </w:r>
          </w:p>
        </w:tc>
        <w:tc>
          <w:tcPr>
            <w:tcW w:w="884" w:type="dxa"/>
            <w:vAlign w:val="center"/>
          </w:tcPr>
          <w:p w14:paraId="18CACA31"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-0.5893</w:t>
            </w:r>
          </w:p>
        </w:tc>
        <w:tc>
          <w:tcPr>
            <w:tcW w:w="885" w:type="dxa"/>
            <w:vAlign w:val="center"/>
          </w:tcPr>
          <w:p w14:paraId="36BB83C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-0.5823</w:t>
            </w:r>
          </w:p>
        </w:tc>
        <w:tc>
          <w:tcPr>
            <w:tcW w:w="885" w:type="dxa"/>
            <w:vAlign w:val="center"/>
          </w:tcPr>
          <w:p w14:paraId="52BA67A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-0.7887</w:t>
            </w:r>
          </w:p>
        </w:tc>
        <w:tc>
          <w:tcPr>
            <w:tcW w:w="884" w:type="dxa"/>
            <w:vAlign w:val="center"/>
          </w:tcPr>
          <w:p w14:paraId="5427DBD1"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1828D2D2"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12C795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238ABA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31E92A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26ED71E7"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E37853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32FE176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8D37E8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4AA449B"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732707FB" w14:textId="77777777" w:rsidTr="00AD2AA2">
        <w:trPr>
          <w:trHeight w:val="394"/>
        </w:trPr>
        <w:tc>
          <w:tcPr>
            <w:tcW w:w="1264" w:type="dxa"/>
            <w:vAlign w:val="center"/>
          </w:tcPr>
          <w:p w14:paraId="2C81E60C"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D2</w:t>
            </w:r>
          </w:p>
        </w:tc>
        <w:tc>
          <w:tcPr>
            <w:tcW w:w="884" w:type="dxa"/>
            <w:vAlign w:val="center"/>
          </w:tcPr>
          <w:p w14:paraId="0E63201F"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-0.756</w:t>
            </w:r>
          </w:p>
        </w:tc>
        <w:tc>
          <w:tcPr>
            <w:tcW w:w="885" w:type="dxa"/>
            <w:vAlign w:val="center"/>
          </w:tcPr>
          <w:p w14:paraId="0BD3FCD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-0.7726</w:t>
            </w:r>
          </w:p>
        </w:tc>
        <w:tc>
          <w:tcPr>
            <w:tcW w:w="884" w:type="dxa"/>
            <w:vAlign w:val="center"/>
          </w:tcPr>
          <w:p w14:paraId="5E985538"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-0.7758</w:t>
            </w:r>
          </w:p>
        </w:tc>
        <w:tc>
          <w:tcPr>
            <w:tcW w:w="885" w:type="dxa"/>
            <w:vAlign w:val="center"/>
          </w:tcPr>
          <w:p w14:paraId="150A224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-0.7644</w:t>
            </w:r>
          </w:p>
        </w:tc>
        <w:tc>
          <w:tcPr>
            <w:tcW w:w="884" w:type="dxa"/>
            <w:vAlign w:val="center"/>
          </w:tcPr>
          <w:p w14:paraId="40D0FA7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-0.6529</w:t>
            </w:r>
          </w:p>
        </w:tc>
        <w:tc>
          <w:tcPr>
            <w:tcW w:w="885" w:type="dxa"/>
            <w:vAlign w:val="center"/>
          </w:tcPr>
          <w:p w14:paraId="2C24B14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-0.6291</w:t>
            </w:r>
          </w:p>
        </w:tc>
        <w:tc>
          <w:tcPr>
            <w:tcW w:w="885" w:type="dxa"/>
            <w:vAlign w:val="center"/>
          </w:tcPr>
          <w:p w14:paraId="16B267D6"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-0.9412</w:t>
            </w:r>
          </w:p>
        </w:tc>
        <w:tc>
          <w:tcPr>
            <w:tcW w:w="884" w:type="dxa"/>
            <w:vAlign w:val="center"/>
          </w:tcPr>
          <w:p w14:paraId="55462B32"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0.8832</w:t>
            </w:r>
          </w:p>
        </w:tc>
        <w:tc>
          <w:tcPr>
            <w:tcW w:w="885" w:type="dxa"/>
            <w:vAlign w:val="center"/>
          </w:tcPr>
          <w:p w14:paraId="7FF40EAD"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4" w:type="dxa"/>
            <w:vAlign w:val="center"/>
          </w:tcPr>
          <w:p w14:paraId="50E40A2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766EF42"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2F5967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429909E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41D93C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7DBAD6E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03D2B90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6101CA0"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42B801A9" w14:textId="77777777" w:rsidTr="00AD2AA2">
        <w:trPr>
          <w:trHeight w:val="394"/>
        </w:trPr>
        <w:tc>
          <w:tcPr>
            <w:tcW w:w="1264" w:type="dxa"/>
            <w:vAlign w:val="center"/>
          </w:tcPr>
          <w:p w14:paraId="3B6A0A91"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Q1</w:t>
            </w:r>
          </w:p>
        </w:tc>
        <w:tc>
          <w:tcPr>
            <w:tcW w:w="884" w:type="dxa"/>
            <w:vAlign w:val="center"/>
          </w:tcPr>
          <w:p w14:paraId="6E24232E"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-0.7317</w:t>
            </w:r>
          </w:p>
        </w:tc>
        <w:tc>
          <w:tcPr>
            <w:tcW w:w="885" w:type="dxa"/>
            <w:vAlign w:val="center"/>
          </w:tcPr>
          <w:p w14:paraId="7B6698F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-0.7780</w:t>
            </w:r>
          </w:p>
        </w:tc>
        <w:tc>
          <w:tcPr>
            <w:tcW w:w="884" w:type="dxa"/>
            <w:vAlign w:val="center"/>
          </w:tcPr>
          <w:p w14:paraId="2A0816BA"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-0.7972</w:t>
            </w:r>
          </w:p>
        </w:tc>
        <w:tc>
          <w:tcPr>
            <w:tcW w:w="885" w:type="dxa"/>
            <w:vAlign w:val="center"/>
          </w:tcPr>
          <w:p w14:paraId="135C97F1"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-0.8103</w:t>
            </w:r>
          </w:p>
        </w:tc>
        <w:tc>
          <w:tcPr>
            <w:tcW w:w="884" w:type="dxa"/>
            <w:vAlign w:val="center"/>
          </w:tcPr>
          <w:p w14:paraId="623DBF2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-0.6419</w:t>
            </w:r>
          </w:p>
        </w:tc>
        <w:tc>
          <w:tcPr>
            <w:tcW w:w="885" w:type="dxa"/>
            <w:vAlign w:val="center"/>
          </w:tcPr>
          <w:p w14:paraId="75DA593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0.-6255</w:t>
            </w:r>
          </w:p>
        </w:tc>
        <w:tc>
          <w:tcPr>
            <w:tcW w:w="885" w:type="dxa"/>
            <w:vAlign w:val="center"/>
          </w:tcPr>
          <w:p w14:paraId="549E437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w:t>
            </w:r>
            <w:r w:rsidRPr="00881A90">
              <w:rPr>
                <w:rFonts w:asciiTheme="majorHAnsi" w:hAnsiTheme="majorHAnsi"/>
                <w:color w:val="FF0000"/>
                <w:sz w:val="16"/>
                <w:szCs w:val="16"/>
              </w:rPr>
              <w:t>0.8959</w:t>
            </w:r>
          </w:p>
        </w:tc>
        <w:tc>
          <w:tcPr>
            <w:tcW w:w="884" w:type="dxa"/>
            <w:vAlign w:val="center"/>
          </w:tcPr>
          <w:p w14:paraId="568FF371"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0.9668</w:t>
            </w:r>
          </w:p>
        </w:tc>
        <w:tc>
          <w:tcPr>
            <w:tcW w:w="885" w:type="dxa"/>
            <w:vAlign w:val="center"/>
          </w:tcPr>
          <w:p w14:paraId="6B7B1881"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0.9738</w:t>
            </w:r>
          </w:p>
        </w:tc>
        <w:tc>
          <w:tcPr>
            <w:tcW w:w="884" w:type="dxa"/>
            <w:vAlign w:val="center"/>
          </w:tcPr>
          <w:p w14:paraId="6C6800A0"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6CECEC6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8359251"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1A3B0D1D"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672C349"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BBAB8B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54DEFB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9F337FF"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18B71BF7" w14:textId="77777777" w:rsidTr="00AD2AA2">
        <w:trPr>
          <w:trHeight w:val="394"/>
        </w:trPr>
        <w:tc>
          <w:tcPr>
            <w:tcW w:w="1264" w:type="dxa"/>
            <w:vAlign w:val="center"/>
          </w:tcPr>
          <w:p w14:paraId="282489F0"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Q2</w:t>
            </w:r>
          </w:p>
        </w:tc>
        <w:tc>
          <w:tcPr>
            <w:tcW w:w="884" w:type="dxa"/>
            <w:vAlign w:val="center"/>
          </w:tcPr>
          <w:p w14:paraId="1CCC71FD"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-0.6464</w:t>
            </w:r>
          </w:p>
        </w:tc>
        <w:tc>
          <w:tcPr>
            <w:tcW w:w="885" w:type="dxa"/>
            <w:vAlign w:val="center"/>
          </w:tcPr>
          <w:p w14:paraId="6A3DBA6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-0.6465</w:t>
            </w:r>
          </w:p>
        </w:tc>
        <w:tc>
          <w:tcPr>
            <w:tcW w:w="884" w:type="dxa"/>
            <w:vAlign w:val="center"/>
          </w:tcPr>
          <w:p w14:paraId="5D258DF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-0.6443</w:t>
            </w:r>
          </w:p>
        </w:tc>
        <w:tc>
          <w:tcPr>
            <w:tcW w:w="885" w:type="dxa"/>
            <w:vAlign w:val="center"/>
          </w:tcPr>
          <w:p w14:paraId="04C3F03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-0.6022</w:t>
            </w:r>
          </w:p>
        </w:tc>
        <w:tc>
          <w:tcPr>
            <w:tcW w:w="884" w:type="dxa"/>
            <w:vAlign w:val="center"/>
          </w:tcPr>
          <w:p w14:paraId="6BE2F2E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-0.5522</w:t>
            </w:r>
          </w:p>
        </w:tc>
        <w:tc>
          <w:tcPr>
            <w:tcW w:w="885" w:type="dxa"/>
            <w:vAlign w:val="center"/>
          </w:tcPr>
          <w:p w14:paraId="7C8E477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-0.5019</w:t>
            </w:r>
          </w:p>
        </w:tc>
        <w:tc>
          <w:tcPr>
            <w:tcW w:w="885" w:type="dxa"/>
            <w:vAlign w:val="center"/>
          </w:tcPr>
          <w:p w14:paraId="795954B5"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-0.9882</w:t>
            </w:r>
          </w:p>
        </w:tc>
        <w:tc>
          <w:tcPr>
            <w:tcW w:w="884" w:type="dxa"/>
            <w:vAlign w:val="center"/>
          </w:tcPr>
          <w:p w14:paraId="73139CE9"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0.7553</w:t>
            </w:r>
          </w:p>
        </w:tc>
        <w:tc>
          <w:tcPr>
            <w:tcW w:w="885" w:type="dxa"/>
            <w:vAlign w:val="center"/>
          </w:tcPr>
          <w:p w14:paraId="52778BE8"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0.9494</w:t>
            </w:r>
          </w:p>
        </w:tc>
        <w:tc>
          <w:tcPr>
            <w:tcW w:w="884" w:type="dxa"/>
            <w:vAlign w:val="center"/>
          </w:tcPr>
          <w:p w14:paraId="4F3F2776"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0.8841</w:t>
            </w:r>
          </w:p>
        </w:tc>
        <w:tc>
          <w:tcPr>
            <w:tcW w:w="885" w:type="dxa"/>
            <w:vAlign w:val="center"/>
          </w:tcPr>
          <w:p w14:paraId="44D9AE16"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6DF8621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6CD9412F"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5A6A713"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45647F9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3B80593E"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5EC63A2"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1BD6BB8D" w14:textId="77777777" w:rsidTr="00AD2AA2">
        <w:trPr>
          <w:trHeight w:val="394"/>
        </w:trPr>
        <w:tc>
          <w:tcPr>
            <w:tcW w:w="1264" w:type="dxa"/>
            <w:vAlign w:val="center"/>
          </w:tcPr>
          <w:p w14:paraId="43B88B9A"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Q3</w:t>
            </w:r>
          </w:p>
        </w:tc>
        <w:tc>
          <w:tcPr>
            <w:tcW w:w="884" w:type="dxa"/>
            <w:vAlign w:val="center"/>
          </w:tcPr>
          <w:p w14:paraId="19D0679E"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-0.5411</w:t>
            </w:r>
          </w:p>
        </w:tc>
        <w:tc>
          <w:tcPr>
            <w:tcW w:w="885" w:type="dxa"/>
            <w:vAlign w:val="center"/>
          </w:tcPr>
          <w:p w14:paraId="6B23D59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-0.5140</w:t>
            </w:r>
          </w:p>
        </w:tc>
        <w:tc>
          <w:tcPr>
            <w:tcW w:w="884" w:type="dxa"/>
            <w:vAlign w:val="center"/>
          </w:tcPr>
          <w:p w14:paraId="58C6D13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-0.5124</w:t>
            </w:r>
          </w:p>
        </w:tc>
        <w:tc>
          <w:tcPr>
            <w:tcW w:w="885" w:type="dxa"/>
            <w:vAlign w:val="center"/>
          </w:tcPr>
          <w:p w14:paraId="5E55C589"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-0.4569</w:t>
            </w:r>
          </w:p>
        </w:tc>
        <w:tc>
          <w:tcPr>
            <w:tcW w:w="884" w:type="dxa"/>
            <w:vAlign w:val="center"/>
          </w:tcPr>
          <w:p w14:paraId="1B87F15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-0.4392</w:t>
            </w:r>
          </w:p>
        </w:tc>
        <w:tc>
          <w:tcPr>
            <w:tcW w:w="885" w:type="dxa"/>
            <w:vAlign w:val="center"/>
          </w:tcPr>
          <w:p w14:paraId="49423E8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-0.3735</w:t>
            </w:r>
          </w:p>
        </w:tc>
        <w:tc>
          <w:tcPr>
            <w:tcW w:w="885" w:type="dxa"/>
            <w:vAlign w:val="center"/>
          </w:tcPr>
          <w:p w14:paraId="0D662D38"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-0.9675</w:t>
            </w:r>
          </w:p>
        </w:tc>
        <w:tc>
          <w:tcPr>
            <w:tcW w:w="884" w:type="dxa"/>
            <w:vAlign w:val="center"/>
          </w:tcPr>
          <w:p w14:paraId="23E18534"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0.6313</w:t>
            </w:r>
          </w:p>
        </w:tc>
        <w:tc>
          <w:tcPr>
            <w:tcW w:w="885" w:type="dxa"/>
            <w:vAlign w:val="center"/>
          </w:tcPr>
          <w:p w14:paraId="1DBFD6C9"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0.8384</w:t>
            </w:r>
          </w:p>
        </w:tc>
        <w:tc>
          <w:tcPr>
            <w:tcW w:w="884" w:type="dxa"/>
            <w:vAlign w:val="center"/>
          </w:tcPr>
          <w:p w14:paraId="639FAE04"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0.7634</w:t>
            </w:r>
          </w:p>
        </w:tc>
        <w:tc>
          <w:tcPr>
            <w:tcW w:w="885" w:type="dxa"/>
            <w:vAlign w:val="center"/>
          </w:tcPr>
          <w:p w14:paraId="7FE3B6DA"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0.9591</w:t>
            </w:r>
          </w:p>
        </w:tc>
        <w:tc>
          <w:tcPr>
            <w:tcW w:w="885" w:type="dxa"/>
            <w:vAlign w:val="center"/>
          </w:tcPr>
          <w:p w14:paraId="5DEABC82"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4" w:type="dxa"/>
            <w:vAlign w:val="center"/>
          </w:tcPr>
          <w:p w14:paraId="114EB60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13AAB6A4"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172D619C"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30661B5"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6DF33E5"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51E31B28" w14:textId="77777777" w:rsidTr="00AD2AA2">
        <w:trPr>
          <w:trHeight w:val="394"/>
        </w:trPr>
        <w:tc>
          <w:tcPr>
            <w:tcW w:w="1264" w:type="dxa"/>
            <w:vAlign w:val="center"/>
          </w:tcPr>
          <w:p w14:paraId="17E5BE28"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Q4</w:t>
            </w:r>
          </w:p>
        </w:tc>
        <w:tc>
          <w:tcPr>
            <w:tcW w:w="884" w:type="dxa"/>
            <w:vAlign w:val="center"/>
          </w:tcPr>
          <w:p w14:paraId="63BCC544"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-0.4179</w:t>
            </w:r>
          </w:p>
        </w:tc>
        <w:tc>
          <w:tcPr>
            <w:tcW w:w="885" w:type="dxa"/>
            <w:vAlign w:val="center"/>
          </w:tcPr>
          <w:p w14:paraId="5BE8BF8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-0.3628</w:t>
            </w:r>
          </w:p>
        </w:tc>
        <w:tc>
          <w:tcPr>
            <w:tcW w:w="884" w:type="dxa"/>
            <w:vAlign w:val="center"/>
          </w:tcPr>
          <w:p w14:paraId="0B07B718"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-0.3627</w:t>
            </w:r>
          </w:p>
        </w:tc>
        <w:tc>
          <w:tcPr>
            <w:tcW w:w="885" w:type="dxa"/>
            <w:vAlign w:val="center"/>
          </w:tcPr>
          <w:p w14:paraId="4207D787"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-0.2964</w:t>
            </w:r>
          </w:p>
        </w:tc>
        <w:tc>
          <w:tcPr>
            <w:tcW w:w="884" w:type="dxa"/>
            <w:vAlign w:val="center"/>
          </w:tcPr>
          <w:p w14:paraId="41E43EA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-0.3175</w:t>
            </w:r>
          </w:p>
        </w:tc>
        <w:tc>
          <w:tcPr>
            <w:tcW w:w="885" w:type="dxa"/>
            <w:vAlign w:val="center"/>
          </w:tcPr>
          <w:p w14:paraId="6C44094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-0.2445</w:t>
            </w:r>
          </w:p>
        </w:tc>
        <w:tc>
          <w:tcPr>
            <w:tcW w:w="885" w:type="dxa"/>
            <w:vAlign w:val="center"/>
          </w:tcPr>
          <w:p w14:paraId="09257BC9"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-0.8734</w:t>
            </w:r>
          </w:p>
        </w:tc>
        <w:tc>
          <w:tcPr>
            <w:tcW w:w="884" w:type="dxa"/>
            <w:vAlign w:val="center"/>
          </w:tcPr>
          <w:p w14:paraId="7E0A731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0.4552</w:t>
            </w:r>
          </w:p>
        </w:tc>
        <w:tc>
          <w:tcPr>
            <w:tcW w:w="885" w:type="dxa"/>
            <w:vAlign w:val="center"/>
          </w:tcPr>
          <w:p w14:paraId="71EECFA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0.6670</w:t>
            </w:r>
          </w:p>
        </w:tc>
        <w:tc>
          <w:tcPr>
            <w:tcW w:w="884" w:type="dxa"/>
            <w:vAlign w:val="center"/>
          </w:tcPr>
          <w:p w14:paraId="71A091BA"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0.5845</w:t>
            </w:r>
          </w:p>
        </w:tc>
        <w:tc>
          <w:tcPr>
            <w:tcW w:w="885" w:type="dxa"/>
            <w:vAlign w:val="center"/>
          </w:tcPr>
          <w:p w14:paraId="380393F7"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0.8372</w:t>
            </w:r>
          </w:p>
        </w:tc>
        <w:tc>
          <w:tcPr>
            <w:tcW w:w="885" w:type="dxa"/>
            <w:vAlign w:val="center"/>
          </w:tcPr>
          <w:p w14:paraId="7C504D42"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0.9463</w:t>
            </w:r>
          </w:p>
        </w:tc>
        <w:tc>
          <w:tcPr>
            <w:tcW w:w="884" w:type="dxa"/>
            <w:vAlign w:val="center"/>
          </w:tcPr>
          <w:p w14:paraId="2FB0D7B6"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2E5028F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4" w:type="dxa"/>
            <w:vAlign w:val="center"/>
          </w:tcPr>
          <w:p w14:paraId="5440B9B7"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5221727A"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683199B8"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4314DD2F" w14:textId="77777777" w:rsidTr="00AD2AA2">
        <w:trPr>
          <w:trHeight w:val="394"/>
        </w:trPr>
        <w:tc>
          <w:tcPr>
            <w:tcW w:w="1264" w:type="dxa"/>
            <w:vAlign w:val="center"/>
          </w:tcPr>
          <w:p w14:paraId="1095BC47"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Q5</w:t>
            </w:r>
          </w:p>
        </w:tc>
        <w:tc>
          <w:tcPr>
            <w:tcW w:w="884" w:type="dxa"/>
            <w:vAlign w:val="center"/>
          </w:tcPr>
          <w:p w14:paraId="5B64B51A"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0.6073</w:t>
            </w:r>
          </w:p>
        </w:tc>
        <w:tc>
          <w:tcPr>
            <w:tcW w:w="885" w:type="dxa"/>
            <w:vAlign w:val="center"/>
          </w:tcPr>
          <w:p w14:paraId="418480F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0.5947</w:t>
            </w:r>
          </w:p>
        </w:tc>
        <w:tc>
          <w:tcPr>
            <w:tcW w:w="884" w:type="dxa"/>
            <w:vAlign w:val="center"/>
          </w:tcPr>
          <w:p w14:paraId="13542108"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0.5956</w:t>
            </w:r>
          </w:p>
        </w:tc>
        <w:tc>
          <w:tcPr>
            <w:tcW w:w="885" w:type="dxa"/>
            <w:vAlign w:val="center"/>
          </w:tcPr>
          <w:p w14:paraId="1D83E43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0.5511</w:t>
            </w:r>
          </w:p>
        </w:tc>
        <w:tc>
          <w:tcPr>
            <w:tcW w:w="884" w:type="dxa"/>
            <w:vAlign w:val="center"/>
          </w:tcPr>
          <w:p w14:paraId="67D696D9"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0.5037</w:t>
            </w:r>
          </w:p>
        </w:tc>
        <w:tc>
          <w:tcPr>
            <w:tcW w:w="885" w:type="dxa"/>
            <w:vAlign w:val="center"/>
          </w:tcPr>
          <w:p w14:paraId="2E65FB9E"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0.4459</w:t>
            </w:r>
          </w:p>
        </w:tc>
        <w:tc>
          <w:tcPr>
            <w:tcW w:w="885" w:type="dxa"/>
            <w:vAlign w:val="center"/>
          </w:tcPr>
          <w:p w14:paraId="1972AEBF"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0.9932</w:t>
            </w:r>
          </w:p>
        </w:tc>
        <w:tc>
          <w:tcPr>
            <w:tcW w:w="884" w:type="dxa"/>
            <w:vAlign w:val="center"/>
          </w:tcPr>
          <w:p w14:paraId="5FA6A0C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-0.7231</w:t>
            </w:r>
          </w:p>
        </w:tc>
        <w:tc>
          <w:tcPr>
            <w:tcW w:w="885" w:type="dxa"/>
            <w:vAlign w:val="center"/>
          </w:tcPr>
          <w:p w14:paraId="16724EB4"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-0.8995</w:t>
            </w:r>
          </w:p>
        </w:tc>
        <w:tc>
          <w:tcPr>
            <w:tcW w:w="884" w:type="dxa"/>
            <w:vAlign w:val="center"/>
          </w:tcPr>
          <w:p w14:paraId="3A421E84"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-0.8413</w:t>
            </w:r>
          </w:p>
        </w:tc>
        <w:tc>
          <w:tcPr>
            <w:tcW w:w="885" w:type="dxa"/>
            <w:vAlign w:val="center"/>
          </w:tcPr>
          <w:p w14:paraId="1599809A"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-0.9894</w:t>
            </w:r>
          </w:p>
        </w:tc>
        <w:tc>
          <w:tcPr>
            <w:tcW w:w="885" w:type="dxa"/>
            <w:vAlign w:val="center"/>
          </w:tcPr>
          <w:p w14:paraId="3CE754D5"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-0.9891</w:t>
            </w:r>
          </w:p>
        </w:tc>
        <w:tc>
          <w:tcPr>
            <w:tcW w:w="884" w:type="dxa"/>
            <w:vAlign w:val="center"/>
          </w:tcPr>
          <w:p w14:paraId="11AE54C3"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-0.9200</w:t>
            </w:r>
          </w:p>
        </w:tc>
        <w:tc>
          <w:tcPr>
            <w:tcW w:w="885" w:type="dxa"/>
            <w:vAlign w:val="center"/>
          </w:tcPr>
          <w:p w14:paraId="67F66719"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4" w:type="dxa"/>
            <w:vAlign w:val="center"/>
          </w:tcPr>
          <w:p w14:paraId="72DE1500"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4CD8A8EB"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2ED52C65"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5F884677" w14:textId="77777777" w:rsidTr="00AD2AA2">
        <w:trPr>
          <w:trHeight w:val="394"/>
        </w:trPr>
        <w:tc>
          <w:tcPr>
            <w:tcW w:w="1264" w:type="dxa"/>
            <w:vAlign w:val="center"/>
          </w:tcPr>
          <w:p w14:paraId="12761A49"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D9</w:t>
            </w:r>
          </w:p>
        </w:tc>
        <w:tc>
          <w:tcPr>
            <w:tcW w:w="884" w:type="dxa"/>
            <w:vAlign w:val="center"/>
          </w:tcPr>
          <w:p w14:paraId="57DB1D90"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-0.0563</w:t>
            </w:r>
          </w:p>
        </w:tc>
        <w:tc>
          <w:tcPr>
            <w:tcW w:w="885" w:type="dxa"/>
            <w:vAlign w:val="center"/>
          </w:tcPr>
          <w:p w14:paraId="0C09FC40"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0.0468</w:t>
            </w:r>
          </w:p>
        </w:tc>
        <w:tc>
          <w:tcPr>
            <w:tcW w:w="884" w:type="dxa"/>
            <w:vAlign w:val="center"/>
          </w:tcPr>
          <w:p w14:paraId="761EDC0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0.0511</w:t>
            </w:r>
          </w:p>
        </w:tc>
        <w:tc>
          <w:tcPr>
            <w:tcW w:w="885" w:type="dxa"/>
            <w:vAlign w:val="center"/>
          </w:tcPr>
          <w:p w14:paraId="18EC8610"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0.1378</w:t>
            </w:r>
          </w:p>
        </w:tc>
        <w:tc>
          <w:tcPr>
            <w:tcW w:w="884" w:type="dxa"/>
            <w:vAlign w:val="center"/>
          </w:tcPr>
          <w:p w14:paraId="44DFD53A"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0.0033</w:t>
            </w:r>
          </w:p>
        </w:tc>
        <w:tc>
          <w:tcPr>
            <w:tcW w:w="885" w:type="dxa"/>
            <w:vAlign w:val="center"/>
          </w:tcPr>
          <w:p w14:paraId="5A03DB80"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0.0740</w:t>
            </w:r>
          </w:p>
        </w:tc>
        <w:tc>
          <w:tcPr>
            <w:tcW w:w="885" w:type="dxa"/>
            <w:vAlign w:val="center"/>
          </w:tcPr>
          <w:p w14:paraId="610897A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-0.2333</w:t>
            </w:r>
          </w:p>
        </w:tc>
        <w:tc>
          <w:tcPr>
            <w:tcW w:w="884" w:type="dxa"/>
            <w:vAlign w:val="center"/>
          </w:tcPr>
          <w:p w14:paraId="21AE35C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-0.1576</w:t>
            </w:r>
          </w:p>
        </w:tc>
        <w:tc>
          <w:tcPr>
            <w:tcW w:w="885" w:type="dxa"/>
            <w:vAlign w:val="center"/>
          </w:tcPr>
          <w:p w14:paraId="335142BF"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-0.0131</w:t>
            </w:r>
          </w:p>
        </w:tc>
        <w:tc>
          <w:tcPr>
            <w:tcW w:w="884" w:type="dxa"/>
            <w:vAlign w:val="center"/>
          </w:tcPr>
          <w:p w14:paraId="4F7A691C"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-0.0836</w:t>
            </w:r>
          </w:p>
        </w:tc>
        <w:tc>
          <w:tcPr>
            <w:tcW w:w="885" w:type="dxa"/>
            <w:vAlign w:val="center"/>
          </w:tcPr>
          <w:p w14:paraId="261F3B34"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0.1500</w:t>
            </w:r>
          </w:p>
        </w:tc>
        <w:tc>
          <w:tcPr>
            <w:tcW w:w="885" w:type="dxa"/>
            <w:vAlign w:val="center"/>
          </w:tcPr>
          <w:p w14:paraId="172F002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0.3288</w:t>
            </w:r>
          </w:p>
        </w:tc>
        <w:tc>
          <w:tcPr>
            <w:tcW w:w="884" w:type="dxa"/>
            <w:vAlign w:val="center"/>
          </w:tcPr>
          <w:p w14:paraId="0126805D"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0.5824</w:t>
            </w:r>
          </w:p>
        </w:tc>
        <w:tc>
          <w:tcPr>
            <w:tcW w:w="885" w:type="dxa"/>
            <w:vAlign w:val="center"/>
          </w:tcPr>
          <w:p w14:paraId="3D17243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-0.2930</w:t>
            </w:r>
          </w:p>
        </w:tc>
        <w:tc>
          <w:tcPr>
            <w:tcW w:w="884" w:type="dxa"/>
            <w:vAlign w:val="center"/>
          </w:tcPr>
          <w:p w14:paraId="3BD5F155"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19981F86" w14:textId="77777777" w:rsidR="00734B6E" w:rsidRPr="007174B5" w:rsidRDefault="00734B6E" w:rsidP="00AD2AA2">
            <w:pPr>
              <w:pStyle w:val="NoSpacing"/>
              <w:spacing w:line="360" w:lineRule="auto"/>
              <w:jc w:val="center"/>
              <w:rPr>
                <w:rFonts w:asciiTheme="majorHAnsi" w:hAnsiTheme="majorHAnsi"/>
                <w:sz w:val="16"/>
                <w:szCs w:val="16"/>
              </w:rPr>
            </w:pPr>
          </w:p>
        </w:tc>
        <w:tc>
          <w:tcPr>
            <w:tcW w:w="885" w:type="dxa"/>
            <w:vAlign w:val="center"/>
          </w:tcPr>
          <w:p w14:paraId="7BFE22C1"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4C843301" w14:textId="77777777" w:rsidTr="00AD2AA2">
        <w:trPr>
          <w:trHeight w:val="394"/>
        </w:trPr>
        <w:tc>
          <w:tcPr>
            <w:tcW w:w="1264" w:type="dxa"/>
            <w:vAlign w:val="center"/>
          </w:tcPr>
          <w:p w14:paraId="0A0422EB"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D10</w:t>
            </w:r>
          </w:p>
        </w:tc>
        <w:tc>
          <w:tcPr>
            <w:tcW w:w="884" w:type="dxa"/>
            <w:vAlign w:val="center"/>
          </w:tcPr>
          <w:p w14:paraId="5BBC431F"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0.877</w:t>
            </w:r>
          </w:p>
        </w:tc>
        <w:tc>
          <w:tcPr>
            <w:tcW w:w="885" w:type="dxa"/>
            <w:vAlign w:val="center"/>
          </w:tcPr>
          <w:p w14:paraId="6067ED7A"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0.5627</w:t>
            </w:r>
          </w:p>
        </w:tc>
        <w:tc>
          <w:tcPr>
            <w:tcW w:w="884" w:type="dxa"/>
            <w:vAlign w:val="center"/>
          </w:tcPr>
          <w:p w14:paraId="0E0E4CC5"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0.5630</w:t>
            </w:r>
          </w:p>
        </w:tc>
        <w:tc>
          <w:tcPr>
            <w:tcW w:w="885" w:type="dxa"/>
            <w:vAlign w:val="center"/>
          </w:tcPr>
          <w:p w14:paraId="55A3E72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0.5097</w:t>
            </w:r>
          </w:p>
        </w:tc>
        <w:tc>
          <w:tcPr>
            <w:tcW w:w="884" w:type="dxa"/>
            <w:vAlign w:val="center"/>
          </w:tcPr>
          <w:p w14:paraId="0BE87960"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0.4812</w:t>
            </w:r>
          </w:p>
        </w:tc>
        <w:tc>
          <w:tcPr>
            <w:tcW w:w="885" w:type="dxa"/>
            <w:vAlign w:val="center"/>
          </w:tcPr>
          <w:p w14:paraId="70850B0C"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0.4171</w:t>
            </w:r>
          </w:p>
        </w:tc>
        <w:tc>
          <w:tcPr>
            <w:tcW w:w="885" w:type="dxa"/>
            <w:vAlign w:val="center"/>
          </w:tcPr>
          <w:p w14:paraId="3B05CDE3"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0.9788</w:t>
            </w:r>
          </w:p>
        </w:tc>
        <w:tc>
          <w:tcPr>
            <w:tcW w:w="884" w:type="dxa"/>
            <w:vAlign w:val="center"/>
          </w:tcPr>
          <w:p w14:paraId="68B8411F"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-0.6715</w:t>
            </w:r>
          </w:p>
        </w:tc>
        <w:tc>
          <w:tcPr>
            <w:tcW w:w="885" w:type="dxa"/>
            <w:vAlign w:val="center"/>
          </w:tcPr>
          <w:p w14:paraId="7FA74349"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-0.8584</w:t>
            </w:r>
          </w:p>
        </w:tc>
        <w:tc>
          <w:tcPr>
            <w:tcW w:w="884" w:type="dxa"/>
            <w:vAlign w:val="center"/>
          </w:tcPr>
          <w:p w14:paraId="4ECD3F7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-0.7938</w:t>
            </w:r>
          </w:p>
        </w:tc>
        <w:tc>
          <w:tcPr>
            <w:tcW w:w="885" w:type="dxa"/>
            <w:vAlign w:val="center"/>
          </w:tcPr>
          <w:p w14:paraId="3309242E"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-0.9561</w:t>
            </w:r>
          </w:p>
        </w:tc>
        <w:tc>
          <w:tcPr>
            <w:tcW w:w="885" w:type="dxa"/>
            <w:vAlign w:val="center"/>
          </w:tcPr>
          <w:p w14:paraId="00BDD208"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-0.9869</w:t>
            </w:r>
          </w:p>
        </w:tc>
        <w:tc>
          <w:tcPr>
            <w:tcW w:w="884" w:type="dxa"/>
            <w:vAlign w:val="center"/>
          </w:tcPr>
          <w:p w14:paraId="0D2F1DCE"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-0.9526</w:t>
            </w:r>
          </w:p>
        </w:tc>
        <w:tc>
          <w:tcPr>
            <w:tcW w:w="885" w:type="dxa"/>
            <w:vAlign w:val="center"/>
          </w:tcPr>
          <w:p w14:paraId="63971158" w14:textId="77777777" w:rsidR="00734B6E" w:rsidRPr="00881A90" w:rsidRDefault="00734B6E" w:rsidP="00AD2AA2">
            <w:pPr>
              <w:pStyle w:val="NoSpacing"/>
              <w:spacing w:line="360" w:lineRule="auto"/>
              <w:jc w:val="center"/>
              <w:rPr>
                <w:rFonts w:asciiTheme="majorHAnsi" w:hAnsiTheme="majorHAnsi"/>
                <w:color w:val="FF0000"/>
                <w:sz w:val="16"/>
                <w:szCs w:val="16"/>
              </w:rPr>
            </w:pPr>
            <w:r w:rsidRPr="00881A90">
              <w:rPr>
                <w:rFonts w:asciiTheme="majorHAnsi" w:hAnsiTheme="majorHAnsi"/>
                <w:color w:val="FF0000"/>
                <w:sz w:val="16"/>
                <w:szCs w:val="16"/>
              </w:rPr>
              <w:t>0.9928</w:t>
            </w:r>
          </w:p>
        </w:tc>
        <w:tc>
          <w:tcPr>
            <w:tcW w:w="884" w:type="dxa"/>
            <w:vAlign w:val="center"/>
          </w:tcPr>
          <w:p w14:paraId="35815A70"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-0.4055</w:t>
            </w:r>
          </w:p>
        </w:tc>
        <w:tc>
          <w:tcPr>
            <w:tcW w:w="885" w:type="dxa"/>
            <w:vAlign w:val="center"/>
          </w:tcPr>
          <w:p w14:paraId="3E77476A"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5" w:type="dxa"/>
            <w:vAlign w:val="center"/>
          </w:tcPr>
          <w:p w14:paraId="00FB875A" w14:textId="77777777" w:rsidR="00734B6E" w:rsidRPr="007174B5" w:rsidRDefault="00734B6E" w:rsidP="00AD2AA2">
            <w:pPr>
              <w:pStyle w:val="NoSpacing"/>
              <w:spacing w:line="360" w:lineRule="auto"/>
              <w:jc w:val="center"/>
              <w:rPr>
                <w:rFonts w:asciiTheme="majorHAnsi" w:hAnsiTheme="majorHAnsi"/>
                <w:sz w:val="16"/>
                <w:szCs w:val="16"/>
              </w:rPr>
            </w:pPr>
          </w:p>
        </w:tc>
      </w:tr>
      <w:tr w:rsidR="00734B6E" w:rsidRPr="007174B5" w14:paraId="560FE9FF" w14:textId="77777777" w:rsidTr="00AD2AA2">
        <w:trPr>
          <w:trHeight w:val="394"/>
        </w:trPr>
        <w:tc>
          <w:tcPr>
            <w:tcW w:w="1264" w:type="dxa"/>
            <w:vAlign w:val="center"/>
          </w:tcPr>
          <w:p w14:paraId="06A586C2" w14:textId="77777777" w:rsidR="00734B6E" w:rsidRPr="007174B5" w:rsidRDefault="00734B6E" w:rsidP="00AD2AA2">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SRI</w:t>
            </w:r>
          </w:p>
        </w:tc>
        <w:tc>
          <w:tcPr>
            <w:tcW w:w="884" w:type="dxa"/>
            <w:vAlign w:val="center"/>
          </w:tcPr>
          <w:p w14:paraId="172F73CE"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-0.1038</w:t>
            </w:r>
          </w:p>
        </w:tc>
        <w:tc>
          <w:tcPr>
            <w:tcW w:w="885" w:type="dxa"/>
            <w:vAlign w:val="center"/>
          </w:tcPr>
          <w:p w14:paraId="127A699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0.0876</w:t>
            </w:r>
          </w:p>
        </w:tc>
        <w:tc>
          <w:tcPr>
            <w:tcW w:w="884" w:type="dxa"/>
            <w:vAlign w:val="center"/>
          </w:tcPr>
          <w:p w14:paraId="7D30E7A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-0.0737</w:t>
            </w:r>
          </w:p>
        </w:tc>
        <w:tc>
          <w:tcPr>
            <w:tcW w:w="885" w:type="dxa"/>
            <w:vAlign w:val="center"/>
          </w:tcPr>
          <w:p w14:paraId="58347EF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-0.0293</w:t>
            </w:r>
          </w:p>
        </w:tc>
        <w:tc>
          <w:tcPr>
            <w:tcW w:w="884" w:type="dxa"/>
            <w:vAlign w:val="center"/>
          </w:tcPr>
          <w:p w14:paraId="70F7764F"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-0.1153</w:t>
            </w:r>
          </w:p>
        </w:tc>
        <w:tc>
          <w:tcPr>
            <w:tcW w:w="885" w:type="dxa"/>
            <w:vAlign w:val="center"/>
          </w:tcPr>
          <w:p w14:paraId="6082B7D2"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-0.5070</w:t>
            </w:r>
          </w:p>
        </w:tc>
        <w:tc>
          <w:tcPr>
            <w:tcW w:w="885" w:type="dxa"/>
            <w:vAlign w:val="center"/>
          </w:tcPr>
          <w:p w14:paraId="11D2EEB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0.0649</w:t>
            </w:r>
          </w:p>
        </w:tc>
        <w:tc>
          <w:tcPr>
            <w:tcW w:w="884" w:type="dxa"/>
            <w:vAlign w:val="center"/>
          </w:tcPr>
          <w:p w14:paraId="641C02B8"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-0.0593</w:t>
            </w:r>
          </w:p>
        </w:tc>
        <w:tc>
          <w:tcPr>
            <w:tcW w:w="885" w:type="dxa"/>
            <w:vAlign w:val="center"/>
          </w:tcPr>
          <w:p w14:paraId="21A147CE"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-0.0643</w:t>
            </w:r>
          </w:p>
        </w:tc>
        <w:tc>
          <w:tcPr>
            <w:tcW w:w="884" w:type="dxa"/>
            <w:vAlign w:val="center"/>
          </w:tcPr>
          <w:p w14:paraId="434C601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-0.0638</w:t>
            </w:r>
          </w:p>
        </w:tc>
        <w:tc>
          <w:tcPr>
            <w:tcW w:w="885" w:type="dxa"/>
            <w:vAlign w:val="center"/>
          </w:tcPr>
          <w:p w14:paraId="640EF2F3"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-0.0449</w:t>
            </w:r>
          </w:p>
        </w:tc>
        <w:tc>
          <w:tcPr>
            <w:tcW w:w="885" w:type="dxa"/>
            <w:vAlign w:val="center"/>
          </w:tcPr>
          <w:p w14:paraId="2C8B2EA4"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-0.0504</w:t>
            </w:r>
          </w:p>
        </w:tc>
        <w:tc>
          <w:tcPr>
            <w:tcW w:w="884" w:type="dxa"/>
            <w:vAlign w:val="center"/>
          </w:tcPr>
          <w:p w14:paraId="728925AA"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-0.0862</w:t>
            </w:r>
          </w:p>
        </w:tc>
        <w:tc>
          <w:tcPr>
            <w:tcW w:w="885" w:type="dxa"/>
            <w:vAlign w:val="center"/>
          </w:tcPr>
          <w:p w14:paraId="1276CDAB"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0.0658</w:t>
            </w:r>
          </w:p>
        </w:tc>
        <w:tc>
          <w:tcPr>
            <w:tcW w:w="884" w:type="dxa"/>
            <w:vAlign w:val="center"/>
          </w:tcPr>
          <w:p w14:paraId="72BCC39A"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-0.1249</w:t>
            </w:r>
          </w:p>
        </w:tc>
        <w:tc>
          <w:tcPr>
            <w:tcW w:w="885" w:type="dxa"/>
            <w:vAlign w:val="center"/>
          </w:tcPr>
          <w:p w14:paraId="4EA8EAC6" w14:textId="77777777" w:rsidR="00734B6E" w:rsidRPr="007174B5" w:rsidRDefault="00734B6E" w:rsidP="00AD2AA2">
            <w:pPr>
              <w:pStyle w:val="NoSpacing"/>
              <w:spacing w:line="360" w:lineRule="auto"/>
              <w:jc w:val="center"/>
              <w:rPr>
                <w:rFonts w:asciiTheme="majorHAnsi" w:hAnsiTheme="majorHAnsi"/>
                <w:sz w:val="16"/>
                <w:szCs w:val="16"/>
              </w:rPr>
            </w:pPr>
            <w:r>
              <w:rPr>
                <w:rFonts w:asciiTheme="majorHAnsi" w:hAnsiTheme="majorHAnsi"/>
                <w:sz w:val="16"/>
                <w:szCs w:val="16"/>
              </w:rPr>
              <w:t>0.0786</w:t>
            </w:r>
          </w:p>
        </w:tc>
        <w:tc>
          <w:tcPr>
            <w:tcW w:w="885" w:type="dxa"/>
            <w:vAlign w:val="center"/>
          </w:tcPr>
          <w:p w14:paraId="41438346" w14:textId="77777777" w:rsidR="00734B6E" w:rsidRPr="007174B5" w:rsidRDefault="00734B6E" w:rsidP="00AD2AA2">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r>
    </w:tbl>
    <w:p w14:paraId="3B90C61C" w14:textId="77777777" w:rsidR="00E41E4B" w:rsidRPr="00F14751" w:rsidRDefault="00E41E4B" w:rsidP="00C8508E">
      <w:pPr>
        <w:pStyle w:val="NoSpacing"/>
        <w:spacing w:line="360" w:lineRule="auto"/>
        <w:jc w:val="both"/>
        <w:rPr>
          <w:rFonts w:asciiTheme="majorHAnsi" w:hAnsiTheme="majorHAnsi"/>
          <w:sz w:val="24"/>
          <w:szCs w:val="24"/>
        </w:rPr>
      </w:pPr>
    </w:p>
    <w:p w14:paraId="3C0CFE48" w14:textId="77777777" w:rsidR="00592218" w:rsidRPr="00F14751" w:rsidRDefault="00592218" w:rsidP="00C8508E">
      <w:pPr>
        <w:pStyle w:val="NoSpacing"/>
        <w:spacing w:line="360" w:lineRule="auto"/>
        <w:jc w:val="both"/>
        <w:rPr>
          <w:rFonts w:asciiTheme="majorHAnsi" w:hAnsiTheme="majorHAnsi"/>
          <w:sz w:val="24"/>
          <w:szCs w:val="24"/>
        </w:rPr>
      </w:pPr>
    </w:p>
    <w:p w14:paraId="5983EF64" w14:textId="77777777" w:rsidR="00592218" w:rsidRPr="00F14751" w:rsidRDefault="00592218" w:rsidP="00C8508E">
      <w:pPr>
        <w:pStyle w:val="NoSpacing"/>
        <w:spacing w:line="360" w:lineRule="auto"/>
        <w:jc w:val="both"/>
        <w:rPr>
          <w:rFonts w:asciiTheme="majorHAnsi" w:hAnsiTheme="majorHAnsi"/>
          <w:sz w:val="24"/>
          <w:szCs w:val="24"/>
        </w:rPr>
        <w:sectPr w:rsidR="00592218" w:rsidRPr="00F14751" w:rsidSect="000B653A">
          <w:pgSz w:w="16838" w:h="11906" w:orient="landscape"/>
          <w:pgMar w:top="1417" w:right="1417" w:bottom="1417" w:left="1417" w:header="708" w:footer="708" w:gutter="0"/>
          <w:cols w:space="708"/>
          <w:docGrid w:linePitch="360"/>
        </w:sectPr>
      </w:pPr>
    </w:p>
    <w:p w14:paraId="3583A400" w14:textId="77777777" w:rsidR="00592218" w:rsidRPr="00F14751" w:rsidRDefault="00592218" w:rsidP="00C8508E">
      <w:pPr>
        <w:pStyle w:val="NoSpacing"/>
        <w:spacing w:line="360" w:lineRule="auto"/>
        <w:jc w:val="both"/>
        <w:rPr>
          <w:rFonts w:asciiTheme="majorHAnsi" w:hAnsiTheme="majorHAnsi"/>
          <w:b/>
          <w:sz w:val="28"/>
          <w:szCs w:val="24"/>
        </w:rPr>
      </w:pPr>
      <w:r w:rsidRPr="00F14751">
        <w:rPr>
          <w:rFonts w:asciiTheme="majorHAnsi" w:hAnsiTheme="majorHAnsi"/>
          <w:b/>
          <w:sz w:val="28"/>
          <w:szCs w:val="24"/>
        </w:rPr>
        <w:t>5. Estimation Strategy</w:t>
      </w:r>
    </w:p>
    <w:p w14:paraId="16375138" w14:textId="77777777" w:rsidR="00592218" w:rsidRPr="00F14751" w:rsidRDefault="00592218" w:rsidP="00C8508E">
      <w:pPr>
        <w:pStyle w:val="NoSpacing"/>
        <w:spacing w:line="360" w:lineRule="auto"/>
        <w:jc w:val="both"/>
        <w:rPr>
          <w:rFonts w:asciiTheme="majorHAnsi" w:hAnsiTheme="majorHAnsi"/>
          <w:sz w:val="24"/>
          <w:szCs w:val="24"/>
        </w:rPr>
      </w:pPr>
    </w:p>
    <w:p w14:paraId="6333942E" w14:textId="135F0F3A" w:rsidR="00592218" w:rsidRPr="00F14751" w:rsidRDefault="00592218"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This study examines</w:t>
      </w:r>
      <w:r w:rsidR="00676E04">
        <w:rPr>
          <w:rFonts w:asciiTheme="majorHAnsi" w:hAnsiTheme="majorHAnsi"/>
          <w:sz w:val="24"/>
          <w:szCs w:val="24"/>
        </w:rPr>
        <w:t xml:space="preserve"> </w:t>
      </w:r>
      <w:r w:rsidR="00AD2AA2">
        <w:rPr>
          <w:rFonts w:asciiTheme="majorHAnsi" w:hAnsiTheme="majorHAnsi"/>
          <w:sz w:val="24"/>
          <w:szCs w:val="24"/>
        </w:rPr>
        <w:t>empirically</w:t>
      </w:r>
      <w:r w:rsidRPr="00F14751">
        <w:rPr>
          <w:rFonts w:asciiTheme="majorHAnsi" w:hAnsiTheme="majorHAnsi"/>
          <w:sz w:val="24"/>
          <w:szCs w:val="24"/>
        </w:rPr>
        <w:t xml:space="preserve"> the </w:t>
      </w:r>
      <w:r w:rsidR="00AD2AA2">
        <w:rPr>
          <w:rFonts w:asciiTheme="majorHAnsi" w:hAnsiTheme="majorHAnsi"/>
          <w:sz w:val="24"/>
          <w:szCs w:val="24"/>
        </w:rPr>
        <w:t>impact</w:t>
      </w:r>
      <w:r w:rsidRPr="00F14751">
        <w:rPr>
          <w:rFonts w:asciiTheme="majorHAnsi" w:hAnsiTheme="majorHAnsi"/>
          <w:sz w:val="24"/>
          <w:szCs w:val="24"/>
        </w:rPr>
        <w:t xml:space="preserve"> of structural reforms on poverty and inequality in Latin America </w:t>
      </w:r>
      <w:r w:rsidR="001222C4" w:rsidRPr="00F14751">
        <w:rPr>
          <w:rFonts w:asciiTheme="majorHAnsi" w:hAnsiTheme="majorHAnsi"/>
          <w:sz w:val="24"/>
          <w:szCs w:val="24"/>
        </w:rPr>
        <w:t>in the period 1985-2010</w:t>
      </w:r>
      <w:r w:rsidRPr="00F14751">
        <w:rPr>
          <w:rFonts w:asciiTheme="majorHAnsi" w:hAnsiTheme="majorHAnsi"/>
          <w:sz w:val="24"/>
          <w:szCs w:val="24"/>
        </w:rPr>
        <w:t>. The analysis is based on the following regression model:</w:t>
      </w:r>
    </w:p>
    <w:p w14:paraId="4CC88373" w14:textId="77777777" w:rsidR="00592218" w:rsidRPr="00F14751" w:rsidRDefault="00592218" w:rsidP="00C8508E">
      <w:pPr>
        <w:pStyle w:val="NoSpacing"/>
        <w:spacing w:line="360" w:lineRule="auto"/>
        <w:jc w:val="both"/>
        <w:rPr>
          <w:rFonts w:asciiTheme="majorHAnsi" w:hAnsiTheme="majorHAnsi" w:cs="Times New Roman"/>
          <w:sz w:val="24"/>
          <w:szCs w:val="24"/>
        </w:rPr>
      </w:pPr>
    </w:p>
    <w:p w14:paraId="4367AB58" w14:textId="77777777" w:rsidR="00592218" w:rsidRPr="00F14751" w:rsidRDefault="00592218" w:rsidP="00C8508E">
      <w:pPr>
        <w:pStyle w:val="NoSpacing"/>
        <w:spacing w:line="360" w:lineRule="auto"/>
        <w:jc w:val="both"/>
        <w:rPr>
          <w:rFonts w:asciiTheme="majorHAnsi" w:hAnsiTheme="majorHAnsi" w:cs="Times New Roman"/>
          <w:sz w:val="24"/>
          <w:szCs w:val="24"/>
        </w:rPr>
      </w:pPr>
      <w:r w:rsidRPr="00F14751">
        <w:rPr>
          <w:rFonts w:asciiTheme="majorHAnsi" w:eastAsiaTheme="minorEastAsia" w:hAnsiTheme="majorHAnsi"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oMath>
      <w:r w:rsidRPr="00F14751">
        <w:rPr>
          <w:rFonts w:asciiTheme="majorHAnsi" w:eastAsiaTheme="minorEastAsia" w:hAnsiTheme="majorHAnsi" w:cs="Times New Roman"/>
          <w:sz w:val="24"/>
          <w:szCs w:val="24"/>
        </w:rPr>
        <w:t xml:space="preserve"> </w:t>
      </w:r>
    </w:p>
    <w:p w14:paraId="7B251D44" w14:textId="77777777" w:rsidR="00592218" w:rsidRPr="00F14751" w:rsidRDefault="00592218" w:rsidP="00C8508E">
      <w:pPr>
        <w:pStyle w:val="NoSpacing"/>
        <w:spacing w:line="360" w:lineRule="auto"/>
        <w:jc w:val="both"/>
        <w:rPr>
          <w:rFonts w:asciiTheme="majorHAnsi" w:hAnsiTheme="majorHAnsi" w:cs="Times New Roman"/>
          <w:sz w:val="24"/>
          <w:szCs w:val="24"/>
        </w:rPr>
      </w:pPr>
    </w:p>
    <w:p w14:paraId="59E0B2C9" w14:textId="6A15826F" w:rsidR="00592218" w:rsidRPr="00F14751" w:rsidRDefault="00902BFB"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592218" w:rsidRPr="00F14751">
        <w:rPr>
          <w:rFonts w:asciiTheme="majorHAnsi" w:eastAsiaTheme="minorEastAsia" w:hAnsiTheme="majorHAnsi" w:cs="Times New Roman"/>
          <w:sz w:val="24"/>
          <w:szCs w:val="24"/>
        </w:rPr>
        <w:t xml:space="preserve">All variables are indexed with an </w:t>
      </w:r>
      <m:oMath>
        <m:r>
          <w:rPr>
            <w:rFonts w:ascii="Cambria Math" w:eastAsiaTheme="minorEastAsia" w:hAnsi="Cambria Math" w:cs="Times New Roman"/>
            <w:sz w:val="24"/>
            <w:szCs w:val="24"/>
          </w:rPr>
          <m:t>i</m:t>
        </m:r>
      </m:oMath>
      <w:r w:rsidR="00592218" w:rsidRPr="00F14751">
        <w:rPr>
          <w:rFonts w:asciiTheme="majorHAnsi" w:eastAsiaTheme="minorEastAsia" w:hAnsiTheme="majorHAnsi" w:cs="Times New Roman"/>
          <w:sz w:val="24"/>
          <w:szCs w:val="24"/>
        </w:rPr>
        <w:t xml:space="preserve"> for the country (</w:t>
      </w:r>
      <m:oMath>
        <m:r>
          <w:rPr>
            <w:rFonts w:ascii="Cambria Math" w:eastAsiaTheme="minorEastAsia" w:hAnsi="Cambria Math" w:cs="Times New Roman"/>
            <w:sz w:val="24"/>
            <w:szCs w:val="24"/>
          </w:rPr>
          <m:t>i</m:t>
        </m:r>
      </m:oMath>
      <w:r w:rsidR="00592218" w:rsidRPr="00F14751">
        <w:rPr>
          <w:rFonts w:asciiTheme="majorHAnsi" w:eastAsiaTheme="minorEastAsia" w:hAnsiTheme="majorHAnsi" w:cs="Times New Roman"/>
          <w:sz w:val="24"/>
          <w:szCs w:val="24"/>
        </w:rPr>
        <w:t xml:space="preserve"> = 1, …, N) and a </w:t>
      </w:r>
      <m:oMath>
        <m:r>
          <w:rPr>
            <w:rFonts w:ascii="Cambria Math" w:eastAsiaTheme="minorEastAsia" w:hAnsi="Cambria Math" w:cs="Times New Roman"/>
            <w:sz w:val="24"/>
            <w:szCs w:val="24"/>
          </w:rPr>
          <m:t>t</m:t>
        </m:r>
      </m:oMath>
      <w:r w:rsidR="00592218" w:rsidRPr="00F14751">
        <w:rPr>
          <w:rFonts w:asciiTheme="majorHAnsi" w:eastAsiaTheme="minorEastAsia" w:hAnsiTheme="majorHAnsi" w:cs="Times New Roman"/>
          <w:sz w:val="24"/>
          <w:szCs w:val="24"/>
        </w:rPr>
        <w:t xml:space="preserve"> for the year (</w:t>
      </w:r>
      <m:oMath>
        <m:r>
          <w:rPr>
            <w:rFonts w:ascii="Cambria Math" w:eastAsiaTheme="minorEastAsia" w:hAnsi="Cambria Math" w:cs="Times New Roman"/>
            <w:sz w:val="24"/>
            <w:szCs w:val="24"/>
          </w:rPr>
          <m:t>t</m:t>
        </m:r>
      </m:oMath>
      <w:r w:rsidR="00592218" w:rsidRPr="00F14751">
        <w:rPr>
          <w:rFonts w:asciiTheme="majorHAnsi" w:eastAsiaTheme="minorEastAsia" w:hAnsiTheme="majorHAnsi" w:cs="Times New Roman"/>
          <w:sz w:val="24"/>
          <w:szCs w:val="24"/>
        </w:rPr>
        <w:t xml:space="preserve"> = 1, …, T). The dependent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oMath>
      <w:r w:rsidR="00592218" w:rsidRPr="00F14751">
        <w:rPr>
          <w:rFonts w:asciiTheme="majorHAnsi" w:eastAsiaTheme="minorEastAsia" w:hAnsiTheme="majorHAnsi" w:cs="Times New Roman"/>
          <w:sz w:val="24"/>
          <w:szCs w:val="24"/>
        </w:rPr>
        <w:t xml:space="preserve"> is one of the measures of poverty (</w:t>
      </w:r>
      <w:r w:rsidR="00E0478B" w:rsidRPr="00F14751">
        <w:rPr>
          <w:rFonts w:asciiTheme="majorHAnsi" w:eastAsiaTheme="minorEastAsia" w:hAnsiTheme="majorHAnsi" w:cs="Times New Roman"/>
          <w:i/>
          <w:sz w:val="24"/>
          <w:szCs w:val="24"/>
        </w:rPr>
        <w:t xml:space="preserve">PHR ($2), PHR ($1.25), PGR (2), </w:t>
      </w:r>
      <w:r w:rsidR="00592218" w:rsidRPr="00F14751">
        <w:rPr>
          <w:rFonts w:asciiTheme="majorHAnsi" w:eastAsiaTheme="minorEastAsia" w:hAnsiTheme="majorHAnsi" w:cs="Times New Roman"/>
          <w:i/>
          <w:sz w:val="24"/>
          <w:szCs w:val="24"/>
        </w:rPr>
        <w:t>PGR ($1.25)</w:t>
      </w:r>
      <w:r w:rsidR="00E0478B" w:rsidRPr="00F14751">
        <w:rPr>
          <w:rFonts w:asciiTheme="majorHAnsi" w:eastAsiaTheme="minorEastAsia" w:hAnsiTheme="majorHAnsi" w:cs="Times New Roman"/>
          <w:i/>
          <w:sz w:val="24"/>
          <w:szCs w:val="24"/>
        </w:rPr>
        <w:t xml:space="preserve">, </w:t>
      </w:r>
      <w:proofErr w:type="spellStart"/>
      <w:r w:rsidR="0051016C" w:rsidRPr="00F14751">
        <w:rPr>
          <w:rFonts w:asciiTheme="majorHAnsi" w:eastAsiaTheme="minorEastAsia" w:hAnsiTheme="majorHAnsi" w:cs="Times New Roman"/>
          <w:i/>
          <w:sz w:val="24"/>
          <w:szCs w:val="24"/>
        </w:rPr>
        <w:t>DoP</w:t>
      </w:r>
      <w:proofErr w:type="spellEnd"/>
      <w:r w:rsidR="0051016C" w:rsidRPr="00F14751">
        <w:rPr>
          <w:rFonts w:asciiTheme="majorHAnsi" w:eastAsiaTheme="minorEastAsia" w:hAnsiTheme="majorHAnsi" w:cs="Times New Roman"/>
          <w:i/>
          <w:sz w:val="24"/>
          <w:szCs w:val="24"/>
        </w:rPr>
        <w:t xml:space="preserve"> ($2) </w:t>
      </w:r>
      <w:r w:rsidR="00E0478B" w:rsidRPr="00F14751">
        <w:rPr>
          <w:rFonts w:asciiTheme="majorHAnsi" w:eastAsiaTheme="minorEastAsia" w:hAnsiTheme="majorHAnsi" w:cs="Times New Roman"/>
          <w:sz w:val="24"/>
          <w:szCs w:val="24"/>
        </w:rPr>
        <w:t>or</w:t>
      </w:r>
      <w:r w:rsidR="00E0478B" w:rsidRPr="00F14751">
        <w:rPr>
          <w:rFonts w:asciiTheme="majorHAnsi" w:eastAsiaTheme="minorEastAsia" w:hAnsiTheme="majorHAnsi" w:cs="Times New Roman"/>
          <w:i/>
          <w:sz w:val="24"/>
          <w:szCs w:val="24"/>
        </w:rPr>
        <w:t xml:space="preserve"> </w:t>
      </w:r>
      <w:proofErr w:type="spellStart"/>
      <w:r w:rsidR="0051016C" w:rsidRPr="00F14751">
        <w:rPr>
          <w:rFonts w:asciiTheme="majorHAnsi" w:eastAsiaTheme="minorEastAsia" w:hAnsiTheme="majorHAnsi" w:cs="Times New Roman"/>
          <w:i/>
          <w:sz w:val="24"/>
          <w:szCs w:val="24"/>
        </w:rPr>
        <w:t>DoP</w:t>
      </w:r>
      <w:proofErr w:type="spellEnd"/>
      <w:r w:rsidR="0051016C" w:rsidRPr="00F14751">
        <w:rPr>
          <w:rFonts w:asciiTheme="majorHAnsi" w:eastAsiaTheme="minorEastAsia" w:hAnsiTheme="majorHAnsi" w:cs="Times New Roman"/>
          <w:i/>
          <w:sz w:val="24"/>
          <w:szCs w:val="24"/>
        </w:rPr>
        <w:t xml:space="preserve"> ($1.25)</w:t>
      </w:r>
      <w:r w:rsidR="0051016C" w:rsidRPr="00F14751">
        <w:rPr>
          <w:rFonts w:asciiTheme="majorHAnsi" w:eastAsiaTheme="minorEastAsia" w:hAnsiTheme="majorHAnsi" w:cs="Times New Roman"/>
          <w:sz w:val="24"/>
          <w:szCs w:val="24"/>
        </w:rPr>
        <w:t>)</w:t>
      </w:r>
      <w:r w:rsidR="00592218" w:rsidRPr="00F14751">
        <w:rPr>
          <w:rFonts w:asciiTheme="majorHAnsi" w:eastAsiaTheme="minorEastAsia" w:hAnsiTheme="majorHAnsi" w:cs="Times New Roman"/>
          <w:sz w:val="24"/>
          <w:szCs w:val="24"/>
        </w:rPr>
        <w:t xml:space="preserve"> or </w:t>
      </w:r>
      <w:r w:rsidR="0051016C" w:rsidRPr="00F14751">
        <w:rPr>
          <w:rFonts w:asciiTheme="majorHAnsi" w:eastAsiaTheme="minorEastAsia" w:hAnsiTheme="majorHAnsi" w:cs="Times New Roman"/>
          <w:sz w:val="24"/>
          <w:szCs w:val="24"/>
        </w:rPr>
        <w:t xml:space="preserve">one of </w:t>
      </w:r>
      <w:r w:rsidR="00592218" w:rsidRPr="00F14751">
        <w:rPr>
          <w:rFonts w:asciiTheme="majorHAnsi" w:eastAsiaTheme="minorEastAsia" w:hAnsiTheme="majorHAnsi" w:cs="Times New Roman"/>
          <w:sz w:val="24"/>
          <w:szCs w:val="24"/>
        </w:rPr>
        <w:t>the measure</w:t>
      </w:r>
      <w:r w:rsidR="0051016C" w:rsidRPr="00F14751">
        <w:rPr>
          <w:rFonts w:asciiTheme="majorHAnsi" w:eastAsiaTheme="minorEastAsia" w:hAnsiTheme="majorHAnsi" w:cs="Times New Roman"/>
          <w:sz w:val="24"/>
          <w:szCs w:val="24"/>
        </w:rPr>
        <w:t>s</w:t>
      </w:r>
      <w:r w:rsidR="00592218" w:rsidRPr="00F14751">
        <w:rPr>
          <w:rFonts w:asciiTheme="majorHAnsi" w:eastAsiaTheme="minorEastAsia" w:hAnsiTheme="majorHAnsi" w:cs="Times New Roman"/>
          <w:sz w:val="24"/>
          <w:szCs w:val="24"/>
        </w:rPr>
        <w:t xml:space="preserve"> of inequality (</w:t>
      </w:r>
      <w:r w:rsidR="00592218" w:rsidRPr="00F14751">
        <w:rPr>
          <w:rFonts w:asciiTheme="majorHAnsi" w:eastAsiaTheme="minorEastAsia" w:hAnsiTheme="majorHAnsi" w:cs="Times New Roman"/>
          <w:i/>
          <w:sz w:val="24"/>
          <w:szCs w:val="24"/>
        </w:rPr>
        <w:t xml:space="preserve">Gini, </w:t>
      </w:r>
      <w:r w:rsidR="0051016C" w:rsidRPr="00F14751">
        <w:rPr>
          <w:rFonts w:asciiTheme="majorHAnsi" w:eastAsiaTheme="minorEastAsia" w:hAnsiTheme="majorHAnsi" w:cs="Times New Roman"/>
          <w:i/>
          <w:sz w:val="24"/>
          <w:szCs w:val="24"/>
        </w:rPr>
        <w:t>D1</w:t>
      </w:r>
      <w:r w:rsidR="00592218" w:rsidRPr="00F14751">
        <w:rPr>
          <w:rFonts w:asciiTheme="majorHAnsi" w:eastAsiaTheme="minorEastAsia" w:hAnsiTheme="majorHAnsi" w:cs="Times New Roman"/>
          <w:i/>
          <w:sz w:val="24"/>
          <w:szCs w:val="24"/>
        </w:rPr>
        <w:t xml:space="preserve">, </w:t>
      </w:r>
      <w:r w:rsidR="0051016C" w:rsidRPr="00F14751">
        <w:rPr>
          <w:rFonts w:asciiTheme="majorHAnsi" w:eastAsiaTheme="minorEastAsia" w:hAnsiTheme="majorHAnsi" w:cs="Times New Roman"/>
          <w:i/>
          <w:sz w:val="24"/>
          <w:szCs w:val="24"/>
        </w:rPr>
        <w:t>D2</w:t>
      </w:r>
      <w:r w:rsidR="001348F3" w:rsidRPr="00F14751">
        <w:rPr>
          <w:rFonts w:asciiTheme="majorHAnsi" w:eastAsiaTheme="minorEastAsia" w:hAnsiTheme="majorHAnsi" w:cs="Times New Roman"/>
          <w:i/>
          <w:sz w:val="24"/>
          <w:szCs w:val="24"/>
        </w:rPr>
        <w:t xml:space="preserve">, </w:t>
      </w:r>
      <w:r w:rsidR="0051016C" w:rsidRPr="00F14751">
        <w:rPr>
          <w:rFonts w:asciiTheme="majorHAnsi" w:eastAsiaTheme="minorEastAsia" w:hAnsiTheme="majorHAnsi" w:cs="Times New Roman"/>
          <w:i/>
          <w:sz w:val="24"/>
          <w:szCs w:val="24"/>
        </w:rPr>
        <w:t>D9, D10, Q1</w:t>
      </w:r>
      <w:r w:rsidR="001348F3" w:rsidRPr="00F14751">
        <w:rPr>
          <w:rFonts w:asciiTheme="majorHAnsi" w:eastAsiaTheme="minorEastAsia" w:hAnsiTheme="majorHAnsi" w:cs="Times New Roman"/>
          <w:i/>
          <w:sz w:val="24"/>
          <w:szCs w:val="24"/>
        </w:rPr>
        <w:t xml:space="preserve">, </w:t>
      </w:r>
      <w:r w:rsidR="0051016C" w:rsidRPr="00F14751">
        <w:rPr>
          <w:rFonts w:asciiTheme="majorHAnsi" w:eastAsiaTheme="minorEastAsia" w:hAnsiTheme="majorHAnsi" w:cs="Times New Roman"/>
          <w:i/>
          <w:sz w:val="24"/>
          <w:szCs w:val="24"/>
        </w:rPr>
        <w:t>Q2</w:t>
      </w:r>
      <w:r w:rsidR="00592218" w:rsidRPr="00F14751">
        <w:rPr>
          <w:rFonts w:asciiTheme="majorHAnsi" w:eastAsiaTheme="minorEastAsia" w:hAnsiTheme="majorHAnsi" w:cs="Times New Roman"/>
          <w:i/>
          <w:sz w:val="24"/>
          <w:szCs w:val="24"/>
        </w:rPr>
        <w:t xml:space="preserve">, </w:t>
      </w:r>
      <w:r w:rsidR="0051016C" w:rsidRPr="00F14751">
        <w:rPr>
          <w:rFonts w:asciiTheme="majorHAnsi" w:eastAsiaTheme="minorEastAsia" w:hAnsiTheme="majorHAnsi" w:cs="Times New Roman"/>
          <w:i/>
          <w:sz w:val="24"/>
          <w:szCs w:val="24"/>
        </w:rPr>
        <w:t>Q3</w:t>
      </w:r>
      <w:r w:rsidR="00592218" w:rsidRPr="00F14751">
        <w:rPr>
          <w:rFonts w:asciiTheme="majorHAnsi" w:eastAsiaTheme="minorEastAsia" w:hAnsiTheme="majorHAnsi" w:cs="Times New Roman"/>
          <w:i/>
          <w:sz w:val="24"/>
          <w:szCs w:val="24"/>
        </w:rPr>
        <w:t xml:space="preserve">, </w:t>
      </w:r>
      <w:r w:rsidR="0051016C" w:rsidRPr="00F14751">
        <w:rPr>
          <w:rFonts w:asciiTheme="majorHAnsi" w:eastAsiaTheme="minorEastAsia" w:hAnsiTheme="majorHAnsi" w:cs="Times New Roman"/>
          <w:i/>
          <w:sz w:val="24"/>
          <w:szCs w:val="24"/>
        </w:rPr>
        <w:t>Q4</w:t>
      </w:r>
      <w:r w:rsidR="001348F3" w:rsidRPr="00F14751">
        <w:rPr>
          <w:rFonts w:asciiTheme="majorHAnsi" w:eastAsiaTheme="minorEastAsia" w:hAnsiTheme="majorHAnsi" w:cs="Times New Roman"/>
          <w:i/>
          <w:sz w:val="24"/>
          <w:szCs w:val="24"/>
        </w:rPr>
        <w:t xml:space="preserve"> </w:t>
      </w:r>
      <w:r w:rsidR="001348F3" w:rsidRPr="00F14751">
        <w:rPr>
          <w:rFonts w:asciiTheme="majorHAnsi" w:eastAsiaTheme="minorEastAsia" w:hAnsiTheme="majorHAnsi" w:cs="Times New Roman"/>
          <w:sz w:val="24"/>
          <w:szCs w:val="24"/>
        </w:rPr>
        <w:t>or</w:t>
      </w:r>
      <w:r w:rsidR="001348F3" w:rsidRPr="00F14751">
        <w:rPr>
          <w:rFonts w:asciiTheme="majorHAnsi" w:eastAsiaTheme="minorEastAsia" w:hAnsiTheme="majorHAnsi" w:cs="Times New Roman"/>
          <w:i/>
          <w:sz w:val="24"/>
          <w:szCs w:val="24"/>
        </w:rPr>
        <w:t xml:space="preserve"> </w:t>
      </w:r>
      <w:r w:rsidR="0051016C" w:rsidRPr="00F14751">
        <w:rPr>
          <w:rFonts w:asciiTheme="majorHAnsi" w:eastAsiaTheme="minorEastAsia" w:hAnsiTheme="majorHAnsi" w:cs="Times New Roman"/>
          <w:i/>
          <w:sz w:val="24"/>
          <w:szCs w:val="24"/>
        </w:rPr>
        <w:t>Q5</w:t>
      </w:r>
      <w:r w:rsidR="00592218" w:rsidRPr="00F14751">
        <w:rPr>
          <w:rFonts w:asciiTheme="majorHAnsi" w:eastAsiaTheme="minorEastAsia" w:hAnsiTheme="majorHAnsi" w:cs="Times New Roman"/>
          <w:sz w:val="24"/>
          <w:szCs w:val="24"/>
        </w:rPr>
        <w:t xml:space="preserve">). The variable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t>
            </m:r>
          </m:sup>
        </m:sSubSup>
      </m:oMath>
      <w:r w:rsidR="00504D58" w:rsidRPr="00F14751">
        <w:rPr>
          <w:rFonts w:asciiTheme="majorHAnsi" w:eastAsiaTheme="minorEastAsia" w:hAnsiTheme="majorHAnsi" w:cs="Times New Roman"/>
          <w:sz w:val="24"/>
          <w:szCs w:val="24"/>
        </w:rPr>
        <w:t xml:space="preserve"> is a K-dimensional vector of independent</w:t>
      </w:r>
      <w:r w:rsidR="00592218" w:rsidRPr="00F14751">
        <w:rPr>
          <w:rFonts w:asciiTheme="majorHAnsi" w:eastAsiaTheme="minorEastAsia" w:hAnsiTheme="majorHAnsi" w:cs="Times New Roman"/>
          <w:sz w:val="24"/>
          <w:szCs w:val="24"/>
        </w:rPr>
        <w:t xml:space="preserve"> variables. Amo</w:t>
      </w:r>
      <w:r w:rsidR="00504D58" w:rsidRPr="00F14751">
        <w:rPr>
          <w:rFonts w:asciiTheme="majorHAnsi" w:eastAsiaTheme="minorEastAsia" w:hAnsiTheme="majorHAnsi" w:cs="Times New Roman"/>
          <w:sz w:val="24"/>
          <w:szCs w:val="24"/>
        </w:rPr>
        <w:t xml:space="preserve">ng these independent variables is </w:t>
      </w:r>
      <w:r w:rsidR="0051016C" w:rsidRPr="00F14751">
        <w:rPr>
          <w:rFonts w:asciiTheme="majorHAnsi" w:eastAsiaTheme="minorEastAsia" w:hAnsiTheme="majorHAnsi" w:cs="Times New Roman"/>
          <w:sz w:val="24"/>
          <w:szCs w:val="24"/>
        </w:rPr>
        <w:t>the main variable</w:t>
      </w:r>
      <w:r w:rsidR="00592218" w:rsidRPr="00F14751">
        <w:rPr>
          <w:rFonts w:asciiTheme="majorHAnsi" w:eastAsiaTheme="minorEastAsia" w:hAnsiTheme="majorHAnsi" w:cs="Times New Roman"/>
          <w:sz w:val="24"/>
          <w:szCs w:val="24"/>
        </w:rPr>
        <w:t xml:space="preserve"> of interest: the structural reform index (</w:t>
      </w:r>
      <w:r w:rsidR="00592218" w:rsidRPr="00F14751">
        <w:rPr>
          <w:rFonts w:asciiTheme="majorHAnsi" w:eastAsiaTheme="minorEastAsia" w:hAnsiTheme="majorHAnsi" w:cs="Times New Roman"/>
          <w:i/>
          <w:sz w:val="24"/>
          <w:szCs w:val="24"/>
        </w:rPr>
        <w:t>SRI</w:t>
      </w:r>
      <w:r w:rsidR="00DE230E" w:rsidRPr="00F14751">
        <w:rPr>
          <w:rFonts w:asciiTheme="majorHAnsi" w:eastAsiaTheme="minorEastAsia" w:hAnsiTheme="majorHAnsi" w:cs="Times New Roman"/>
          <w:sz w:val="24"/>
          <w:szCs w:val="24"/>
        </w:rPr>
        <w:t xml:space="preserve">). </w:t>
      </w:r>
      <w:r w:rsidR="00592218" w:rsidRPr="00F14751">
        <w:rPr>
          <w:rFonts w:asciiTheme="majorHAnsi" w:eastAsiaTheme="minorEastAsia" w:hAnsiTheme="majorHAnsi" w:cs="Times New Roman"/>
          <w:sz w:val="24"/>
          <w:szCs w:val="24"/>
        </w:rPr>
        <w:t xml:space="preserve">This variable will be included in the model in order to examine the </w:t>
      </w:r>
      <w:r w:rsidR="00DE230E" w:rsidRPr="00F14751">
        <w:rPr>
          <w:rFonts w:asciiTheme="majorHAnsi" w:eastAsiaTheme="minorEastAsia" w:hAnsiTheme="majorHAnsi" w:cs="Times New Roman"/>
          <w:sz w:val="24"/>
          <w:szCs w:val="24"/>
        </w:rPr>
        <w:t>general</w:t>
      </w:r>
      <w:r w:rsidR="00592218" w:rsidRPr="00F14751">
        <w:rPr>
          <w:rFonts w:asciiTheme="majorHAnsi" w:eastAsiaTheme="minorEastAsia" w:hAnsiTheme="majorHAnsi" w:cs="Times New Roman"/>
          <w:sz w:val="24"/>
          <w:szCs w:val="24"/>
        </w:rPr>
        <w:t xml:space="preserve"> effect</w:t>
      </w:r>
      <w:r w:rsidR="00DE230E" w:rsidRPr="00F14751">
        <w:rPr>
          <w:rFonts w:asciiTheme="majorHAnsi" w:eastAsiaTheme="minorEastAsia" w:hAnsiTheme="majorHAnsi" w:cs="Times New Roman"/>
          <w:sz w:val="24"/>
          <w:szCs w:val="24"/>
        </w:rPr>
        <w:t>s</w:t>
      </w:r>
      <w:r w:rsidR="00592218" w:rsidRPr="00F14751">
        <w:rPr>
          <w:rFonts w:asciiTheme="majorHAnsi" w:eastAsiaTheme="minorEastAsia" w:hAnsiTheme="majorHAnsi" w:cs="Times New Roman"/>
          <w:sz w:val="24"/>
          <w:szCs w:val="24"/>
        </w:rPr>
        <w:t xml:space="preserve"> of the structural reforms on poverty and inequality. The SRI reflects the evolution of five reform areas. In order to examine the effect</w:t>
      </w:r>
      <w:r w:rsidR="00DE230E" w:rsidRPr="00F14751">
        <w:rPr>
          <w:rFonts w:asciiTheme="majorHAnsi" w:eastAsiaTheme="minorEastAsia" w:hAnsiTheme="majorHAnsi" w:cs="Times New Roman"/>
          <w:sz w:val="24"/>
          <w:szCs w:val="24"/>
        </w:rPr>
        <w:t>s</w:t>
      </w:r>
      <w:r w:rsidR="00592218" w:rsidRPr="00F14751">
        <w:rPr>
          <w:rFonts w:asciiTheme="majorHAnsi" w:eastAsiaTheme="minorEastAsia" w:hAnsiTheme="majorHAnsi" w:cs="Times New Roman"/>
          <w:sz w:val="24"/>
          <w:szCs w:val="24"/>
        </w:rPr>
        <w:t xml:space="preserve"> of each </w:t>
      </w:r>
      <w:r w:rsidR="00EC58E8" w:rsidRPr="00F14751">
        <w:rPr>
          <w:rFonts w:asciiTheme="majorHAnsi" w:eastAsiaTheme="minorEastAsia" w:hAnsiTheme="majorHAnsi" w:cs="Times New Roman"/>
          <w:sz w:val="24"/>
          <w:szCs w:val="24"/>
        </w:rPr>
        <w:t xml:space="preserve">individual </w:t>
      </w:r>
      <w:r w:rsidR="00592218" w:rsidRPr="00F14751">
        <w:rPr>
          <w:rFonts w:asciiTheme="majorHAnsi" w:eastAsiaTheme="minorEastAsia" w:hAnsiTheme="majorHAnsi" w:cs="Times New Roman"/>
          <w:sz w:val="24"/>
          <w:szCs w:val="24"/>
        </w:rPr>
        <w:t xml:space="preserve">reform </w:t>
      </w:r>
      <w:r w:rsidR="00EC58E8" w:rsidRPr="00F14751">
        <w:rPr>
          <w:rFonts w:asciiTheme="majorHAnsi" w:eastAsiaTheme="minorEastAsia" w:hAnsiTheme="majorHAnsi" w:cs="Times New Roman"/>
          <w:sz w:val="24"/>
          <w:szCs w:val="24"/>
        </w:rPr>
        <w:t>area on poverty and inequality</w:t>
      </w:r>
      <w:r w:rsidR="00592218" w:rsidRPr="00F14751">
        <w:rPr>
          <w:rFonts w:asciiTheme="majorHAnsi" w:eastAsiaTheme="minorEastAsia" w:hAnsiTheme="majorHAnsi" w:cs="Times New Roman"/>
          <w:sz w:val="24"/>
          <w:szCs w:val="24"/>
        </w:rPr>
        <w:t xml:space="preserve">, </w:t>
      </w:r>
      <w:r w:rsidR="00592218" w:rsidRPr="00F14751">
        <w:rPr>
          <w:rFonts w:asciiTheme="majorHAnsi" w:eastAsiaTheme="minorEastAsia" w:hAnsiTheme="majorHAnsi" w:cs="Times New Roman"/>
          <w:i/>
          <w:sz w:val="24"/>
          <w:szCs w:val="24"/>
        </w:rPr>
        <w:t xml:space="preserve">SRI </w:t>
      </w:r>
      <w:r w:rsidR="00592218" w:rsidRPr="00F14751">
        <w:rPr>
          <w:rFonts w:asciiTheme="majorHAnsi" w:eastAsiaTheme="minorEastAsia" w:hAnsiTheme="majorHAnsi" w:cs="Times New Roman"/>
          <w:sz w:val="24"/>
          <w:szCs w:val="24"/>
        </w:rPr>
        <w:t>is replaced by the indexes of the five reform areas: trade reform index (</w:t>
      </w:r>
      <w:r w:rsidR="00592218" w:rsidRPr="00F14751">
        <w:rPr>
          <w:rFonts w:asciiTheme="majorHAnsi" w:eastAsiaTheme="minorEastAsia" w:hAnsiTheme="majorHAnsi" w:cs="Times New Roman"/>
          <w:i/>
          <w:sz w:val="24"/>
          <w:szCs w:val="24"/>
        </w:rPr>
        <w:t>Trade</w:t>
      </w:r>
      <w:r w:rsidR="00592218" w:rsidRPr="00F14751">
        <w:rPr>
          <w:rFonts w:asciiTheme="majorHAnsi" w:eastAsiaTheme="minorEastAsia" w:hAnsiTheme="majorHAnsi" w:cs="Times New Roman"/>
          <w:sz w:val="24"/>
          <w:szCs w:val="24"/>
        </w:rPr>
        <w:t>), financial reform index (</w:t>
      </w:r>
      <w:r w:rsidR="00592218" w:rsidRPr="00F14751">
        <w:rPr>
          <w:rFonts w:asciiTheme="majorHAnsi" w:eastAsiaTheme="minorEastAsia" w:hAnsiTheme="majorHAnsi" w:cs="Times New Roman"/>
          <w:i/>
          <w:sz w:val="24"/>
          <w:szCs w:val="24"/>
        </w:rPr>
        <w:t>Finance</w:t>
      </w:r>
      <w:r w:rsidR="00592218" w:rsidRPr="00F14751">
        <w:rPr>
          <w:rFonts w:asciiTheme="majorHAnsi" w:eastAsiaTheme="minorEastAsia" w:hAnsiTheme="majorHAnsi" w:cs="Times New Roman"/>
          <w:sz w:val="24"/>
          <w:szCs w:val="24"/>
        </w:rPr>
        <w:t>), tax reform index (</w:t>
      </w:r>
      <w:r w:rsidR="00592218" w:rsidRPr="00F14751">
        <w:rPr>
          <w:rFonts w:asciiTheme="majorHAnsi" w:eastAsiaTheme="minorEastAsia" w:hAnsiTheme="majorHAnsi" w:cs="Times New Roman"/>
          <w:i/>
          <w:sz w:val="24"/>
          <w:szCs w:val="24"/>
        </w:rPr>
        <w:t>Tax</w:t>
      </w:r>
      <w:r w:rsidR="00592218" w:rsidRPr="00F14751">
        <w:rPr>
          <w:rFonts w:asciiTheme="majorHAnsi" w:eastAsiaTheme="minorEastAsia" w:hAnsiTheme="majorHAnsi" w:cs="Times New Roman"/>
          <w:sz w:val="24"/>
          <w:szCs w:val="24"/>
        </w:rPr>
        <w:t>), privatizations index (</w:t>
      </w:r>
      <w:r w:rsidR="00592218" w:rsidRPr="00F14751">
        <w:rPr>
          <w:rFonts w:asciiTheme="majorHAnsi" w:eastAsiaTheme="minorEastAsia" w:hAnsiTheme="majorHAnsi" w:cs="Times New Roman"/>
          <w:i/>
          <w:sz w:val="24"/>
          <w:szCs w:val="24"/>
        </w:rPr>
        <w:t>Privatizations</w:t>
      </w:r>
      <w:r w:rsidR="00592218" w:rsidRPr="00F14751">
        <w:rPr>
          <w:rFonts w:asciiTheme="majorHAnsi" w:eastAsiaTheme="minorEastAsia" w:hAnsiTheme="majorHAnsi" w:cs="Times New Roman"/>
          <w:sz w:val="24"/>
          <w:szCs w:val="24"/>
        </w:rPr>
        <w:t>) and labor reform index (</w:t>
      </w:r>
      <w:r w:rsidR="00592218" w:rsidRPr="00F14751">
        <w:rPr>
          <w:rFonts w:asciiTheme="majorHAnsi" w:eastAsiaTheme="minorEastAsia" w:hAnsiTheme="majorHAnsi" w:cs="Times New Roman"/>
          <w:i/>
          <w:sz w:val="24"/>
          <w:szCs w:val="24"/>
        </w:rPr>
        <w:t>Labor</w:t>
      </w:r>
      <w:r w:rsidR="00592218" w:rsidRPr="00F14751">
        <w:rPr>
          <w:rFonts w:asciiTheme="majorHAnsi" w:eastAsiaTheme="minorEastAsia" w:hAnsiTheme="majorHAnsi" w:cs="Times New Roman"/>
          <w:sz w:val="24"/>
          <w:szCs w:val="24"/>
        </w:rPr>
        <w:t xml:space="preserve">). In both cases the </w:t>
      </w:r>
      <w:r w:rsidR="0051016C" w:rsidRPr="00F14751">
        <w:rPr>
          <w:rFonts w:asciiTheme="majorHAnsi" w:eastAsiaTheme="minorEastAsia" w:hAnsiTheme="majorHAnsi" w:cs="Times New Roman"/>
          <w:sz w:val="24"/>
          <w:szCs w:val="24"/>
        </w:rPr>
        <w:t>control</w:t>
      </w:r>
      <w:r w:rsidR="00592218" w:rsidRPr="00F14751">
        <w:rPr>
          <w:rFonts w:asciiTheme="majorHAnsi" w:eastAsiaTheme="minorEastAsia" w:hAnsiTheme="majorHAnsi" w:cs="Times New Roman"/>
          <w:sz w:val="24"/>
          <w:szCs w:val="24"/>
        </w:rPr>
        <w:t xml:space="preserve"> variables are the Polity IV measure (</w:t>
      </w:r>
      <w:r w:rsidR="00592218" w:rsidRPr="00F14751">
        <w:rPr>
          <w:rFonts w:asciiTheme="majorHAnsi" w:eastAsiaTheme="minorEastAsia" w:hAnsiTheme="majorHAnsi" w:cs="Times New Roman"/>
          <w:i/>
          <w:sz w:val="24"/>
          <w:szCs w:val="24"/>
        </w:rPr>
        <w:t>Polity</w:t>
      </w:r>
      <w:r w:rsidR="00592218" w:rsidRPr="00F14751">
        <w:rPr>
          <w:rFonts w:asciiTheme="majorHAnsi" w:eastAsiaTheme="minorEastAsia" w:hAnsiTheme="majorHAnsi" w:cs="Times New Roman"/>
          <w:sz w:val="24"/>
          <w:szCs w:val="24"/>
        </w:rPr>
        <w:t xml:space="preserve">), per-capita PPP GDP (at 2005 </w:t>
      </w:r>
      <w:r w:rsidR="004E2E6D">
        <w:rPr>
          <w:rFonts w:asciiTheme="majorHAnsi" w:eastAsiaTheme="minorEastAsia" w:hAnsiTheme="majorHAnsi" w:cs="Times New Roman"/>
          <w:sz w:val="24"/>
          <w:szCs w:val="24"/>
        </w:rPr>
        <w:t>$</w:t>
      </w:r>
      <w:r w:rsidR="00592218" w:rsidRPr="00F14751">
        <w:rPr>
          <w:rFonts w:asciiTheme="majorHAnsi" w:eastAsiaTheme="minorEastAsia" w:hAnsiTheme="majorHAnsi" w:cs="Times New Roman"/>
          <w:sz w:val="24"/>
          <w:szCs w:val="24"/>
        </w:rPr>
        <w:t>US in $100) (</w:t>
      </w:r>
      <w:r w:rsidR="00592218" w:rsidRPr="00F14751">
        <w:rPr>
          <w:rFonts w:asciiTheme="majorHAnsi" w:eastAsiaTheme="minorEastAsia" w:hAnsiTheme="majorHAnsi" w:cs="Times New Roman"/>
          <w:i/>
          <w:sz w:val="24"/>
          <w:szCs w:val="24"/>
        </w:rPr>
        <w:t>GDP</w:t>
      </w:r>
      <w:r w:rsidR="00592218" w:rsidRPr="00F14751">
        <w:rPr>
          <w:rFonts w:asciiTheme="majorHAnsi" w:eastAsiaTheme="minorEastAsia" w:hAnsiTheme="majorHAnsi" w:cs="Times New Roman"/>
          <w:sz w:val="24"/>
          <w:szCs w:val="24"/>
        </w:rPr>
        <w:t xml:space="preserve">),  </w:t>
      </w:r>
      <w:r w:rsidR="00592218" w:rsidRPr="00F14751">
        <w:rPr>
          <w:rFonts w:asciiTheme="majorHAnsi" w:hAnsiTheme="majorHAnsi" w:cs="Times New Roman"/>
          <w:sz w:val="24"/>
          <w:szCs w:val="24"/>
        </w:rPr>
        <w:t>annual growth rate of per-capita PPP GDP</w:t>
      </w:r>
      <w:r w:rsidR="00592218" w:rsidRPr="00F14751">
        <w:rPr>
          <w:rFonts w:asciiTheme="majorHAnsi" w:eastAsiaTheme="minorEastAsia" w:hAnsiTheme="majorHAnsi" w:cs="Times New Roman"/>
          <w:sz w:val="24"/>
          <w:szCs w:val="24"/>
        </w:rPr>
        <w:t xml:space="preserve"> (</w:t>
      </w:r>
      <w:proofErr w:type="spellStart"/>
      <w:r w:rsidR="00592218" w:rsidRPr="00F14751">
        <w:rPr>
          <w:rFonts w:asciiTheme="majorHAnsi" w:eastAsiaTheme="minorEastAsia" w:hAnsiTheme="majorHAnsi" w:cs="Times New Roman"/>
          <w:i/>
          <w:sz w:val="24"/>
          <w:szCs w:val="24"/>
        </w:rPr>
        <w:t>GDPgrowth</w:t>
      </w:r>
      <w:proofErr w:type="spellEnd"/>
      <w:r w:rsidR="00592218" w:rsidRPr="00F14751">
        <w:rPr>
          <w:rFonts w:asciiTheme="majorHAnsi" w:eastAsiaTheme="minorEastAsia" w:hAnsiTheme="majorHAnsi" w:cs="Times New Roman"/>
          <w:sz w:val="24"/>
          <w:szCs w:val="24"/>
        </w:rPr>
        <w:t>), average years of schooling (</w:t>
      </w:r>
      <w:r w:rsidR="00592218" w:rsidRPr="00F14751">
        <w:rPr>
          <w:rFonts w:asciiTheme="majorHAnsi" w:eastAsiaTheme="minorEastAsia" w:hAnsiTheme="majorHAnsi" w:cs="Times New Roman"/>
          <w:i/>
          <w:sz w:val="24"/>
          <w:szCs w:val="24"/>
        </w:rPr>
        <w:t>School</w:t>
      </w:r>
      <w:r w:rsidR="00592218" w:rsidRPr="00F14751">
        <w:rPr>
          <w:rFonts w:asciiTheme="majorHAnsi" w:eastAsiaTheme="minorEastAsia" w:hAnsiTheme="majorHAnsi" w:cs="Times New Roman"/>
          <w:sz w:val="24"/>
          <w:szCs w:val="24"/>
        </w:rPr>
        <w:t>), death rate (</w:t>
      </w:r>
      <w:r w:rsidR="00592218" w:rsidRPr="00F14751">
        <w:rPr>
          <w:rFonts w:asciiTheme="majorHAnsi" w:eastAsiaTheme="minorEastAsia" w:hAnsiTheme="majorHAnsi" w:cs="Times New Roman"/>
          <w:i/>
          <w:sz w:val="24"/>
          <w:szCs w:val="24"/>
        </w:rPr>
        <w:t>Death</w:t>
      </w:r>
      <w:r w:rsidR="00592218" w:rsidRPr="00F14751">
        <w:rPr>
          <w:rFonts w:asciiTheme="majorHAnsi" w:eastAsiaTheme="minorEastAsia" w:hAnsiTheme="majorHAnsi" w:cs="Times New Roman"/>
          <w:sz w:val="24"/>
          <w:szCs w:val="24"/>
        </w:rPr>
        <w:t>), annual urban population growth (</w:t>
      </w:r>
      <w:proofErr w:type="spellStart"/>
      <w:r w:rsidR="00592218" w:rsidRPr="00F14751">
        <w:rPr>
          <w:rFonts w:asciiTheme="majorHAnsi" w:eastAsiaTheme="minorEastAsia" w:hAnsiTheme="majorHAnsi" w:cs="Times New Roman"/>
          <w:i/>
          <w:sz w:val="24"/>
          <w:szCs w:val="24"/>
        </w:rPr>
        <w:t>UrbanPopgrowth</w:t>
      </w:r>
      <w:proofErr w:type="spellEnd"/>
      <w:r w:rsidR="00592218" w:rsidRPr="00F14751">
        <w:rPr>
          <w:rFonts w:asciiTheme="majorHAnsi" w:eastAsiaTheme="minorEastAsia" w:hAnsiTheme="majorHAnsi" w:cs="Times New Roman"/>
          <w:sz w:val="24"/>
          <w:szCs w:val="24"/>
        </w:rPr>
        <w:t>), the dummy variable Mercosur (</w:t>
      </w:r>
      <w:r w:rsidR="00592218" w:rsidRPr="00F14751">
        <w:rPr>
          <w:rFonts w:asciiTheme="majorHAnsi" w:eastAsiaTheme="minorEastAsia" w:hAnsiTheme="majorHAnsi" w:cs="Times New Roman"/>
          <w:i/>
          <w:sz w:val="24"/>
          <w:szCs w:val="24"/>
        </w:rPr>
        <w:t>Mercosur</w:t>
      </w:r>
      <w:r w:rsidR="00592218" w:rsidRPr="00F14751">
        <w:rPr>
          <w:rFonts w:asciiTheme="majorHAnsi" w:eastAsiaTheme="minorEastAsia" w:hAnsiTheme="majorHAnsi" w:cs="Times New Roman"/>
          <w:sz w:val="24"/>
          <w:szCs w:val="24"/>
        </w:rPr>
        <w:t xml:space="preserve">) and the dummy variable </w:t>
      </w:r>
      <w:proofErr w:type="spellStart"/>
      <w:r w:rsidR="00592218" w:rsidRPr="00F14751">
        <w:rPr>
          <w:rFonts w:asciiTheme="majorHAnsi" w:eastAsiaTheme="minorEastAsia" w:hAnsiTheme="majorHAnsi" w:cs="Times New Roman"/>
          <w:sz w:val="24"/>
          <w:szCs w:val="24"/>
        </w:rPr>
        <w:t>Unasur</w:t>
      </w:r>
      <w:proofErr w:type="spellEnd"/>
      <w:r w:rsidR="00592218" w:rsidRPr="00F14751">
        <w:rPr>
          <w:rFonts w:asciiTheme="majorHAnsi" w:eastAsiaTheme="minorEastAsia" w:hAnsiTheme="majorHAnsi" w:cs="Times New Roman"/>
          <w:sz w:val="24"/>
          <w:szCs w:val="24"/>
        </w:rPr>
        <w:t xml:space="preserve"> (</w:t>
      </w:r>
      <w:proofErr w:type="spellStart"/>
      <w:r w:rsidR="00592218" w:rsidRPr="00F14751">
        <w:rPr>
          <w:rFonts w:asciiTheme="majorHAnsi" w:eastAsiaTheme="minorEastAsia" w:hAnsiTheme="majorHAnsi" w:cs="Times New Roman"/>
          <w:i/>
          <w:sz w:val="24"/>
          <w:szCs w:val="24"/>
        </w:rPr>
        <w:t>Unasur</w:t>
      </w:r>
      <w:proofErr w:type="spellEnd"/>
      <w:r w:rsidR="00592218" w:rsidRPr="00F14751">
        <w:rPr>
          <w:rFonts w:asciiTheme="majorHAnsi" w:eastAsiaTheme="minorEastAsia" w:hAnsiTheme="majorHAnsi" w:cs="Times New Roman"/>
          <w:sz w:val="24"/>
          <w:szCs w:val="24"/>
        </w:rPr>
        <w:t xml:space="preserve">). The observations </w:t>
      </w:r>
      <w:r w:rsidR="00A321E3">
        <w:rPr>
          <w:rFonts w:asciiTheme="majorHAnsi" w:eastAsiaTheme="minorEastAsia" w:hAnsiTheme="majorHAnsi" w:cs="Times New Roman"/>
          <w:sz w:val="24"/>
          <w:szCs w:val="24"/>
        </w:rPr>
        <w:t>of</w:t>
      </w:r>
      <w:r w:rsidR="00592218" w:rsidRPr="00F14751">
        <w:rPr>
          <w:rFonts w:asciiTheme="majorHAnsi" w:eastAsiaTheme="minorEastAsia" w:hAnsiTheme="majorHAnsi" w:cs="Times New Roman"/>
          <w:sz w:val="24"/>
          <w:szCs w:val="24"/>
        </w:rPr>
        <w:t xml:space="preserve"> the </w:t>
      </w:r>
      <w:r w:rsidR="00592218" w:rsidRPr="00F14751">
        <w:rPr>
          <w:rFonts w:asciiTheme="majorHAnsi" w:eastAsiaTheme="minorEastAsia" w:hAnsiTheme="majorHAnsi" w:cs="Times New Roman"/>
          <w:i/>
          <w:sz w:val="24"/>
          <w:szCs w:val="24"/>
        </w:rPr>
        <w:t>SRI</w:t>
      </w:r>
      <w:r w:rsidR="00592218" w:rsidRPr="00F14751">
        <w:rPr>
          <w:rFonts w:asciiTheme="majorHAnsi" w:eastAsiaTheme="minorEastAsia" w:hAnsiTheme="majorHAnsi" w:cs="Times New Roman"/>
          <w:sz w:val="24"/>
          <w:szCs w:val="24"/>
        </w:rPr>
        <w:t xml:space="preserve"> and the other five reform areas are lagged for two years to allow for a delayed effect on poverty and inequality</w:t>
      </w:r>
      <w:r w:rsidR="00530783">
        <w:rPr>
          <w:rFonts w:asciiTheme="majorHAnsi" w:eastAsiaTheme="minorEastAsia" w:hAnsiTheme="majorHAnsi" w:cs="Times New Roman"/>
          <w:sz w:val="24"/>
          <w:szCs w:val="24"/>
        </w:rPr>
        <w:t>.</w:t>
      </w:r>
      <w:r w:rsidR="00472A00">
        <w:rPr>
          <w:rFonts w:asciiTheme="majorHAnsi" w:eastAsiaTheme="minorEastAsia" w:hAnsiTheme="majorHAnsi" w:cs="Times New Roman"/>
          <w:sz w:val="24"/>
          <w:szCs w:val="24"/>
        </w:rPr>
        <w:t xml:space="preserve"> </w:t>
      </w:r>
      <w:r w:rsidR="009350A5" w:rsidRPr="009350A5">
        <w:rPr>
          <w:rFonts w:asciiTheme="majorHAnsi" w:eastAsiaTheme="minorEastAsia" w:hAnsiTheme="majorHAnsi" w:cs="Times New Roman"/>
          <w:sz w:val="24"/>
          <w:szCs w:val="24"/>
        </w:rPr>
        <w:t>We use this</w:t>
      </w:r>
      <w:r w:rsidR="008D31C7">
        <w:rPr>
          <w:rFonts w:asciiTheme="majorHAnsi" w:eastAsiaTheme="minorEastAsia" w:hAnsiTheme="majorHAnsi" w:cs="Times New Roman"/>
          <w:sz w:val="24"/>
          <w:szCs w:val="24"/>
        </w:rPr>
        <w:t xml:space="preserve"> two-</w:t>
      </w:r>
      <w:r w:rsidR="00472A00" w:rsidRPr="009350A5">
        <w:rPr>
          <w:rFonts w:asciiTheme="majorHAnsi" w:eastAsiaTheme="minorEastAsia" w:hAnsiTheme="majorHAnsi" w:cs="Times New Roman"/>
          <w:sz w:val="24"/>
          <w:szCs w:val="24"/>
        </w:rPr>
        <w:t xml:space="preserve">year lag because this yields </w:t>
      </w:r>
      <w:r w:rsidR="009350A5">
        <w:rPr>
          <w:rFonts w:asciiTheme="majorHAnsi" w:eastAsiaTheme="minorEastAsia" w:hAnsiTheme="majorHAnsi" w:cs="Times New Roman"/>
          <w:sz w:val="24"/>
          <w:szCs w:val="24"/>
        </w:rPr>
        <w:t>the best</w:t>
      </w:r>
      <w:r w:rsidR="00472A00" w:rsidRPr="009350A5">
        <w:rPr>
          <w:rFonts w:asciiTheme="majorHAnsi" w:eastAsiaTheme="minorEastAsia" w:hAnsiTheme="majorHAnsi" w:cs="Times New Roman"/>
          <w:sz w:val="24"/>
          <w:szCs w:val="24"/>
        </w:rPr>
        <w:t xml:space="preserve"> result</w:t>
      </w:r>
      <w:r w:rsidR="009350A5">
        <w:rPr>
          <w:rFonts w:asciiTheme="majorHAnsi" w:eastAsiaTheme="minorEastAsia" w:hAnsiTheme="majorHAnsi" w:cs="Times New Roman"/>
          <w:sz w:val="24"/>
          <w:szCs w:val="24"/>
        </w:rPr>
        <w:t xml:space="preserve"> (see Appendix)</w:t>
      </w:r>
      <w:r w:rsidR="00592218" w:rsidRPr="009350A5">
        <w:rPr>
          <w:rFonts w:asciiTheme="majorHAnsi" w:eastAsiaTheme="minorEastAsia" w:hAnsiTheme="majorHAnsi" w:cs="Times New Roman"/>
          <w:sz w:val="24"/>
          <w:szCs w:val="24"/>
        </w:rPr>
        <w:t>.</w:t>
      </w:r>
      <w:r w:rsidR="008B46B8">
        <w:rPr>
          <w:rFonts w:asciiTheme="majorHAnsi" w:eastAsiaTheme="minorEastAsia" w:hAnsiTheme="majorHAnsi" w:cs="Times New Roman"/>
          <w:sz w:val="24"/>
          <w:szCs w:val="24"/>
        </w:rPr>
        <w:t xml:space="preserve"> </w:t>
      </w:r>
      <w:r w:rsidR="00A321E3">
        <w:rPr>
          <w:rFonts w:asciiTheme="majorHAnsi" w:eastAsiaTheme="minorEastAsia" w:hAnsiTheme="majorHAnsi" w:cs="Times New Roman"/>
          <w:sz w:val="24"/>
          <w:szCs w:val="24"/>
        </w:rPr>
        <w:t xml:space="preserve">The observations of </w:t>
      </w:r>
      <w:proofErr w:type="spellStart"/>
      <w:r w:rsidR="008B46B8">
        <w:rPr>
          <w:rFonts w:asciiTheme="majorHAnsi" w:eastAsiaTheme="minorEastAsia" w:hAnsiTheme="majorHAnsi" w:cs="Times New Roman"/>
          <w:i/>
          <w:sz w:val="24"/>
          <w:szCs w:val="24"/>
        </w:rPr>
        <w:t>GDPgrowth</w:t>
      </w:r>
      <w:proofErr w:type="spellEnd"/>
      <w:r w:rsidR="00A321E3">
        <w:rPr>
          <w:rFonts w:asciiTheme="majorHAnsi" w:eastAsiaTheme="minorEastAsia" w:hAnsiTheme="majorHAnsi" w:cs="Times New Roman"/>
          <w:sz w:val="24"/>
          <w:szCs w:val="24"/>
        </w:rPr>
        <w:t xml:space="preserve"> are</w:t>
      </w:r>
      <w:r w:rsidR="008B46B8">
        <w:rPr>
          <w:rFonts w:asciiTheme="majorHAnsi" w:eastAsiaTheme="minorEastAsia" w:hAnsiTheme="majorHAnsi" w:cs="Times New Roman"/>
          <w:sz w:val="24"/>
          <w:szCs w:val="24"/>
        </w:rPr>
        <w:t xml:space="preserve"> lagged for one year.</w:t>
      </w:r>
      <w:r w:rsidR="00592218" w:rsidRPr="00F14751">
        <w:rPr>
          <w:rFonts w:asciiTheme="majorHAnsi" w:eastAsiaTheme="minorEastAsia" w:hAnsiTheme="majorHAnsi"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oMath>
      <w:r w:rsidR="00592218" w:rsidRPr="00F14751">
        <w:rPr>
          <w:rFonts w:asciiTheme="majorHAnsi" w:eastAsiaTheme="minorEastAsia" w:hAnsiTheme="majorHAnsi" w:cs="Times New Roman"/>
          <w:sz w:val="24"/>
          <w:szCs w:val="24"/>
        </w:rPr>
        <w:t xml:space="preserve"> is the error term which varies over countries and time and captures all unobservable factors that affect the dependent variable. </w:t>
      </w:r>
    </w:p>
    <w:p w14:paraId="1C37B73E" w14:textId="5F57B763" w:rsidR="00592218" w:rsidRPr="00F14751" w:rsidRDefault="00902BFB"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592218" w:rsidRPr="00F14751">
        <w:rPr>
          <w:rFonts w:asciiTheme="majorHAnsi" w:eastAsiaTheme="minorEastAsia" w:hAnsiTheme="majorHAnsi" w:cs="Times New Roman"/>
          <w:sz w:val="24"/>
          <w:szCs w:val="24"/>
        </w:rPr>
        <w:t>In case one of the measures of poverty is the dependent variable,</w:t>
      </w:r>
      <w:r w:rsidR="00F6061D" w:rsidRPr="00F14751">
        <w:rPr>
          <w:rFonts w:asciiTheme="majorHAnsi" w:eastAsiaTheme="minorEastAsia" w:hAnsiTheme="majorHAnsi" w:cs="Times New Roman"/>
          <w:sz w:val="24"/>
          <w:szCs w:val="24"/>
        </w:rPr>
        <w:t xml:space="preserve"> we add the measures of inequality to t</w:t>
      </w:r>
      <w:r w:rsidR="00592218" w:rsidRPr="00F14751">
        <w:rPr>
          <w:rFonts w:asciiTheme="majorHAnsi" w:eastAsiaTheme="minorEastAsia" w:hAnsiTheme="majorHAnsi" w:cs="Times New Roman"/>
          <w:sz w:val="24"/>
          <w:szCs w:val="24"/>
        </w:rPr>
        <w:t xml:space="preserve">he </w:t>
      </w:r>
      <w:r w:rsidR="00EC58E8" w:rsidRPr="00F14751">
        <w:rPr>
          <w:rFonts w:asciiTheme="majorHAnsi" w:eastAsiaTheme="minorEastAsia" w:hAnsiTheme="majorHAnsi" w:cs="Times New Roman"/>
          <w:sz w:val="24"/>
          <w:szCs w:val="24"/>
        </w:rPr>
        <w:t>model</w:t>
      </w:r>
      <w:r w:rsidR="00592218" w:rsidRPr="00F14751">
        <w:rPr>
          <w:rFonts w:asciiTheme="majorHAnsi" w:eastAsiaTheme="minorEastAsia" w:hAnsiTheme="majorHAnsi" w:cs="Times New Roman"/>
          <w:sz w:val="24"/>
          <w:szCs w:val="24"/>
        </w:rPr>
        <w:t xml:space="preserve"> to control for inequality. </w:t>
      </w:r>
      <w:r w:rsidR="00CB6BDC" w:rsidRPr="00F14751">
        <w:rPr>
          <w:rFonts w:asciiTheme="majorHAnsi" w:eastAsiaTheme="minorEastAsia" w:hAnsiTheme="majorHAnsi" w:cs="Times New Roman"/>
          <w:sz w:val="24"/>
          <w:szCs w:val="24"/>
        </w:rPr>
        <w:t>Also, w</w:t>
      </w:r>
      <w:r w:rsidR="00592218" w:rsidRPr="00F14751">
        <w:rPr>
          <w:rFonts w:asciiTheme="majorHAnsi" w:eastAsiaTheme="minorEastAsia" w:hAnsiTheme="majorHAnsi" w:cs="Times New Roman"/>
          <w:sz w:val="24"/>
          <w:szCs w:val="24"/>
        </w:rPr>
        <w:t>hen one of the measures of inequality is the dependent variable,</w:t>
      </w:r>
      <w:r w:rsidR="00F6061D" w:rsidRPr="00F14751">
        <w:rPr>
          <w:rFonts w:asciiTheme="majorHAnsi" w:eastAsiaTheme="minorEastAsia" w:hAnsiTheme="majorHAnsi" w:cs="Times New Roman"/>
          <w:sz w:val="24"/>
          <w:szCs w:val="24"/>
        </w:rPr>
        <w:t xml:space="preserve"> we include</w:t>
      </w:r>
      <w:r w:rsidR="00B547E3" w:rsidRPr="00F14751">
        <w:rPr>
          <w:rFonts w:asciiTheme="majorHAnsi" w:eastAsiaTheme="minorEastAsia" w:hAnsiTheme="majorHAnsi" w:cs="Times New Roman"/>
          <w:sz w:val="24"/>
          <w:szCs w:val="24"/>
        </w:rPr>
        <w:t xml:space="preserve"> the measures of poverty to </w:t>
      </w:r>
      <w:r w:rsidR="00592218" w:rsidRPr="00F14751">
        <w:rPr>
          <w:rFonts w:asciiTheme="majorHAnsi" w:eastAsiaTheme="minorEastAsia" w:hAnsiTheme="majorHAnsi" w:cs="Times New Roman"/>
          <w:sz w:val="24"/>
          <w:szCs w:val="24"/>
        </w:rPr>
        <w:t xml:space="preserve">control for poverty. However, as we noticed in the previous chapter, there is a high degree of correlation among the measures of poverty and </w:t>
      </w:r>
      <w:r w:rsidR="004E2E6D">
        <w:rPr>
          <w:rFonts w:asciiTheme="majorHAnsi" w:eastAsiaTheme="minorEastAsia" w:hAnsiTheme="majorHAnsi" w:cs="Times New Roman"/>
          <w:sz w:val="24"/>
          <w:szCs w:val="24"/>
        </w:rPr>
        <w:t xml:space="preserve">measures of </w:t>
      </w:r>
      <w:r w:rsidR="00592218" w:rsidRPr="00F14751">
        <w:rPr>
          <w:rFonts w:asciiTheme="majorHAnsi" w:eastAsiaTheme="minorEastAsia" w:hAnsiTheme="majorHAnsi" w:cs="Times New Roman"/>
          <w:sz w:val="24"/>
          <w:szCs w:val="24"/>
        </w:rPr>
        <w:t xml:space="preserve">inequality. This may lead to problems when these variables are used as </w:t>
      </w:r>
      <w:r w:rsidR="00F6061D" w:rsidRPr="00F14751">
        <w:rPr>
          <w:rFonts w:asciiTheme="majorHAnsi" w:eastAsiaTheme="minorEastAsia" w:hAnsiTheme="majorHAnsi" w:cs="Times New Roman"/>
          <w:sz w:val="24"/>
          <w:szCs w:val="24"/>
        </w:rPr>
        <w:t>independent</w:t>
      </w:r>
      <w:r w:rsidR="00592218" w:rsidRPr="00F14751">
        <w:rPr>
          <w:rFonts w:asciiTheme="majorHAnsi" w:eastAsiaTheme="minorEastAsia" w:hAnsiTheme="majorHAnsi" w:cs="Times New Roman"/>
          <w:sz w:val="24"/>
          <w:szCs w:val="24"/>
        </w:rPr>
        <w:t xml:space="preserve"> variables in the equation. In general, the term multicollinearity </w:t>
      </w:r>
      <w:r w:rsidR="00F6061D" w:rsidRPr="00F14751">
        <w:rPr>
          <w:rFonts w:asciiTheme="majorHAnsi" w:eastAsiaTheme="minorEastAsia" w:hAnsiTheme="majorHAnsi" w:cs="Times New Roman"/>
          <w:sz w:val="24"/>
          <w:szCs w:val="24"/>
        </w:rPr>
        <w:t>is used when independent</w:t>
      </w:r>
      <w:r w:rsidR="00592218" w:rsidRPr="00F14751">
        <w:rPr>
          <w:rFonts w:asciiTheme="majorHAnsi" w:eastAsiaTheme="minorEastAsia" w:hAnsiTheme="majorHAnsi" w:cs="Times New Roman"/>
          <w:sz w:val="24"/>
          <w:szCs w:val="24"/>
        </w:rPr>
        <w:t xml:space="preserve"> variables are strongly correlated with each other. </w:t>
      </w:r>
      <w:r w:rsidR="00592218" w:rsidRPr="00F14751">
        <w:rPr>
          <w:rFonts w:asciiTheme="majorHAnsi" w:hAnsiTheme="majorHAnsi"/>
          <w:sz w:val="24"/>
          <w:szCs w:val="24"/>
        </w:rPr>
        <w:t xml:space="preserve">If two (or more) variables are highly correlated, it may be difficult for the model to identify the separate effect of the </w:t>
      </w:r>
      <w:proofErr w:type="spellStart"/>
      <w:r w:rsidR="00592218" w:rsidRPr="00F14751">
        <w:rPr>
          <w:rFonts w:asciiTheme="majorHAnsi" w:hAnsiTheme="majorHAnsi"/>
          <w:sz w:val="24"/>
          <w:szCs w:val="24"/>
        </w:rPr>
        <w:t>multicollinear</w:t>
      </w:r>
      <w:proofErr w:type="spellEnd"/>
      <w:r w:rsidR="00592218" w:rsidRPr="00F14751">
        <w:rPr>
          <w:rFonts w:asciiTheme="majorHAnsi" w:hAnsiTheme="majorHAnsi"/>
          <w:sz w:val="24"/>
          <w:szCs w:val="24"/>
        </w:rPr>
        <w:t xml:space="preserve"> variables. When this happens, it is much more likely to make large errors in estimating the estimates than when the variables are not correlated. As a result, the estimated coefficients come from distributions with larger variances and, therefore, larger standard errors. In turn, these larger standard errors lead to lower t-scores. Also, because of the larger variance, the estimates can have an unexpected sign or magnitude. In general, multicollinearity results in unreliable regression estimates (</w:t>
      </w:r>
      <w:proofErr w:type="spellStart"/>
      <w:r w:rsidR="00592218" w:rsidRPr="00F14751">
        <w:rPr>
          <w:rFonts w:asciiTheme="majorHAnsi" w:hAnsiTheme="majorHAnsi"/>
          <w:sz w:val="24"/>
          <w:szCs w:val="24"/>
        </w:rPr>
        <w:t>Verbeek</w:t>
      </w:r>
      <w:proofErr w:type="spellEnd"/>
      <w:r w:rsidR="00592218" w:rsidRPr="00F14751">
        <w:rPr>
          <w:rFonts w:asciiTheme="majorHAnsi" w:hAnsiTheme="majorHAnsi"/>
          <w:sz w:val="24"/>
          <w:szCs w:val="24"/>
        </w:rPr>
        <w:t xml:space="preserve">, 2012). </w:t>
      </w:r>
    </w:p>
    <w:p w14:paraId="207D806B" w14:textId="77777777" w:rsidR="00592218" w:rsidRPr="00F14751" w:rsidRDefault="00902BFB" w:rsidP="00C8508E">
      <w:pPr>
        <w:pStyle w:val="NoSpacing"/>
        <w:spacing w:line="360" w:lineRule="auto"/>
        <w:jc w:val="both"/>
        <w:rPr>
          <w:rFonts w:asciiTheme="majorHAnsi" w:hAnsiTheme="majorHAnsi"/>
          <w:sz w:val="24"/>
          <w:szCs w:val="24"/>
        </w:rPr>
      </w:pPr>
      <w:r w:rsidRPr="00F14751">
        <w:rPr>
          <w:rFonts w:asciiTheme="majorHAnsi" w:eastAsiaTheme="minorEastAsia" w:hAnsiTheme="majorHAnsi" w:cs="Times New Roman"/>
          <w:sz w:val="24"/>
          <w:szCs w:val="24"/>
        </w:rPr>
        <w:tab/>
      </w:r>
      <w:r w:rsidR="00592218" w:rsidRPr="00F14751">
        <w:rPr>
          <w:rFonts w:asciiTheme="majorHAnsi" w:hAnsiTheme="majorHAnsi"/>
          <w:sz w:val="24"/>
          <w:szCs w:val="24"/>
        </w:rPr>
        <w:t xml:space="preserve">We use the variance inflator factor (VIF) to detect the severity </w:t>
      </w:r>
      <w:r w:rsidR="00793906" w:rsidRPr="00F14751">
        <w:rPr>
          <w:rFonts w:asciiTheme="majorHAnsi" w:hAnsiTheme="majorHAnsi"/>
          <w:sz w:val="24"/>
          <w:szCs w:val="24"/>
        </w:rPr>
        <w:t>of multicollinearity</w:t>
      </w:r>
      <w:r w:rsidR="00592218" w:rsidRPr="00F14751">
        <w:rPr>
          <w:rFonts w:asciiTheme="majorHAnsi" w:hAnsiTheme="majorHAnsi"/>
          <w:sz w:val="24"/>
          <w:szCs w:val="24"/>
        </w:rPr>
        <w:t xml:space="preserve"> in our model. The VIF may be calculated for each explanatory variable by doing a linear regression of that explanatory variable on all the other explanatory variables, and then obtaining </w:t>
      </w:r>
      <w:proofErr w:type="gramStart"/>
      <w:r w:rsidR="00592218" w:rsidRPr="00F14751">
        <w:rPr>
          <w:rFonts w:asciiTheme="majorHAnsi" w:hAnsiTheme="majorHAnsi"/>
          <w:sz w:val="24"/>
          <w:szCs w:val="24"/>
        </w:rPr>
        <w:t>the</w:t>
      </w:r>
      <m:oMath>
        <m:sSup>
          <m:sSupPr>
            <m:ctrlPr>
              <w:rPr>
                <w:rFonts w:ascii="Cambria Math" w:hAnsi="Cambria Math"/>
                <w:i/>
                <w:sz w:val="24"/>
                <w:szCs w:val="24"/>
              </w:rPr>
            </m:ctrlPr>
          </m:sSupPr>
          <m:e>
            <m:r>
              <w:rPr>
                <w:rFonts w:ascii="Cambria Math" w:hAnsi="Cambria Math"/>
                <w:sz w:val="24"/>
                <w:szCs w:val="24"/>
              </w:rPr>
              <m:t xml:space="preserve"> R</m:t>
            </m:r>
          </m:e>
          <m:sup>
            <m:r>
              <w:rPr>
                <w:rFonts w:ascii="Cambria Math" w:hAnsi="Cambria Math"/>
                <w:sz w:val="24"/>
                <w:szCs w:val="24"/>
              </w:rPr>
              <m:t>2</m:t>
            </m:r>
          </m:sup>
        </m:sSup>
      </m:oMath>
      <w:r w:rsidR="00592218" w:rsidRPr="00F14751">
        <w:rPr>
          <w:rFonts w:asciiTheme="majorHAnsi" w:hAnsiTheme="majorHAnsi"/>
          <w:sz w:val="24"/>
          <w:szCs w:val="24"/>
        </w:rPr>
        <w:t xml:space="preserve"> from</w:t>
      </w:r>
      <w:proofErr w:type="gramEnd"/>
      <w:r w:rsidR="00592218" w:rsidRPr="00F14751">
        <w:rPr>
          <w:rFonts w:asciiTheme="majorHAnsi" w:hAnsiTheme="majorHAnsi"/>
          <w:sz w:val="24"/>
          <w:szCs w:val="24"/>
        </w:rPr>
        <w:t xml:space="preserve"> that regression. The VIF is just</w:t>
      </w:r>
      <m:oMath>
        <m:r>
          <w:rPr>
            <w:rFonts w:ascii="Cambria Math" w:eastAsiaTheme="minorEastAsia" w:hAnsi="Cambria Math"/>
            <w:sz w:val="24"/>
            <w:szCs w:val="24"/>
          </w:rPr>
          <m:t xml:space="preserve"> </m:t>
        </m:r>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oMath>
      <w:r w:rsidR="00592218" w:rsidRPr="00F14751">
        <w:rPr>
          <w:rFonts w:asciiTheme="majorHAnsi" w:eastAsiaTheme="minorEastAsia" w:hAnsiTheme="majorHAnsi"/>
          <w:sz w:val="24"/>
          <w:szCs w:val="24"/>
        </w:rPr>
        <w:t xml:space="preserve"> and </w:t>
      </w:r>
      <w:r w:rsidR="00592218" w:rsidRPr="00F14751">
        <w:rPr>
          <w:rFonts w:asciiTheme="majorHAnsi" w:hAnsiTheme="majorHAnsi"/>
          <w:sz w:val="24"/>
          <w:szCs w:val="24"/>
        </w:rPr>
        <w:t xml:space="preserve">estimates the factor by which the variance of the coefficient is inflated compared with the situation when there is no correlation between the explanatory variable and any of the other explanatory variables. For instance, a VIF of 1.50 indicates that the variance of a particular coefficient is 50 percent larger than it would be if that variable was completely uncorrelated with all the other explanatory variables. Most textbooks suggest a rule of thumb that a VIF of 10 or more is ‘too high’ </w:t>
      </w:r>
      <w:r w:rsidR="00A85375" w:rsidRPr="00F14751">
        <w:rPr>
          <w:rFonts w:asciiTheme="majorHAnsi" w:hAnsiTheme="majorHAnsi"/>
          <w:sz w:val="24"/>
          <w:szCs w:val="24"/>
        </w:rPr>
        <w:t xml:space="preserve">and multicollinearity is severe </w:t>
      </w:r>
      <w:r w:rsidR="00592218" w:rsidRPr="00F14751">
        <w:rPr>
          <w:rFonts w:asciiTheme="majorHAnsi" w:hAnsiTheme="majorHAnsi"/>
          <w:sz w:val="24"/>
          <w:szCs w:val="24"/>
        </w:rPr>
        <w:t>(</w:t>
      </w:r>
      <w:proofErr w:type="spellStart"/>
      <w:r w:rsidR="00592218" w:rsidRPr="00F14751">
        <w:rPr>
          <w:rFonts w:asciiTheme="majorHAnsi" w:hAnsiTheme="majorHAnsi"/>
          <w:sz w:val="24"/>
          <w:szCs w:val="24"/>
        </w:rPr>
        <w:t>Verbeek</w:t>
      </w:r>
      <w:proofErr w:type="spellEnd"/>
      <w:r w:rsidR="00592218" w:rsidRPr="00F14751">
        <w:rPr>
          <w:rFonts w:asciiTheme="majorHAnsi" w:hAnsiTheme="majorHAnsi"/>
          <w:sz w:val="24"/>
          <w:szCs w:val="24"/>
        </w:rPr>
        <w:t xml:space="preserve">, 2012). We follow this rule of thumb. </w:t>
      </w:r>
    </w:p>
    <w:p w14:paraId="09B459DF" w14:textId="77777777" w:rsidR="0051016C" w:rsidRPr="00F14751" w:rsidRDefault="00902BFB"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ab/>
      </w:r>
      <w:r w:rsidR="00592218" w:rsidRPr="00F14751">
        <w:rPr>
          <w:rFonts w:asciiTheme="majorHAnsi" w:hAnsiTheme="majorHAnsi"/>
          <w:sz w:val="24"/>
          <w:szCs w:val="24"/>
        </w:rPr>
        <w:t>T</w:t>
      </w:r>
      <w:r w:rsidR="00B547E3" w:rsidRPr="00F14751">
        <w:rPr>
          <w:rFonts w:asciiTheme="majorHAnsi" w:hAnsiTheme="majorHAnsi"/>
          <w:sz w:val="24"/>
          <w:szCs w:val="24"/>
        </w:rPr>
        <w:t>able 3 reports the VIFs of the independent</w:t>
      </w:r>
      <w:r w:rsidR="00592218" w:rsidRPr="00F14751">
        <w:rPr>
          <w:rFonts w:asciiTheme="majorHAnsi" w:hAnsiTheme="majorHAnsi"/>
          <w:sz w:val="24"/>
          <w:szCs w:val="24"/>
        </w:rPr>
        <w:t xml:space="preserve"> variables when the measures of poverty or inequality are used </w:t>
      </w:r>
      <w:r w:rsidR="00F6061D" w:rsidRPr="00F14751">
        <w:rPr>
          <w:rFonts w:asciiTheme="majorHAnsi" w:hAnsiTheme="majorHAnsi"/>
          <w:sz w:val="24"/>
          <w:szCs w:val="24"/>
        </w:rPr>
        <w:t>as the</w:t>
      </w:r>
      <w:r w:rsidR="00592218" w:rsidRPr="00F14751">
        <w:rPr>
          <w:rFonts w:asciiTheme="majorHAnsi" w:hAnsiTheme="majorHAnsi"/>
          <w:sz w:val="24"/>
          <w:szCs w:val="24"/>
        </w:rPr>
        <w:t xml:space="preserve"> dependent variable. The VIFs of the measures of poverty and inequality are clearly larger than 10</w:t>
      </w:r>
      <w:r w:rsidR="00B547E3" w:rsidRPr="00F14751">
        <w:rPr>
          <w:rFonts w:asciiTheme="majorHAnsi" w:hAnsiTheme="majorHAnsi"/>
          <w:sz w:val="24"/>
          <w:szCs w:val="24"/>
        </w:rPr>
        <w:t xml:space="preserve">. This </w:t>
      </w:r>
      <w:r w:rsidR="00592218" w:rsidRPr="00F14751">
        <w:rPr>
          <w:rFonts w:asciiTheme="majorHAnsi" w:hAnsiTheme="majorHAnsi"/>
          <w:sz w:val="24"/>
          <w:szCs w:val="24"/>
        </w:rPr>
        <w:t>indicates there is severe multicollinearity in our model</w:t>
      </w:r>
      <w:r w:rsidR="00B547E3" w:rsidRPr="00F14751">
        <w:rPr>
          <w:rFonts w:asciiTheme="majorHAnsi" w:hAnsiTheme="majorHAnsi"/>
          <w:sz w:val="24"/>
          <w:szCs w:val="24"/>
        </w:rPr>
        <w:t xml:space="preserve"> </w:t>
      </w:r>
      <w:r w:rsidR="00DE230E" w:rsidRPr="00F14751">
        <w:rPr>
          <w:rFonts w:asciiTheme="majorHAnsi" w:hAnsiTheme="majorHAnsi"/>
          <w:sz w:val="24"/>
          <w:szCs w:val="24"/>
        </w:rPr>
        <w:t>and leads</w:t>
      </w:r>
      <w:r w:rsidR="00592218" w:rsidRPr="00F14751">
        <w:rPr>
          <w:rFonts w:asciiTheme="majorHAnsi" w:hAnsiTheme="majorHAnsi"/>
          <w:sz w:val="24"/>
          <w:szCs w:val="24"/>
        </w:rPr>
        <w:t xml:space="preserve"> to unreliable regression estimates. </w:t>
      </w:r>
    </w:p>
    <w:p w14:paraId="66E8810C" w14:textId="4A282A34" w:rsidR="0051016C" w:rsidRPr="00F14751" w:rsidRDefault="0051016C" w:rsidP="00C8508E">
      <w:pPr>
        <w:pStyle w:val="NoSpacing"/>
        <w:spacing w:line="360" w:lineRule="auto"/>
        <w:ind w:firstLine="708"/>
        <w:jc w:val="both"/>
        <w:rPr>
          <w:rFonts w:asciiTheme="majorHAnsi" w:hAnsiTheme="majorHAnsi"/>
          <w:sz w:val="24"/>
          <w:szCs w:val="24"/>
        </w:rPr>
      </w:pPr>
      <w:r w:rsidRPr="00F14751">
        <w:rPr>
          <w:rFonts w:asciiTheme="majorHAnsi" w:hAnsiTheme="majorHAnsi"/>
          <w:sz w:val="24"/>
          <w:szCs w:val="24"/>
        </w:rPr>
        <w:t xml:space="preserve">There is no standard solution to minimize the consequences of severe multicollinearity. The most common solutions are; to do nothing, remove one (or more) of the highly correlated variable(s) from the model, or increase the size of the sample. We choose to remove one (or more) of </w:t>
      </w:r>
      <w:proofErr w:type="spellStart"/>
      <w:r w:rsidRPr="00F14751">
        <w:rPr>
          <w:rFonts w:asciiTheme="majorHAnsi" w:hAnsiTheme="majorHAnsi"/>
          <w:sz w:val="24"/>
          <w:szCs w:val="24"/>
        </w:rPr>
        <w:t>multicollinear</w:t>
      </w:r>
      <w:proofErr w:type="spellEnd"/>
      <w:r w:rsidRPr="00F14751">
        <w:rPr>
          <w:rFonts w:asciiTheme="majorHAnsi" w:hAnsiTheme="majorHAnsi"/>
          <w:sz w:val="24"/>
          <w:szCs w:val="24"/>
        </w:rPr>
        <w:t xml:space="preserve"> variables from the model. </w:t>
      </w:r>
      <w:r w:rsidR="00B547E3" w:rsidRPr="00F14751">
        <w:rPr>
          <w:rFonts w:asciiTheme="majorHAnsi" w:hAnsiTheme="majorHAnsi"/>
          <w:sz w:val="24"/>
          <w:szCs w:val="24"/>
        </w:rPr>
        <w:t>Focusing on poverty only, the measures of poverty basically measure the same thing: poverty. W</w:t>
      </w:r>
      <w:r w:rsidRPr="00F14751">
        <w:rPr>
          <w:rFonts w:asciiTheme="majorHAnsi" w:hAnsiTheme="majorHAnsi"/>
          <w:sz w:val="24"/>
          <w:szCs w:val="24"/>
        </w:rPr>
        <w:t>e could say that the measures of poverty are redundant; only one of them is needed to represent the effect on the dependent variable that all of them currently represent (</w:t>
      </w:r>
      <w:proofErr w:type="spellStart"/>
      <w:r w:rsidRPr="00F14751">
        <w:rPr>
          <w:rFonts w:asciiTheme="majorHAnsi" w:hAnsiTheme="majorHAnsi"/>
          <w:sz w:val="24"/>
          <w:szCs w:val="24"/>
        </w:rPr>
        <w:t>Studenmund</w:t>
      </w:r>
      <w:proofErr w:type="spellEnd"/>
      <w:r w:rsidRPr="00F14751">
        <w:rPr>
          <w:rFonts w:asciiTheme="majorHAnsi" w:hAnsiTheme="majorHAnsi"/>
          <w:sz w:val="24"/>
          <w:szCs w:val="24"/>
        </w:rPr>
        <w:t>, 2011).</w:t>
      </w:r>
      <w:r w:rsidR="00B547E3" w:rsidRPr="00F14751">
        <w:rPr>
          <w:rFonts w:asciiTheme="majorHAnsi" w:hAnsiTheme="majorHAnsi"/>
          <w:sz w:val="24"/>
          <w:szCs w:val="24"/>
        </w:rPr>
        <w:t xml:space="preserve"> The same holds for the measures of inequality. </w:t>
      </w:r>
    </w:p>
    <w:p w14:paraId="2624E6FE" w14:textId="77777777" w:rsidR="00E402EA" w:rsidRDefault="00E402EA" w:rsidP="00C8508E">
      <w:pPr>
        <w:pStyle w:val="NoSpacing"/>
        <w:spacing w:line="360" w:lineRule="auto"/>
        <w:jc w:val="both"/>
        <w:rPr>
          <w:rFonts w:asciiTheme="majorHAnsi" w:hAnsiTheme="majorHAnsi"/>
          <w:sz w:val="24"/>
          <w:szCs w:val="24"/>
        </w:rPr>
      </w:pPr>
    </w:p>
    <w:p w14:paraId="00AB9CAE" w14:textId="77777777" w:rsidR="00592218" w:rsidRPr="00F14751" w:rsidRDefault="00592218"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 xml:space="preserve">Table 3: VIFs of the </w:t>
      </w:r>
      <w:r w:rsidR="004B6670" w:rsidRPr="00F14751">
        <w:rPr>
          <w:rFonts w:asciiTheme="majorHAnsi" w:hAnsiTheme="majorHAnsi"/>
          <w:sz w:val="24"/>
          <w:szCs w:val="24"/>
        </w:rPr>
        <w:t>independent</w:t>
      </w:r>
      <w:r w:rsidRPr="00F14751">
        <w:rPr>
          <w:rFonts w:asciiTheme="majorHAnsi" w:hAnsiTheme="majorHAnsi"/>
          <w:sz w:val="24"/>
          <w:szCs w:val="24"/>
        </w:rPr>
        <w:t xml:space="preserve"> variables when one of the measures of poverty is the dependent variable and the measures of inequality serv</w:t>
      </w:r>
      <w:r w:rsidR="0001621E" w:rsidRPr="00F14751">
        <w:rPr>
          <w:rFonts w:asciiTheme="majorHAnsi" w:hAnsiTheme="majorHAnsi"/>
          <w:sz w:val="24"/>
          <w:szCs w:val="24"/>
        </w:rPr>
        <w:t>e as independent variables (A</w:t>
      </w:r>
      <w:r w:rsidR="00C80F84" w:rsidRPr="00F14751">
        <w:rPr>
          <w:rFonts w:asciiTheme="majorHAnsi" w:hAnsiTheme="majorHAnsi"/>
          <w:sz w:val="24"/>
          <w:szCs w:val="24"/>
        </w:rPr>
        <w:t xml:space="preserve">), </w:t>
      </w:r>
      <w:r w:rsidRPr="00F14751">
        <w:rPr>
          <w:rFonts w:asciiTheme="majorHAnsi" w:hAnsiTheme="majorHAnsi"/>
          <w:sz w:val="24"/>
          <w:szCs w:val="24"/>
        </w:rPr>
        <w:t>and vi</w:t>
      </w:r>
      <w:r w:rsidR="0001621E" w:rsidRPr="00F14751">
        <w:rPr>
          <w:rFonts w:asciiTheme="majorHAnsi" w:hAnsiTheme="majorHAnsi"/>
          <w:sz w:val="24"/>
          <w:szCs w:val="24"/>
        </w:rPr>
        <w:t>ce versa (B)</w:t>
      </w:r>
      <w:r w:rsidR="0012500C" w:rsidRPr="00F14751">
        <w:rPr>
          <w:rFonts w:asciiTheme="majorHAnsi" w:hAnsiTheme="majorHAnsi"/>
          <w:sz w:val="24"/>
          <w:szCs w:val="24"/>
        </w:rPr>
        <w:t>.</w:t>
      </w:r>
    </w:p>
    <w:tbl>
      <w:tblPr>
        <w:tblStyle w:val="TableGrid"/>
        <w:tblW w:w="7168" w:type="dxa"/>
        <w:tblLook w:val="04A0" w:firstRow="1" w:lastRow="0" w:firstColumn="1" w:lastColumn="0" w:noHBand="0" w:noVBand="1"/>
      </w:tblPr>
      <w:tblGrid>
        <w:gridCol w:w="2933"/>
        <w:gridCol w:w="2120"/>
        <w:gridCol w:w="2115"/>
      </w:tblGrid>
      <w:tr w:rsidR="00592218" w:rsidRPr="00F14751" w14:paraId="4559C602" w14:textId="77777777" w:rsidTr="002F638D">
        <w:tc>
          <w:tcPr>
            <w:tcW w:w="2933" w:type="dxa"/>
            <w:vAlign w:val="center"/>
          </w:tcPr>
          <w:p w14:paraId="52A6613A" w14:textId="77777777" w:rsidR="00592218" w:rsidRPr="009824F5" w:rsidRDefault="00592218" w:rsidP="002F638D">
            <w:pPr>
              <w:pStyle w:val="NoSpacing"/>
              <w:spacing w:line="360" w:lineRule="auto"/>
              <w:rPr>
                <w:rFonts w:asciiTheme="majorHAnsi" w:hAnsiTheme="majorHAnsi"/>
                <w:szCs w:val="24"/>
              </w:rPr>
            </w:pPr>
          </w:p>
        </w:tc>
        <w:tc>
          <w:tcPr>
            <w:tcW w:w="2120" w:type="dxa"/>
            <w:vAlign w:val="center"/>
          </w:tcPr>
          <w:p w14:paraId="53ECD9BE" w14:textId="77777777" w:rsidR="00592218" w:rsidRPr="009824F5" w:rsidRDefault="00592218" w:rsidP="002F638D">
            <w:pPr>
              <w:pStyle w:val="NoSpacing"/>
              <w:spacing w:line="360" w:lineRule="auto"/>
              <w:jc w:val="center"/>
              <w:rPr>
                <w:rFonts w:asciiTheme="majorHAnsi" w:hAnsiTheme="majorHAnsi"/>
                <w:szCs w:val="24"/>
              </w:rPr>
            </w:pPr>
            <w:r w:rsidRPr="009824F5">
              <w:rPr>
                <w:rFonts w:asciiTheme="majorHAnsi" w:hAnsiTheme="majorHAnsi"/>
                <w:szCs w:val="24"/>
              </w:rPr>
              <w:t>(A)</w:t>
            </w:r>
          </w:p>
        </w:tc>
        <w:tc>
          <w:tcPr>
            <w:tcW w:w="2115" w:type="dxa"/>
            <w:vAlign w:val="center"/>
          </w:tcPr>
          <w:p w14:paraId="406A3400" w14:textId="77777777" w:rsidR="00592218" w:rsidRPr="009824F5" w:rsidRDefault="00592218" w:rsidP="002F638D">
            <w:pPr>
              <w:pStyle w:val="NoSpacing"/>
              <w:spacing w:line="360" w:lineRule="auto"/>
              <w:jc w:val="center"/>
              <w:rPr>
                <w:rFonts w:asciiTheme="majorHAnsi" w:hAnsiTheme="majorHAnsi"/>
                <w:szCs w:val="24"/>
              </w:rPr>
            </w:pPr>
            <w:r w:rsidRPr="009824F5">
              <w:rPr>
                <w:rFonts w:asciiTheme="majorHAnsi" w:hAnsiTheme="majorHAnsi"/>
                <w:szCs w:val="24"/>
              </w:rPr>
              <w:t>(B)</w:t>
            </w:r>
          </w:p>
        </w:tc>
      </w:tr>
      <w:tr w:rsidR="00592218" w:rsidRPr="00F14751" w14:paraId="7AD57F71" w14:textId="77777777" w:rsidTr="002F638D">
        <w:tc>
          <w:tcPr>
            <w:tcW w:w="2933" w:type="dxa"/>
            <w:vAlign w:val="center"/>
          </w:tcPr>
          <w:p w14:paraId="200E04AF"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Variable</w:t>
            </w:r>
          </w:p>
        </w:tc>
        <w:tc>
          <w:tcPr>
            <w:tcW w:w="2120" w:type="dxa"/>
            <w:vAlign w:val="center"/>
          </w:tcPr>
          <w:p w14:paraId="54D66BC4" w14:textId="77777777" w:rsidR="00592218" w:rsidRPr="009824F5" w:rsidRDefault="00592218" w:rsidP="002F638D">
            <w:pPr>
              <w:pStyle w:val="NoSpacing"/>
              <w:spacing w:line="360" w:lineRule="auto"/>
              <w:jc w:val="center"/>
              <w:rPr>
                <w:rFonts w:asciiTheme="majorHAnsi" w:hAnsiTheme="majorHAnsi"/>
                <w:szCs w:val="24"/>
              </w:rPr>
            </w:pPr>
            <w:r w:rsidRPr="009824F5">
              <w:rPr>
                <w:rFonts w:asciiTheme="majorHAnsi" w:hAnsiTheme="majorHAnsi"/>
                <w:szCs w:val="24"/>
              </w:rPr>
              <w:t>VIF</w:t>
            </w:r>
          </w:p>
        </w:tc>
        <w:tc>
          <w:tcPr>
            <w:tcW w:w="2115" w:type="dxa"/>
            <w:vAlign w:val="center"/>
          </w:tcPr>
          <w:p w14:paraId="40F10EE7" w14:textId="77777777" w:rsidR="00592218" w:rsidRPr="009824F5" w:rsidRDefault="00592218" w:rsidP="002F638D">
            <w:pPr>
              <w:pStyle w:val="NoSpacing"/>
              <w:spacing w:line="360" w:lineRule="auto"/>
              <w:jc w:val="center"/>
              <w:rPr>
                <w:rFonts w:asciiTheme="majorHAnsi" w:hAnsiTheme="majorHAnsi"/>
                <w:szCs w:val="24"/>
              </w:rPr>
            </w:pPr>
            <w:r w:rsidRPr="009824F5">
              <w:rPr>
                <w:rFonts w:asciiTheme="majorHAnsi" w:hAnsiTheme="majorHAnsi"/>
                <w:szCs w:val="24"/>
              </w:rPr>
              <w:t>VIF</w:t>
            </w:r>
          </w:p>
        </w:tc>
      </w:tr>
      <w:tr w:rsidR="00592218" w:rsidRPr="00F14751" w14:paraId="1A3EB25E" w14:textId="77777777" w:rsidTr="002F638D">
        <w:tc>
          <w:tcPr>
            <w:tcW w:w="2933" w:type="dxa"/>
            <w:vAlign w:val="center"/>
          </w:tcPr>
          <w:p w14:paraId="6B8715D9"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SRI</w:t>
            </w:r>
          </w:p>
        </w:tc>
        <w:tc>
          <w:tcPr>
            <w:tcW w:w="2120" w:type="dxa"/>
            <w:vAlign w:val="center"/>
          </w:tcPr>
          <w:p w14:paraId="385E1327"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3.59</w:t>
            </w:r>
          </w:p>
        </w:tc>
        <w:tc>
          <w:tcPr>
            <w:tcW w:w="2115" w:type="dxa"/>
            <w:vAlign w:val="center"/>
          </w:tcPr>
          <w:p w14:paraId="0C11999C"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3.55</w:t>
            </w:r>
          </w:p>
        </w:tc>
      </w:tr>
      <w:tr w:rsidR="00592218" w:rsidRPr="00F14751" w14:paraId="3A922B1C" w14:textId="77777777" w:rsidTr="002F638D">
        <w:tc>
          <w:tcPr>
            <w:tcW w:w="2933" w:type="dxa"/>
            <w:vAlign w:val="center"/>
          </w:tcPr>
          <w:p w14:paraId="724D7891"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Polity</w:t>
            </w:r>
          </w:p>
        </w:tc>
        <w:tc>
          <w:tcPr>
            <w:tcW w:w="2120" w:type="dxa"/>
            <w:vAlign w:val="center"/>
          </w:tcPr>
          <w:p w14:paraId="21174A43"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1.99</w:t>
            </w:r>
          </w:p>
        </w:tc>
        <w:tc>
          <w:tcPr>
            <w:tcW w:w="2115" w:type="dxa"/>
            <w:vAlign w:val="center"/>
          </w:tcPr>
          <w:p w14:paraId="1588C249"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1.92</w:t>
            </w:r>
          </w:p>
        </w:tc>
      </w:tr>
      <w:tr w:rsidR="00592218" w:rsidRPr="00F14751" w14:paraId="6B039E87" w14:textId="77777777" w:rsidTr="002F638D">
        <w:tc>
          <w:tcPr>
            <w:tcW w:w="2933" w:type="dxa"/>
            <w:vAlign w:val="center"/>
          </w:tcPr>
          <w:p w14:paraId="148C9AAE" w14:textId="77777777" w:rsidR="00592218"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GDP</w:t>
            </w:r>
          </w:p>
        </w:tc>
        <w:tc>
          <w:tcPr>
            <w:tcW w:w="2120" w:type="dxa"/>
            <w:vAlign w:val="center"/>
          </w:tcPr>
          <w:p w14:paraId="7116BFF4"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2.57</w:t>
            </w:r>
          </w:p>
        </w:tc>
        <w:tc>
          <w:tcPr>
            <w:tcW w:w="2115" w:type="dxa"/>
            <w:vAlign w:val="center"/>
          </w:tcPr>
          <w:p w14:paraId="10CEDD11"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3.51</w:t>
            </w:r>
          </w:p>
        </w:tc>
      </w:tr>
      <w:tr w:rsidR="00592218" w:rsidRPr="00F14751" w14:paraId="66948BB7" w14:textId="77777777" w:rsidTr="002F638D">
        <w:tc>
          <w:tcPr>
            <w:tcW w:w="2933" w:type="dxa"/>
            <w:vAlign w:val="center"/>
          </w:tcPr>
          <w:p w14:paraId="04E59A95" w14:textId="77777777" w:rsidR="00592218" w:rsidRPr="009824F5" w:rsidRDefault="00793906" w:rsidP="002F638D">
            <w:pPr>
              <w:pStyle w:val="NoSpacing"/>
              <w:spacing w:line="360" w:lineRule="auto"/>
              <w:rPr>
                <w:rFonts w:asciiTheme="majorHAnsi" w:hAnsiTheme="majorHAnsi"/>
                <w:szCs w:val="24"/>
              </w:rPr>
            </w:pPr>
            <w:proofErr w:type="spellStart"/>
            <w:r w:rsidRPr="009824F5">
              <w:rPr>
                <w:rFonts w:asciiTheme="majorHAnsi" w:hAnsiTheme="majorHAnsi"/>
                <w:szCs w:val="24"/>
              </w:rPr>
              <w:t>GDP</w:t>
            </w:r>
            <w:r w:rsidR="00592218" w:rsidRPr="009824F5">
              <w:rPr>
                <w:rFonts w:asciiTheme="majorHAnsi" w:hAnsiTheme="majorHAnsi"/>
                <w:szCs w:val="24"/>
              </w:rPr>
              <w:t>growth</w:t>
            </w:r>
            <w:proofErr w:type="spellEnd"/>
          </w:p>
        </w:tc>
        <w:tc>
          <w:tcPr>
            <w:tcW w:w="2120" w:type="dxa"/>
            <w:vAlign w:val="center"/>
          </w:tcPr>
          <w:p w14:paraId="7767EB37"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1.50</w:t>
            </w:r>
          </w:p>
        </w:tc>
        <w:tc>
          <w:tcPr>
            <w:tcW w:w="2115" w:type="dxa"/>
            <w:vAlign w:val="center"/>
          </w:tcPr>
          <w:p w14:paraId="68B799CF"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1.50</w:t>
            </w:r>
          </w:p>
        </w:tc>
      </w:tr>
      <w:tr w:rsidR="00592218" w:rsidRPr="00F14751" w14:paraId="3F03C956" w14:textId="77777777" w:rsidTr="002F638D">
        <w:tc>
          <w:tcPr>
            <w:tcW w:w="2933" w:type="dxa"/>
            <w:vAlign w:val="center"/>
          </w:tcPr>
          <w:p w14:paraId="6BC0CC6F"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School</w:t>
            </w:r>
          </w:p>
        </w:tc>
        <w:tc>
          <w:tcPr>
            <w:tcW w:w="2120" w:type="dxa"/>
            <w:vAlign w:val="center"/>
          </w:tcPr>
          <w:p w14:paraId="5E6FC02C"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3.01</w:t>
            </w:r>
          </w:p>
        </w:tc>
        <w:tc>
          <w:tcPr>
            <w:tcW w:w="2115" w:type="dxa"/>
            <w:vAlign w:val="center"/>
          </w:tcPr>
          <w:p w14:paraId="002C4FF3"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3.33</w:t>
            </w:r>
          </w:p>
        </w:tc>
      </w:tr>
      <w:tr w:rsidR="00592218" w:rsidRPr="00F14751" w14:paraId="50AB84BE" w14:textId="77777777" w:rsidTr="002F638D">
        <w:tc>
          <w:tcPr>
            <w:tcW w:w="2933" w:type="dxa"/>
            <w:vAlign w:val="center"/>
          </w:tcPr>
          <w:p w14:paraId="0F4FBA98"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Death</w:t>
            </w:r>
          </w:p>
        </w:tc>
        <w:tc>
          <w:tcPr>
            <w:tcW w:w="2120" w:type="dxa"/>
            <w:vAlign w:val="center"/>
          </w:tcPr>
          <w:p w14:paraId="00B60CA0"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3.23</w:t>
            </w:r>
          </w:p>
        </w:tc>
        <w:tc>
          <w:tcPr>
            <w:tcW w:w="2115" w:type="dxa"/>
            <w:vAlign w:val="center"/>
          </w:tcPr>
          <w:p w14:paraId="630EFA77"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3.16</w:t>
            </w:r>
          </w:p>
        </w:tc>
      </w:tr>
      <w:tr w:rsidR="00592218" w:rsidRPr="00F14751" w14:paraId="15EC1480" w14:textId="77777777" w:rsidTr="002F638D">
        <w:tc>
          <w:tcPr>
            <w:tcW w:w="2933" w:type="dxa"/>
            <w:vAlign w:val="center"/>
          </w:tcPr>
          <w:p w14:paraId="5F104656" w14:textId="77777777" w:rsidR="00592218" w:rsidRPr="009824F5" w:rsidRDefault="00793906" w:rsidP="002F638D">
            <w:pPr>
              <w:pStyle w:val="NoSpacing"/>
              <w:spacing w:line="360" w:lineRule="auto"/>
              <w:rPr>
                <w:rFonts w:asciiTheme="majorHAnsi" w:hAnsiTheme="majorHAnsi"/>
                <w:szCs w:val="24"/>
              </w:rPr>
            </w:pPr>
            <w:proofErr w:type="spellStart"/>
            <w:r w:rsidRPr="009824F5">
              <w:rPr>
                <w:rFonts w:asciiTheme="majorHAnsi" w:hAnsiTheme="majorHAnsi"/>
                <w:szCs w:val="24"/>
              </w:rPr>
              <w:t>UrbanPopgrowth</w:t>
            </w:r>
            <w:proofErr w:type="spellEnd"/>
          </w:p>
        </w:tc>
        <w:tc>
          <w:tcPr>
            <w:tcW w:w="2120" w:type="dxa"/>
            <w:vAlign w:val="center"/>
          </w:tcPr>
          <w:p w14:paraId="0E673EDE"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3.37</w:t>
            </w:r>
          </w:p>
        </w:tc>
        <w:tc>
          <w:tcPr>
            <w:tcW w:w="2115" w:type="dxa"/>
            <w:vAlign w:val="center"/>
          </w:tcPr>
          <w:p w14:paraId="29E37429"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3.52</w:t>
            </w:r>
          </w:p>
        </w:tc>
      </w:tr>
      <w:tr w:rsidR="00592218" w:rsidRPr="00F14751" w14:paraId="72367612" w14:textId="77777777" w:rsidTr="002F638D">
        <w:tc>
          <w:tcPr>
            <w:tcW w:w="2933" w:type="dxa"/>
            <w:vAlign w:val="center"/>
          </w:tcPr>
          <w:p w14:paraId="1CDB308B"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Mercosur</w:t>
            </w:r>
          </w:p>
        </w:tc>
        <w:tc>
          <w:tcPr>
            <w:tcW w:w="2120" w:type="dxa"/>
            <w:vAlign w:val="center"/>
          </w:tcPr>
          <w:p w14:paraId="1FE20742"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1.86</w:t>
            </w:r>
          </w:p>
        </w:tc>
        <w:tc>
          <w:tcPr>
            <w:tcW w:w="2115" w:type="dxa"/>
            <w:vAlign w:val="center"/>
          </w:tcPr>
          <w:p w14:paraId="3D3D42BF"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1.85</w:t>
            </w:r>
          </w:p>
        </w:tc>
      </w:tr>
      <w:tr w:rsidR="00592218" w:rsidRPr="00F14751" w14:paraId="3744AF12" w14:textId="77777777" w:rsidTr="002F638D">
        <w:tc>
          <w:tcPr>
            <w:tcW w:w="2933" w:type="dxa"/>
            <w:vAlign w:val="center"/>
          </w:tcPr>
          <w:p w14:paraId="2E5C84D4" w14:textId="77777777" w:rsidR="00592218" w:rsidRPr="009824F5" w:rsidRDefault="00592218" w:rsidP="002F638D">
            <w:pPr>
              <w:pStyle w:val="NoSpacing"/>
              <w:spacing w:line="360" w:lineRule="auto"/>
              <w:rPr>
                <w:rFonts w:asciiTheme="majorHAnsi" w:hAnsiTheme="majorHAnsi"/>
                <w:szCs w:val="24"/>
              </w:rPr>
            </w:pPr>
            <w:proofErr w:type="spellStart"/>
            <w:r w:rsidRPr="009824F5">
              <w:rPr>
                <w:rFonts w:asciiTheme="majorHAnsi" w:hAnsiTheme="majorHAnsi"/>
                <w:szCs w:val="24"/>
              </w:rPr>
              <w:t>Unasur</w:t>
            </w:r>
            <w:proofErr w:type="spellEnd"/>
          </w:p>
        </w:tc>
        <w:tc>
          <w:tcPr>
            <w:tcW w:w="2120" w:type="dxa"/>
            <w:vAlign w:val="center"/>
          </w:tcPr>
          <w:p w14:paraId="2E608F42"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3.13</w:t>
            </w:r>
          </w:p>
        </w:tc>
        <w:tc>
          <w:tcPr>
            <w:tcW w:w="2115" w:type="dxa"/>
            <w:vAlign w:val="center"/>
          </w:tcPr>
          <w:p w14:paraId="4964B370"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3.06</w:t>
            </w:r>
          </w:p>
        </w:tc>
      </w:tr>
      <w:tr w:rsidR="00592218" w:rsidRPr="00F14751" w14:paraId="6676485E" w14:textId="77777777" w:rsidTr="002F638D">
        <w:tc>
          <w:tcPr>
            <w:tcW w:w="2933" w:type="dxa"/>
            <w:vAlign w:val="center"/>
          </w:tcPr>
          <w:p w14:paraId="60FD2825"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PHR ($2)</w:t>
            </w:r>
          </w:p>
        </w:tc>
        <w:tc>
          <w:tcPr>
            <w:tcW w:w="2120" w:type="dxa"/>
            <w:vAlign w:val="center"/>
          </w:tcPr>
          <w:p w14:paraId="6AF9EEC7" w14:textId="77777777" w:rsidR="00592218" w:rsidRPr="009824F5" w:rsidRDefault="00592218" w:rsidP="002F638D">
            <w:pPr>
              <w:pStyle w:val="NoSpacing"/>
              <w:spacing w:line="360" w:lineRule="auto"/>
              <w:jc w:val="center"/>
              <w:rPr>
                <w:rFonts w:asciiTheme="majorHAnsi" w:hAnsiTheme="majorHAnsi"/>
                <w:szCs w:val="24"/>
              </w:rPr>
            </w:pPr>
          </w:p>
        </w:tc>
        <w:tc>
          <w:tcPr>
            <w:tcW w:w="2115" w:type="dxa"/>
            <w:vAlign w:val="center"/>
          </w:tcPr>
          <w:p w14:paraId="114A323F"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1084.77</w:t>
            </w:r>
          </w:p>
        </w:tc>
      </w:tr>
      <w:tr w:rsidR="00592218" w:rsidRPr="00F14751" w14:paraId="004E661C" w14:textId="77777777" w:rsidTr="002F638D">
        <w:tc>
          <w:tcPr>
            <w:tcW w:w="2933" w:type="dxa"/>
            <w:vAlign w:val="center"/>
          </w:tcPr>
          <w:p w14:paraId="62C321CD"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PHR ($1.25)</w:t>
            </w:r>
          </w:p>
        </w:tc>
        <w:tc>
          <w:tcPr>
            <w:tcW w:w="2120" w:type="dxa"/>
            <w:vAlign w:val="center"/>
          </w:tcPr>
          <w:p w14:paraId="72F4A5A3" w14:textId="77777777" w:rsidR="00592218" w:rsidRPr="009824F5" w:rsidRDefault="00592218" w:rsidP="002F638D">
            <w:pPr>
              <w:pStyle w:val="NoSpacing"/>
              <w:spacing w:line="360" w:lineRule="auto"/>
              <w:jc w:val="center"/>
              <w:rPr>
                <w:rFonts w:asciiTheme="majorHAnsi" w:hAnsiTheme="majorHAnsi"/>
                <w:szCs w:val="24"/>
              </w:rPr>
            </w:pPr>
          </w:p>
        </w:tc>
        <w:tc>
          <w:tcPr>
            <w:tcW w:w="2115" w:type="dxa"/>
            <w:vAlign w:val="center"/>
          </w:tcPr>
          <w:p w14:paraId="2E835B32"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957.12</w:t>
            </w:r>
          </w:p>
        </w:tc>
      </w:tr>
      <w:tr w:rsidR="00592218" w:rsidRPr="00F14751" w14:paraId="17059C42" w14:textId="77777777" w:rsidTr="002F638D">
        <w:tc>
          <w:tcPr>
            <w:tcW w:w="2933" w:type="dxa"/>
            <w:vAlign w:val="center"/>
          </w:tcPr>
          <w:p w14:paraId="5AAFE496"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PGR ($2)</w:t>
            </w:r>
          </w:p>
        </w:tc>
        <w:tc>
          <w:tcPr>
            <w:tcW w:w="2120" w:type="dxa"/>
            <w:vAlign w:val="center"/>
          </w:tcPr>
          <w:p w14:paraId="28E132F9" w14:textId="77777777" w:rsidR="00592218" w:rsidRPr="009824F5" w:rsidRDefault="00592218" w:rsidP="002F638D">
            <w:pPr>
              <w:pStyle w:val="NoSpacing"/>
              <w:spacing w:line="360" w:lineRule="auto"/>
              <w:jc w:val="center"/>
              <w:rPr>
                <w:rFonts w:asciiTheme="majorHAnsi" w:hAnsiTheme="majorHAnsi"/>
                <w:szCs w:val="24"/>
              </w:rPr>
            </w:pPr>
          </w:p>
        </w:tc>
        <w:tc>
          <w:tcPr>
            <w:tcW w:w="2115" w:type="dxa"/>
            <w:vAlign w:val="center"/>
          </w:tcPr>
          <w:p w14:paraId="626D5292"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8836.02</w:t>
            </w:r>
          </w:p>
        </w:tc>
      </w:tr>
      <w:tr w:rsidR="00592218" w:rsidRPr="00F14751" w14:paraId="5CF2CC84" w14:textId="77777777" w:rsidTr="002F638D">
        <w:tc>
          <w:tcPr>
            <w:tcW w:w="2933" w:type="dxa"/>
            <w:vAlign w:val="center"/>
          </w:tcPr>
          <w:p w14:paraId="4D48550F"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PGR ($1.25)</w:t>
            </w:r>
          </w:p>
        </w:tc>
        <w:tc>
          <w:tcPr>
            <w:tcW w:w="2120" w:type="dxa"/>
            <w:vAlign w:val="center"/>
          </w:tcPr>
          <w:p w14:paraId="6AF40C6B" w14:textId="77777777" w:rsidR="00592218" w:rsidRPr="009824F5" w:rsidRDefault="00592218" w:rsidP="002F638D">
            <w:pPr>
              <w:pStyle w:val="NoSpacing"/>
              <w:spacing w:line="360" w:lineRule="auto"/>
              <w:jc w:val="center"/>
              <w:rPr>
                <w:rFonts w:asciiTheme="majorHAnsi" w:hAnsiTheme="majorHAnsi"/>
                <w:szCs w:val="24"/>
              </w:rPr>
            </w:pPr>
          </w:p>
        </w:tc>
        <w:tc>
          <w:tcPr>
            <w:tcW w:w="2115" w:type="dxa"/>
            <w:vAlign w:val="center"/>
          </w:tcPr>
          <w:p w14:paraId="2F8D5B42"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1399.85</w:t>
            </w:r>
          </w:p>
        </w:tc>
      </w:tr>
      <w:tr w:rsidR="00793906" w:rsidRPr="00F14751" w14:paraId="33123EDA" w14:textId="77777777" w:rsidTr="002F638D">
        <w:tc>
          <w:tcPr>
            <w:tcW w:w="2933" w:type="dxa"/>
            <w:vAlign w:val="center"/>
          </w:tcPr>
          <w:p w14:paraId="699CC01D" w14:textId="77777777" w:rsidR="00793906" w:rsidRPr="009824F5" w:rsidRDefault="00736DF1" w:rsidP="002F638D">
            <w:pPr>
              <w:pStyle w:val="NoSpacing"/>
              <w:spacing w:line="360" w:lineRule="auto"/>
              <w:rPr>
                <w:rFonts w:asciiTheme="majorHAnsi" w:hAnsiTheme="majorHAnsi"/>
                <w:szCs w:val="24"/>
              </w:rPr>
            </w:pPr>
            <w:proofErr w:type="spellStart"/>
            <w:r w:rsidRPr="009824F5">
              <w:rPr>
                <w:rFonts w:asciiTheme="majorHAnsi" w:hAnsiTheme="majorHAnsi"/>
                <w:szCs w:val="24"/>
              </w:rPr>
              <w:t>DoP</w:t>
            </w:r>
            <w:proofErr w:type="spellEnd"/>
            <w:r w:rsidR="00793906" w:rsidRPr="009824F5">
              <w:rPr>
                <w:rFonts w:asciiTheme="majorHAnsi" w:hAnsiTheme="majorHAnsi"/>
                <w:szCs w:val="24"/>
              </w:rPr>
              <w:t xml:space="preserve"> ($2)</w:t>
            </w:r>
          </w:p>
        </w:tc>
        <w:tc>
          <w:tcPr>
            <w:tcW w:w="2120" w:type="dxa"/>
            <w:vAlign w:val="center"/>
          </w:tcPr>
          <w:p w14:paraId="3D830269" w14:textId="77777777" w:rsidR="00793906" w:rsidRPr="009824F5" w:rsidRDefault="00793906" w:rsidP="002F638D">
            <w:pPr>
              <w:pStyle w:val="NoSpacing"/>
              <w:spacing w:line="360" w:lineRule="auto"/>
              <w:jc w:val="center"/>
              <w:rPr>
                <w:rFonts w:asciiTheme="majorHAnsi" w:hAnsiTheme="majorHAnsi"/>
                <w:szCs w:val="24"/>
              </w:rPr>
            </w:pPr>
          </w:p>
        </w:tc>
        <w:tc>
          <w:tcPr>
            <w:tcW w:w="2115" w:type="dxa"/>
            <w:vAlign w:val="center"/>
          </w:tcPr>
          <w:p w14:paraId="660042DE" w14:textId="77777777" w:rsidR="00793906"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168.31</w:t>
            </w:r>
          </w:p>
        </w:tc>
      </w:tr>
      <w:tr w:rsidR="00793906" w:rsidRPr="00F14751" w14:paraId="61C354AC" w14:textId="77777777" w:rsidTr="002F638D">
        <w:tc>
          <w:tcPr>
            <w:tcW w:w="2933" w:type="dxa"/>
            <w:vAlign w:val="center"/>
          </w:tcPr>
          <w:p w14:paraId="5E0202DE" w14:textId="77777777" w:rsidR="00793906" w:rsidRPr="009824F5" w:rsidRDefault="00736DF1" w:rsidP="002F638D">
            <w:pPr>
              <w:pStyle w:val="NoSpacing"/>
              <w:spacing w:line="360" w:lineRule="auto"/>
              <w:rPr>
                <w:rFonts w:asciiTheme="majorHAnsi" w:hAnsiTheme="majorHAnsi"/>
                <w:szCs w:val="24"/>
              </w:rPr>
            </w:pPr>
            <w:proofErr w:type="spellStart"/>
            <w:r w:rsidRPr="009824F5">
              <w:rPr>
                <w:rFonts w:asciiTheme="majorHAnsi" w:hAnsiTheme="majorHAnsi"/>
                <w:szCs w:val="24"/>
              </w:rPr>
              <w:t>DoP</w:t>
            </w:r>
            <w:proofErr w:type="spellEnd"/>
            <w:r w:rsidR="00793906" w:rsidRPr="009824F5">
              <w:rPr>
                <w:rFonts w:asciiTheme="majorHAnsi" w:hAnsiTheme="majorHAnsi"/>
                <w:szCs w:val="24"/>
              </w:rPr>
              <w:t xml:space="preserve"> ($1.25)</w:t>
            </w:r>
          </w:p>
        </w:tc>
        <w:tc>
          <w:tcPr>
            <w:tcW w:w="2120" w:type="dxa"/>
            <w:vAlign w:val="center"/>
          </w:tcPr>
          <w:p w14:paraId="0E34D80B" w14:textId="77777777" w:rsidR="00793906" w:rsidRPr="009824F5" w:rsidRDefault="00793906" w:rsidP="002F638D">
            <w:pPr>
              <w:pStyle w:val="NoSpacing"/>
              <w:spacing w:line="360" w:lineRule="auto"/>
              <w:jc w:val="center"/>
              <w:rPr>
                <w:rFonts w:asciiTheme="majorHAnsi" w:hAnsiTheme="majorHAnsi"/>
                <w:szCs w:val="24"/>
              </w:rPr>
            </w:pPr>
          </w:p>
        </w:tc>
        <w:tc>
          <w:tcPr>
            <w:tcW w:w="2115" w:type="dxa"/>
            <w:vAlign w:val="center"/>
          </w:tcPr>
          <w:p w14:paraId="1C50C5DC" w14:textId="77777777" w:rsidR="00793906"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121.59</w:t>
            </w:r>
          </w:p>
        </w:tc>
      </w:tr>
      <w:tr w:rsidR="00592218" w:rsidRPr="00F14751" w14:paraId="31563B87" w14:textId="77777777" w:rsidTr="002F638D">
        <w:tc>
          <w:tcPr>
            <w:tcW w:w="2933" w:type="dxa"/>
            <w:vAlign w:val="center"/>
          </w:tcPr>
          <w:p w14:paraId="1D943CD4" w14:textId="77777777" w:rsidR="00592218" w:rsidRPr="009824F5" w:rsidRDefault="00592218" w:rsidP="002F638D">
            <w:pPr>
              <w:pStyle w:val="NoSpacing"/>
              <w:spacing w:line="360" w:lineRule="auto"/>
              <w:rPr>
                <w:rFonts w:asciiTheme="majorHAnsi" w:hAnsiTheme="majorHAnsi"/>
                <w:szCs w:val="24"/>
              </w:rPr>
            </w:pPr>
            <w:r w:rsidRPr="009824F5">
              <w:rPr>
                <w:rFonts w:asciiTheme="majorHAnsi" w:hAnsiTheme="majorHAnsi"/>
                <w:szCs w:val="24"/>
              </w:rPr>
              <w:t xml:space="preserve">Gini </w:t>
            </w:r>
          </w:p>
        </w:tc>
        <w:tc>
          <w:tcPr>
            <w:tcW w:w="2120" w:type="dxa"/>
            <w:vAlign w:val="center"/>
          </w:tcPr>
          <w:p w14:paraId="5AEE4B89" w14:textId="77777777" w:rsidR="00592218"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11397.11</w:t>
            </w:r>
          </w:p>
        </w:tc>
        <w:tc>
          <w:tcPr>
            <w:tcW w:w="2115" w:type="dxa"/>
            <w:vAlign w:val="center"/>
          </w:tcPr>
          <w:p w14:paraId="02D49B4B" w14:textId="77777777" w:rsidR="00592218" w:rsidRPr="009824F5" w:rsidRDefault="00592218" w:rsidP="002F638D">
            <w:pPr>
              <w:pStyle w:val="NoSpacing"/>
              <w:spacing w:line="360" w:lineRule="auto"/>
              <w:jc w:val="center"/>
              <w:rPr>
                <w:rFonts w:asciiTheme="majorHAnsi" w:hAnsiTheme="majorHAnsi"/>
                <w:szCs w:val="24"/>
                <w:highlight w:val="yellow"/>
              </w:rPr>
            </w:pPr>
          </w:p>
        </w:tc>
      </w:tr>
      <w:tr w:rsidR="00793906" w:rsidRPr="00F14751" w14:paraId="1243A382" w14:textId="77777777" w:rsidTr="002F638D">
        <w:tc>
          <w:tcPr>
            <w:tcW w:w="2933" w:type="dxa"/>
            <w:vAlign w:val="center"/>
          </w:tcPr>
          <w:p w14:paraId="5436751F" w14:textId="77777777" w:rsidR="00793906"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D1</w:t>
            </w:r>
          </w:p>
        </w:tc>
        <w:tc>
          <w:tcPr>
            <w:tcW w:w="2120" w:type="dxa"/>
            <w:vAlign w:val="center"/>
          </w:tcPr>
          <w:p w14:paraId="48381741" w14:textId="77777777" w:rsidR="00793906" w:rsidRPr="009824F5" w:rsidRDefault="00AD3147" w:rsidP="002F638D">
            <w:pPr>
              <w:pStyle w:val="NoSpacing"/>
              <w:spacing w:line="360" w:lineRule="auto"/>
              <w:jc w:val="center"/>
              <w:rPr>
                <w:rFonts w:asciiTheme="majorHAnsi" w:hAnsiTheme="majorHAnsi"/>
                <w:szCs w:val="24"/>
              </w:rPr>
            </w:pPr>
            <w:r w:rsidRPr="009824F5">
              <w:rPr>
                <w:rFonts w:asciiTheme="majorHAnsi" w:hAnsiTheme="majorHAnsi"/>
                <w:szCs w:val="24"/>
              </w:rPr>
              <w:t>215.43</w:t>
            </w:r>
          </w:p>
        </w:tc>
        <w:tc>
          <w:tcPr>
            <w:tcW w:w="2115" w:type="dxa"/>
            <w:vAlign w:val="center"/>
          </w:tcPr>
          <w:p w14:paraId="2AE0EF28" w14:textId="77777777" w:rsidR="00793906" w:rsidRPr="009824F5" w:rsidRDefault="00793906" w:rsidP="002F638D">
            <w:pPr>
              <w:pStyle w:val="NoSpacing"/>
              <w:spacing w:line="360" w:lineRule="auto"/>
              <w:jc w:val="center"/>
              <w:rPr>
                <w:rFonts w:asciiTheme="majorHAnsi" w:hAnsiTheme="majorHAnsi"/>
                <w:szCs w:val="24"/>
                <w:highlight w:val="yellow"/>
              </w:rPr>
            </w:pPr>
          </w:p>
        </w:tc>
      </w:tr>
      <w:tr w:rsidR="00793906" w:rsidRPr="00F14751" w14:paraId="0EEE1A84" w14:textId="77777777" w:rsidTr="002F638D">
        <w:tc>
          <w:tcPr>
            <w:tcW w:w="2933" w:type="dxa"/>
            <w:vAlign w:val="center"/>
          </w:tcPr>
          <w:p w14:paraId="47E45AC3" w14:textId="77777777" w:rsidR="00793906"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D2</w:t>
            </w:r>
          </w:p>
        </w:tc>
        <w:tc>
          <w:tcPr>
            <w:tcW w:w="2120" w:type="dxa"/>
            <w:vAlign w:val="center"/>
          </w:tcPr>
          <w:p w14:paraId="1E7ACEF2" w14:textId="77777777" w:rsidR="00793906"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354.25</w:t>
            </w:r>
          </w:p>
        </w:tc>
        <w:tc>
          <w:tcPr>
            <w:tcW w:w="2115" w:type="dxa"/>
            <w:vAlign w:val="center"/>
          </w:tcPr>
          <w:p w14:paraId="6861E72A" w14:textId="77777777" w:rsidR="00793906" w:rsidRPr="009824F5" w:rsidRDefault="00793906" w:rsidP="002F638D">
            <w:pPr>
              <w:pStyle w:val="NoSpacing"/>
              <w:spacing w:line="360" w:lineRule="auto"/>
              <w:jc w:val="center"/>
              <w:rPr>
                <w:rFonts w:asciiTheme="majorHAnsi" w:hAnsiTheme="majorHAnsi"/>
                <w:szCs w:val="24"/>
                <w:highlight w:val="yellow"/>
              </w:rPr>
            </w:pPr>
          </w:p>
        </w:tc>
      </w:tr>
      <w:tr w:rsidR="00755628" w:rsidRPr="00F14751" w14:paraId="1A1E7267" w14:textId="77777777" w:rsidTr="002F638D">
        <w:tc>
          <w:tcPr>
            <w:tcW w:w="2933" w:type="dxa"/>
            <w:vAlign w:val="center"/>
          </w:tcPr>
          <w:p w14:paraId="5F7BEEC7" w14:textId="77777777" w:rsidR="00755628" w:rsidRPr="009824F5" w:rsidRDefault="00755628" w:rsidP="002F638D">
            <w:pPr>
              <w:pStyle w:val="NoSpacing"/>
              <w:spacing w:line="360" w:lineRule="auto"/>
              <w:rPr>
                <w:rFonts w:asciiTheme="majorHAnsi" w:hAnsiTheme="majorHAnsi"/>
                <w:szCs w:val="24"/>
              </w:rPr>
            </w:pPr>
            <w:r w:rsidRPr="009824F5">
              <w:rPr>
                <w:rFonts w:asciiTheme="majorHAnsi" w:hAnsiTheme="majorHAnsi"/>
                <w:szCs w:val="24"/>
              </w:rPr>
              <w:t>D9</w:t>
            </w:r>
          </w:p>
        </w:tc>
        <w:tc>
          <w:tcPr>
            <w:tcW w:w="2120" w:type="dxa"/>
            <w:vAlign w:val="center"/>
          </w:tcPr>
          <w:p w14:paraId="3084244E" w14:textId="77777777" w:rsidR="0075562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45.31</w:t>
            </w:r>
          </w:p>
        </w:tc>
        <w:tc>
          <w:tcPr>
            <w:tcW w:w="2115" w:type="dxa"/>
            <w:vAlign w:val="center"/>
          </w:tcPr>
          <w:p w14:paraId="5871A046" w14:textId="77777777" w:rsidR="00755628" w:rsidRPr="009824F5" w:rsidRDefault="00755628" w:rsidP="002F638D">
            <w:pPr>
              <w:pStyle w:val="NoSpacing"/>
              <w:spacing w:line="360" w:lineRule="auto"/>
              <w:jc w:val="center"/>
              <w:rPr>
                <w:rFonts w:asciiTheme="majorHAnsi" w:hAnsiTheme="majorHAnsi"/>
                <w:szCs w:val="24"/>
                <w:highlight w:val="yellow"/>
              </w:rPr>
            </w:pPr>
          </w:p>
        </w:tc>
      </w:tr>
      <w:tr w:rsidR="00755628" w:rsidRPr="00F14751" w14:paraId="0979C20C" w14:textId="77777777" w:rsidTr="002F638D">
        <w:tc>
          <w:tcPr>
            <w:tcW w:w="2933" w:type="dxa"/>
            <w:vAlign w:val="center"/>
          </w:tcPr>
          <w:p w14:paraId="1D178C26" w14:textId="77777777" w:rsidR="00755628" w:rsidRPr="009824F5" w:rsidRDefault="00755628" w:rsidP="002F638D">
            <w:pPr>
              <w:pStyle w:val="NoSpacing"/>
              <w:spacing w:line="360" w:lineRule="auto"/>
              <w:rPr>
                <w:rFonts w:asciiTheme="majorHAnsi" w:hAnsiTheme="majorHAnsi"/>
                <w:szCs w:val="24"/>
              </w:rPr>
            </w:pPr>
            <w:r w:rsidRPr="009824F5">
              <w:rPr>
                <w:rFonts w:asciiTheme="majorHAnsi" w:hAnsiTheme="majorHAnsi"/>
                <w:szCs w:val="24"/>
              </w:rPr>
              <w:t>D10</w:t>
            </w:r>
          </w:p>
        </w:tc>
        <w:tc>
          <w:tcPr>
            <w:tcW w:w="2120" w:type="dxa"/>
            <w:vAlign w:val="center"/>
          </w:tcPr>
          <w:p w14:paraId="2B684028" w14:textId="77777777" w:rsidR="004D5DEE"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2842.66</w:t>
            </w:r>
          </w:p>
        </w:tc>
        <w:tc>
          <w:tcPr>
            <w:tcW w:w="2115" w:type="dxa"/>
            <w:vAlign w:val="center"/>
          </w:tcPr>
          <w:p w14:paraId="59721AC4" w14:textId="77777777" w:rsidR="00755628" w:rsidRPr="009824F5" w:rsidRDefault="00755628" w:rsidP="002F638D">
            <w:pPr>
              <w:pStyle w:val="NoSpacing"/>
              <w:spacing w:line="360" w:lineRule="auto"/>
              <w:jc w:val="center"/>
              <w:rPr>
                <w:rFonts w:asciiTheme="majorHAnsi" w:hAnsiTheme="majorHAnsi"/>
                <w:szCs w:val="24"/>
                <w:highlight w:val="yellow"/>
              </w:rPr>
            </w:pPr>
          </w:p>
        </w:tc>
      </w:tr>
      <w:tr w:rsidR="00592218" w:rsidRPr="00F14751" w14:paraId="323CA5F6" w14:textId="77777777" w:rsidTr="002F638D">
        <w:tc>
          <w:tcPr>
            <w:tcW w:w="2933" w:type="dxa"/>
            <w:vAlign w:val="center"/>
          </w:tcPr>
          <w:p w14:paraId="1F160EF8" w14:textId="77777777" w:rsidR="00592218"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Q1</w:t>
            </w:r>
          </w:p>
        </w:tc>
        <w:tc>
          <w:tcPr>
            <w:tcW w:w="2120" w:type="dxa"/>
            <w:vAlign w:val="center"/>
          </w:tcPr>
          <w:p w14:paraId="2C48F3F2" w14:textId="77777777" w:rsidR="00592218" w:rsidRPr="009824F5" w:rsidRDefault="00CB6BDC" w:rsidP="002F638D">
            <w:pPr>
              <w:pStyle w:val="NoSpacing"/>
              <w:spacing w:line="360" w:lineRule="auto"/>
              <w:jc w:val="center"/>
              <w:rPr>
                <w:rFonts w:asciiTheme="majorHAnsi" w:hAnsiTheme="majorHAnsi"/>
                <w:szCs w:val="24"/>
              </w:rPr>
            </w:pPr>
            <w:r w:rsidRPr="009824F5">
              <w:rPr>
                <w:rFonts w:asciiTheme="majorHAnsi" w:hAnsiTheme="majorHAnsi"/>
                <w:szCs w:val="24"/>
              </w:rPr>
              <w:t>(Omitted)*</w:t>
            </w:r>
          </w:p>
        </w:tc>
        <w:tc>
          <w:tcPr>
            <w:tcW w:w="2115" w:type="dxa"/>
            <w:vAlign w:val="center"/>
          </w:tcPr>
          <w:p w14:paraId="05C35911" w14:textId="77777777" w:rsidR="00592218" w:rsidRPr="009824F5" w:rsidRDefault="00592218" w:rsidP="002F638D">
            <w:pPr>
              <w:pStyle w:val="NoSpacing"/>
              <w:spacing w:line="360" w:lineRule="auto"/>
              <w:jc w:val="center"/>
              <w:rPr>
                <w:rFonts w:asciiTheme="majorHAnsi" w:hAnsiTheme="majorHAnsi"/>
                <w:szCs w:val="24"/>
                <w:highlight w:val="yellow"/>
              </w:rPr>
            </w:pPr>
          </w:p>
        </w:tc>
      </w:tr>
      <w:tr w:rsidR="00592218" w:rsidRPr="00F14751" w14:paraId="0F1B3247" w14:textId="77777777" w:rsidTr="002F638D">
        <w:tc>
          <w:tcPr>
            <w:tcW w:w="2933" w:type="dxa"/>
            <w:vAlign w:val="center"/>
          </w:tcPr>
          <w:p w14:paraId="5BB79E77" w14:textId="77777777" w:rsidR="00592218"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Q2</w:t>
            </w:r>
          </w:p>
        </w:tc>
        <w:tc>
          <w:tcPr>
            <w:tcW w:w="2120" w:type="dxa"/>
            <w:vAlign w:val="center"/>
          </w:tcPr>
          <w:p w14:paraId="2E471BBD"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893.48</w:t>
            </w:r>
          </w:p>
        </w:tc>
        <w:tc>
          <w:tcPr>
            <w:tcW w:w="2115" w:type="dxa"/>
            <w:vAlign w:val="center"/>
          </w:tcPr>
          <w:p w14:paraId="78FFF9B3" w14:textId="77777777" w:rsidR="00592218" w:rsidRPr="009824F5" w:rsidRDefault="00592218" w:rsidP="002F638D">
            <w:pPr>
              <w:pStyle w:val="NoSpacing"/>
              <w:spacing w:line="360" w:lineRule="auto"/>
              <w:jc w:val="center"/>
              <w:rPr>
                <w:rFonts w:asciiTheme="majorHAnsi" w:hAnsiTheme="majorHAnsi"/>
                <w:szCs w:val="24"/>
                <w:highlight w:val="yellow"/>
              </w:rPr>
            </w:pPr>
          </w:p>
        </w:tc>
      </w:tr>
      <w:tr w:rsidR="00592218" w:rsidRPr="00F14751" w14:paraId="0D0C2529" w14:textId="77777777" w:rsidTr="002F638D">
        <w:tc>
          <w:tcPr>
            <w:tcW w:w="2933" w:type="dxa"/>
            <w:vAlign w:val="center"/>
          </w:tcPr>
          <w:p w14:paraId="21649726" w14:textId="77777777" w:rsidR="00592218"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Q3</w:t>
            </w:r>
          </w:p>
        </w:tc>
        <w:tc>
          <w:tcPr>
            <w:tcW w:w="2120" w:type="dxa"/>
            <w:vAlign w:val="center"/>
          </w:tcPr>
          <w:p w14:paraId="2B075FFA"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898.94</w:t>
            </w:r>
          </w:p>
        </w:tc>
        <w:tc>
          <w:tcPr>
            <w:tcW w:w="2115" w:type="dxa"/>
            <w:vAlign w:val="center"/>
          </w:tcPr>
          <w:p w14:paraId="54F9C51F" w14:textId="77777777" w:rsidR="00592218" w:rsidRPr="009824F5" w:rsidRDefault="00592218" w:rsidP="002F638D">
            <w:pPr>
              <w:pStyle w:val="NoSpacing"/>
              <w:spacing w:line="360" w:lineRule="auto"/>
              <w:jc w:val="center"/>
              <w:rPr>
                <w:rFonts w:asciiTheme="majorHAnsi" w:hAnsiTheme="majorHAnsi"/>
                <w:szCs w:val="24"/>
                <w:highlight w:val="yellow"/>
              </w:rPr>
            </w:pPr>
          </w:p>
        </w:tc>
      </w:tr>
      <w:tr w:rsidR="00592218" w:rsidRPr="00F14751" w14:paraId="6874509C" w14:textId="77777777" w:rsidTr="002F638D">
        <w:tc>
          <w:tcPr>
            <w:tcW w:w="2933" w:type="dxa"/>
            <w:vAlign w:val="center"/>
          </w:tcPr>
          <w:p w14:paraId="25FA42C7" w14:textId="77777777" w:rsidR="00592218"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Q4</w:t>
            </w:r>
          </w:p>
        </w:tc>
        <w:tc>
          <w:tcPr>
            <w:tcW w:w="2120" w:type="dxa"/>
            <w:vAlign w:val="center"/>
          </w:tcPr>
          <w:p w14:paraId="0CE09E91"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(Omitted)*</w:t>
            </w:r>
          </w:p>
        </w:tc>
        <w:tc>
          <w:tcPr>
            <w:tcW w:w="2115" w:type="dxa"/>
            <w:vAlign w:val="center"/>
          </w:tcPr>
          <w:p w14:paraId="202FE516" w14:textId="77777777" w:rsidR="00592218" w:rsidRPr="009824F5" w:rsidRDefault="00592218" w:rsidP="002F638D">
            <w:pPr>
              <w:pStyle w:val="NoSpacing"/>
              <w:spacing w:line="360" w:lineRule="auto"/>
              <w:jc w:val="center"/>
              <w:rPr>
                <w:rFonts w:asciiTheme="majorHAnsi" w:hAnsiTheme="majorHAnsi"/>
                <w:szCs w:val="24"/>
                <w:highlight w:val="yellow"/>
              </w:rPr>
            </w:pPr>
          </w:p>
        </w:tc>
      </w:tr>
      <w:tr w:rsidR="00592218" w:rsidRPr="00F14751" w14:paraId="4D39120A" w14:textId="77777777" w:rsidTr="002F638D">
        <w:tc>
          <w:tcPr>
            <w:tcW w:w="2933" w:type="dxa"/>
            <w:vAlign w:val="center"/>
          </w:tcPr>
          <w:p w14:paraId="514565C9" w14:textId="77777777" w:rsidR="00592218" w:rsidRPr="009824F5" w:rsidRDefault="00793906" w:rsidP="002F638D">
            <w:pPr>
              <w:pStyle w:val="NoSpacing"/>
              <w:spacing w:line="360" w:lineRule="auto"/>
              <w:rPr>
                <w:rFonts w:asciiTheme="majorHAnsi" w:hAnsiTheme="majorHAnsi"/>
                <w:szCs w:val="24"/>
              </w:rPr>
            </w:pPr>
            <w:r w:rsidRPr="009824F5">
              <w:rPr>
                <w:rFonts w:asciiTheme="majorHAnsi" w:hAnsiTheme="majorHAnsi"/>
                <w:szCs w:val="24"/>
              </w:rPr>
              <w:t>Q5</w:t>
            </w:r>
          </w:p>
        </w:tc>
        <w:tc>
          <w:tcPr>
            <w:tcW w:w="2120" w:type="dxa"/>
            <w:vAlign w:val="center"/>
          </w:tcPr>
          <w:p w14:paraId="6E5EA62F" w14:textId="77777777" w:rsidR="00592218" w:rsidRPr="009824F5" w:rsidRDefault="004D5DEE" w:rsidP="002F638D">
            <w:pPr>
              <w:pStyle w:val="NoSpacing"/>
              <w:spacing w:line="360" w:lineRule="auto"/>
              <w:jc w:val="center"/>
              <w:rPr>
                <w:rFonts w:asciiTheme="majorHAnsi" w:hAnsiTheme="majorHAnsi"/>
                <w:szCs w:val="24"/>
              </w:rPr>
            </w:pPr>
            <w:r w:rsidRPr="009824F5">
              <w:rPr>
                <w:rFonts w:asciiTheme="majorHAnsi" w:hAnsiTheme="majorHAnsi"/>
                <w:szCs w:val="24"/>
              </w:rPr>
              <w:t>(Omitted)*</w:t>
            </w:r>
          </w:p>
        </w:tc>
        <w:tc>
          <w:tcPr>
            <w:tcW w:w="2115" w:type="dxa"/>
            <w:vAlign w:val="center"/>
          </w:tcPr>
          <w:p w14:paraId="401A54EE" w14:textId="77777777" w:rsidR="00592218" w:rsidRPr="009824F5" w:rsidRDefault="00592218" w:rsidP="002F638D">
            <w:pPr>
              <w:pStyle w:val="NoSpacing"/>
              <w:spacing w:line="360" w:lineRule="auto"/>
              <w:jc w:val="center"/>
              <w:rPr>
                <w:rFonts w:asciiTheme="majorHAnsi" w:hAnsiTheme="majorHAnsi"/>
                <w:szCs w:val="24"/>
                <w:highlight w:val="yellow"/>
              </w:rPr>
            </w:pPr>
          </w:p>
        </w:tc>
      </w:tr>
    </w:tbl>
    <w:p w14:paraId="2175F2D6" w14:textId="77777777" w:rsidR="002E4734" w:rsidRPr="00F14751" w:rsidRDefault="00875B71"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Note: * = Stata omitted the variable because of collinearity</w:t>
      </w:r>
    </w:p>
    <w:p w14:paraId="44F1B01E" w14:textId="77777777" w:rsidR="002E4734" w:rsidRPr="00F14751" w:rsidRDefault="002E4734" w:rsidP="00C8508E">
      <w:pPr>
        <w:pStyle w:val="NoSpacing"/>
        <w:spacing w:line="360" w:lineRule="auto"/>
        <w:jc w:val="both"/>
        <w:rPr>
          <w:rFonts w:asciiTheme="majorHAnsi" w:eastAsiaTheme="minorEastAsia" w:hAnsiTheme="majorHAnsi" w:cs="Times New Roman"/>
          <w:sz w:val="24"/>
          <w:szCs w:val="24"/>
        </w:rPr>
      </w:pPr>
    </w:p>
    <w:p w14:paraId="06FE4778" w14:textId="7C9376F5" w:rsidR="000E1491" w:rsidRPr="00F14751" w:rsidRDefault="002E4734" w:rsidP="009824F5">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592218" w:rsidRPr="00F14751">
        <w:rPr>
          <w:rFonts w:asciiTheme="majorHAnsi" w:hAnsiTheme="majorHAnsi"/>
          <w:sz w:val="24"/>
          <w:szCs w:val="24"/>
        </w:rPr>
        <w:t>So, in case one</w:t>
      </w:r>
      <w:r w:rsidR="000E1491" w:rsidRPr="00F14751">
        <w:rPr>
          <w:rFonts w:asciiTheme="majorHAnsi" w:hAnsiTheme="majorHAnsi"/>
          <w:sz w:val="24"/>
          <w:szCs w:val="24"/>
        </w:rPr>
        <w:t xml:space="preserve"> of</w:t>
      </w:r>
      <w:r w:rsidR="00592218" w:rsidRPr="00F14751">
        <w:rPr>
          <w:rFonts w:asciiTheme="majorHAnsi" w:hAnsiTheme="majorHAnsi"/>
          <w:sz w:val="24"/>
          <w:szCs w:val="24"/>
        </w:rPr>
        <w:t xml:space="preserve"> the measures of poverty is the dependent variable, we remove the </w:t>
      </w:r>
      <w:r w:rsidR="00755628" w:rsidRPr="00F14751">
        <w:rPr>
          <w:rFonts w:asciiTheme="majorHAnsi" w:hAnsiTheme="majorHAnsi"/>
          <w:sz w:val="24"/>
          <w:szCs w:val="24"/>
        </w:rPr>
        <w:t>four</w:t>
      </w:r>
      <w:r w:rsidR="00F75033" w:rsidRPr="00F14751">
        <w:rPr>
          <w:rFonts w:asciiTheme="majorHAnsi" w:hAnsiTheme="majorHAnsi"/>
          <w:sz w:val="24"/>
          <w:szCs w:val="24"/>
        </w:rPr>
        <w:t xml:space="preserve"> deciles and </w:t>
      </w:r>
      <w:r w:rsidR="00592218" w:rsidRPr="00F14751">
        <w:rPr>
          <w:rFonts w:asciiTheme="majorHAnsi" w:hAnsiTheme="majorHAnsi"/>
          <w:sz w:val="24"/>
          <w:szCs w:val="24"/>
        </w:rPr>
        <w:t>five quintiles from the equation</w:t>
      </w:r>
      <w:r w:rsidR="00F75033" w:rsidRPr="00F14751">
        <w:rPr>
          <w:rFonts w:asciiTheme="majorHAnsi" w:hAnsiTheme="majorHAnsi"/>
          <w:sz w:val="24"/>
          <w:szCs w:val="24"/>
        </w:rPr>
        <w:t>,</w:t>
      </w:r>
      <w:r w:rsidR="00592218" w:rsidRPr="00F14751">
        <w:rPr>
          <w:rFonts w:asciiTheme="majorHAnsi" w:hAnsiTheme="majorHAnsi"/>
          <w:sz w:val="24"/>
          <w:szCs w:val="24"/>
        </w:rPr>
        <w:t xml:space="preserve"> and only include the Gini coefficient (</w:t>
      </w:r>
      <w:r w:rsidR="00592218" w:rsidRPr="00F14751">
        <w:rPr>
          <w:rFonts w:asciiTheme="majorHAnsi" w:hAnsiTheme="majorHAnsi"/>
          <w:i/>
          <w:sz w:val="24"/>
          <w:szCs w:val="24"/>
        </w:rPr>
        <w:t>Gini</w:t>
      </w:r>
      <w:r w:rsidR="00592218" w:rsidRPr="00F14751">
        <w:rPr>
          <w:rFonts w:asciiTheme="majorHAnsi" w:hAnsiTheme="majorHAnsi"/>
          <w:sz w:val="24"/>
          <w:szCs w:val="24"/>
        </w:rPr>
        <w:t xml:space="preserve">) </w:t>
      </w:r>
      <w:r w:rsidR="00F75033" w:rsidRPr="00F14751">
        <w:rPr>
          <w:rFonts w:asciiTheme="majorHAnsi" w:hAnsiTheme="majorHAnsi"/>
          <w:sz w:val="24"/>
          <w:szCs w:val="24"/>
        </w:rPr>
        <w:t>to control for inequality</w:t>
      </w:r>
      <w:r w:rsidR="00592218" w:rsidRPr="00F14751">
        <w:rPr>
          <w:rFonts w:asciiTheme="majorHAnsi" w:hAnsiTheme="majorHAnsi"/>
          <w:sz w:val="24"/>
          <w:szCs w:val="24"/>
        </w:rPr>
        <w:t>. In case one of the measures of inequality is the dependent variable, we remove</w:t>
      </w:r>
      <w:r w:rsidR="00E202A6" w:rsidRPr="00F14751">
        <w:rPr>
          <w:rFonts w:asciiTheme="majorHAnsi" w:hAnsiTheme="majorHAnsi"/>
          <w:sz w:val="24"/>
          <w:szCs w:val="24"/>
        </w:rPr>
        <w:t xml:space="preserve"> </w:t>
      </w:r>
      <w:r w:rsidR="00E202A6" w:rsidRPr="00F14751">
        <w:rPr>
          <w:rFonts w:asciiTheme="majorHAnsi" w:hAnsiTheme="majorHAnsi"/>
          <w:i/>
          <w:sz w:val="24"/>
          <w:szCs w:val="24"/>
        </w:rPr>
        <w:t>PHR ($2),</w:t>
      </w:r>
      <w:r w:rsidR="00592218" w:rsidRPr="00F14751">
        <w:rPr>
          <w:rFonts w:asciiTheme="majorHAnsi" w:hAnsiTheme="majorHAnsi"/>
          <w:sz w:val="24"/>
          <w:szCs w:val="24"/>
        </w:rPr>
        <w:t xml:space="preserve"> </w:t>
      </w:r>
      <w:r w:rsidR="00592218" w:rsidRPr="00F14751">
        <w:rPr>
          <w:rFonts w:asciiTheme="majorHAnsi" w:hAnsiTheme="majorHAnsi"/>
          <w:i/>
          <w:sz w:val="24"/>
          <w:szCs w:val="24"/>
        </w:rPr>
        <w:t>PHR ($1.25)</w:t>
      </w:r>
      <w:r w:rsidR="00592218" w:rsidRPr="00F14751">
        <w:rPr>
          <w:rFonts w:asciiTheme="majorHAnsi" w:hAnsiTheme="majorHAnsi"/>
          <w:sz w:val="24"/>
          <w:szCs w:val="24"/>
        </w:rPr>
        <w:t xml:space="preserve">, </w:t>
      </w:r>
      <w:r w:rsidR="00592218" w:rsidRPr="00F14751">
        <w:rPr>
          <w:rFonts w:asciiTheme="majorHAnsi" w:hAnsiTheme="majorHAnsi"/>
          <w:i/>
          <w:sz w:val="24"/>
          <w:szCs w:val="24"/>
        </w:rPr>
        <w:t>PGR ($2)</w:t>
      </w:r>
      <w:r w:rsidR="00CB6BDC" w:rsidRPr="00F14751">
        <w:rPr>
          <w:rFonts w:asciiTheme="majorHAnsi" w:hAnsiTheme="majorHAnsi"/>
          <w:sz w:val="24"/>
          <w:szCs w:val="24"/>
        </w:rPr>
        <w:t xml:space="preserve">, </w:t>
      </w:r>
      <w:r w:rsidR="00E202A6" w:rsidRPr="00F14751">
        <w:rPr>
          <w:rFonts w:asciiTheme="majorHAnsi" w:hAnsiTheme="majorHAnsi"/>
          <w:i/>
          <w:sz w:val="24"/>
          <w:szCs w:val="24"/>
        </w:rPr>
        <w:t xml:space="preserve">PGR ($1.25) </w:t>
      </w:r>
      <w:r w:rsidR="00CB6BDC" w:rsidRPr="00F14751">
        <w:rPr>
          <w:rFonts w:asciiTheme="majorHAnsi" w:hAnsiTheme="majorHAnsi"/>
          <w:sz w:val="24"/>
          <w:szCs w:val="24"/>
        </w:rPr>
        <w:t xml:space="preserve">and </w:t>
      </w:r>
      <w:proofErr w:type="spellStart"/>
      <w:r w:rsidR="00E202A6" w:rsidRPr="00F14751">
        <w:rPr>
          <w:rFonts w:asciiTheme="majorHAnsi" w:hAnsiTheme="majorHAnsi"/>
          <w:i/>
          <w:sz w:val="24"/>
          <w:szCs w:val="24"/>
        </w:rPr>
        <w:t>DoP</w:t>
      </w:r>
      <w:proofErr w:type="spellEnd"/>
      <w:r w:rsidR="00CB6BDC" w:rsidRPr="00F14751">
        <w:rPr>
          <w:rFonts w:asciiTheme="majorHAnsi" w:hAnsiTheme="majorHAnsi"/>
          <w:i/>
          <w:sz w:val="24"/>
          <w:szCs w:val="24"/>
        </w:rPr>
        <w:t xml:space="preserve"> ($1.25)</w:t>
      </w:r>
      <w:r w:rsidR="00CB6BDC" w:rsidRPr="00F14751">
        <w:rPr>
          <w:rFonts w:asciiTheme="majorHAnsi" w:hAnsiTheme="majorHAnsi"/>
          <w:sz w:val="24"/>
          <w:szCs w:val="24"/>
        </w:rPr>
        <w:t xml:space="preserve"> </w:t>
      </w:r>
      <w:r w:rsidR="00592218" w:rsidRPr="00F14751">
        <w:rPr>
          <w:rFonts w:asciiTheme="majorHAnsi" w:hAnsiTheme="majorHAnsi"/>
          <w:sz w:val="24"/>
          <w:szCs w:val="24"/>
        </w:rPr>
        <w:t xml:space="preserve">from the equation and only include </w:t>
      </w:r>
      <w:proofErr w:type="spellStart"/>
      <w:r w:rsidR="00E202A6" w:rsidRPr="00F14751">
        <w:rPr>
          <w:rFonts w:asciiTheme="majorHAnsi" w:hAnsiTheme="majorHAnsi"/>
          <w:i/>
          <w:sz w:val="24"/>
          <w:szCs w:val="24"/>
        </w:rPr>
        <w:t>DoP</w:t>
      </w:r>
      <w:proofErr w:type="spellEnd"/>
      <w:r w:rsidR="00E202A6" w:rsidRPr="00F14751">
        <w:rPr>
          <w:rFonts w:asciiTheme="majorHAnsi" w:hAnsiTheme="majorHAnsi"/>
          <w:i/>
          <w:sz w:val="24"/>
          <w:szCs w:val="24"/>
        </w:rPr>
        <w:t xml:space="preserve"> ($2)</w:t>
      </w:r>
      <w:r w:rsidR="00CB6BDC" w:rsidRPr="00F14751">
        <w:rPr>
          <w:rFonts w:asciiTheme="majorHAnsi" w:hAnsiTheme="majorHAnsi"/>
          <w:i/>
          <w:sz w:val="24"/>
          <w:szCs w:val="24"/>
        </w:rPr>
        <w:t xml:space="preserve"> </w:t>
      </w:r>
      <w:r w:rsidR="00CB6BDC" w:rsidRPr="00F14751">
        <w:rPr>
          <w:rFonts w:asciiTheme="majorHAnsi" w:hAnsiTheme="majorHAnsi"/>
          <w:sz w:val="24"/>
          <w:szCs w:val="24"/>
        </w:rPr>
        <w:t>to</w:t>
      </w:r>
      <w:r w:rsidR="00F75033" w:rsidRPr="00F14751">
        <w:rPr>
          <w:rFonts w:asciiTheme="majorHAnsi" w:hAnsiTheme="majorHAnsi"/>
          <w:sz w:val="24"/>
          <w:szCs w:val="24"/>
        </w:rPr>
        <w:t xml:space="preserve"> control for poverty</w:t>
      </w:r>
      <w:r w:rsidR="00592218" w:rsidRPr="00F14751">
        <w:rPr>
          <w:rFonts w:asciiTheme="majorHAnsi" w:hAnsiTheme="majorHAnsi"/>
          <w:sz w:val="24"/>
          <w:szCs w:val="24"/>
        </w:rPr>
        <w:t xml:space="preserve">. </w:t>
      </w:r>
      <w:r w:rsidR="00E202A6" w:rsidRPr="00F14751">
        <w:rPr>
          <w:rFonts w:asciiTheme="majorHAnsi" w:hAnsiTheme="majorHAnsi"/>
          <w:sz w:val="24"/>
          <w:szCs w:val="24"/>
        </w:rPr>
        <w:t>We choose these two variables because they are the most compreh</w:t>
      </w:r>
      <w:r w:rsidR="008C61DC" w:rsidRPr="00F14751">
        <w:rPr>
          <w:rFonts w:asciiTheme="majorHAnsi" w:hAnsiTheme="majorHAnsi"/>
          <w:sz w:val="24"/>
          <w:szCs w:val="24"/>
        </w:rPr>
        <w:t>ensive with respect to poverty or</w:t>
      </w:r>
      <w:r w:rsidR="00E202A6" w:rsidRPr="00F14751">
        <w:rPr>
          <w:rFonts w:asciiTheme="majorHAnsi" w:hAnsiTheme="majorHAnsi"/>
          <w:sz w:val="24"/>
          <w:szCs w:val="24"/>
        </w:rPr>
        <w:t xml:space="preserve"> inequality</w:t>
      </w:r>
      <w:r w:rsidR="00B547E3" w:rsidRPr="00F14751">
        <w:rPr>
          <w:rFonts w:asciiTheme="majorHAnsi" w:hAnsiTheme="majorHAnsi"/>
          <w:sz w:val="24"/>
          <w:szCs w:val="24"/>
        </w:rPr>
        <w:t>, respectively</w:t>
      </w:r>
      <w:r w:rsidR="00E202A6" w:rsidRPr="00F14751">
        <w:rPr>
          <w:rFonts w:asciiTheme="majorHAnsi" w:hAnsiTheme="majorHAnsi"/>
          <w:sz w:val="24"/>
          <w:szCs w:val="24"/>
        </w:rPr>
        <w:t>.</w:t>
      </w:r>
      <w:r w:rsidR="00B547E3" w:rsidRPr="00F14751">
        <w:rPr>
          <w:rFonts w:asciiTheme="majorHAnsi" w:hAnsiTheme="majorHAnsi"/>
          <w:sz w:val="24"/>
          <w:szCs w:val="24"/>
        </w:rPr>
        <w:t xml:space="preserve"> After that</w:t>
      </w:r>
      <w:r w:rsidR="000E1491" w:rsidRPr="00F14751">
        <w:rPr>
          <w:rFonts w:asciiTheme="majorHAnsi" w:hAnsiTheme="majorHAnsi"/>
          <w:sz w:val="24"/>
          <w:szCs w:val="24"/>
        </w:rPr>
        <w:t xml:space="preserve"> there is no severe multicollinearity in the model (see Appendix). </w:t>
      </w:r>
    </w:p>
    <w:p w14:paraId="64086E87" w14:textId="77777777" w:rsidR="003B710C" w:rsidRPr="00F14751" w:rsidRDefault="00902BFB"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hAnsiTheme="majorHAnsi"/>
          <w:sz w:val="24"/>
          <w:szCs w:val="24"/>
        </w:rPr>
        <w:tab/>
      </w:r>
      <w:r w:rsidR="00592218" w:rsidRPr="00F14751">
        <w:rPr>
          <w:rFonts w:asciiTheme="majorHAnsi" w:eastAsiaTheme="minorEastAsia" w:hAnsiTheme="majorHAnsi" w:cs="Times New Roman"/>
          <w:sz w:val="24"/>
          <w:szCs w:val="24"/>
        </w:rPr>
        <w:t>Panel data can be estimated using a fixed effects (FE) or a random effects (RE) model. The FE model explores the relationship between the explanatory and dependent variables within a country. Each country has its own individual characteristics that may or may not influence the explanatory variables in the model. The FE model assumes that something within the country may impact or bi</w:t>
      </w:r>
      <w:r w:rsidR="00DE230E" w:rsidRPr="00F14751">
        <w:rPr>
          <w:rFonts w:asciiTheme="majorHAnsi" w:eastAsiaTheme="minorEastAsia" w:hAnsiTheme="majorHAnsi" w:cs="Times New Roman"/>
          <w:sz w:val="24"/>
          <w:szCs w:val="24"/>
        </w:rPr>
        <w:t>as the independent</w:t>
      </w:r>
      <w:r w:rsidR="00592218" w:rsidRPr="00F14751">
        <w:rPr>
          <w:rFonts w:asciiTheme="majorHAnsi" w:eastAsiaTheme="minorEastAsia" w:hAnsiTheme="majorHAnsi" w:cs="Times New Roman"/>
          <w:sz w:val="24"/>
          <w:szCs w:val="24"/>
        </w:rPr>
        <w:t xml:space="preserve"> or dependent variables in the model and that we need to control for this. So, the country’s error term and the variables are correlated. The FE model removes the effect of those time-invariant characteristics and one can assess the net effect of the explanatory variables on the dependent variable. Furthermore, the time-invariant characteristics are unique to the country and should not be correlated with other countries’ characteristics. Each country is different and therefore the country’s error term and the constant (which captures individual characteristics) should not be correlated with the others. Unlike the FE model, the RE model assumes that the variation across countries is random and uncorrelated with the explanatory variables in the model. It assumes that the country’s error t</w:t>
      </w:r>
      <w:r w:rsidR="00DE230E" w:rsidRPr="00F14751">
        <w:rPr>
          <w:rFonts w:asciiTheme="majorHAnsi" w:eastAsiaTheme="minorEastAsia" w:hAnsiTheme="majorHAnsi" w:cs="Times New Roman"/>
          <w:sz w:val="24"/>
          <w:szCs w:val="24"/>
        </w:rPr>
        <w:t>erm is not correlated with the independent</w:t>
      </w:r>
      <w:r w:rsidR="00592218" w:rsidRPr="00F14751">
        <w:rPr>
          <w:rFonts w:asciiTheme="majorHAnsi" w:eastAsiaTheme="minorEastAsia" w:hAnsiTheme="majorHAnsi" w:cs="Times New Roman"/>
          <w:sz w:val="24"/>
          <w:szCs w:val="24"/>
        </w:rPr>
        <w:t xml:space="preserve"> variables. This allows the time-invariant variables to play a role as explanatory variables. </w:t>
      </w:r>
      <w:r w:rsidR="003B710C" w:rsidRPr="00F14751">
        <w:rPr>
          <w:rFonts w:asciiTheme="majorHAnsi" w:eastAsiaTheme="minorEastAsia" w:hAnsiTheme="majorHAnsi" w:cs="Times New Roman"/>
          <w:sz w:val="24"/>
          <w:szCs w:val="24"/>
        </w:rPr>
        <w:t xml:space="preserve"> </w:t>
      </w:r>
    </w:p>
    <w:p w14:paraId="32852A21" w14:textId="77777777" w:rsidR="00592218" w:rsidRPr="00F14751" w:rsidRDefault="00902BFB"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592218" w:rsidRPr="00F14751">
        <w:rPr>
          <w:rFonts w:asciiTheme="majorHAnsi" w:eastAsiaTheme="minorEastAsia" w:hAnsiTheme="majorHAnsi" w:cs="Times New Roman"/>
          <w:sz w:val="24"/>
          <w:szCs w:val="24"/>
        </w:rPr>
        <w:t xml:space="preserve">We perform a </w:t>
      </w:r>
      <w:proofErr w:type="spellStart"/>
      <w:r w:rsidR="00592218" w:rsidRPr="00F14751">
        <w:rPr>
          <w:rFonts w:asciiTheme="majorHAnsi" w:eastAsiaTheme="minorEastAsia" w:hAnsiTheme="majorHAnsi" w:cs="Times New Roman"/>
          <w:sz w:val="24"/>
          <w:szCs w:val="24"/>
        </w:rPr>
        <w:t>Hausman</w:t>
      </w:r>
      <w:proofErr w:type="spellEnd"/>
      <w:r w:rsidR="00592218" w:rsidRPr="00F14751">
        <w:rPr>
          <w:rFonts w:asciiTheme="majorHAnsi" w:eastAsiaTheme="minorEastAsia" w:hAnsiTheme="majorHAnsi" w:cs="Times New Roman"/>
          <w:sz w:val="24"/>
          <w:szCs w:val="24"/>
        </w:rPr>
        <w:t xml:space="preserve"> test to determine which model (FE or Re) is more relevant and significant in the panel data. The test compares the two models under the null hypothesis that the error terms are uncorrelated with any variables in the model. If the null hypothesis is rejected, the RE model is inconsistent, and the FE model is preferred. If the null hypothesis cannot be rejected, the RE model is preferred because it is a more efficient estimator. The </w:t>
      </w:r>
      <w:proofErr w:type="spellStart"/>
      <w:r w:rsidR="00592218" w:rsidRPr="00F14751">
        <w:rPr>
          <w:rFonts w:asciiTheme="majorHAnsi" w:eastAsiaTheme="minorEastAsia" w:hAnsiTheme="majorHAnsi" w:cs="Times New Roman"/>
          <w:sz w:val="24"/>
          <w:szCs w:val="24"/>
        </w:rPr>
        <w:t>Hausman</w:t>
      </w:r>
      <w:proofErr w:type="spellEnd"/>
      <w:r w:rsidR="00592218" w:rsidRPr="00F14751">
        <w:rPr>
          <w:rFonts w:asciiTheme="majorHAnsi" w:eastAsiaTheme="minorEastAsia" w:hAnsiTheme="majorHAnsi" w:cs="Times New Roman"/>
          <w:sz w:val="24"/>
          <w:szCs w:val="24"/>
        </w:rPr>
        <w:t xml:space="preserve"> test indicates that the error terms are not correlated with any variables in the model. Therefore, the null hypothesis is rejected and the FE model is the preferred model to use.  </w:t>
      </w:r>
    </w:p>
    <w:p w14:paraId="39ADFBD8" w14:textId="77777777" w:rsidR="00636287" w:rsidRPr="00F14751" w:rsidRDefault="00902BFB"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3B710C" w:rsidRPr="00F14751">
        <w:rPr>
          <w:rFonts w:asciiTheme="majorHAnsi" w:eastAsiaTheme="minorEastAsia" w:hAnsiTheme="majorHAnsi" w:cs="Times New Roman"/>
          <w:sz w:val="24"/>
          <w:szCs w:val="24"/>
        </w:rPr>
        <w:t>Because some countries have many more observations than other</w:t>
      </w:r>
      <w:r w:rsidR="006841D9" w:rsidRPr="00F14751">
        <w:rPr>
          <w:rFonts w:asciiTheme="majorHAnsi" w:eastAsiaTheme="minorEastAsia" w:hAnsiTheme="majorHAnsi" w:cs="Times New Roman"/>
          <w:sz w:val="24"/>
          <w:szCs w:val="24"/>
        </w:rPr>
        <w:t>s</w:t>
      </w:r>
      <w:r w:rsidR="003B710C" w:rsidRPr="00F14751">
        <w:rPr>
          <w:rFonts w:asciiTheme="majorHAnsi" w:eastAsiaTheme="minorEastAsia" w:hAnsiTheme="majorHAnsi" w:cs="Times New Roman"/>
          <w:sz w:val="24"/>
          <w:szCs w:val="24"/>
        </w:rPr>
        <w:t xml:space="preserve">, especially with respect to </w:t>
      </w:r>
      <w:r w:rsidR="000E1491" w:rsidRPr="00F14751">
        <w:rPr>
          <w:rFonts w:asciiTheme="majorHAnsi" w:eastAsiaTheme="minorEastAsia" w:hAnsiTheme="majorHAnsi" w:cs="Times New Roman"/>
          <w:sz w:val="24"/>
          <w:szCs w:val="24"/>
        </w:rPr>
        <w:t xml:space="preserve">the </w:t>
      </w:r>
      <w:r w:rsidR="003B710C" w:rsidRPr="00F14751">
        <w:rPr>
          <w:rFonts w:asciiTheme="majorHAnsi" w:eastAsiaTheme="minorEastAsia" w:hAnsiTheme="majorHAnsi" w:cs="Times New Roman"/>
          <w:sz w:val="24"/>
          <w:szCs w:val="24"/>
        </w:rPr>
        <w:t xml:space="preserve">poverty and inequality data, the panel is unbalanced. However, since we use the </w:t>
      </w:r>
      <w:r w:rsidR="00B547E3" w:rsidRPr="00F14751">
        <w:rPr>
          <w:rFonts w:asciiTheme="majorHAnsi" w:eastAsiaTheme="minorEastAsia" w:hAnsiTheme="majorHAnsi" w:cs="Times New Roman"/>
          <w:sz w:val="24"/>
          <w:szCs w:val="24"/>
        </w:rPr>
        <w:t>FE</w:t>
      </w:r>
      <w:r w:rsidR="003B710C" w:rsidRPr="00F14751">
        <w:rPr>
          <w:rFonts w:asciiTheme="majorHAnsi" w:eastAsiaTheme="minorEastAsia" w:hAnsiTheme="majorHAnsi" w:cs="Times New Roman"/>
          <w:sz w:val="24"/>
          <w:szCs w:val="24"/>
        </w:rPr>
        <w:t xml:space="preserve"> model, we adjust for unobserved fixed country effects and this should not affect the estimated values of the coefficients.  </w:t>
      </w:r>
    </w:p>
    <w:p w14:paraId="62A36EB9" w14:textId="77777777" w:rsidR="00592218" w:rsidRPr="00F14751" w:rsidRDefault="00592218" w:rsidP="00C8508E">
      <w:pPr>
        <w:pStyle w:val="NoSpacing"/>
        <w:spacing w:line="360" w:lineRule="auto"/>
        <w:ind w:firstLine="708"/>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 xml:space="preserve">Next, we perform a Wald test in order to see if time fixed effects are needed </w:t>
      </w:r>
      <w:r w:rsidR="00DE230E" w:rsidRPr="00F14751">
        <w:rPr>
          <w:rFonts w:asciiTheme="majorHAnsi" w:eastAsiaTheme="minorEastAsia" w:hAnsiTheme="majorHAnsi" w:cs="Times New Roman"/>
          <w:sz w:val="24"/>
          <w:szCs w:val="24"/>
        </w:rPr>
        <w:t>in</w:t>
      </w:r>
      <w:r w:rsidRPr="00F14751">
        <w:rPr>
          <w:rFonts w:asciiTheme="majorHAnsi" w:eastAsiaTheme="minorEastAsia" w:hAnsiTheme="majorHAnsi" w:cs="Times New Roman"/>
          <w:sz w:val="24"/>
          <w:szCs w:val="24"/>
        </w:rPr>
        <w:t xml:space="preserve"> the FE model. The Wald test is a joint test to see if the dummies for all years are equal to 0. If they are, no time fixed effects are needed and it is not necessary to control for overall time trends. However, the Wald test indicates that the dummies for all years are not equal to 0. Therefore, time fixed effects will be included to control for overall time trends.</w:t>
      </w:r>
    </w:p>
    <w:p w14:paraId="32DBA692" w14:textId="77777777" w:rsidR="003B710C" w:rsidRPr="00F14751" w:rsidRDefault="00902BFB" w:rsidP="00C8508E">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592218" w:rsidRPr="00F14751">
        <w:rPr>
          <w:rFonts w:asciiTheme="majorHAnsi" w:eastAsiaTheme="minorEastAsia" w:hAnsiTheme="majorHAnsi" w:cs="Times New Roman"/>
          <w:sz w:val="24"/>
          <w:szCs w:val="24"/>
        </w:rPr>
        <w:t>Finally, another Wald test is performed to test for heteroskedasticity in the residuals of the FE model. The Wald test tests the hypothesis that the residuals in the FE model have the same variance (homoscedasticity). The alternative hypothesis is that the residuals do not have the same variance and vary across countries (heteroskedasticity). The Wald test rejects the null hypothesis and concludes there is heteroskedasticity in the residuals in the FE model. We use robust standard errors to control for heteroskedasticity.</w:t>
      </w:r>
    </w:p>
    <w:p w14:paraId="08078054" w14:textId="77777777" w:rsidR="006F5842" w:rsidRDefault="00902BFB" w:rsidP="006F5842">
      <w:pPr>
        <w:pStyle w:val="NoSpacing"/>
        <w:spacing w:line="360" w:lineRule="auto"/>
        <w:jc w:val="both"/>
        <w:rPr>
          <w:rFonts w:asciiTheme="majorHAnsi" w:eastAsiaTheme="minorEastAsia" w:hAnsiTheme="majorHAnsi" w:cs="Times New Roman"/>
          <w:sz w:val="24"/>
          <w:szCs w:val="24"/>
        </w:rPr>
      </w:pPr>
      <w:r w:rsidRPr="00F14751">
        <w:rPr>
          <w:rFonts w:asciiTheme="majorHAnsi" w:eastAsiaTheme="minorEastAsia" w:hAnsiTheme="majorHAnsi" w:cs="Times New Roman"/>
          <w:sz w:val="24"/>
          <w:szCs w:val="24"/>
        </w:rPr>
        <w:tab/>
      </w:r>
      <w:r w:rsidR="00846443" w:rsidRPr="00F14751">
        <w:rPr>
          <w:rFonts w:asciiTheme="majorHAnsi" w:eastAsiaTheme="minorEastAsia" w:hAnsiTheme="majorHAnsi" w:cs="Times New Roman"/>
          <w:sz w:val="24"/>
          <w:szCs w:val="24"/>
        </w:rPr>
        <w:t xml:space="preserve">The 13 </w:t>
      </w:r>
      <w:r w:rsidR="00DB2ADE" w:rsidRPr="00F14751">
        <w:rPr>
          <w:rFonts w:asciiTheme="majorHAnsi" w:eastAsiaTheme="minorEastAsia" w:hAnsiTheme="majorHAnsi" w:cs="Times New Roman"/>
          <w:sz w:val="24"/>
          <w:szCs w:val="24"/>
        </w:rPr>
        <w:t xml:space="preserve">Latin American </w:t>
      </w:r>
      <w:r w:rsidR="00846443" w:rsidRPr="00F14751">
        <w:rPr>
          <w:rFonts w:asciiTheme="majorHAnsi" w:eastAsiaTheme="minorEastAsia" w:hAnsiTheme="majorHAnsi" w:cs="Times New Roman"/>
          <w:sz w:val="24"/>
          <w:szCs w:val="24"/>
        </w:rPr>
        <w:t>countries in our sample differ with respect to poverty and inequality. Some countries are far below the sample’s average, while others are far above the average of the sample.</w:t>
      </w:r>
      <w:r w:rsidR="00F72599" w:rsidRPr="00F14751">
        <w:rPr>
          <w:rFonts w:asciiTheme="majorHAnsi" w:eastAsiaTheme="minorEastAsia" w:hAnsiTheme="majorHAnsi" w:cs="Times New Roman"/>
          <w:sz w:val="24"/>
          <w:szCs w:val="24"/>
        </w:rPr>
        <w:t xml:space="preserve"> As we noted earlier,</w:t>
      </w:r>
      <w:r w:rsidR="00CD0C04" w:rsidRPr="00F14751">
        <w:rPr>
          <w:rFonts w:asciiTheme="majorHAnsi" w:eastAsiaTheme="minorEastAsia" w:hAnsiTheme="majorHAnsi" w:cs="Times New Roman"/>
          <w:sz w:val="24"/>
          <w:szCs w:val="24"/>
        </w:rPr>
        <w:t xml:space="preserve"> the level</w:t>
      </w:r>
      <w:r w:rsidR="00DB2ADE" w:rsidRPr="00F14751">
        <w:rPr>
          <w:rFonts w:asciiTheme="majorHAnsi" w:eastAsiaTheme="minorEastAsia" w:hAnsiTheme="majorHAnsi" w:cs="Times New Roman"/>
          <w:sz w:val="24"/>
          <w:szCs w:val="24"/>
        </w:rPr>
        <w:t>s</w:t>
      </w:r>
      <w:r w:rsidR="00CD0C04" w:rsidRPr="00F14751">
        <w:rPr>
          <w:rFonts w:asciiTheme="majorHAnsi" w:eastAsiaTheme="minorEastAsia" w:hAnsiTheme="majorHAnsi" w:cs="Times New Roman"/>
          <w:sz w:val="24"/>
          <w:szCs w:val="24"/>
        </w:rPr>
        <w:t xml:space="preserve"> of</w:t>
      </w:r>
      <w:r w:rsidR="00F72599" w:rsidRPr="00F14751">
        <w:rPr>
          <w:rFonts w:asciiTheme="majorHAnsi" w:eastAsiaTheme="minorEastAsia" w:hAnsiTheme="majorHAnsi" w:cs="Times New Roman"/>
          <w:sz w:val="24"/>
          <w:szCs w:val="24"/>
        </w:rPr>
        <w:t xml:space="preserve"> inequality</w:t>
      </w:r>
      <w:r w:rsidR="00CD0C04" w:rsidRPr="00F14751">
        <w:rPr>
          <w:rFonts w:asciiTheme="majorHAnsi" w:eastAsiaTheme="minorEastAsia" w:hAnsiTheme="majorHAnsi" w:cs="Times New Roman"/>
          <w:sz w:val="24"/>
          <w:szCs w:val="24"/>
        </w:rPr>
        <w:t xml:space="preserve"> and poverty</w:t>
      </w:r>
      <w:r w:rsidR="00F72599" w:rsidRPr="00F14751">
        <w:rPr>
          <w:rFonts w:asciiTheme="majorHAnsi" w:eastAsiaTheme="minorEastAsia" w:hAnsiTheme="majorHAnsi" w:cs="Times New Roman"/>
          <w:sz w:val="24"/>
          <w:szCs w:val="24"/>
        </w:rPr>
        <w:t xml:space="preserve"> </w:t>
      </w:r>
      <w:r w:rsidR="00DB2ADE" w:rsidRPr="00F14751">
        <w:rPr>
          <w:rFonts w:asciiTheme="majorHAnsi" w:eastAsiaTheme="minorEastAsia" w:hAnsiTheme="majorHAnsi" w:cs="Times New Roman"/>
          <w:sz w:val="24"/>
          <w:szCs w:val="24"/>
        </w:rPr>
        <w:t>are</w:t>
      </w:r>
      <w:r w:rsidR="00F72599" w:rsidRPr="00F14751">
        <w:rPr>
          <w:rFonts w:asciiTheme="majorHAnsi" w:eastAsiaTheme="minorEastAsia" w:hAnsiTheme="majorHAnsi" w:cs="Times New Roman"/>
          <w:sz w:val="24"/>
          <w:szCs w:val="24"/>
        </w:rPr>
        <w:t xml:space="preserve"> important </w:t>
      </w:r>
      <w:r w:rsidR="00DB2ADE" w:rsidRPr="00F14751">
        <w:rPr>
          <w:rFonts w:asciiTheme="majorHAnsi" w:eastAsiaTheme="minorEastAsia" w:hAnsiTheme="majorHAnsi" w:cs="Times New Roman"/>
          <w:sz w:val="24"/>
          <w:szCs w:val="24"/>
        </w:rPr>
        <w:t>determinants in</w:t>
      </w:r>
      <w:r w:rsidR="00F72599" w:rsidRPr="00F14751">
        <w:rPr>
          <w:rFonts w:asciiTheme="majorHAnsi" w:eastAsiaTheme="minorEastAsia" w:hAnsiTheme="majorHAnsi" w:cs="Times New Roman"/>
          <w:sz w:val="24"/>
          <w:szCs w:val="24"/>
        </w:rPr>
        <w:t xml:space="preserve"> the reduction of poverty, and eventually in the reduction of inequality. </w:t>
      </w:r>
      <w:r w:rsidR="00DB2ADE" w:rsidRPr="00F14751">
        <w:rPr>
          <w:rFonts w:asciiTheme="majorHAnsi" w:eastAsiaTheme="minorEastAsia" w:hAnsiTheme="majorHAnsi" w:cs="Times New Roman"/>
          <w:sz w:val="24"/>
          <w:szCs w:val="24"/>
        </w:rPr>
        <w:t>In order to evaluate the effects of structural reforms in these different countries, we divide the sample into two groups of five countries each. The first group consists of countries that have (on average)</w:t>
      </w:r>
      <w:r w:rsidR="001B3F3D" w:rsidRPr="00F14751">
        <w:rPr>
          <w:rFonts w:asciiTheme="majorHAnsi" w:eastAsiaTheme="minorEastAsia" w:hAnsiTheme="majorHAnsi" w:cs="Times New Roman"/>
          <w:sz w:val="24"/>
          <w:szCs w:val="24"/>
        </w:rPr>
        <w:t xml:space="preserve"> </w:t>
      </w:r>
      <w:r w:rsidR="00D3672E" w:rsidRPr="00F14751">
        <w:rPr>
          <w:rFonts w:asciiTheme="majorHAnsi" w:eastAsiaTheme="minorEastAsia" w:hAnsiTheme="majorHAnsi" w:cs="Times New Roman"/>
          <w:sz w:val="24"/>
          <w:szCs w:val="24"/>
        </w:rPr>
        <w:t xml:space="preserve">the </w:t>
      </w:r>
      <w:r w:rsidR="00DB2ADE" w:rsidRPr="00F14751">
        <w:rPr>
          <w:rFonts w:asciiTheme="majorHAnsi" w:eastAsiaTheme="minorEastAsia" w:hAnsiTheme="majorHAnsi" w:cs="Times New Roman"/>
          <w:sz w:val="24"/>
          <w:szCs w:val="24"/>
        </w:rPr>
        <w:t>high</w:t>
      </w:r>
      <w:r w:rsidR="00D3672E" w:rsidRPr="00F14751">
        <w:rPr>
          <w:rFonts w:asciiTheme="majorHAnsi" w:eastAsiaTheme="minorEastAsia" w:hAnsiTheme="majorHAnsi" w:cs="Times New Roman"/>
          <w:sz w:val="24"/>
          <w:szCs w:val="24"/>
        </w:rPr>
        <w:t>est</w:t>
      </w:r>
      <w:r w:rsidR="00DB2ADE" w:rsidRPr="00F14751">
        <w:rPr>
          <w:rFonts w:asciiTheme="majorHAnsi" w:eastAsiaTheme="minorEastAsia" w:hAnsiTheme="majorHAnsi" w:cs="Times New Roman"/>
          <w:sz w:val="24"/>
          <w:szCs w:val="24"/>
        </w:rPr>
        <w:t xml:space="preserve"> </w:t>
      </w:r>
      <w:r w:rsidR="001B3F3D" w:rsidRPr="00F14751">
        <w:rPr>
          <w:rFonts w:asciiTheme="majorHAnsi" w:eastAsiaTheme="minorEastAsia" w:hAnsiTheme="majorHAnsi" w:cs="Times New Roman"/>
          <w:sz w:val="24"/>
          <w:szCs w:val="24"/>
        </w:rPr>
        <w:t xml:space="preserve">rates of both poverty and </w:t>
      </w:r>
      <w:r w:rsidR="00DB2ADE" w:rsidRPr="00F14751">
        <w:rPr>
          <w:rFonts w:asciiTheme="majorHAnsi" w:eastAsiaTheme="minorEastAsia" w:hAnsiTheme="majorHAnsi" w:cs="Times New Roman"/>
          <w:sz w:val="24"/>
          <w:szCs w:val="24"/>
        </w:rPr>
        <w:t>inequality</w:t>
      </w:r>
      <w:r w:rsidR="00D3672E" w:rsidRPr="00F14751">
        <w:rPr>
          <w:rFonts w:asciiTheme="majorHAnsi" w:eastAsiaTheme="minorEastAsia" w:hAnsiTheme="majorHAnsi" w:cs="Times New Roman"/>
          <w:sz w:val="24"/>
          <w:szCs w:val="24"/>
        </w:rPr>
        <w:t xml:space="preserve"> in the sample</w:t>
      </w:r>
      <w:r w:rsidR="00DB2ADE" w:rsidRPr="00F14751">
        <w:rPr>
          <w:rFonts w:asciiTheme="majorHAnsi" w:eastAsiaTheme="minorEastAsia" w:hAnsiTheme="majorHAnsi" w:cs="Times New Roman"/>
          <w:sz w:val="24"/>
          <w:szCs w:val="24"/>
        </w:rPr>
        <w:t>. These countries are Guatemala, Bolivia, Brazil, Colombia and Ecuador. The second group comprises countries that have (on average)</w:t>
      </w:r>
      <w:r w:rsidR="00D3672E" w:rsidRPr="00F14751">
        <w:rPr>
          <w:rFonts w:asciiTheme="majorHAnsi" w:eastAsiaTheme="minorEastAsia" w:hAnsiTheme="majorHAnsi" w:cs="Times New Roman"/>
          <w:sz w:val="24"/>
          <w:szCs w:val="24"/>
        </w:rPr>
        <w:t xml:space="preserve"> the </w:t>
      </w:r>
      <w:r w:rsidR="00DB2ADE" w:rsidRPr="00F14751">
        <w:rPr>
          <w:rFonts w:asciiTheme="majorHAnsi" w:eastAsiaTheme="minorEastAsia" w:hAnsiTheme="majorHAnsi" w:cs="Times New Roman"/>
          <w:sz w:val="24"/>
          <w:szCs w:val="24"/>
        </w:rPr>
        <w:t>low</w:t>
      </w:r>
      <w:r w:rsidR="00D3672E" w:rsidRPr="00F14751">
        <w:rPr>
          <w:rFonts w:asciiTheme="majorHAnsi" w:eastAsiaTheme="minorEastAsia" w:hAnsiTheme="majorHAnsi" w:cs="Times New Roman"/>
          <w:sz w:val="24"/>
          <w:szCs w:val="24"/>
        </w:rPr>
        <w:t>est</w:t>
      </w:r>
      <w:r w:rsidR="00DB2ADE" w:rsidRPr="00F14751">
        <w:rPr>
          <w:rFonts w:asciiTheme="majorHAnsi" w:eastAsiaTheme="minorEastAsia" w:hAnsiTheme="majorHAnsi" w:cs="Times New Roman"/>
          <w:sz w:val="24"/>
          <w:szCs w:val="24"/>
        </w:rPr>
        <w:t xml:space="preserve"> </w:t>
      </w:r>
      <w:r w:rsidR="001B3F3D" w:rsidRPr="00F14751">
        <w:rPr>
          <w:rFonts w:asciiTheme="majorHAnsi" w:eastAsiaTheme="minorEastAsia" w:hAnsiTheme="majorHAnsi" w:cs="Times New Roman"/>
          <w:sz w:val="24"/>
          <w:szCs w:val="24"/>
        </w:rPr>
        <w:t xml:space="preserve">rates of both </w:t>
      </w:r>
      <w:r w:rsidR="00DB2ADE" w:rsidRPr="00F14751">
        <w:rPr>
          <w:rFonts w:asciiTheme="majorHAnsi" w:eastAsiaTheme="minorEastAsia" w:hAnsiTheme="majorHAnsi" w:cs="Times New Roman"/>
          <w:sz w:val="24"/>
          <w:szCs w:val="24"/>
        </w:rPr>
        <w:t>poverty and inequality</w:t>
      </w:r>
      <w:r w:rsidR="00D3672E" w:rsidRPr="00F14751">
        <w:rPr>
          <w:rFonts w:asciiTheme="majorHAnsi" w:eastAsiaTheme="minorEastAsia" w:hAnsiTheme="majorHAnsi" w:cs="Times New Roman"/>
          <w:sz w:val="24"/>
          <w:szCs w:val="24"/>
        </w:rPr>
        <w:t xml:space="preserve"> in the sample</w:t>
      </w:r>
      <w:r w:rsidR="00DB2ADE" w:rsidRPr="00F14751">
        <w:rPr>
          <w:rFonts w:asciiTheme="majorHAnsi" w:eastAsiaTheme="minorEastAsia" w:hAnsiTheme="majorHAnsi" w:cs="Times New Roman"/>
          <w:sz w:val="24"/>
          <w:szCs w:val="24"/>
        </w:rPr>
        <w:t xml:space="preserve">. These countries are Uruguay, Chile, Costa Rica, Mexico and </w:t>
      </w:r>
      <w:r w:rsidR="001B3F3D" w:rsidRPr="00F14751">
        <w:rPr>
          <w:rFonts w:asciiTheme="majorHAnsi" w:eastAsiaTheme="minorEastAsia" w:hAnsiTheme="majorHAnsi" w:cs="Times New Roman"/>
          <w:sz w:val="24"/>
          <w:szCs w:val="24"/>
        </w:rPr>
        <w:t xml:space="preserve">the </w:t>
      </w:r>
      <w:r w:rsidR="00DB2ADE" w:rsidRPr="00F14751">
        <w:rPr>
          <w:rFonts w:asciiTheme="majorHAnsi" w:eastAsiaTheme="minorEastAsia" w:hAnsiTheme="majorHAnsi" w:cs="Times New Roman"/>
          <w:sz w:val="24"/>
          <w:szCs w:val="24"/>
        </w:rPr>
        <w:t xml:space="preserve">Dominican Republic. </w:t>
      </w:r>
      <w:r w:rsidR="004B6787" w:rsidRPr="00F14751">
        <w:rPr>
          <w:rFonts w:asciiTheme="majorHAnsi" w:eastAsiaTheme="minorEastAsia" w:hAnsiTheme="majorHAnsi" w:cs="Times New Roman"/>
          <w:sz w:val="24"/>
          <w:szCs w:val="24"/>
        </w:rPr>
        <w:t xml:space="preserve">The same strategy will </w:t>
      </w:r>
      <w:r w:rsidR="00772A85" w:rsidRPr="00F14751">
        <w:rPr>
          <w:rFonts w:asciiTheme="majorHAnsi" w:eastAsiaTheme="minorEastAsia" w:hAnsiTheme="majorHAnsi" w:cs="Times New Roman"/>
          <w:sz w:val="24"/>
          <w:szCs w:val="24"/>
        </w:rPr>
        <w:t>be applied to these two groups in order to examine the effects of structural reforms on poverty and inequality.</w:t>
      </w:r>
    </w:p>
    <w:p w14:paraId="0E45284C" w14:textId="77777777" w:rsidR="006F5842" w:rsidRDefault="006F5842" w:rsidP="006F5842">
      <w:pPr>
        <w:pStyle w:val="NoSpacing"/>
        <w:spacing w:line="360" w:lineRule="auto"/>
        <w:jc w:val="both"/>
        <w:rPr>
          <w:rFonts w:asciiTheme="majorHAnsi" w:eastAsiaTheme="minorEastAsia" w:hAnsiTheme="majorHAnsi" w:cs="Times New Roman"/>
          <w:sz w:val="24"/>
          <w:szCs w:val="24"/>
        </w:rPr>
      </w:pPr>
    </w:p>
    <w:p w14:paraId="118F74BD" w14:textId="77777777" w:rsidR="009824F5" w:rsidRDefault="009824F5">
      <w:pPr>
        <w:rPr>
          <w:rFonts w:asciiTheme="majorHAnsi" w:hAnsiTheme="majorHAnsi"/>
          <w:b/>
          <w:sz w:val="28"/>
          <w:szCs w:val="24"/>
        </w:rPr>
      </w:pPr>
      <w:r>
        <w:rPr>
          <w:rFonts w:asciiTheme="majorHAnsi" w:hAnsiTheme="majorHAnsi"/>
          <w:b/>
          <w:sz w:val="28"/>
          <w:szCs w:val="24"/>
        </w:rPr>
        <w:br w:type="page"/>
      </w:r>
    </w:p>
    <w:p w14:paraId="6FDFB8B9" w14:textId="3562276E" w:rsidR="00592218" w:rsidRPr="006F5842" w:rsidRDefault="00592218" w:rsidP="006F5842">
      <w:pPr>
        <w:pStyle w:val="NoSpacing"/>
        <w:spacing w:line="360" w:lineRule="auto"/>
        <w:jc w:val="both"/>
        <w:rPr>
          <w:rFonts w:asciiTheme="majorHAnsi" w:eastAsiaTheme="minorEastAsia" w:hAnsiTheme="majorHAnsi" w:cs="Times New Roman"/>
          <w:sz w:val="24"/>
          <w:szCs w:val="24"/>
        </w:rPr>
      </w:pPr>
      <w:r w:rsidRPr="00F14751">
        <w:rPr>
          <w:rFonts w:asciiTheme="majorHAnsi" w:hAnsiTheme="majorHAnsi"/>
          <w:b/>
          <w:sz w:val="28"/>
          <w:szCs w:val="24"/>
        </w:rPr>
        <w:t xml:space="preserve">6. Estimation Results </w:t>
      </w:r>
    </w:p>
    <w:p w14:paraId="74BE7CE0" w14:textId="77777777" w:rsidR="00592218" w:rsidRPr="00F14751" w:rsidRDefault="00592218" w:rsidP="00C8508E">
      <w:pPr>
        <w:pStyle w:val="NoSpacing"/>
        <w:spacing w:line="360" w:lineRule="auto"/>
        <w:jc w:val="both"/>
        <w:rPr>
          <w:rFonts w:asciiTheme="majorHAnsi" w:hAnsiTheme="majorHAnsi"/>
          <w:sz w:val="24"/>
          <w:szCs w:val="24"/>
        </w:rPr>
      </w:pPr>
    </w:p>
    <w:p w14:paraId="4AC99E54" w14:textId="71809F7D" w:rsidR="0054568F" w:rsidRPr="00F14751" w:rsidRDefault="00592218"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This section presents the estimation results of the</w:t>
      </w:r>
      <w:r w:rsidR="00A04ECC" w:rsidRPr="00F14751">
        <w:rPr>
          <w:rFonts w:asciiTheme="majorHAnsi" w:hAnsiTheme="majorHAnsi"/>
          <w:sz w:val="24"/>
          <w:szCs w:val="24"/>
        </w:rPr>
        <w:t xml:space="preserve"> aforementioned regression mode</w:t>
      </w:r>
      <w:r w:rsidR="0092114D" w:rsidRPr="00F14751">
        <w:rPr>
          <w:rFonts w:asciiTheme="majorHAnsi" w:hAnsiTheme="majorHAnsi"/>
          <w:sz w:val="24"/>
          <w:szCs w:val="24"/>
        </w:rPr>
        <w:t>l</w:t>
      </w:r>
      <w:r w:rsidRPr="00F14751">
        <w:rPr>
          <w:rFonts w:asciiTheme="majorHAnsi" w:hAnsiTheme="majorHAnsi"/>
          <w:sz w:val="24"/>
          <w:szCs w:val="24"/>
        </w:rPr>
        <w:t xml:space="preserve">. </w:t>
      </w:r>
      <w:r w:rsidR="0054568F" w:rsidRPr="00F14751">
        <w:rPr>
          <w:rFonts w:asciiTheme="majorHAnsi" w:hAnsiTheme="majorHAnsi"/>
          <w:sz w:val="24"/>
          <w:szCs w:val="24"/>
        </w:rPr>
        <w:t>First, we will di</w:t>
      </w:r>
      <w:r w:rsidR="00F4637F">
        <w:rPr>
          <w:rFonts w:asciiTheme="majorHAnsi" w:hAnsiTheme="majorHAnsi"/>
          <w:sz w:val="24"/>
          <w:szCs w:val="24"/>
        </w:rPr>
        <w:t>scuss the results using the comp</w:t>
      </w:r>
      <w:r w:rsidR="0054568F" w:rsidRPr="00F14751">
        <w:rPr>
          <w:rFonts w:asciiTheme="majorHAnsi" w:hAnsiTheme="majorHAnsi"/>
          <w:sz w:val="24"/>
          <w:szCs w:val="24"/>
        </w:rPr>
        <w:t xml:space="preserve">lete sample. Thereafter, the results for the two groups will be discussed. </w:t>
      </w:r>
      <w:r w:rsidR="00F4637F">
        <w:rPr>
          <w:rFonts w:asciiTheme="majorHAnsi" w:hAnsiTheme="majorHAnsi"/>
          <w:sz w:val="24"/>
          <w:szCs w:val="24"/>
        </w:rPr>
        <w:t>In general we first</w:t>
      </w:r>
      <w:r w:rsidR="008A3602">
        <w:rPr>
          <w:rFonts w:asciiTheme="majorHAnsi" w:hAnsiTheme="majorHAnsi"/>
          <w:sz w:val="24"/>
          <w:szCs w:val="24"/>
        </w:rPr>
        <w:t xml:space="preserve"> </w:t>
      </w:r>
      <w:r w:rsidR="0054568F" w:rsidRPr="00F14751">
        <w:rPr>
          <w:rFonts w:asciiTheme="majorHAnsi" w:hAnsiTheme="majorHAnsi"/>
          <w:sz w:val="24"/>
          <w:szCs w:val="24"/>
        </w:rPr>
        <w:t xml:space="preserve">focus on </w:t>
      </w:r>
      <w:r w:rsidR="00377FC6" w:rsidRPr="00F14751">
        <w:rPr>
          <w:rFonts w:asciiTheme="majorHAnsi" w:hAnsiTheme="majorHAnsi"/>
          <w:sz w:val="24"/>
          <w:szCs w:val="24"/>
        </w:rPr>
        <w:t>the general effects of the structural reforms</w:t>
      </w:r>
      <w:r w:rsidR="00F4637F">
        <w:rPr>
          <w:rFonts w:asciiTheme="majorHAnsi" w:hAnsiTheme="majorHAnsi"/>
          <w:sz w:val="24"/>
          <w:szCs w:val="24"/>
        </w:rPr>
        <w:t xml:space="preserve"> and the</w:t>
      </w:r>
      <w:r w:rsidR="003F76EE">
        <w:rPr>
          <w:rFonts w:asciiTheme="majorHAnsi" w:hAnsiTheme="majorHAnsi"/>
          <w:sz w:val="24"/>
          <w:szCs w:val="24"/>
        </w:rPr>
        <w:t>n</w:t>
      </w:r>
      <w:r w:rsidR="00F4637F">
        <w:rPr>
          <w:rFonts w:asciiTheme="majorHAnsi" w:hAnsiTheme="majorHAnsi"/>
          <w:sz w:val="24"/>
          <w:szCs w:val="24"/>
        </w:rPr>
        <w:t xml:space="preserve"> </w:t>
      </w:r>
      <w:r w:rsidR="00377FC6" w:rsidRPr="00F14751">
        <w:rPr>
          <w:rFonts w:asciiTheme="majorHAnsi" w:hAnsiTheme="majorHAnsi"/>
          <w:sz w:val="24"/>
          <w:szCs w:val="24"/>
        </w:rPr>
        <w:t>look at the effects of each individual reform area.</w:t>
      </w:r>
    </w:p>
    <w:p w14:paraId="33CBC738" w14:textId="77777777" w:rsidR="00916A89" w:rsidRPr="00F14751" w:rsidRDefault="00916A89" w:rsidP="00C8508E">
      <w:pPr>
        <w:pStyle w:val="NoSpacing"/>
        <w:spacing w:line="360" w:lineRule="auto"/>
        <w:jc w:val="both"/>
        <w:rPr>
          <w:rFonts w:asciiTheme="majorHAnsi" w:hAnsiTheme="majorHAnsi"/>
          <w:sz w:val="24"/>
          <w:szCs w:val="24"/>
        </w:rPr>
      </w:pPr>
    </w:p>
    <w:p w14:paraId="2BA68CDB" w14:textId="77777777" w:rsidR="00592218" w:rsidRPr="00154D4B" w:rsidRDefault="00916A89" w:rsidP="00C8508E">
      <w:pPr>
        <w:pStyle w:val="NoSpacing"/>
        <w:spacing w:line="360" w:lineRule="auto"/>
        <w:jc w:val="both"/>
        <w:rPr>
          <w:rFonts w:asciiTheme="majorHAnsi" w:hAnsiTheme="majorHAnsi"/>
          <w:b/>
          <w:sz w:val="24"/>
          <w:szCs w:val="24"/>
        </w:rPr>
      </w:pPr>
      <w:r w:rsidRPr="00154D4B">
        <w:rPr>
          <w:rFonts w:asciiTheme="majorHAnsi" w:hAnsiTheme="majorHAnsi"/>
          <w:b/>
          <w:sz w:val="24"/>
          <w:szCs w:val="24"/>
        </w:rPr>
        <w:t xml:space="preserve">6.1 </w:t>
      </w:r>
      <w:r w:rsidR="00154D4B" w:rsidRPr="00154D4B">
        <w:rPr>
          <w:rFonts w:asciiTheme="majorHAnsi" w:hAnsiTheme="majorHAnsi" w:cs="Times New Roman"/>
          <w:b/>
          <w:sz w:val="24"/>
        </w:rPr>
        <w:t>Results for the Complete Sample</w:t>
      </w:r>
      <w:r w:rsidR="00154D4B" w:rsidRPr="00154D4B">
        <w:rPr>
          <w:rFonts w:asciiTheme="majorHAnsi" w:hAnsiTheme="majorHAnsi" w:cs="Times New Roman"/>
          <w:b/>
          <w:sz w:val="24"/>
        </w:rPr>
        <w:tab/>
      </w:r>
    </w:p>
    <w:p w14:paraId="205D17CE" w14:textId="36276DFB" w:rsidR="00233455" w:rsidRPr="00027F9C" w:rsidRDefault="005F6BCC" w:rsidP="00233455">
      <w:pPr>
        <w:pStyle w:val="NoSpacing"/>
        <w:spacing w:line="360" w:lineRule="auto"/>
        <w:jc w:val="both"/>
        <w:rPr>
          <w:rFonts w:asciiTheme="majorHAnsi" w:hAnsiTheme="majorHAnsi"/>
          <w:sz w:val="24"/>
          <w:szCs w:val="24"/>
          <w:u w:val="single"/>
        </w:rPr>
      </w:pPr>
      <w:r w:rsidRPr="00F14751">
        <w:rPr>
          <w:rFonts w:asciiTheme="majorHAnsi" w:hAnsiTheme="majorHAnsi"/>
          <w:sz w:val="24"/>
          <w:szCs w:val="24"/>
        </w:rPr>
        <w:t>Table 4 presents the results for the relationship between structural reforms and poverty.</w:t>
      </w:r>
      <w:r>
        <w:rPr>
          <w:rFonts w:asciiTheme="majorHAnsi" w:hAnsiTheme="majorHAnsi"/>
          <w:sz w:val="24"/>
          <w:szCs w:val="24"/>
        </w:rPr>
        <w:t xml:space="preserve"> Structural reforms, in general, have a significant positive effect on both the extent and depth of poverty. For instance, </w:t>
      </w:r>
      <w:r w:rsidRPr="00F14751">
        <w:rPr>
          <w:rFonts w:asciiTheme="majorHAnsi" w:hAnsiTheme="majorHAnsi"/>
          <w:sz w:val="24"/>
          <w:szCs w:val="24"/>
        </w:rPr>
        <w:t xml:space="preserve">the estimation result in the column </w:t>
      </w:r>
      <w:r w:rsidR="00233455">
        <w:rPr>
          <w:rFonts w:asciiTheme="majorHAnsi" w:hAnsiTheme="majorHAnsi"/>
          <w:sz w:val="24"/>
          <w:szCs w:val="24"/>
        </w:rPr>
        <w:t>1 show</w:t>
      </w:r>
      <w:r w:rsidRPr="00F14751">
        <w:rPr>
          <w:rFonts w:asciiTheme="majorHAnsi" w:hAnsiTheme="majorHAnsi"/>
          <w:sz w:val="24"/>
          <w:szCs w:val="24"/>
        </w:rPr>
        <w:t xml:space="preserve"> that for a one unit increase (on a scale from 0 to 100) in the structural reform index, the share of the population living on less than $2 a day increases with 0.273 percent-points, ceteris paribus</w:t>
      </w:r>
      <w:r>
        <w:rPr>
          <w:rFonts w:asciiTheme="majorHAnsi" w:hAnsiTheme="majorHAnsi"/>
          <w:sz w:val="24"/>
          <w:szCs w:val="24"/>
        </w:rPr>
        <w:t xml:space="preserve">. </w:t>
      </w:r>
      <w:r w:rsidR="00233455">
        <w:rPr>
          <w:rFonts w:asciiTheme="majorHAnsi" w:hAnsiTheme="majorHAnsi"/>
          <w:sz w:val="24"/>
          <w:szCs w:val="24"/>
        </w:rPr>
        <w:t xml:space="preserve">Column 3 shows </w:t>
      </w:r>
      <w:r w:rsidR="00233455" w:rsidRPr="00F14751">
        <w:rPr>
          <w:rFonts w:asciiTheme="majorHAnsi" w:hAnsiTheme="majorHAnsi"/>
          <w:sz w:val="24"/>
          <w:szCs w:val="24"/>
        </w:rPr>
        <w:t xml:space="preserve">that for a one unit increase in </w:t>
      </w:r>
      <w:r w:rsidR="00233455" w:rsidRPr="00F14751">
        <w:rPr>
          <w:rFonts w:asciiTheme="majorHAnsi" w:hAnsiTheme="majorHAnsi"/>
          <w:i/>
          <w:sz w:val="24"/>
          <w:szCs w:val="24"/>
        </w:rPr>
        <w:t>SRI,</w:t>
      </w:r>
      <w:r w:rsidR="00233455" w:rsidRPr="00F14751">
        <w:rPr>
          <w:rFonts w:asciiTheme="majorHAnsi" w:hAnsiTheme="majorHAnsi"/>
          <w:sz w:val="24"/>
          <w:szCs w:val="24"/>
        </w:rPr>
        <w:t xml:space="preserve"> the </w:t>
      </w:r>
      <w:r w:rsidR="00233455" w:rsidRPr="00F14751">
        <w:rPr>
          <w:rFonts w:asciiTheme="majorHAnsi" w:hAnsiTheme="majorHAnsi" w:cs="Times New Roman"/>
          <w:sz w:val="24"/>
          <w:szCs w:val="24"/>
        </w:rPr>
        <w:t>transfer of income to the poor that would be necessary to eliminate poverty, assuming the $2 poverty line, increases with 0.172 percent-points, ceteris paribus</w:t>
      </w:r>
      <w:r w:rsidR="00233455">
        <w:rPr>
          <w:rFonts w:asciiTheme="majorHAnsi" w:hAnsiTheme="majorHAnsi" w:cs="Times New Roman"/>
          <w:sz w:val="24"/>
          <w:szCs w:val="24"/>
        </w:rPr>
        <w:t xml:space="preserve">. </w:t>
      </w:r>
      <w:r w:rsidR="00233455" w:rsidRPr="00F14751">
        <w:rPr>
          <w:rFonts w:asciiTheme="majorHAnsi" w:hAnsiTheme="majorHAnsi" w:cs="Times New Roman"/>
          <w:sz w:val="24"/>
          <w:szCs w:val="24"/>
        </w:rPr>
        <w:t>These results indicate that if a country would fully liberalize its policies, the share of the total population living on less than $2 a day would increase with 27.3 percent-points, ceteris paribus. Also, the transfer of income to the poor that would be necessary to eliminate poverty, assuming the $2 poverty line, would increase with 17.2 percent-points, holding all other variables constant. Thus, structural reforms</w:t>
      </w:r>
      <w:r w:rsidR="00027F9C">
        <w:rPr>
          <w:rFonts w:asciiTheme="majorHAnsi" w:hAnsiTheme="majorHAnsi" w:cs="Times New Roman"/>
          <w:sz w:val="24"/>
          <w:szCs w:val="24"/>
        </w:rPr>
        <w:t xml:space="preserve">, in general, worsen poverty. </w:t>
      </w:r>
      <w:r w:rsidR="00233455">
        <w:rPr>
          <w:rFonts w:asciiTheme="majorHAnsi" w:hAnsiTheme="majorHAnsi" w:cs="Times New Roman"/>
          <w:sz w:val="24"/>
          <w:szCs w:val="24"/>
        </w:rPr>
        <w:t xml:space="preserve">Inequality, as measured by the Gini coefficient, has a very significant positive effect on poverty. </w:t>
      </w:r>
      <w:r w:rsidR="00027F9C">
        <w:rPr>
          <w:rFonts w:asciiTheme="majorHAnsi" w:hAnsiTheme="majorHAnsi" w:cs="Times New Roman"/>
          <w:sz w:val="24"/>
          <w:szCs w:val="24"/>
        </w:rPr>
        <w:t xml:space="preserve">This suggests that the higher the level of inequality, the higher the extent and depth of poverty. </w:t>
      </w:r>
    </w:p>
    <w:p w14:paraId="66A34481" w14:textId="0E27B365" w:rsidR="00027F9C" w:rsidRDefault="006F5842" w:rsidP="00027F9C">
      <w:pPr>
        <w:pStyle w:val="NoSpacing"/>
        <w:spacing w:line="360" w:lineRule="auto"/>
        <w:jc w:val="both"/>
        <w:rPr>
          <w:rFonts w:asciiTheme="majorHAnsi" w:hAnsiTheme="majorHAnsi"/>
          <w:sz w:val="24"/>
        </w:rPr>
      </w:pPr>
      <w:r>
        <w:rPr>
          <w:rFonts w:asciiTheme="majorHAnsi" w:hAnsiTheme="majorHAnsi" w:cs="Times New Roman"/>
          <w:sz w:val="24"/>
          <w:szCs w:val="24"/>
        </w:rPr>
        <w:tab/>
      </w:r>
      <w:r w:rsidR="00826E50" w:rsidRPr="00F14751">
        <w:rPr>
          <w:rFonts w:asciiTheme="majorHAnsi" w:hAnsiTheme="majorHAnsi"/>
          <w:sz w:val="24"/>
        </w:rPr>
        <w:t xml:space="preserve">Table 5 presents the results for the relationship between each individual reform area and poverty. The </w:t>
      </w:r>
      <w:r w:rsidR="00027F9C">
        <w:rPr>
          <w:rFonts w:asciiTheme="majorHAnsi" w:hAnsiTheme="majorHAnsi"/>
          <w:sz w:val="24"/>
        </w:rPr>
        <w:t xml:space="preserve">general </w:t>
      </w:r>
      <w:r w:rsidR="00826E50" w:rsidRPr="00F14751">
        <w:rPr>
          <w:rFonts w:asciiTheme="majorHAnsi" w:hAnsiTheme="majorHAnsi"/>
          <w:sz w:val="24"/>
        </w:rPr>
        <w:t xml:space="preserve">positive effect of structural reforms on poverty is mainly caused by financial reforms and privatizations, which both have a significant positive effect on </w:t>
      </w:r>
      <w:r w:rsidR="0071773A" w:rsidRPr="00F14751">
        <w:rPr>
          <w:rFonts w:asciiTheme="majorHAnsi" w:hAnsiTheme="majorHAnsi"/>
          <w:sz w:val="24"/>
        </w:rPr>
        <w:t xml:space="preserve">the extent and depth of </w:t>
      </w:r>
      <w:r w:rsidR="00826E50" w:rsidRPr="00F14751">
        <w:rPr>
          <w:rFonts w:asciiTheme="majorHAnsi" w:hAnsiTheme="majorHAnsi"/>
          <w:sz w:val="24"/>
        </w:rPr>
        <w:t xml:space="preserve">poverty. Across the board, the positive effect of privatizations is </w:t>
      </w:r>
      <w:r w:rsidR="00233455">
        <w:rPr>
          <w:rFonts w:asciiTheme="majorHAnsi" w:hAnsiTheme="majorHAnsi"/>
          <w:sz w:val="24"/>
        </w:rPr>
        <w:t xml:space="preserve">slightly </w:t>
      </w:r>
      <w:r w:rsidR="00826E50" w:rsidRPr="00F14751">
        <w:rPr>
          <w:rFonts w:asciiTheme="majorHAnsi" w:hAnsiTheme="majorHAnsi"/>
          <w:sz w:val="24"/>
        </w:rPr>
        <w:t xml:space="preserve">larger than the positive effect of financial reforms. </w:t>
      </w:r>
      <w:r w:rsidR="00233455">
        <w:rPr>
          <w:rFonts w:asciiTheme="majorHAnsi" w:hAnsiTheme="majorHAnsi"/>
          <w:sz w:val="24"/>
        </w:rPr>
        <w:t>The other reform areas do not seem to have a</w:t>
      </w:r>
      <w:r w:rsidR="00027F9C">
        <w:rPr>
          <w:rFonts w:asciiTheme="majorHAnsi" w:hAnsiTheme="majorHAnsi"/>
          <w:sz w:val="24"/>
        </w:rPr>
        <w:t>ny</w:t>
      </w:r>
      <w:r w:rsidR="00233455">
        <w:rPr>
          <w:rFonts w:asciiTheme="majorHAnsi" w:hAnsiTheme="majorHAnsi"/>
          <w:sz w:val="24"/>
        </w:rPr>
        <w:t xml:space="preserve"> significant </w:t>
      </w:r>
      <w:r w:rsidR="00027F9C">
        <w:rPr>
          <w:rFonts w:asciiTheme="majorHAnsi" w:hAnsiTheme="majorHAnsi"/>
          <w:sz w:val="24"/>
        </w:rPr>
        <w:t>effect on poverty</w:t>
      </w:r>
      <w:r w:rsidR="00233455">
        <w:rPr>
          <w:rFonts w:asciiTheme="majorHAnsi" w:hAnsiTheme="majorHAnsi"/>
          <w:sz w:val="24"/>
        </w:rPr>
        <w:t>.</w:t>
      </w:r>
      <w:r w:rsidR="00027F9C">
        <w:rPr>
          <w:rFonts w:asciiTheme="majorHAnsi" w:hAnsiTheme="majorHAnsi"/>
          <w:sz w:val="24"/>
        </w:rPr>
        <w:t xml:space="preserve"> </w:t>
      </w:r>
      <w:r w:rsidR="00233455">
        <w:rPr>
          <w:rFonts w:asciiTheme="majorHAnsi" w:hAnsiTheme="majorHAnsi"/>
          <w:sz w:val="24"/>
        </w:rPr>
        <w:t xml:space="preserve">Next to inequality, the death rate </w:t>
      </w:r>
      <w:r w:rsidR="00027F9C">
        <w:rPr>
          <w:rFonts w:asciiTheme="majorHAnsi" w:hAnsiTheme="majorHAnsi"/>
          <w:sz w:val="24"/>
        </w:rPr>
        <w:t>now also has a significant positive effect on poverty.</w:t>
      </w:r>
    </w:p>
    <w:p w14:paraId="1CFECC4A" w14:textId="77777777" w:rsidR="00027F9C" w:rsidRDefault="00027F9C" w:rsidP="00027F9C">
      <w:pPr>
        <w:pStyle w:val="NoSpacing"/>
        <w:spacing w:line="360" w:lineRule="auto"/>
        <w:jc w:val="both"/>
        <w:rPr>
          <w:rFonts w:asciiTheme="majorHAnsi" w:hAnsiTheme="majorHAnsi"/>
          <w:sz w:val="24"/>
        </w:rPr>
      </w:pPr>
    </w:p>
    <w:p w14:paraId="0F57CB85" w14:textId="77777777" w:rsidR="006F5842" w:rsidRDefault="006F5842">
      <w:pPr>
        <w:rPr>
          <w:rFonts w:asciiTheme="majorHAnsi" w:hAnsiTheme="majorHAnsi"/>
          <w:sz w:val="24"/>
        </w:rPr>
      </w:pPr>
      <w:r>
        <w:rPr>
          <w:rFonts w:asciiTheme="majorHAnsi" w:hAnsiTheme="majorHAnsi"/>
          <w:sz w:val="24"/>
        </w:rPr>
        <w:br w:type="page"/>
      </w:r>
    </w:p>
    <w:p w14:paraId="44A65E91" w14:textId="2419DD9E" w:rsidR="00365624" w:rsidRPr="00F14751" w:rsidRDefault="00365624" w:rsidP="00027F9C">
      <w:pPr>
        <w:pStyle w:val="NoSpacing"/>
        <w:spacing w:line="360" w:lineRule="auto"/>
        <w:jc w:val="both"/>
        <w:rPr>
          <w:rFonts w:asciiTheme="majorHAnsi" w:hAnsiTheme="majorHAnsi"/>
          <w:sz w:val="24"/>
        </w:rPr>
      </w:pPr>
      <w:r w:rsidRPr="00F14751">
        <w:rPr>
          <w:rFonts w:asciiTheme="majorHAnsi" w:hAnsiTheme="majorHAnsi"/>
          <w:sz w:val="24"/>
        </w:rPr>
        <w:t xml:space="preserve">Table 4: Estimation results of the FE model using the complete sample with the measures of poverty as dependent variables. The model includes </w:t>
      </w:r>
      <w:r w:rsidR="0001621E" w:rsidRPr="00F14751">
        <w:rPr>
          <w:rFonts w:asciiTheme="majorHAnsi" w:hAnsiTheme="majorHAnsi"/>
          <w:sz w:val="24"/>
        </w:rPr>
        <w:t>country and time fixed effects</w:t>
      </w:r>
      <w:r w:rsidR="0012500C" w:rsidRPr="00F14751">
        <w:rPr>
          <w:rFonts w:asciiTheme="majorHAnsi" w:hAnsiTheme="majorHAnsi"/>
          <w:sz w:val="24"/>
        </w:rPr>
        <w:t>.</w:t>
      </w:r>
    </w:p>
    <w:tbl>
      <w:tblPr>
        <w:tblW w:w="10588" w:type="dxa"/>
        <w:jc w:val="center"/>
        <w:tblLayout w:type="fixed"/>
        <w:tblCellMar>
          <w:left w:w="75" w:type="dxa"/>
          <w:right w:w="75" w:type="dxa"/>
        </w:tblCellMar>
        <w:tblLook w:val="0000" w:firstRow="0" w:lastRow="0" w:firstColumn="0" w:lastColumn="0" w:noHBand="0" w:noVBand="0"/>
      </w:tblPr>
      <w:tblGrid>
        <w:gridCol w:w="2195"/>
        <w:gridCol w:w="1398"/>
        <w:gridCol w:w="1399"/>
        <w:gridCol w:w="1399"/>
        <w:gridCol w:w="1399"/>
        <w:gridCol w:w="1399"/>
        <w:gridCol w:w="1399"/>
      </w:tblGrid>
      <w:tr w:rsidR="00916A89" w:rsidRPr="00F14751" w14:paraId="0DB8766E" w14:textId="77777777" w:rsidTr="008738C3">
        <w:trPr>
          <w:jc w:val="center"/>
        </w:trPr>
        <w:tc>
          <w:tcPr>
            <w:tcW w:w="2195" w:type="dxa"/>
            <w:tcBorders>
              <w:top w:val="single" w:sz="6" w:space="0" w:color="auto"/>
              <w:left w:val="nil"/>
              <w:bottom w:val="nil"/>
              <w:right w:val="nil"/>
            </w:tcBorders>
            <w:vAlign w:val="center"/>
          </w:tcPr>
          <w:p w14:paraId="3D86C980"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single" w:sz="6" w:space="0" w:color="auto"/>
              <w:left w:val="nil"/>
              <w:bottom w:val="nil"/>
              <w:right w:val="nil"/>
            </w:tcBorders>
            <w:vAlign w:val="center"/>
          </w:tcPr>
          <w:p w14:paraId="76ED11C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w:t>
            </w:r>
          </w:p>
        </w:tc>
        <w:tc>
          <w:tcPr>
            <w:tcW w:w="1399" w:type="dxa"/>
            <w:tcBorders>
              <w:top w:val="single" w:sz="6" w:space="0" w:color="auto"/>
              <w:left w:val="nil"/>
              <w:bottom w:val="nil"/>
              <w:right w:val="nil"/>
            </w:tcBorders>
            <w:vAlign w:val="center"/>
          </w:tcPr>
          <w:p w14:paraId="7FCF2CA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w:t>
            </w:r>
          </w:p>
        </w:tc>
        <w:tc>
          <w:tcPr>
            <w:tcW w:w="1399" w:type="dxa"/>
            <w:tcBorders>
              <w:top w:val="single" w:sz="6" w:space="0" w:color="auto"/>
              <w:left w:val="nil"/>
              <w:bottom w:val="nil"/>
              <w:right w:val="nil"/>
            </w:tcBorders>
            <w:vAlign w:val="center"/>
          </w:tcPr>
          <w:p w14:paraId="49F0A8C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w:t>
            </w:r>
          </w:p>
        </w:tc>
        <w:tc>
          <w:tcPr>
            <w:tcW w:w="1399" w:type="dxa"/>
            <w:tcBorders>
              <w:top w:val="single" w:sz="6" w:space="0" w:color="auto"/>
              <w:left w:val="nil"/>
              <w:bottom w:val="nil"/>
              <w:right w:val="nil"/>
            </w:tcBorders>
            <w:vAlign w:val="center"/>
          </w:tcPr>
          <w:p w14:paraId="3088D23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w:t>
            </w:r>
          </w:p>
        </w:tc>
        <w:tc>
          <w:tcPr>
            <w:tcW w:w="1399" w:type="dxa"/>
            <w:tcBorders>
              <w:top w:val="single" w:sz="6" w:space="0" w:color="auto"/>
              <w:left w:val="nil"/>
              <w:bottom w:val="nil"/>
              <w:right w:val="nil"/>
            </w:tcBorders>
            <w:vAlign w:val="center"/>
          </w:tcPr>
          <w:p w14:paraId="0BF5204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9" w:type="dxa"/>
            <w:tcBorders>
              <w:top w:val="single" w:sz="6" w:space="0" w:color="auto"/>
              <w:left w:val="nil"/>
              <w:bottom w:val="nil"/>
              <w:right w:val="nil"/>
            </w:tcBorders>
            <w:vAlign w:val="center"/>
          </w:tcPr>
          <w:p w14:paraId="55E3581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w:t>
            </w:r>
          </w:p>
        </w:tc>
      </w:tr>
      <w:tr w:rsidR="00916A89" w:rsidRPr="00F14751" w14:paraId="6CEA2800" w14:textId="77777777" w:rsidTr="008738C3">
        <w:trPr>
          <w:jc w:val="center"/>
        </w:trPr>
        <w:tc>
          <w:tcPr>
            <w:tcW w:w="2195" w:type="dxa"/>
            <w:tcBorders>
              <w:top w:val="nil"/>
              <w:left w:val="nil"/>
              <w:bottom w:val="single" w:sz="6" w:space="0" w:color="auto"/>
              <w:right w:val="nil"/>
            </w:tcBorders>
            <w:vAlign w:val="center"/>
          </w:tcPr>
          <w:p w14:paraId="78A41347"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VARIABLES</w:t>
            </w:r>
          </w:p>
        </w:tc>
        <w:tc>
          <w:tcPr>
            <w:tcW w:w="1398" w:type="dxa"/>
            <w:tcBorders>
              <w:top w:val="nil"/>
              <w:left w:val="nil"/>
              <w:bottom w:val="single" w:sz="6" w:space="0" w:color="auto"/>
              <w:right w:val="nil"/>
            </w:tcBorders>
            <w:vAlign w:val="center"/>
          </w:tcPr>
          <w:p w14:paraId="4984894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($2)</w:t>
            </w:r>
          </w:p>
        </w:tc>
        <w:tc>
          <w:tcPr>
            <w:tcW w:w="1399" w:type="dxa"/>
            <w:tcBorders>
              <w:top w:val="nil"/>
              <w:left w:val="nil"/>
              <w:bottom w:val="single" w:sz="6" w:space="0" w:color="auto"/>
              <w:right w:val="nil"/>
            </w:tcBorders>
            <w:vAlign w:val="center"/>
          </w:tcPr>
          <w:p w14:paraId="7C930D4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($1.25)</w:t>
            </w:r>
          </w:p>
        </w:tc>
        <w:tc>
          <w:tcPr>
            <w:tcW w:w="1399" w:type="dxa"/>
            <w:tcBorders>
              <w:top w:val="nil"/>
              <w:left w:val="nil"/>
              <w:bottom w:val="single" w:sz="6" w:space="0" w:color="auto"/>
              <w:right w:val="nil"/>
            </w:tcBorders>
            <w:vAlign w:val="center"/>
          </w:tcPr>
          <w:p w14:paraId="30716E9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($2)</w:t>
            </w:r>
          </w:p>
        </w:tc>
        <w:tc>
          <w:tcPr>
            <w:tcW w:w="1399" w:type="dxa"/>
            <w:tcBorders>
              <w:top w:val="nil"/>
              <w:left w:val="nil"/>
              <w:bottom w:val="single" w:sz="6" w:space="0" w:color="auto"/>
              <w:right w:val="nil"/>
            </w:tcBorders>
            <w:vAlign w:val="center"/>
          </w:tcPr>
          <w:p w14:paraId="0AACF61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($1.25)</w:t>
            </w:r>
          </w:p>
        </w:tc>
        <w:tc>
          <w:tcPr>
            <w:tcW w:w="1399" w:type="dxa"/>
            <w:tcBorders>
              <w:top w:val="nil"/>
              <w:left w:val="nil"/>
              <w:bottom w:val="single" w:sz="6" w:space="0" w:color="auto"/>
              <w:right w:val="nil"/>
            </w:tcBorders>
            <w:vAlign w:val="center"/>
          </w:tcPr>
          <w:p w14:paraId="2868C82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($2)</w:t>
            </w:r>
          </w:p>
        </w:tc>
        <w:tc>
          <w:tcPr>
            <w:tcW w:w="1399" w:type="dxa"/>
            <w:tcBorders>
              <w:top w:val="nil"/>
              <w:left w:val="nil"/>
              <w:bottom w:val="single" w:sz="6" w:space="0" w:color="auto"/>
              <w:right w:val="nil"/>
            </w:tcBorders>
            <w:vAlign w:val="center"/>
          </w:tcPr>
          <w:p w14:paraId="56D2B80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($1.25)</w:t>
            </w:r>
          </w:p>
        </w:tc>
      </w:tr>
      <w:tr w:rsidR="00916A89" w:rsidRPr="00F14751" w14:paraId="0DFF9B50" w14:textId="77777777" w:rsidTr="008738C3">
        <w:trPr>
          <w:jc w:val="center"/>
        </w:trPr>
        <w:tc>
          <w:tcPr>
            <w:tcW w:w="2195" w:type="dxa"/>
            <w:tcBorders>
              <w:top w:val="nil"/>
              <w:left w:val="nil"/>
              <w:bottom w:val="nil"/>
              <w:right w:val="nil"/>
            </w:tcBorders>
            <w:vAlign w:val="center"/>
          </w:tcPr>
          <w:p w14:paraId="6E0D6AD4"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3C8375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02FF9C8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2323FEE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36F65E9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2498086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7786EB5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r>
      <w:tr w:rsidR="00916A89" w:rsidRPr="00F14751" w14:paraId="3356DEA3" w14:textId="77777777" w:rsidTr="008738C3">
        <w:trPr>
          <w:jc w:val="center"/>
        </w:trPr>
        <w:tc>
          <w:tcPr>
            <w:tcW w:w="2195" w:type="dxa"/>
            <w:tcBorders>
              <w:top w:val="nil"/>
              <w:left w:val="nil"/>
              <w:bottom w:val="nil"/>
              <w:right w:val="nil"/>
            </w:tcBorders>
            <w:vAlign w:val="center"/>
          </w:tcPr>
          <w:p w14:paraId="21F607C8"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SRI</w:t>
            </w:r>
          </w:p>
        </w:tc>
        <w:tc>
          <w:tcPr>
            <w:tcW w:w="1398" w:type="dxa"/>
            <w:tcBorders>
              <w:top w:val="nil"/>
              <w:left w:val="nil"/>
              <w:bottom w:val="nil"/>
              <w:right w:val="nil"/>
            </w:tcBorders>
            <w:vAlign w:val="center"/>
          </w:tcPr>
          <w:p w14:paraId="7695549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0.273**</w:t>
            </w:r>
          </w:p>
        </w:tc>
        <w:tc>
          <w:tcPr>
            <w:tcW w:w="1399" w:type="dxa"/>
            <w:tcBorders>
              <w:top w:val="nil"/>
              <w:left w:val="nil"/>
              <w:bottom w:val="nil"/>
              <w:right w:val="nil"/>
            </w:tcBorders>
            <w:vAlign w:val="center"/>
          </w:tcPr>
          <w:p w14:paraId="59DA923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0.201*</w:t>
            </w:r>
          </w:p>
        </w:tc>
        <w:tc>
          <w:tcPr>
            <w:tcW w:w="1399" w:type="dxa"/>
            <w:tcBorders>
              <w:top w:val="nil"/>
              <w:left w:val="nil"/>
              <w:bottom w:val="nil"/>
              <w:right w:val="nil"/>
            </w:tcBorders>
            <w:vAlign w:val="center"/>
          </w:tcPr>
          <w:p w14:paraId="31277FA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0.172**</w:t>
            </w:r>
          </w:p>
        </w:tc>
        <w:tc>
          <w:tcPr>
            <w:tcW w:w="1399" w:type="dxa"/>
            <w:tcBorders>
              <w:top w:val="nil"/>
              <w:left w:val="nil"/>
              <w:bottom w:val="nil"/>
              <w:right w:val="nil"/>
            </w:tcBorders>
            <w:vAlign w:val="center"/>
          </w:tcPr>
          <w:p w14:paraId="5359DED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0.135*</w:t>
            </w:r>
          </w:p>
        </w:tc>
        <w:tc>
          <w:tcPr>
            <w:tcW w:w="1399" w:type="dxa"/>
            <w:tcBorders>
              <w:top w:val="nil"/>
              <w:left w:val="nil"/>
              <w:bottom w:val="nil"/>
              <w:right w:val="nil"/>
            </w:tcBorders>
            <w:vAlign w:val="center"/>
          </w:tcPr>
          <w:p w14:paraId="39C6095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7.604*</w:t>
            </w:r>
          </w:p>
        </w:tc>
        <w:tc>
          <w:tcPr>
            <w:tcW w:w="1399" w:type="dxa"/>
            <w:tcBorders>
              <w:top w:val="nil"/>
              <w:left w:val="nil"/>
              <w:bottom w:val="nil"/>
              <w:right w:val="nil"/>
            </w:tcBorders>
            <w:vAlign w:val="center"/>
          </w:tcPr>
          <w:p w14:paraId="7D61FDE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3.549*</w:t>
            </w:r>
          </w:p>
        </w:tc>
      </w:tr>
      <w:tr w:rsidR="00916A89" w:rsidRPr="00F14751" w14:paraId="55705178" w14:textId="77777777" w:rsidTr="008738C3">
        <w:trPr>
          <w:jc w:val="center"/>
        </w:trPr>
        <w:tc>
          <w:tcPr>
            <w:tcW w:w="2195" w:type="dxa"/>
            <w:tcBorders>
              <w:top w:val="nil"/>
              <w:left w:val="nil"/>
              <w:bottom w:val="nil"/>
              <w:right w:val="nil"/>
            </w:tcBorders>
            <w:vAlign w:val="center"/>
          </w:tcPr>
          <w:p w14:paraId="26A7EAF5"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2ED876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(0.109)</w:t>
            </w:r>
          </w:p>
        </w:tc>
        <w:tc>
          <w:tcPr>
            <w:tcW w:w="1399" w:type="dxa"/>
            <w:tcBorders>
              <w:top w:val="nil"/>
              <w:left w:val="nil"/>
              <w:bottom w:val="nil"/>
              <w:right w:val="nil"/>
            </w:tcBorders>
            <w:vAlign w:val="center"/>
          </w:tcPr>
          <w:p w14:paraId="3D6F6DE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(0.0926)</w:t>
            </w:r>
          </w:p>
        </w:tc>
        <w:tc>
          <w:tcPr>
            <w:tcW w:w="1399" w:type="dxa"/>
            <w:tcBorders>
              <w:top w:val="nil"/>
              <w:left w:val="nil"/>
              <w:bottom w:val="nil"/>
              <w:right w:val="nil"/>
            </w:tcBorders>
            <w:vAlign w:val="center"/>
          </w:tcPr>
          <w:p w14:paraId="76D9073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(0.0762)</w:t>
            </w:r>
          </w:p>
        </w:tc>
        <w:tc>
          <w:tcPr>
            <w:tcW w:w="1399" w:type="dxa"/>
            <w:tcBorders>
              <w:top w:val="nil"/>
              <w:left w:val="nil"/>
              <w:bottom w:val="nil"/>
              <w:right w:val="nil"/>
            </w:tcBorders>
            <w:vAlign w:val="center"/>
          </w:tcPr>
          <w:p w14:paraId="7EF5EAC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(0.0723)</w:t>
            </w:r>
          </w:p>
        </w:tc>
        <w:tc>
          <w:tcPr>
            <w:tcW w:w="1399" w:type="dxa"/>
            <w:tcBorders>
              <w:top w:val="nil"/>
              <w:left w:val="nil"/>
              <w:bottom w:val="nil"/>
              <w:right w:val="nil"/>
            </w:tcBorders>
            <w:vAlign w:val="center"/>
          </w:tcPr>
          <w:p w14:paraId="3B3D61A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(4.170)</w:t>
            </w:r>
          </w:p>
        </w:tc>
        <w:tc>
          <w:tcPr>
            <w:tcW w:w="1399" w:type="dxa"/>
            <w:tcBorders>
              <w:top w:val="nil"/>
              <w:left w:val="nil"/>
              <w:bottom w:val="nil"/>
              <w:right w:val="nil"/>
            </w:tcBorders>
            <w:vAlign w:val="center"/>
          </w:tcPr>
          <w:p w14:paraId="3CD86A3C"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(1.923)</w:t>
            </w:r>
          </w:p>
        </w:tc>
      </w:tr>
      <w:tr w:rsidR="00916A89" w:rsidRPr="00F14751" w14:paraId="03158B37" w14:textId="77777777" w:rsidTr="008738C3">
        <w:trPr>
          <w:jc w:val="center"/>
        </w:trPr>
        <w:tc>
          <w:tcPr>
            <w:tcW w:w="2195" w:type="dxa"/>
            <w:tcBorders>
              <w:top w:val="nil"/>
              <w:left w:val="nil"/>
              <w:bottom w:val="nil"/>
              <w:right w:val="nil"/>
            </w:tcBorders>
            <w:vAlign w:val="center"/>
          </w:tcPr>
          <w:p w14:paraId="50F241FC"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Polity</w:t>
            </w:r>
          </w:p>
        </w:tc>
        <w:tc>
          <w:tcPr>
            <w:tcW w:w="1398" w:type="dxa"/>
            <w:tcBorders>
              <w:top w:val="nil"/>
              <w:left w:val="nil"/>
              <w:bottom w:val="nil"/>
              <w:right w:val="nil"/>
            </w:tcBorders>
            <w:vAlign w:val="center"/>
          </w:tcPr>
          <w:p w14:paraId="78DA2EC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0.110</w:t>
            </w:r>
          </w:p>
        </w:tc>
        <w:tc>
          <w:tcPr>
            <w:tcW w:w="1399" w:type="dxa"/>
            <w:tcBorders>
              <w:top w:val="nil"/>
              <w:left w:val="nil"/>
              <w:bottom w:val="nil"/>
              <w:right w:val="nil"/>
            </w:tcBorders>
            <w:vAlign w:val="center"/>
          </w:tcPr>
          <w:p w14:paraId="65412DA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0.0489</w:t>
            </w:r>
          </w:p>
        </w:tc>
        <w:tc>
          <w:tcPr>
            <w:tcW w:w="1399" w:type="dxa"/>
            <w:tcBorders>
              <w:top w:val="nil"/>
              <w:left w:val="nil"/>
              <w:bottom w:val="nil"/>
              <w:right w:val="nil"/>
            </w:tcBorders>
            <w:vAlign w:val="center"/>
          </w:tcPr>
          <w:p w14:paraId="10825EA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0.0380</w:t>
            </w:r>
          </w:p>
        </w:tc>
        <w:tc>
          <w:tcPr>
            <w:tcW w:w="1399" w:type="dxa"/>
            <w:tcBorders>
              <w:top w:val="nil"/>
              <w:left w:val="nil"/>
              <w:bottom w:val="nil"/>
              <w:right w:val="nil"/>
            </w:tcBorders>
            <w:vAlign w:val="center"/>
          </w:tcPr>
          <w:p w14:paraId="747507F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0.00600</w:t>
            </w:r>
          </w:p>
        </w:tc>
        <w:tc>
          <w:tcPr>
            <w:tcW w:w="1399" w:type="dxa"/>
            <w:tcBorders>
              <w:top w:val="nil"/>
              <w:left w:val="nil"/>
              <w:bottom w:val="nil"/>
              <w:right w:val="nil"/>
            </w:tcBorders>
            <w:vAlign w:val="center"/>
          </w:tcPr>
          <w:p w14:paraId="48BFD23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1.274</w:t>
            </w:r>
          </w:p>
        </w:tc>
        <w:tc>
          <w:tcPr>
            <w:tcW w:w="1399" w:type="dxa"/>
            <w:tcBorders>
              <w:top w:val="nil"/>
              <w:left w:val="nil"/>
              <w:bottom w:val="nil"/>
              <w:right w:val="nil"/>
            </w:tcBorders>
            <w:vAlign w:val="center"/>
          </w:tcPr>
          <w:p w14:paraId="01F0847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0.105</w:t>
            </w:r>
          </w:p>
        </w:tc>
      </w:tr>
      <w:tr w:rsidR="00916A89" w:rsidRPr="00F14751" w14:paraId="21C805A0" w14:textId="77777777" w:rsidTr="008738C3">
        <w:trPr>
          <w:jc w:val="center"/>
        </w:trPr>
        <w:tc>
          <w:tcPr>
            <w:tcW w:w="2195" w:type="dxa"/>
            <w:tcBorders>
              <w:top w:val="nil"/>
              <w:left w:val="nil"/>
              <w:bottom w:val="nil"/>
              <w:right w:val="nil"/>
            </w:tcBorders>
            <w:vAlign w:val="center"/>
          </w:tcPr>
          <w:p w14:paraId="6C8A7E3E"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81A096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(0.193)</w:t>
            </w:r>
          </w:p>
        </w:tc>
        <w:tc>
          <w:tcPr>
            <w:tcW w:w="1399" w:type="dxa"/>
            <w:tcBorders>
              <w:top w:val="nil"/>
              <w:left w:val="nil"/>
              <w:bottom w:val="nil"/>
              <w:right w:val="nil"/>
            </w:tcBorders>
            <w:vAlign w:val="center"/>
          </w:tcPr>
          <w:p w14:paraId="39E69FFC"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(0.144)</w:t>
            </w:r>
          </w:p>
        </w:tc>
        <w:tc>
          <w:tcPr>
            <w:tcW w:w="1399" w:type="dxa"/>
            <w:tcBorders>
              <w:top w:val="nil"/>
              <w:left w:val="nil"/>
              <w:bottom w:val="nil"/>
              <w:right w:val="nil"/>
            </w:tcBorders>
            <w:vAlign w:val="center"/>
          </w:tcPr>
          <w:p w14:paraId="5F9466E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(0.102)</w:t>
            </w:r>
          </w:p>
        </w:tc>
        <w:tc>
          <w:tcPr>
            <w:tcW w:w="1399" w:type="dxa"/>
            <w:tcBorders>
              <w:top w:val="nil"/>
              <w:left w:val="nil"/>
              <w:bottom w:val="nil"/>
              <w:right w:val="nil"/>
            </w:tcBorders>
            <w:vAlign w:val="center"/>
          </w:tcPr>
          <w:p w14:paraId="5B3C9C6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(0.0743)</w:t>
            </w:r>
          </w:p>
        </w:tc>
        <w:tc>
          <w:tcPr>
            <w:tcW w:w="1399" w:type="dxa"/>
            <w:tcBorders>
              <w:top w:val="nil"/>
              <w:left w:val="nil"/>
              <w:bottom w:val="nil"/>
              <w:right w:val="nil"/>
            </w:tcBorders>
            <w:vAlign w:val="center"/>
          </w:tcPr>
          <w:p w14:paraId="3F484E1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(5.520)</w:t>
            </w:r>
          </w:p>
        </w:tc>
        <w:tc>
          <w:tcPr>
            <w:tcW w:w="1399" w:type="dxa"/>
            <w:tcBorders>
              <w:top w:val="nil"/>
              <w:left w:val="nil"/>
              <w:bottom w:val="nil"/>
              <w:right w:val="nil"/>
            </w:tcBorders>
            <w:vAlign w:val="center"/>
          </w:tcPr>
          <w:p w14:paraId="53E8B72C"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(2.437)</w:t>
            </w:r>
          </w:p>
        </w:tc>
      </w:tr>
      <w:tr w:rsidR="00916A89" w:rsidRPr="00F14751" w14:paraId="42835480" w14:textId="77777777" w:rsidTr="008738C3">
        <w:trPr>
          <w:jc w:val="center"/>
        </w:trPr>
        <w:tc>
          <w:tcPr>
            <w:tcW w:w="2195" w:type="dxa"/>
            <w:tcBorders>
              <w:top w:val="nil"/>
              <w:left w:val="nil"/>
              <w:bottom w:val="nil"/>
              <w:right w:val="nil"/>
            </w:tcBorders>
            <w:vAlign w:val="center"/>
          </w:tcPr>
          <w:p w14:paraId="118CA185"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GDP</w:t>
            </w:r>
          </w:p>
        </w:tc>
        <w:tc>
          <w:tcPr>
            <w:tcW w:w="1398" w:type="dxa"/>
            <w:tcBorders>
              <w:top w:val="nil"/>
              <w:left w:val="nil"/>
              <w:bottom w:val="nil"/>
              <w:right w:val="nil"/>
            </w:tcBorders>
            <w:vAlign w:val="center"/>
          </w:tcPr>
          <w:p w14:paraId="5B1D2F5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-0.118</w:t>
            </w:r>
          </w:p>
        </w:tc>
        <w:tc>
          <w:tcPr>
            <w:tcW w:w="1399" w:type="dxa"/>
            <w:tcBorders>
              <w:top w:val="nil"/>
              <w:left w:val="nil"/>
              <w:bottom w:val="nil"/>
              <w:right w:val="nil"/>
            </w:tcBorders>
            <w:vAlign w:val="center"/>
          </w:tcPr>
          <w:p w14:paraId="09AE66D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-0.00768</w:t>
            </w:r>
          </w:p>
        </w:tc>
        <w:tc>
          <w:tcPr>
            <w:tcW w:w="1399" w:type="dxa"/>
            <w:tcBorders>
              <w:top w:val="nil"/>
              <w:left w:val="nil"/>
              <w:bottom w:val="nil"/>
              <w:right w:val="nil"/>
            </w:tcBorders>
            <w:vAlign w:val="center"/>
          </w:tcPr>
          <w:p w14:paraId="02AC031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-0.00812</w:t>
            </w:r>
          </w:p>
        </w:tc>
        <w:tc>
          <w:tcPr>
            <w:tcW w:w="1399" w:type="dxa"/>
            <w:tcBorders>
              <w:top w:val="nil"/>
              <w:left w:val="nil"/>
              <w:bottom w:val="nil"/>
              <w:right w:val="nil"/>
            </w:tcBorders>
            <w:vAlign w:val="center"/>
          </w:tcPr>
          <w:p w14:paraId="1BFFAA6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0.0219</w:t>
            </w:r>
          </w:p>
        </w:tc>
        <w:tc>
          <w:tcPr>
            <w:tcW w:w="1399" w:type="dxa"/>
            <w:tcBorders>
              <w:top w:val="nil"/>
              <w:left w:val="nil"/>
              <w:bottom w:val="nil"/>
              <w:right w:val="nil"/>
            </w:tcBorders>
            <w:vAlign w:val="center"/>
          </w:tcPr>
          <w:p w14:paraId="3A380BF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0.741</w:t>
            </w:r>
          </w:p>
        </w:tc>
        <w:tc>
          <w:tcPr>
            <w:tcW w:w="1399" w:type="dxa"/>
            <w:tcBorders>
              <w:top w:val="nil"/>
              <w:left w:val="nil"/>
              <w:bottom w:val="nil"/>
              <w:right w:val="nil"/>
            </w:tcBorders>
            <w:vAlign w:val="center"/>
          </w:tcPr>
          <w:p w14:paraId="1330644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1.012</w:t>
            </w:r>
          </w:p>
        </w:tc>
      </w:tr>
      <w:tr w:rsidR="00916A89" w:rsidRPr="00F14751" w14:paraId="7EB3F306" w14:textId="77777777" w:rsidTr="008738C3">
        <w:trPr>
          <w:jc w:val="center"/>
        </w:trPr>
        <w:tc>
          <w:tcPr>
            <w:tcW w:w="2195" w:type="dxa"/>
            <w:tcBorders>
              <w:top w:val="nil"/>
              <w:left w:val="nil"/>
              <w:bottom w:val="nil"/>
              <w:right w:val="nil"/>
            </w:tcBorders>
            <w:vAlign w:val="center"/>
          </w:tcPr>
          <w:p w14:paraId="434D9D7F"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39FF9A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(0.0817)</w:t>
            </w:r>
          </w:p>
        </w:tc>
        <w:tc>
          <w:tcPr>
            <w:tcW w:w="1399" w:type="dxa"/>
            <w:tcBorders>
              <w:top w:val="nil"/>
              <w:left w:val="nil"/>
              <w:bottom w:val="nil"/>
              <w:right w:val="nil"/>
            </w:tcBorders>
            <w:vAlign w:val="center"/>
          </w:tcPr>
          <w:p w14:paraId="7B39B12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(0.0538)</w:t>
            </w:r>
          </w:p>
        </w:tc>
        <w:tc>
          <w:tcPr>
            <w:tcW w:w="1399" w:type="dxa"/>
            <w:tcBorders>
              <w:top w:val="nil"/>
              <w:left w:val="nil"/>
              <w:bottom w:val="nil"/>
              <w:right w:val="nil"/>
            </w:tcBorders>
            <w:vAlign w:val="center"/>
          </w:tcPr>
          <w:p w14:paraId="6F4DAFB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(0.0407)</w:t>
            </w:r>
          </w:p>
        </w:tc>
        <w:tc>
          <w:tcPr>
            <w:tcW w:w="1399" w:type="dxa"/>
            <w:tcBorders>
              <w:top w:val="nil"/>
              <w:left w:val="nil"/>
              <w:bottom w:val="nil"/>
              <w:right w:val="nil"/>
            </w:tcBorders>
            <w:vAlign w:val="center"/>
          </w:tcPr>
          <w:p w14:paraId="125B8A4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(0.0287)</w:t>
            </w:r>
          </w:p>
        </w:tc>
        <w:tc>
          <w:tcPr>
            <w:tcW w:w="1399" w:type="dxa"/>
            <w:tcBorders>
              <w:top w:val="nil"/>
              <w:left w:val="nil"/>
              <w:bottom w:val="nil"/>
              <w:right w:val="nil"/>
            </w:tcBorders>
            <w:vAlign w:val="center"/>
          </w:tcPr>
          <w:p w14:paraId="5CD57F1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(1.953)</w:t>
            </w:r>
          </w:p>
        </w:tc>
        <w:tc>
          <w:tcPr>
            <w:tcW w:w="1399" w:type="dxa"/>
            <w:tcBorders>
              <w:top w:val="nil"/>
              <w:left w:val="nil"/>
              <w:bottom w:val="nil"/>
              <w:right w:val="nil"/>
            </w:tcBorders>
            <w:vAlign w:val="center"/>
          </w:tcPr>
          <w:p w14:paraId="057899E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(0.821)</w:t>
            </w:r>
          </w:p>
        </w:tc>
      </w:tr>
      <w:tr w:rsidR="00916A89" w:rsidRPr="00F14751" w14:paraId="7324231B" w14:textId="77777777" w:rsidTr="008738C3">
        <w:trPr>
          <w:jc w:val="center"/>
        </w:trPr>
        <w:tc>
          <w:tcPr>
            <w:tcW w:w="2195" w:type="dxa"/>
            <w:tcBorders>
              <w:top w:val="nil"/>
              <w:left w:val="nil"/>
              <w:bottom w:val="nil"/>
              <w:right w:val="nil"/>
            </w:tcBorders>
            <w:vAlign w:val="center"/>
          </w:tcPr>
          <w:p w14:paraId="587F266A"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GDPgrowth</w:t>
            </w:r>
            <w:proofErr w:type="spellEnd"/>
          </w:p>
        </w:tc>
        <w:tc>
          <w:tcPr>
            <w:tcW w:w="1398" w:type="dxa"/>
            <w:tcBorders>
              <w:top w:val="nil"/>
              <w:left w:val="nil"/>
              <w:bottom w:val="nil"/>
              <w:right w:val="nil"/>
            </w:tcBorders>
            <w:vAlign w:val="center"/>
          </w:tcPr>
          <w:p w14:paraId="20F1867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0.0158</w:t>
            </w:r>
          </w:p>
        </w:tc>
        <w:tc>
          <w:tcPr>
            <w:tcW w:w="1399" w:type="dxa"/>
            <w:tcBorders>
              <w:top w:val="nil"/>
              <w:left w:val="nil"/>
              <w:bottom w:val="nil"/>
              <w:right w:val="nil"/>
            </w:tcBorders>
            <w:vAlign w:val="center"/>
          </w:tcPr>
          <w:p w14:paraId="6CBFD0B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-0.00418</w:t>
            </w:r>
          </w:p>
        </w:tc>
        <w:tc>
          <w:tcPr>
            <w:tcW w:w="1399" w:type="dxa"/>
            <w:tcBorders>
              <w:top w:val="nil"/>
              <w:left w:val="nil"/>
              <w:bottom w:val="nil"/>
              <w:right w:val="nil"/>
            </w:tcBorders>
            <w:vAlign w:val="center"/>
          </w:tcPr>
          <w:p w14:paraId="15B75F7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0.00286</w:t>
            </w:r>
          </w:p>
        </w:tc>
        <w:tc>
          <w:tcPr>
            <w:tcW w:w="1399" w:type="dxa"/>
            <w:tcBorders>
              <w:top w:val="nil"/>
              <w:left w:val="nil"/>
              <w:bottom w:val="nil"/>
              <w:right w:val="nil"/>
            </w:tcBorders>
            <w:vAlign w:val="center"/>
          </w:tcPr>
          <w:p w14:paraId="36D52CD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0.00215</w:t>
            </w:r>
          </w:p>
        </w:tc>
        <w:tc>
          <w:tcPr>
            <w:tcW w:w="1399" w:type="dxa"/>
            <w:tcBorders>
              <w:top w:val="nil"/>
              <w:left w:val="nil"/>
              <w:bottom w:val="nil"/>
              <w:right w:val="nil"/>
            </w:tcBorders>
            <w:vAlign w:val="center"/>
          </w:tcPr>
          <w:p w14:paraId="2B27310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-0.0877</w:t>
            </w:r>
          </w:p>
        </w:tc>
        <w:tc>
          <w:tcPr>
            <w:tcW w:w="1399" w:type="dxa"/>
            <w:tcBorders>
              <w:top w:val="nil"/>
              <w:left w:val="nil"/>
              <w:bottom w:val="nil"/>
              <w:right w:val="nil"/>
            </w:tcBorders>
            <w:vAlign w:val="center"/>
          </w:tcPr>
          <w:p w14:paraId="1991382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0.0693</w:t>
            </w:r>
          </w:p>
        </w:tc>
      </w:tr>
      <w:tr w:rsidR="00916A89" w:rsidRPr="00F14751" w14:paraId="558115FB" w14:textId="77777777" w:rsidTr="008738C3">
        <w:trPr>
          <w:jc w:val="center"/>
        </w:trPr>
        <w:tc>
          <w:tcPr>
            <w:tcW w:w="2195" w:type="dxa"/>
            <w:tcBorders>
              <w:top w:val="nil"/>
              <w:left w:val="nil"/>
              <w:bottom w:val="nil"/>
              <w:right w:val="nil"/>
            </w:tcBorders>
            <w:vAlign w:val="center"/>
          </w:tcPr>
          <w:p w14:paraId="4C63B513"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282673E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(0.107)</w:t>
            </w:r>
          </w:p>
        </w:tc>
        <w:tc>
          <w:tcPr>
            <w:tcW w:w="1399" w:type="dxa"/>
            <w:tcBorders>
              <w:top w:val="nil"/>
              <w:left w:val="nil"/>
              <w:bottom w:val="nil"/>
              <w:right w:val="nil"/>
            </w:tcBorders>
            <w:vAlign w:val="center"/>
          </w:tcPr>
          <w:p w14:paraId="6638D16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(0.0630)</w:t>
            </w:r>
          </w:p>
        </w:tc>
        <w:tc>
          <w:tcPr>
            <w:tcW w:w="1399" w:type="dxa"/>
            <w:tcBorders>
              <w:top w:val="nil"/>
              <w:left w:val="nil"/>
              <w:bottom w:val="nil"/>
              <w:right w:val="nil"/>
            </w:tcBorders>
            <w:vAlign w:val="center"/>
          </w:tcPr>
          <w:p w14:paraId="2CC786D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(0.0464)</w:t>
            </w:r>
          </w:p>
        </w:tc>
        <w:tc>
          <w:tcPr>
            <w:tcW w:w="1399" w:type="dxa"/>
            <w:tcBorders>
              <w:top w:val="nil"/>
              <w:left w:val="nil"/>
              <w:bottom w:val="nil"/>
              <w:right w:val="nil"/>
            </w:tcBorders>
            <w:vAlign w:val="center"/>
          </w:tcPr>
          <w:p w14:paraId="7D8C8EB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(0.0258)</w:t>
            </w:r>
          </w:p>
        </w:tc>
        <w:tc>
          <w:tcPr>
            <w:tcW w:w="1399" w:type="dxa"/>
            <w:tcBorders>
              <w:top w:val="nil"/>
              <w:left w:val="nil"/>
              <w:bottom w:val="nil"/>
              <w:right w:val="nil"/>
            </w:tcBorders>
            <w:vAlign w:val="center"/>
          </w:tcPr>
          <w:p w14:paraId="144BED8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(2.293)</w:t>
            </w:r>
          </w:p>
        </w:tc>
        <w:tc>
          <w:tcPr>
            <w:tcW w:w="1399" w:type="dxa"/>
            <w:tcBorders>
              <w:top w:val="nil"/>
              <w:left w:val="nil"/>
              <w:bottom w:val="nil"/>
              <w:right w:val="nil"/>
            </w:tcBorders>
            <w:vAlign w:val="center"/>
          </w:tcPr>
          <w:p w14:paraId="3FE529C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(0.779)</w:t>
            </w:r>
          </w:p>
        </w:tc>
      </w:tr>
      <w:tr w:rsidR="00916A89" w:rsidRPr="00F14751" w14:paraId="41325F69" w14:textId="77777777" w:rsidTr="008738C3">
        <w:trPr>
          <w:jc w:val="center"/>
        </w:trPr>
        <w:tc>
          <w:tcPr>
            <w:tcW w:w="2195" w:type="dxa"/>
            <w:tcBorders>
              <w:top w:val="nil"/>
              <w:left w:val="nil"/>
              <w:bottom w:val="nil"/>
              <w:right w:val="nil"/>
            </w:tcBorders>
            <w:vAlign w:val="center"/>
          </w:tcPr>
          <w:p w14:paraId="543511BA"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School</w:t>
            </w:r>
          </w:p>
        </w:tc>
        <w:tc>
          <w:tcPr>
            <w:tcW w:w="1398" w:type="dxa"/>
            <w:tcBorders>
              <w:top w:val="nil"/>
              <w:left w:val="nil"/>
              <w:bottom w:val="nil"/>
              <w:right w:val="nil"/>
            </w:tcBorders>
            <w:vAlign w:val="center"/>
          </w:tcPr>
          <w:p w14:paraId="12F5FAB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-1.194</w:t>
            </w:r>
          </w:p>
        </w:tc>
        <w:tc>
          <w:tcPr>
            <w:tcW w:w="1399" w:type="dxa"/>
            <w:tcBorders>
              <w:top w:val="nil"/>
              <w:left w:val="nil"/>
              <w:bottom w:val="nil"/>
              <w:right w:val="nil"/>
            </w:tcBorders>
            <w:vAlign w:val="center"/>
          </w:tcPr>
          <w:p w14:paraId="01A018C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-0.798</w:t>
            </w:r>
          </w:p>
        </w:tc>
        <w:tc>
          <w:tcPr>
            <w:tcW w:w="1399" w:type="dxa"/>
            <w:tcBorders>
              <w:top w:val="nil"/>
              <w:left w:val="nil"/>
              <w:bottom w:val="nil"/>
              <w:right w:val="nil"/>
            </w:tcBorders>
            <w:vAlign w:val="center"/>
          </w:tcPr>
          <w:p w14:paraId="75E312A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-0.555</w:t>
            </w:r>
          </w:p>
        </w:tc>
        <w:tc>
          <w:tcPr>
            <w:tcW w:w="1399" w:type="dxa"/>
            <w:tcBorders>
              <w:top w:val="nil"/>
              <w:left w:val="nil"/>
              <w:bottom w:val="nil"/>
              <w:right w:val="nil"/>
            </w:tcBorders>
            <w:vAlign w:val="center"/>
          </w:tcPr>
          <w:p w14:paraId="2350AA9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-0.276</w:t>
            </w:r>
          </w:p>
        </w:tc>
        <w:tc>
          <w:tcPr>
            <w:tcW w:w="1399" w:type="dxa"/>
            <w:tcBorders>
              <w:top w:val="nil"/>
              <w:left w:val="nil"/>
              <w:bottom w:val="nil"/>
              <w:right w:val="nil"/>
            </w:tcBorders>
            <w:vAlign w:val="center"/>
          </w:tcPr>
          <w:p w14:paraId="68ADB20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-28.20</w:t>
            </w:r>
          </w:p>
        </w:tc>
        <w:tc>
          <w:tcPr>
            <w:tcW w:w="1399" w:type="dxa"/>
            <w:tcBorders>
              <w:top w:val="nil"/>
              <w:left w:val="nil"/>
              <w:bottom w:val="nil"/>
              <w:right w:val="nil"/>
            </w:tcBorders>
            <w:vAlign w:val="center"/>
          </w:tcPr>
          <w:p w14:paraId="6A93BFC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-6.719</w:t>
            </w:r>
          </w:p>
        </w:tc>
      </w:tr>
      <w:tr w:rsidR="00916A89" w:rsidRPr="00F14751" w14:paraId="2CA8511E" w14:textId="77777777" w:rsidTr="008738C3">
        <w:trPr>
          <w:jc w:val="center"/>
        </w:trPr>
        <w:tc>
          <w:tcPr>
            <w:tcW w:w="2195" w:type="dxa"/>
            <w:tcBorders>
              <w:top w:val="nil"/>
              <w:left w:val="nil"/>
              <w:bottom w:val="nil"/>
              <w:right w:val="nil"/>
            </w:tcBorders>
            <w:vAlign w:val="center"/>
          </w:tcPr>
          <w:p w14:paraId="4483189C"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7453EDD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(1.375)</w:t>
            </w:r>
          </w:p>
        </w:tc>
        <w:tc>
          <w:tcPr>
            <w:tcW w:w="1399" w:type="dxa"/>
            <w:tcBorders>
              <w:top w:val="nil"/>
              <w:left w:val="nil"/>
              <w:bottom w:val="nil"/>
              <w:right w:val="nil"/>
            </w:tcBorders>
            <w:vAlign w:val="center"/>
          </w:tcPr>
          <w:p w14:paraId="52D9254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(0.900)</w:t>
            </w:r>
          </w:p>
        </w:tc>
        <w:tc>
          <w:tcPr>
            <w:tcW w:w="1399" w:type="dxa"/>
            <w:tcBorders>
              <w:top w:val="nil"/>
              <w:left w:val="nil"/>
              <w:bottom w:val="nil"/>
              <w:right w:val="nil"/>
            </w:tcBorders>
            <w:vAlign w:val="center"/>
          </w:tcPr>
          <w:p w14:paraId="6F78078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(0.723)</w:t>
            </w:r>
          </w:p>
        </w:tc>
        <w:tc>
          <w:tcPr>
            <w:tcW w:w="1399" w:type="dxa"/>
            <w:tcBorders>
              <w:top w:val="nil"/>
              <w:left w:val="nil"/>
              <w:bottom w:val="nil"/>
              <w:right w:val="nil"/>
            </w:tcBorders>
            <w:vAlign w:val="center"/>
          </w:tcPr>
          <w:p w14:paraId="6AC4E39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(0.624)</w:t>
            </w:r>
          </w:p>
        </w:tc>
        <w:tc>
          <w:tcPr>
            <w:tcW w:w="1399" w:type="dxa"/>
            <w:tcBorders>
              <w:top w:val="nil"/>
              <w:left w:val="nil"/>
              <w:bottom w:val="nil"/>
              <w:right w:val="nil"/>
            </w:tcBorders>
            <w:vAlign w:val="center"/>
          </w:tcPr>
          <w:p w14:paraId="1E5BD7EC"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(34.29)</w:t>
            </w:r>
          </w:p>
        </w:tc>
        <w:tc>
          <w:tcPr>
            <w:tcW w:w="1399" w:type="dxa"/>
            <w:tcBorders>
              <w:top w:val="nil"/>
              <w:left w:val="nil"/>
              <w:bottom w:val="nil"/>
              <w:right w:val="nil"/>
            </w:tcBorders>
            <w:vAlign w:val="center"/>
          </w:tcPr>
          <w:p w14:paraId="447737E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(17.12)</w:t>
            </w:r>
          </w:p>
        </w:tc>
      </w:tr>
      <w:tr w:rsidR="00916A89" w:rsidRPr="00F14751" w14:paraId="4D519535" w14:textId="77777777" w:rsidTr="008738C3">
        <w:trPr>
          <w:jc w:val="center"/>
        </w:trPr>
        <w:tc>
          <w:tcPr>
            <w:tcW w:w="2195" w:type="dxa"/>
            <w:tcBorders>
              <w:top w:val="nil"/>
              <w:left w:val="nil"/>
              <w:bottom w:val="nil"/>
              <w:right w:val="nil"/>
            </w:tcBorders>
            <w:vAlign w:val="center"/>
          </w:tcPr>
          <w:p w14:paraId="503CA837"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Death</w:t>
            </w:r>
          </w:p>
        </w:tc>
        <w:tc>
          <w:tcPr>
            <w:tcW w:w="1398" w:type="dxa"/>
            <w:tcBorders>
              <w:top w:val="nil"/>
              <w:left w:val="nil"/>
              <w:bottom w:val="nil"/>
              <w:right w:val="nil"/>
            </w:tcBorders>
            <w:vAlign w:val="center"/>
          </w:tcPr>
          <w:p w14:paraId="420E284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2.410</w:t>
            </w:r>
          </w:p>
        </w:tc>
        <w:tc>
          <w:tcPr>
            <w:tcW w:w="1399" w:type="dxa"/>
            <w:tcBorders>
              <w:top w:val="nil"/>
              <w:left w:val="nil"/>
              <w:bottom w:val="nil"/>
              <w:right w:val="nil"/>
            </w:tcBorders>
            <w:vAlign w:val="center"/>
          </w:tcPr>
          <w:p w14:paraId="342C5E5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1.688</w:t>
            </w:r>
          </w:p>
        </w:tc>
        <w:tc>
          <w:tcPr>
            <w:tcW w:w="1399" w:type="dxa"/>
            <w:tcBorders>
              <w:top w:val="nil"/>
              <w:left w:val="nil"/>
              <w:bottom w:val="nil"/>
              <w:right w:val="nil"/>
            </w:tcBorders>
            <w:vAlign w:val="center"/>
          </w:tcPr>
          <w:p w14:paraId="252C506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1.284</w:t>
            </w:r>
          </w:p>
        </w:tc>
        <w:tc>
          <w:tcPr>
            <w:tcW w:w="1399" w:type="dxa"/>
            <w:tcBorders>
              <w:top w:val="nil"/>
              <w:left w:val="nil"/>
              <w:bottom w:val="nil"/>
              <w:right w:val="nil"/>
            </w:tcBorders>
            <w:vAlign w:val="center"/>
          </w:tcPr>
          <w:p w14:paraId="3015519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0.743</w:t>
            </w:r>
          </w:p>
        </w:tc>
        <w:tc>
          <w:tcPr>
            <w:tcW w:w="1399" w:type="dxa"/>
            <w:tcBorders>
              <w:top w:val="nil"/>
              <w:left w:val="nil"/>
              <w:bottom w:val="nil"/>
              <w:right w:val="nil"/>
            </w:tcBorders>
            <w:vAlign w:val="center"/>
          </w:tcPr>
          <w:p w14:paraId="3CE8D7D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152.7*</w:t>
            </w:r>
          </w:p>
        </w:tc>
        <w:tc>
          <w:tcPr>
            <w:tcW w:w="1399" w:type="dxa"/>
            <w:tcBorders>
              <w:top w:val="nil"/>
              <w:left w:val="nil"/>
              <w:bottom w:val="nil"/>
              <w:right w:val="nil"/>
            </w:tcBorders>
            <w:vAlign w:val="center"/>
          </w:tcPr>
          <w:p w14:paraId="4BAD2AD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68.45*</w:t>
            </w:r>
          </w:p>
        </w:tc>
      </w:tr>
      <w:tr w:rsidR="00916A89" w:rsidRPr="00F14751" w14:paraId="0E389988" w14:textId="77777777" w:rsidTr="008738C3">
        <w:trPr>
          <w:jc w:val="center"/>
        </w:trPr>
        <w:tc>
          <w:tcPr>
            <w:tcW w:w="2195" w:type="dxa"/>
            <w:tcBorders>
              <w:top w:val="nil"/>
              <w:left w:val="nil"/>
              <w:bottom w:val="nil"/>
              <w:right w:val="nil"/>
            </w:tcBorders>
            <w:vAlign w:val="center"/>
          </w:tcPr>
          <w:p w14:paraId="4DD5EBF1"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22C966A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(1.732)</w:t>
            </w:r>
          </w:p>
        </w:tc>
        <w:tc>
          <w:tcPr>
            <w:tcW w:w="1399" w:type="dxa"/>
            <w:tcBorders>
              <w:top w:val="nil"/>
              <w:left w:val="nil"/>
              <w:bottom w:val="nil"/>
              <w:right w:val="nil"/>
            </w:tcBorders>
            <w:vAlign w:val="center"/>
          </w:tcPr>
          <w:p w14:paraId="2373CFF0"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(1.646)</w:t>
            </w:r>
          </w:p>
        </w:tc>
        <w:tc>
          <w:tcPr>
            <w:tcW w:w="1399" w:type="dxa"/>
            <w:tcBorders>
              <w:top w:val="nil"/>
              <w:left w:val="nil"/>
              <w:bottom w:val="nil"/>
              <w:right w:val="nil"/>
            </w:tcBorders>
            <w:vAlign w:val="center"/>
          </w:tcPr>
          <w:p w14:paraId="2CFCF7A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(1.158)</w:t>
            </w:r>
          </w:p>
        </w:tc>
        <w:tc>
          <w:tcPr>
            <w:tcW w:w="1399" w:type="dxa"/>
            <w:tcBorders>
              <w:top w:val="nil"/>
              <w:left w:val="nil"/>
              <w:bottom w:val="nil"/>
              <w:right w:val="nil"/>
            </w:tcBorders>
            <w:vAlign w:val="center"/>
          </w:tcPr>
          <w:p w14:paraId="7FB6078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(0.898)</w:t>
            </w:r>
          </w:p>
        </w:tc>
        <w:tc>
          <w:tcPr>
            <w:tcW w:w="1399" w:type="dxa"/>
            <w:tcBorders>
              <w:top w:val="nil"/>
              <w:left w:val="nil"/>
              <w:bottom w:val="nil"/>
              <w:right w:val="nil"/>
            </w:tcBorders>
            <w:vAlign w:val="center"/>
          </w:tcPr>
          <w:p w14:paraId="054CA16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(74.19)</w:t>
            </w:r>
          </w:p>
        </w:tc>
        <w:tc>
          <w:tcPr>
            <w:tcW w:w="1399" w:type="dxa"/>
            <w:tcBorders>
              <w:top w:val="nil"/>
              <w:left w:val="nil"/>
              <w:bottom w:val="nil"/>
              <w:right w:val="nil"/>
            </w:tcBorders>
            <w:vAlign w:val="center"/>
          </w:tcPr>
          <w:p w14:paraId="67D9164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(32.53)</w:t>
            </w:r>
          </w:p>
        </w:tc>
      </w:tr>
      <w:tr w:rsidR="00916A89" w:rsidRPr="00F14751" w14:paraId="209E3603" w14:textId="77777777" w:rsidTr="008738C3">
        <w:trPr>
          <w:jc w:val="center"/>
        </w:trPr>
        <w:tc>
          <w:tcPr>
            <w:tcW w:w="2195" w:type="dxa"/>
            <w:tcBorders>
              <w:top w:val="nil"/>
              <w:left w:val="nil"/>
              <w:bottom w:val="nil"/>
              <w:right w:val="nil"/>
            </w:tcBorders>
            <w:vAlign w:val="center"/>
          </w:tcPr>
          <w:p w14:paraId="2C66B3ED"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UrbanPopgrowth</w:t>
            </w:r>
            <w:proofErr w:type="spellEnd"/>
          </w:p>
        </w:tc>
        <w:tc>
          <w:tcPr>
            <w:tcW w:w="1398" w:type="dxa"/>
            <w:tcBorders>
              <w:top w:val="nil"/>
              <w:left w:val="nil"/>
              <w:bottom w:val="nil"/>
              <w:right w:val="nil"/>
            </w:tcBorders>
            <w:vAlign w:val="center"/>
          </w:tcPr>
          <w:p w14:paraId="7B11437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-0.489</w:t>
            </w:r>
          </w:p>
        </w:tc>
        <w:tc>
          <w:tcPr>
            <w:tcW w:w="1399" w:type="dxa"/>
            <w:tcBorders>
              <w:top w:val="nil"/>
              <w:left w:val="nil"/>
              <w:bottom w:val="nil"/>
              <w:right w:val="nil"/>
            </w:tcBorders>
            <w:vAlign w:val="center"/>
          </w:tcPr>
          <w:p w14:paraId="605536A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-0.951</w:t>
            </w:r>
          </w:p>
        </w:tc>
        <w:tc>
          <w:tcPr>
            <w:tcW w:w="1399" w:type="dxa"/>
            <w:tcBorders>
              <w:top w:val="nil"/>
              <w:left w:val="nil"/>
              <w:bottom w:val="nil"/>
              <w:right w:val="nil"/>
            </w:tcBorders>
            <w:vAlign w:val="center"/>
          </w:tcPr>
          <w:p w14:paraId="401F184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-0.733</w:t>
            </w:r>
          </w:p>
        </w:tc>
        <w:tc>
          <w:tcPr>
            <w:tcW w:w="1399" w:type="dxa"/>
            <w:tcBorders>
              <w:top w:val="nil"/>
              <w:left w:val="nil"/>
              <w:bottom w:val="nil"/>
              <w:right w:val="nil"/>
            </w:tcBorders>
            <w:vAlign w:val="center"/>
          </w:tcPr>
          <w:p w14:paraId="03F2898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-0.716</w:t>
            </w:r>
          </w:p>
        </w:tc>
        <w:tc>
          <w:tcPr>
            <w:tcW w:w="1399" w:type="dxa"/>
            <w:tcBorders>
              <w:top w:val="nil"/>
              <w:left w:val="nil"/>
              <w:bottom w:val="nil"/>
              <w:right w:val="nil"/>
            </w:tcBorders>
            <w:vAlign w:val="center"/>
          </w:tcPr>
          <w:p w14:paraId="0A92A29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-61.02</w:t>
            </w:r>
          </w:p>
        </w:tc>
        <w:tc>
          <w:tcPr>
            <w:tcW w:w="1399" w:type="dxa"/>
            <w:tcBorders>
              <w:top w:val="nil"/>
              <w:left w:val="nil"/>
              <w:bottom w:val="nil"/>
              <w:right w:val="nil"/>
            </w:tcBorders>
            <w:vAlign w:val="center"/>
          </w:tcPr>
          <w:p w14:paraId="3674243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-31.90*</w:t>
            </w:r>
          </w:p>
        </w:tc>
      </w:tr>
      <w:tr w:rsidR="00916A89" w:rsidRPr="00F14751" w14:paraId="388644CC" w14:textId="77777777" w:rsidTr="008738C3">
        <w:trPr>
          <w:jc w:val="center"/>
        </w:trPr>
        <w:tc>
          <w:tcPr>
            <w:tcW w:w="2195" w:type="dxa"/>
            <w:tcBorders>
              <w:top w:val="nil"/>
              <w:left w:val="nil"/>
              <w:bottom w:val="nil"/>
              <w:right w:val="nil"/>
            </w:tcBorders>
            <w:vAlign w:val="center"/>
          </w:tcPr>
          <w:p w14:paraId="708AD75F"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9753FE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(0.971)</w:t>
            </w:r>
          </w:p>
        </w:tc>
        <w:tc>
          <w:tcPr>
            <w:tcW w:w="1399" w:type="dxa"/>
            <w:tcBorders>
              <w:top w:val="nil"/>
              <w:left w:val="nil"/>
              <w:bottom w:val="nil"/>
              <w:right w:val="nil"/>
            </w:tcBorders>
            <w:vAlign w:val="center"/>
          </w:tcPr>
          <w:p w14:paraId="4220C25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(0.727)</w:t>
            </w:r>
          </w:p>
        </w:tc>
        <w:tc>
          <w:tcPr>
            <w:tcW w:w="1399" w:type="dxa"/>
            <w:tcBorders>
              <w:top w:val="nil"/>
              <w:left w:val="nil"/>
              <w:bottom w:val="nil"/>
              <w:right w:val="nil"/>
            </w:tcBorders>
            <w:vAlign w:val="center"/>
          </w:tcPr>
          <w:p w14:paraId="7DCCDD3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(0.554)</w:t>
            </w:r>
          </w:p>
        </w:tc>
        <w:tc>
          <w:tcPr>
            <w:tcW w:w="1399" w:type="dxa"/>
            <w:tcBorders>
              <w:top w:val="nil"/>
              <w:left w:val="nil"/>
              <w:bottom w:val="nil"/>
              <w:right w:val="nil"/>
            </w:tcBorders>
            <w:vAlign w:val="center"/>
          </w:tcPr>
          <w:p w14:paraId="374EB39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(0.424)</w:t>
            </w:r>
          </w:p>
        </w:tc>
        <w:tc>
          <w:tcPr>
            <w:tcW w:w="1399" w:type="dxa"/>
            <w:tcBorders>
              <w:top w:val="nil"/>
              <w:left w:val="nil"/>
              <w:bottom w:val="nil"/>
              <w:right w:val="nil"/>
            </w:tcBorders>
            <w:vAlign w:val="center"/>
          </w:tcPr>
          <w:p w14:paraId="614C550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(37.34)</w:t>
            </w:r>
          </w:p>
        </w:tc>
        <w:tc>
          <w:tcPr>
            <w:tcW w:w="1399" w:type="dxa"/>
            <w:tcBorders>
              <w:top w:val="nil"/>
              <w:left w:val="nil"/>
              <w:bottom w:val="nil"/>
              <w:right w:val="nil"/>
            </w:tcBorders>
            <w:vAlign w:val="center"/>
          </w:tcPr>
          <w:p w14:paraId="4867286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(17.10)</w:t>
            </w:r>
          </w:p>
        </w:tc>
      </w:tr>
      <w:tr w:rsidR="00916A89" w:rsidRPr="00F14751" w14:paraId="6703A7B5" w14:textId="77777777" w:rsidTr="008738C3">
        <w:trPr>
          <w:jc w:val="center"/>
        </w:trPr>
        <w:tc>
          <w:tcPr>
            <w:tcW w:w="2195" w:type="dxa"/>
            <w:tcBorders>
              <w:top w:val="nil"/>
              <w:left w:val="nil"/>
              <w:bottom w:val="nil"/>
              <w:right w:val="nil"/>
            </w:tcBorders>
            <w:vAlign w:val="center"/>
          </w:tcPr>
          <w:p w14:paraId="120A1B3B"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Mercosur</w:t>
            </w:r>
          </w:p>
        </w:tc>
        <w:tc>
          <w:tcPr>
            <w:tcW w:w="1398" w:type="dxa"/>
            <w:tcBorders>
              <w:top w:val="nil"/>
              <w:left w:val="nil"/>
              <w:bottom w:val="nil"/>
              <w:right w:val="nil"/>
            </w:tcBorders>
            <w:vAlign w:val="center"/>
          </w:tcPr>
          <w:p w14:paraId="28C3671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2.462</w:t>
            </w:r>
          </w:p>
        </w:tc>
        <w:tc>
          <w:tcPr>
            <w:tcW w:w="1399" w:type="dxa"/>
            <w:tcBorders>
              <w:top w:val="nil"/>
              <w:left w:val="nil"/>
              <w:bottom w:val="nil"/>
              <w:right w:val="nil"/>
            </w:tcBorders>
            <w:vAlign w:val="center"/>
          </w:tcPr>
          <w:p w14:paraId="6B56FA8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0.193</w:t>
            </w:r>
          </w:p>
        </w:tc>
        <w:tc>
          <w:tcPr>
            <w:tcW w:w="1399" w:type="dxa"/>
            <w:tcBorders>
              <w:top w:val="nil"/>
              <w:left w:val="nil"/>
              <w:bottom w:val="nil"/>
              <w:right w:val="nil"/>
            </w:tcBorders>
            <w:vAlign w:val="center"/>
          </w:tcPr>
          <w:p w14:paraId="02D6F69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0.0651</w:t>
            </w:r>
          </w:p>
        </w:tc>
        <w:tc>
          <w:tcPr>
            <w:tcW w:w="1399" w:type="dxa"/>
            <w:tcBorders>
              <w:top w:val="nil"/>
              <w:left w:val="nil"/>
              <w:bottom w:val="nil"/>
              <w:right w:val="nil"/>
            </w:tcBorders>
            <w:vAlign w:val="center"/>
          </w:tcPr>
          <w:p w14:paraId="0BBE28E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-0.632</w:t>
            </w:r>
          </w:p>
        </w:tc>
        <w:tc>
          <w:tcPr>
            <w:tcW w:w="1399" w:type="dxa"/>
            <w:tcBorders>
              <w:top w:val="nil"/>
              <w:left w:val="nil"/>
              <w:bottom w:val="nil"/>
              <w:right w:val="nil"/>
            </w:tcBorders>
            <w:vAlign w:val="center"/>
          </w:tcPr>
          <w:p w14:paraId="193465B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-45.72</w:t>
            </w:r>
          </w:p>
        </w:tc>
        <w:tc>
          <w:tcPr>
            <w:tcW w:w="1399" w:type="dxa"/>
            <w:tcBorders>
              <w:top w:val="nil"/>
              <w:left w:val="nil"/>
              <w:bottom w:val="nil"/>
              <w:right w:val="nil"/>
            </w:tcBorders>
            <w:vAlign w:val="center"/>
          </w:tcPr>
          <w:p w14:paraId="0A2FCE2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-30.50</w:t>
            </w:r>
          </w:p>
        </w:tc>
      </w:tr>
      <w:tr w:rsidR="00916A89" w:rsidRPr="00F14751" w14:paraId="5ADFABD9" w14:textId="77777777" w:rsidTr="008738C3">
        <w:trPr>
          <w:jc w:val="center"/>
        </w:trPr>
        <w:tc>
          <w:tcPr>
            <w:tcW w:w="2195" w:type="dxa"/>
            <w:tcBorders>
              <w:top w:val="nil"/>
              <w:left w:val="nil"/>
              <w:bottom w:val="nil"/>
              <w:right w:val="nil"/>
            </w:tcBorders>
            <w:vAlign w:val="center"/>
          </w:tcPr>
          <w:p w14:paraId="1245B98A"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7EB98C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(2.246)</w:t>
            </w:r>
          </w:p>
        </w:tc>
        <w:tc>
          <w:tcPr>
            <w:tcW w:w="1399" w:type="dxa"/>
            <w:tcBorders>
              <w:top w:val="nil"/>
              <w:left w:val="nil"/>
              <w:bottom w:val="nil"/>
              <w:right w:val="nil"/>
            </w:tcBorders>
            <w:vAlign w:val="center"/>
          </w:tcPr>
          <w:p w14:paraId="44510C9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(1.512)</w:t>
            </w:r>
          </w:p>
        </w:tc>
        <w:tc>
          <w:tcPr>
            <w:tcW w:w="1399" w:type="dxa"/>
            <w:tcBorders>
              <w:top w:val="nil"/>
              <w:left w:val="nil"/>
              <w:bottom w:val="nil"/>
              <w:right w:val="nil"/>
            </w:tcBorders>
            <w:vAlign w:val="center"/>
          </w:tcPr>
          <w:p w14:paraId="745CF82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(1.230)</w:t>
            </w:r>
          </w:p>
        </w:tc>
        <w:tc>
          <w:tcPr>
            <w:tcW w:w="1399" w:type="dxa"/>
            <w:tcBorders>
              <w:top w:val="nil"/>
              <w:left w:val="nil"/>
              <w:bottom w:val="nil"/>
              <w:right w:val="nil"/>
            </w:tcBorders>
            <w:vAlign w:val="center"/>
          </w:tcPr>
          <w:p w14:paraId="2DAA228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(1.118)</w:t>
            </w:r>
          </w:p>
        </w:tc>
        <w:tc>
          <w:tcPr>
            <w:tcW w:w="1399" w:type="dxa"/>
            <w:tcBorders>
              <w:top w:val="nil"/>
              <w:left w:val="nil"/>
              <w:bottom w:val="nil"/>
              <w:right w:val="nil"/>
            </w:tcBorders>
            <w:vAlign w:val="center"/>
          </w:tcPr>
          <w:p w14:paraId="72FB6DD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(64.88)</w:t>
            </w:r>
          </w:p>
        </w:tc>
        <w:tc>
          <w:tcPr>
            <w:tcW w:w="1399" w:type="dxa"/>
            <w:tcBorders>
              <w:top w:val="nil"/>
              <w:left w:val="nil"/>
              <w:bottom w:val="nil"/>
              <w:right w:val="nil"/>
            </w:tcBorders>
            <w:vAlign w:val="center"/>
          </w:tcPr>
          <w:p w14:paraId="32B1679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(31.73)</w:t>
            </w:r>
          </w:p>
        </w:tc>
      </w:tr>
      <w:tr w:rsidR="00916A89" w:rsidRPr="00F14751" w14:paraId="6F656D71" w14:textId="77777777" w:rsidTr="008738C3">
        <w:trPr>
          <w:jc w:val="center"/>
        </w:trPr>
        <w:tc>
          <w:tcPr>
            <w:tcW w:w="2195" w:type="dxa"/>
            <w:tcBorders>
              <w:top w:val="nil"/>
              <w:left w:val="nil"/>
              <w:bottom w:val="nil"/>
              <w:right w:val="nil"/>
            </w:tcBorders>
            <w:vAlign w:val="center"/>
          </w:tcPr>
          <w:p w14:paraId="51D0932D"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Unasur</w:t>
            </w:r>
            <w:proofErr w:type="spellEnd"/>
          </w:p>
        </w:tc>
        <w:tc>
          <w:tcPr>
            <w:tcW w:w="1398" w:type="dxa"/>
            <w:tcBorders>
              <w:top w:val="nil"/>
              <w:left w:val="nil"/>
              <w:bottom w:val="nil"/>
              <w:right w:val="nil"/>
            </w:tcBorders>
            <w:vAlign w:val="center"/>
          </w:tcPr>
          <w:p w14:paraId="49AAFC0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-0.493</w:t>
            </w:r>
          </w:p>
        </w:tc>
        <w:tc>
          <w:tcPr>
            <w:tcW w:w="1399" w:type="dxa"/>
            <w:tcBorders>
              <w:top w:val="nil"/>
              <w:left w:val="nil"/>
              <w:bottom w:val="nil"/>
              <w:right w:val="nil"/>
            </w:tcBorders>
            <w:vAlign w:val="center"/>
          </w:tcPr>
          <w:p w14:paraId="3F93EB8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0.601</w:t>
            </w:r>
          </w:p>
        </w:tc>
        <w:tc>
          <w:tcPr>
            <w:tcW w:w="1399" w:type="dxa"/>
            <w:tcBorders>
              <w:top w:val="nil"/>
              <w:left w:val="nil"/>
              <w:bottom w:val="nil"/>
              <w:right w:val="nil"/>
            </w:tcBorders>
            <w:vAlign w:val="center"/>
          </w:tcPr>
          <w:p w14:paraId="28BFFA2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0.392</w:t>
            </w:r>
          </w:p>
        </w:tc>
        <w:tc>
          <w:tcPr>
            <w:tcW w:w="1399" w:type="dxa"/>
            <w:tcBorders>
              <w:top w:val="nil"/>
              <w:left w:val="nil"/>
              <w:bottom w:val="nil"/>
              <w:right w:val="nil"/>
            </w:tcBorders>
            <w:vAlign w:val="center"/>
          </w:tcPr>
          <w:p w14:paraId="67EC8F0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0.529</w:t>
            </w:r>
          </w:p>
        </w:tc>
        <w:tc>
          <w:tcPr>
            <w:tcW w:w="1399" w:type="dxa"/>
            <w:tcBorders>
              <w:top w:val="nil"/>
              <w:left w:val="nil"/>
              <w:bottom w:val="nil"/>
              <w:right w:val="nil"/>
            </w:tcBorders>
            <w:vAlign w:val="center"/>
          </w:tcPr>
          <w:p w14:paraId="79379F6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4.022</w:t>
            </w:r>
          </w:p>
        </w:tc>
        <w:tc>
          <w:tcPr>
            <w:tcW w:w="1399" w:type="dxa"/>
            <w:tcBorders>
              <w:top w:val="nil"/>
              <w:left w:val="nil"/>
              <w:bottom w:val="nil"/>
              <w:right w:val="nil"/>
            </w:tcBorders>
            <w:vAlign w:val="center"/>
          </w:tcPr>
          <w:p w14:paraId="65EA7A5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8.914</w:t>
            </w:r>
          </w:p>
        </w:tc>
      </w:tr>
      <w:tr w:rsidR="00916A89" w:rsidRPr="00F14751" w14:paraId="2900BF76" w14:textId="77777777" w:rsidTr="008738C3">
        <w:trPr>
          <w:jc w:val="center"/>
        </w:trPr>
        <w:tc>
          <w:tcPr>
            <w:tcW w:w="2195" w:type="dxa"/>
            <w:tcBorders>
              <w:top w:val="nil"/>
              <w:left w:val="nil"/>
              <w:bottom w:val="nil"/>
              <w:right w:val="nil"/>
            </w:tcBorders>
            <w:vAlign w:val="center"/>
          </w:tcPr>
          <w:p w14:paraId="21248D93"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12580E4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(1.757)</w:t>
            </w:r>
          </w:p>
        </w:tc>
        <w:tc>
          <w:tcPr>
            <w:tcW w:w="1399" w:type="dxa"/>
            <w:tcBorders>
              <w:top w:val="nil"/>
              <w:left w:val="nil"/>
              <w:bottom w:val="nil"/>
              <w:right w:val="nil"/>
            </w:tcBorders>
            <w:vAlign w:val="center"/>
          </w:tcPr>
          <w:p w14:paraId="5727A2E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(0.975)</w:t>
            </w:r>
          </w:p>
        </w:tc>
        <w:tc>
          <w:tcPr>
            <w:tcW w:w="1399" w:type="dxa"/>
            <w:tcBorders>
              <w:top w:val="nil"/>
              <w:left w:val="nil"/>
              <w:bottom w:val="nil"/>
              <w:right w:val="nil"/>
            </w:tcBorders>
            <w:vAlign w:val="center"/>
          </w:tcPr>
          <w:p w14:paraId="26A0BF0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(0.791)</w:t>
            </w:r>
          </w:p>
        </w:tc>
        <w:tc>
          <w:tcPr>
            <w:tcW w:w="1399" w:type="dxa"/>
            <w:tcBorders>
              <w:top w:val="nil"/>
              <w:left w:val="nil"/>
              <w:bottom w:val="nil"/>
              <w:right w:val="nil"/>
            </w:tcBorders>
            <w:vAlign w:val="center"/>
          </w:tcPr>
          <w:p w14:paraId="7FCE0E5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(0.649)</w:t>
            </w:r>
          </w:p>
        </w:tc>
        <w:tc>
          <w:tcPr>
            <w:tcW w:w="1399" w:type="dxa"/>
            <w:tcBorders>
              <w:top w:val="nil"/>
              <w:left w:val="nil"/>
              <w:bottom w:val="nil"/>
              <w:right w:val="nil"/>
            </w:tcBorders>
            <w:vAlign w:val="center"/>
          </w:tcPr>
          <w:p w14:paraId="1F0A124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(35.93)</w:t>
            </w:r>
          </w:p>
        </w:tc>
        <w:tc>
          <w:tcPr>
            <w:tcW w:w="1399" w:type="dxa"/>
            <w:tcBorders>
              <w:top w:val="nil"/>
              <w:left w:val="nil"/>
              <w:bottom w:val="nil"/>
              <w:right w:val="nil"/>
            </w:tcBorders>
            <w:vAlign w:val="center"/>
          </w:tcPr>
          <w:p w14:paraId="606BF77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(16.12)</w:t>
            </w:r>
          </w:p>
        </w:tc>
      </w:tr>
      <w:tr w:rsidR="00916A89" w:rsidRPr="00F14751" w14:paraId="4567B817" w14:textId="77777777" w:rsidTr="008738C3">
        <w:trPr>
          <w:jc w:val="center"/>
        </w:trPr>
        <w:tc>
          <w:tcPr>
            <w:tcW w:w="2195" w:type="dxa"/>
            <w:tcBorders>
              <w:top w:val="nil"/>
              <w:left w:val="nil"/>
              <w:bottom w:val="nil"/>
              <w:right w:val="nil"/>
            </w:tcBorders>
            <w:vAlign w:val="center"/>
          </w:tcPr>
          <w:p w14:paraId="1CBDCCB0"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Gini</w:t>
            </w:r>
          </w:p>
        </w:tc>
        <w:tc>
          <w:tcPr>
            <w:tcW w:w="1398" w:type="dxa"/>
            <w:tcBorders>
              <w:top w:val="nil"/>
              <w:left w:val="nil"/>
              <w:bottom w:val="nil"/>
              <w:right w:val="nil"/>
            </w:tcBorders>
            <w:vAlign w:val="center"/>
          </w:tcPr>
          <w:p w14:paraId="386245F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0.880***</w:t>
            </w:r>
          </w:p>
        </w:tc>
        <w:tc>
          <w:tcPr>
            <w:tcW w:w="1399" w:type="dxa"/>
            <w:tcBorders>
              <w:top w:val="nil"/>
              <w:left w:val="nil"/>
              <w:bottom w:val="nil"/>
              <w:right w:val="nil"/>
            </w:tcBorders>
            <w:vAlign w:val="center"/>
          </w:tcPr>
          <w:p w14:paraId="2D23004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0.734***</w:t>
            </w:r>
          </w:p>
        </w:tc>
        <w:tc>
          <w:tcPr>
            <w:tcW w:w="1399" w:type="dxa"/>
            <w:tcBorders>
              <w:top w:val="nil"/>
              <w:left w:val="nil"/>
              <w:bottom w:val="nil"/>
              <w:right w:val="nil"/>
            </w:tcBorders>
            <w:vAlign w:val="center"/>
          </w:tcPr>
          <w:p w14:paraId="32CD8A3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0.572***</w:t>
            </w:r>
          </w:p>
        </w:tc>
        <w:tc>
          <w:tcPr>
            <w:tcW w:w="1399" w:type="dxa"/>
            <w:tcBorders>
              <w:top w:val="nil"/>
              <w:left w:val="nil"/>
              <w:bottom w:val="nil"/>
              <w:right w:val="nil"/>
            </w:tcBorders>
            <w:vAlign w:val="center"/>
          </w:tcPr>
          <w:p w14:paraId="123B45B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0.422***</w:t>
            </w:r>
          </w:p>
        </w:tc>
        <w:tc>
          <w:tcPr>
            <w:tcW w:w="1399" w:type="dxa"/>
            <w:tcBorders>
              <w:top w:val="nil"/>
              <w:left w:val="nil"/>
              <w:bottom w:val="nil"/>
              <w:right w:val="nil"/>
            </w:tcBorders>
            <w:vAlign w:val="center"/>
          </w:tcPr>
          <w:p w14:paraId="06EDE44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21.94***</w:t>
            </w:r>
          </w:p>
        </w:tc>
        <w:tc>
          <w:tcPr>
            <w:tcW w:w="1399" w:type="dxa"/>
            <w:tcBorders>
              <w:top w:val="nil"/>
              <w:left w:val="nil"/>
              <w:bottom w:val="nil"/>
              <w:right w:val="nil"/>
            </w:tcBorders>
            <w:vAlign w:val="center"/>
          </w:tcPr>
          <w:p w14:paraId="6F5C5CF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9.913**</w:t>
            </w:r>
          </w:p>
        </w:tc>
      </w:tr>
      <w:tr w:rsidR="00916A89" w:rsidRPr="00F14751" w14:paraId="71349AE3" w14:textId="77777777" w:rsidTr="008738C3">
        <w:trPr>
          <w:jc w:val="center"/>
        </w:trPr>
        <w:tc>
          <w:tcPr>
            <w:tcW w:w="2195" w:type="dxa"/>
            <w:tcBorders>
              <w:top w:val="nil"/>
              <w:left w:val="nil"/>
              <w:bottom w:val="nil"/>
              <w:right w:val="nil"/>
            </w:tcBorders>
            <w:vAlign w:val="center"/>
          </w:tcPr>
          <w:p w14:paraId="370E191B"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32E5F6F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(0.126)</w:t>
            </w:r>
          </w:p>
        </w:tc>
        <w:tc>
          <w:tcPr>
            <w:tcW w:w="1399" w:type="dxa"/>
            <w:tcBorders>
              <w:top w:val="nil"/>
              <w:left w:val="nil"/>
              <w:bottom w:val="nil"/>
              <w:right w:val="nil"/>
            </w:tcBorders>
            <w:vAlign w:val="center"/>
          </w:tcPr>
          <w:p w14:paraId="3B40AA50"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(0.119)</w:t>
            </w:r>
          </w:p>
        </w:tc>
        <w:tc>
          <w:tcPr>
            <w:tcW w:w="1399" w:type="dxa"/>
            <w:tcBorders>
              <w:top w:val="nil"/>
              <w:left w:val="nil"/>
              <w:bottom w:val="nil"/>
              <w:right w:val="nil"/>
            </w:tcBorders>
            <w:vAlign w:val="center"/>
          </w:tcPr>
          <w:p w14:paraId="3AD2A29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(0.107)</w:t>
            </w:r>
          </w:p>
        </w:tc>
        <w:tc>
          <w:tcPr>
            <w:tcW w:w="1399" w:type="dxa"/>
            <w:tcBorders>
              <w:top w:val="nil"/>
              <w:left w:val="nil"/>
              <w:bottom w:val="nil"/>
              <w:right w:val="nil"/>
            </w:tcBorders>
            <w:vAlign w:val="center"/>
          </w:tcPr>
          <w:p w14:paraId="3DB376E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(0.104)</w:t>
            </w:r>
          </w:p>
        </w:tc>
        <w:tc>
          <w:tcPr>
            <w:tcW w:w="1399" w:type="dxa"/>
            <w:tcBorders>
              <w:top w:val="nil"/>
              <w:left w:val="nil"/>
              <w:bottom w:val="nil"/>
              <w:right w:val="nil"/>
            </w:tcBorders>
            <w:vAlign w:val="center"/>
          </w:tcPr>
          <w:p w14:paraId="28E5812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(5.511)</w:t>
            </w:r>
          </w:p>
        </w:tc>
        <w:tc>
          <w:tcPr>
            <w:tcW w:w="1399" w:type="dxa"/>
            <w:tcBorders>
              <w:top w:val="nil"/>
              <w:left w:val="nil"/>
              <w:bottom w:val="nil"/>
              <w:right w:val="nil"/>
            </w:tcBorders>
            <w:vAlign w:val="center"/>
          </w:tcPr>
          <w:p w14:paraId="07981A4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(3.327)</w:t>
            </w:r>
          </w:p>
        </w:tc>
      </w:tr>
      <w:tr w:rsidR="00916A89" w:rsidRPr="00F14751" w14:paraId="02146637" w14:textId="77777777" w:rsidTr="008738C3">
        <w:trPr>
          <w:jc w:val="center"/>
        </w:trPr>
        <w:tc>
          <w:tcPr>
            <w:tcW w:w="2195" w:type="dxa"/>
            <w:tcBorders>
              <w:top w:val="nil"/>
              <w:left w:val="nil"/>
              <w:bottom w:val="nil"/>
              <w:right w:val="nil"/>
            </w:tcBorders>
            <w:vAlign w:val="center"/>
          </w:tcPr>
          <w:p w14:paraId="0A26DDCB"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Constant</w:t>
            </w:r>
          </w:p>
        </w:tc>
        <w:tc>
          <w:tcPr>
            <w:tcW w:w="1398" w:type="dxa"/>
            <w:tcBorders>
              <w:top w:val="nil"/>
              <w:left w:val="nil"/>
              <w:bottom w:val="nil"/>
              <w:right w:val="nil"/>
            </w:tcBorders>
            <w:vAlign w:val="center"/>
          </w:tcPr>
          <w:p w14:paraId="10177AC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-34.69**</w:t>
            </w:r>
          </w:p>
        </w:tc>
        <w:tc>
          <w:tcPr>
            <w:tcW w:w="1399" w:type="dxa"/>
            <w:tcBorders>
              <w:top w:val="nil"/>
              <w:left w:val="nil"/>
              <w:bottom w:val="nil"/>
              <w:right w:val="nil"/>
            </w:tcBorders>
            <w:vAlign w:val="center"/>
          </w:tcPr>
          <w:p w14:paraId="6FCF044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-35.64***</w:t>
            </w:r>
          </w:p>
        </w:tc>
        <w:tc>
          <w:tcPr>
            <w:tcW w:w="1399" w:type="dxa"/>
            <w:tcBorders>
              <w:top w:val="nil"/>
              <w:left w:val="nil"/>
              <w:bottom w:val="nil"/>
              <w:right w:val="nil"/>
            </w:tcBorders>
            <w:vAlign w:val="center"/>
          </w:tcPr>
          <w:p w14:paraId="73E50B8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-28.45***</w:t>
            </w:r>
          </w:p>
        </w:tc>
        <w:tc>
          <w:tcPr>
            <w:tcW w:w="1399" w:type="dxa"/>
            <w:tcBorders>
              <w:top w:val="nil"/>
              <w:left w:val="nil"/>
              <w:bottom w:val="nil"/>
              <w:right w:val="nil"/>
            </w:tcBorders>
            <w:vAlign w:val="center"/>
          </w:tcPr>
          <w:p w14:paraId="34F77F1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-23.41***</w:t>
            </w:r>
          </w:p>
        </w:tc>
        <w:tc>
          <w:tcPr>
            <w:tcW w:w="1399" w:type="dxa"/>
            <w:tcBorders>
              <w:top w:val="nil"/>
              <w:left w:val="nil"/>
              <w:bottom w:val="nil"/>
              <w:right w:val="nil"/>
            </w:tcBorders>
            <w:vAlign w:val="center"/>
          </w:tcPr>
          <w:p w14:paraId="15D2D7B1"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-1,814***</w:t>
            </w:r>
          </w:p>
        </w:tc>
        <w:tc>
          <w:tcPr>
            <w:tcW w:w="1399" w:type="dxa"/>
            <w:tcBorders>
              <w:top w:val="nil"/>
              <w:left w:val="nil"/>
              <w:bottom w:val="nil"/>
              <w:right w:val="nil"/>
            </w:tcBorders>
            <w:vAlign w:val="center"/>
          </w:tcPr>
          <w:p w14:paraId="54A9685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-904.1***</w:t>
            </w:r>
          </w:p>
        </w:tc>
      </w:tr>
      <w:tr w:rsidR="00916A89" w:rsidRPr="00F14751" w14:paraId="79A99633" w14:textId="77777777" w:rsidTr="008738C3">
        <w:trPr>
          <w:jc w:val="center"/>
        </w:trPr>
        <w:tc>
          <w:tcPr>
            <w:tcW w:w="2195" w:type="dxa"/>
            <w:tcBorders>
              <w:top w:val="nil"/>
              <w:left w:val="nil"/>
              <w:bottom w:val="nil"/>
              <w:right w:val="nil"/>
            </w:tcBorders>
            <w:vAlign w:val="center"/>
          </w:tcPr>
          <w:p w14:paraId="63A1FD95"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588A206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(12.08)</w:t>
            </w:r>
          </w:p>
        </w:tc>
        <w:tc>
          <w:tcPr>
            <w:tcW w:w="1399" w:type="dxa"/>
            <w:tcBorders>
              <w:top w:val="nil"/>
              <w:left w:val="nil"/>
              <w:bottom w:val="nil"/>
              <w:right w:val="nil"/>
            </w:tcBorders>
            <w:vAlign w:val="center"/>
          </w:tcPr>
          <w:p w14:paraId="460A407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(10.69)</w:t>
            </w:r>
          </w:p>
        </w:tc>
        <w:tc>
          <w:tcPr>
            <w:tcW w:w="1399" w:type="dxa"/>
            <w:tcBorders>
              <w:top w:val="nil"/>
              <w:left w:val="nil"/>
              <w:bottom w:val="nil"/>
              <w:right w:val="nil"/>
            </w:tcBorders>
            <w:vAlign w:val="center"/>
          </w:tcPr>
          <w:p w14:paraId="1258441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(8.308)</w:t>
            </w:r>
          </w:p>
        </w:tc>
        <w:tc>
          <w:tcPr>
            <w:tcW w:w="1399" w:type="dxa"/>
            <w:tcBorders>
              <w:top w:val="nil"/>
              <w:left w:val="nil"/>
              <w:bottom w:val="nil"/>
              <w:right w:val="nil"/>
            </w:tcBorders>
            <w:vAlign w:val="center"/>
          </w:tcPr>
          <w:p w14:paraId="5F39E46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(7.036)</w:t>
            </w:r>
          </w:p>
        </w:tc>
        <w:tc>
          <w:tcPr>
            <w:tcW w:w="1399" w:type="dxa"/>
            <w:tcBorders>
              <w:top w:val="nil"/>
              <w:left w:val="nil"/>
              <w:bottom w:val="nil"/>
              <w:right w:val="nil"/>
            </w:tcBorders>
            <w:vAlign w:val="center"/>
          </w:tcPr>
          <w:p w14:paraId="4AFD05E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(470.9)</w:t>
            </w:r>
          </w:p>
        </w:tc>
        <w:tc>
          <w:tcPr>
            <w:tcW w:w="1399" w:type="dxa"/>
            <w:tcBorders>
              <w:top w:val="nil"/>
              <w:left w:val="nil"/>
              <w:bottom w:val="nil"/>
              <w:right w:val="nil"/>
            </w:tcBorders>
            <w:vAlign w:val="center"/>
          </w:tcPr>
          <w:p w14:paraId="67D88D1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(235.2)</w:t>
            </w:r>
          </w:p>
        </w:tc>
      </w:tr>
      <w:tr w:rsidR="00916A89" w:rsidRPr="00F14751" w14:paraId="3446800A" w14:textId="77777777" w:rsidTr="008738C3">
        <w:trPr>
          <w:jc w:val="center"/>
        </w:trPr>
        <w:tc>
          <w:tcPr>
            <w:tcW w:w="2195" w:type="dxa"/>
            <w:tcBorders>
              <w:top w:val="nil"/>
              <w:left w:val="nil"/>
              <w:bottom w:val="nil"/>
              <w:right w:val="nil"/>
            </w:tcBorders>
            <w:vAlign w:val="center"/>
          </w:tcPr>
          <w:p w14:paraId="79F4237A"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p>
        </w:tc>
        <w:tc>
          <w:tcPr>
            <w:tcW w:w="1398" w:type="dxa"/>
            <w:tcBorders>
              <w:top w:val="nil"/>
              <w:left w:val="nil"/>
              <w:bottom w:val="nil"/>
              <w:right w:val="nil"/>
            </w:tcBorders>
            <w:vAlign w:val="center"/>
          </w:tcPr>
          <w:p w14:paraId="2601F06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336FE38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66796D0A"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5B590A2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01E734C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nil"/>
              <w:left w:val="nil"/>
              <w:bottom w:val="nil"/>
              <w:right w:val="nil"/>
            </w:tcBorders>
            <w:vAlign w:val="center"/>
          </w:tcPr>
          <w:p w14:paraId="1DDFF85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p>
        </w:tc>
      </w:tr>
      <w:tr w:rsidR="00916A89" w:rsidRPr="00F14751" w14:paraId="34E759B1" w14:textId="77777777" w:rsidTr="008738C3">
        <w:trPr>
          <w:jc w:val="center"/>
        </w:trPr>
        <w:tc>
          <w:tcPr>
            <w:tcW w:w="2195" w:type="dxa"/>
            <w:tcBorders>
              <w:top w:val="nil"/>
              <w:left w:val="nil"/>
              <w:bottom w:val="nil"/>
              <w:right w:val="nil"/>
            </w:tcBorders>
            <w:vAlign w:val="center"/>
          </w:tcPr>
          <w:p w14:paraId="0FAAE218"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Observations</w:t>
            </w:r>
          </w:p>
        </w:tc>
        <w:tc>
          <w:tcPr>
            <w:tcW w:w="1398" w:type="dxa"/>
            <w:tcBorders>
              <w:top w:val="nil"/>
              <w:left w:val="nil"/>
              <w:bottom w:val="nil"/>
              <w:right w:val="nil"/>
            </w:tcBorders>
            <w:vAlign w:val="center"/>
          </w:tcPr>
          <w:p w14:paraId="29B059C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w:t>
            </w:r>
          </w:p>
        </w:tc>
        <w:tc>
          <w:tcPr>
            <w:tcW w:w="1399" w:type="dxa"/>
            <w:tcBorders>
              <w:top w:val="nil"/>
              <w:left w:val="nil"/>
              <w:bottom w:val="nil"/>
              <w:right w:val="nil"/>
            </w:tcBorders>
            <w:vAlign w:val="center"/>
          </w:tcPr>
          <w:p w14:paraId="6D70334D"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w:t>
            </w:r>
          </w:p>
        </w:tc>
        <w:tc>
          <w:tcPr>
            <w:tcW w:w="1399" w:type="dxa"/>
            <w:tcBorders>
              <w:top w:val="nil"/>
              <w:left w:val="nil"/>
              <w:bottom w:val="nil"/>
              <w:right w:val="nil"/>
            </w:tcBorders>
            <w:vAlign w:val="center"/>
          </w:tcPr>
          <w:p w14:paraId="046D0A49"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w:t>
            </w:r>
          </w:p>
        </w:tc>
        <w:tc>
          <w:tcPr>
            <w:tcW w:w="1399" w:type="dxa"/>
            <w:tcBorders>
              <w:top w:val="nil"/>
              <w:left w:val="nil"/>
              <w:bottom w:val="nil"/>
              <w:right w:val="nil"/>
            </w:tcBorders>
            <w:vAlign w:val="center"/>
          </w:tcPr>
          <w:p w14:paraId="663048FE"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w:t>
            </w:r>
          </w:p>
        </w:tc>
        <w:tc>
          <w:tcPr>
            <w:tcW w:w="1399" w:type="dxa"/>
            <w:tcBorders>
              <w:top w:val="nil"/>
              <w:left w:val="nil"/>
              <w:bottom w:val="nil"/>
              <w:right w:val="nil"/>
            </w:tcBorders>
            <w:vAlign w:val="center"/>
          </w:tcPr>
          <w:p w14:paraId="656D142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w:t>
            </w:r>
          </w:p>
        </w:tc>
        <w:tc>
          <w:tcPr>
            <w:tcW w:w="1399" w:type="dxa"/>
            <w:tcBorders>
              <w:top w:val="nil"/>
              <w:left w:val="nil"/>
              <w:bottom w:val="nil"/>
              <w:right w:val="nil"/>
            </w:tcBorders>
            <w:vAlign w:val="center"/>
          </w:tcPr>
          <w:p w14:paraId="24AA50B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w:t>
            </w:r>
          </w:p>
        </w:tc>
      </w:tr>
      <w:tr w:rsidR="00916A89" w:rsidRPr="00F14751" w14:paraId="1D3962A4" w14:textId="77777777" w:rsidTr="008738C3">
        <w:trPr>
          <w:jc w:val="center"/>
        </w:trPr>
        <w:tc>
          <w:tcPr>
            <w:tcW w:w="2195" w:type="dxa"/>
            <w:tcBorders>
              <w:top w:val="nil"/>
              <w:left w:val="nil"/>
              <w:bottom w:val="nil"/>
              <w:right w:val="nil"/>
            </w:tcBorders>
            <w:vAlign w:val="center"/>
          </w:tcPr>
          <w:p w14:paraId="2A68B3A5"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R-squared</w:t>
            </w:r>
          </w:p>
        </w:tc>
        <w:tc>
          <w:tcPr>
            <w:tcW w:w="1398" w:type="dxa"/>
            <w:tcBorders>
              <w:top w:val="nil"/>
              <w:left w:val="nil"/>
              <w:bottom w:val="nil"/>
              <w:right w:val="nil"/>
            </w:tcBorders>
            <w:vAlign w:val="center"/>
          </w:tcPr>
          <w:p w14:paraId="0DC07A5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0.730</w:t>
            </w:r>
          </w:p>
        </w:tc>
        <w:tc>
          <w:tcPr>
            <w:tcW w:w="1399" w:type="dxa"/>
            <w:tcBorders>
              <w:top w:val="nil"/>
              <w:left w:val="nil"/>
              <w:bottom w:val="nil"/>
              <w:right w:val="nil"/>
            </w:tcBorders>
            <w:vAlign w:val="center"/>
          </w:tcPr>
          <w:p w14:paraId="2C22145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0.701</w:t>
            </w:r>
          </w:p>
        </w:tc>
        <w:tc>
          <w:tcPr>
            <w:tcW w:w="1399" w:type="dxa"/>
            <w:tcBorders>
              <w:top w:val="nil"/>
              <w:left w:val="nil"/>
              <w:bottom w:val="nil"/>
              <w:right w:val="nil"/>
            </w:tcBorders>
            <w:vAlign w:val="center"/>
          </w:tcPr>
          <w:p w14:paraId="3272A140"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0.697</w:t>
            </w:r>
          </w:p>
        </w:tc>
        <w:tc>
          <w:tcPr>
            <w:tcW w:w="1399" w:type="dxa"/>
            <w:tcBorders>
              <w:top w:val="nil"/>
              <w:left w:val="nil"/>
              <w:bottom w:val="nil"/>
              <w:right w:val="nil"/>
            </w:tcBorders>
            <w:vAlign w:val="center"/>
          </w:tcPr>
          <w:p w14:paraId="72A0D9B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0.620</w:t>
            </w:r>
          </w:p>
        </w:tc>
        <w:tc>
          <w:tcPr>
            <w:tcW w:w="1399" w:type="dxa"/>
            <w:tcBorders>
              <w:top w:val="nil"/>
              <w:left w:val="nil"/>
              <w:bottom w:val="nil"/>
              <w:right w:val="nil"/>
            </w:tcBorders>
            <w:vAlign w:val="center"/>
          </w:tcPr>
          <w:p w14:paraId="1FCCDD3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0.600</w:t>
            </w:r>
          </w:p>
        </w:tc>
        <w:tc>
          <w:tcPr>
            <w:tcW w:w="1399" w:type="dxa"/>
            <w:tcBorders>
              <w:top w:val="nil"/>
              <w:left w:val="nil"/>
              <w:bottom w:val="nil"/>
              <w:right w:val="nil"/>
            </w:tcBorders>
            <w:vAlign w:val="center"/>
          </w:tcPr>
          <w:p w14:paraId="114EF5D3"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0.544</w:t>
            </w:r>
          </w:p>
        </w:tc>
      </w:tr>
      <w:tr w:rsidR="00916A89" w:rsidRPr="00F14751" w14:paraId="3E0925AA" w14:textId="77777777" w:rsidTr="008738C3">
        <w:trPr>
          <w:jc w:val="center"/>
        </w:trPr>
        <w:tc>
          <w:tcPr>
            <w:tcW w:w="2195" w:type="dxa"/>
            <w:tcBorders>
              <w:top w:val="nil"/>
              <w:left w:val="nil"/>
              <w:bottom w:val="nil"/>
              <w:right w:val="nil"/>
            </w:tcBorders>
            <w:vAlign w:val="center"/>
          </w:tcPr>
          <w:p w14:paraId="3D89EFE4"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Number of Countries</w:t>
            </w:r>
          </w:p>
        </w:tc>
        <w:tc>
          <w:tcPr>
            <w:tcW w:w="1398" w:type="dxa"/>
            <w:tcBorders>
              <w:top w:val="nil"/>
              <w:left w:val="nil"/>
              <w:bottom w:val="nil"/>
              <w:right w:val="nil"/>
            </w:tcBorders>
            <w:vAlign w:val="center"/>
          </w:tcPr>
          <w:p w14:paraId="6FC4CE26"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399" w:type="dxa"/>
            <w:tcBorders>
              <w:top w:val="nil"/>
              <w:left w:val="nil"/>
              <w:bottom w:val="nil"/>
              <w:right w:val="nil"/>
            </w:tcBorders>
            <w:vAlign w:val="center"/>
          </w:tcPr>
          <w:p w14:paraId="6C257D37"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399" w:type="dxa"/>
            <w:tcBorders>
              <w:top w:val="nil"/>
              <w:left w:val="nil"/>
              <w:bottom w:val="nil"/>
              <w:right w:val="nil"/>
            </w:tcBorders>
            <w:vAlign w:val="center"/>
          </w:tcPr>
          <w:p w14:paraId="7541991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399" w:type="dxa"/>
            <w:tcBorders>
              <w:top w:val="nil"/>
              <w:left w:val="nil"/>
              <w:bottom w:val="nil"/>
              <w:right w:val="nil"/>
            </w:tcBorders>
            <w:vAlign w:val="center"/>
          </w:tcPr>
          <w:p w14:paraId="709B202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399" w:type="dxa"/>
            <w:tcBorders>
              <w:top w:val="nil"/>
              <w:left w:val="nil"/>
              <w:bottom w:val="nil"/>
              <w:right w:val="nil"/>
            </w:tcBorders>
            <w:vAlign w:val="center"/>
          </w:tcPr>
          <w:p w14:paraId="0A2CA048"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399" w:type="dxa"/>
            <w:tcBorders>
              <w:top w:val="nil"/>
              <w:left w:val="nil"/>
              <w:bottom w:val="nil"/>
              <w:right w:val="nil"/>
            </w:tcBorders>
            <w:vAlign w:val="center"/>
          </w:tcPr>
          <w:p w14:paraId="6D0D9B3B"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r>
      <w:tr w:rsidR="00916A89" w:rsidRPr="00F14751" w14:paraId="4044CD4C" w14:textId="77777777" w:rsidTr="008738C3">
        <w:tblPrEx>
          <w:tblBorders>
            <w:bottom w:val="single" w:sz="6" w:space="0" w:color="auto"/>
          </w:tblBorders>
        </w:tblPrEx>
        <w:trPr>
          <w:jc w:val="center"/>
        </w:trPr>
        <w:tc>
          <w:tcPr>
            <w:tcW w:w="2195" w:type="dxa"/>
            <w:tcBorders>
              <w:top w:val="nil"/>
              <w:left w:val="nil"/>
              <w:bottom w:val="single" w:sz="6" w:space="0" w:color="auto"/>
              <w:right w:val="nil"/>
            </w:tcBorders>
            <w:vAlign w:val="center"/>
          </w:tcPr>
          <w:p w14:paraId="7FF6AEB7" w14:textId="77777777" w:rsidR="004145F1" w:rsidRPr="00F14751" w:rsidRDefault="004145F1"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Robust SE</w:t>
            </w:r>
          </w:p>
        </w:tc>
        <w:tc>
          <w:tcPr>
            <w:tcW w:w="1398" w:type="dxa"/>
            <w:tcBorders>
              <w:top w:val="nil"/>
              <w:left w:val="nil"/>
              <w:bottom w:val="single" w:sz="6" w:space="0" w:color="auto"/>
              <w:right w:val="nil"/>
            </w:tcBorders>
            <w:vAlign w:val="center"/>
          </w:tcPr>
          <w:p w14:paraId="35999905"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9" w:type="dxa"/>
            <w:tcBorders>
              <w:top w:val="nil"/>
              <w:left w:val="nil"/>
              <w:bottom w:val="single" w:sz="6" w:space="0" w:color="auto"/>
              <w:right w:val="nil"/>
            </w:tcBorders>
            <w:vAlign w:val="center"/>
          </w:tcPr>
          <w:p w14:paraId="6090161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9" w:type="dxa"/>
            <w:tcBorders>
              <w:top w:val="nil"/>
              <w:left w:val="nil"/>
              <w:bottom w:val="single" w:sz="6" w:space="0" w:color="auto"/>
              <w:right w:val="nil"/>
            </w:tcBorders>
            <w:vAlign w:val="center"/>
          </w:tcPr>
          <w:p w14:paraId="12ABDF20"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9" w:type="dxa"/>
            <w:tcBorders>
              <w:top w:val="nil"/>
              <w:left w:val="nil"/>
              <w:bottom w:val="single" w:sz="6" w:space="0" w:color="auto"/>
              <w:right w:val="nil"/>
            </w:tcBorders>
            <w:vAlign w:val="center"/>
          </w:tcPr>
          <w:p w14:paraId="669B8AA4"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9" w:type="dxa"/>
            <w:tcBorders>
              <w:top w:val="nil"/>
              <w:left w:val="nil"/>
              <w:bottom w:val="single" w:sz="6" w:space="0" w:color="auto"/>
              <w:right w:val="nil"/>
            </w:tcBorders>
            <w:vAlign w:val="center"/>
          </w:tcPr>
          <w:p w14:paraId="7822A25F"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9" w:type="dxa"/>
            <w:tcBorders>
              <w:top w:val="nil"/>
              <w:left w:val="nil"/>
              <w:bottom w:val="single" w:sz="6" w:space="0" w:color="auto"/>
              <w:right w:val="nil"/>
            </w:tcBorders>
            <w:vAlign w:val="center"/>
          </w:tcPr>
          <w:p w14:paraId="63BC0CD2" w14:textId="77777777" w:rsidR="004145F1" w:rsidRPr="00F14751" w:rsidRDefault="004145F1"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r>
    </w:tbl>
    <w:p w14:paraId="2A84C3DD" w14:textId="77777777" w:rsidR="004145F1" w:rsidRPr="00F14751" w:rsidRDefault="004145F1" w:rsidP="008738C3">
      <w:pPr>
        <w:pStyle w:val="NoSpacing"/>
        <w:jc w:val="center"/>
        <w:rPr>
          <w:rFonts w:ascii="Times New Roman" w:hAnsi="Times New Roman" w:cs="Times New Roman"/>
          <w:sz w:val="24"/>
          <w:szCs w:val="24"/>
        </w:rPr>
      </w:pPr>
      <w:r w:rsidRPr="00F14751">
        <w:rPr>
          <w:rFonts w:ascii="Times New Roman" w:hAnsi="Times New Roman" w:cs="Times New Roman"/>
          <w:sz w:val="24"/>
          <w:szCs w:val="24"/>
        </w:rPr>
        <w:t>Robust standard errors in parentheses</w:t>
      </w:r>
    </w:p>
    <w:p w14:paraId="425AB44D" w14:textId="77777777" w:rsidR="004145F1" w:rsidRPr="00F14751" w:rsidRDefault="004145F1" w:rsidP="008738C3">
      <w:pPr>
        <w:pStyle w:val="NoSpacing"/>
        <w:spacing w:line="360" w:lineRule="auto"/>
        <w:jc w:val="center"/>
        <w:rPr>
          <w:rFonts w:asciiTheme="majorHAnsi" w:hAnsiTheme="majorHAnsi"/>
          <w:sz w:val="24"/>
          <w:szCs w:val="24"/>
        </w:rPr>
      </w:pPr>
      <w:r w:rsidRPr="00F14751">
        <w:rPr>
          <w:rFonts w:ascii="Times New Roman" w:hAnsi="Times New Roman" w:cs="Times New Roman"/>
          <w:sz w:val="24"/>
          <w:szCs w:val="24"/>
        </w:rPr>
        <w:t>*** p&lt;0.01, ** p&lt;0.05, * p&lt;0.1</w:t>
      </w:r>
    </w:p>
    <w:p w14:paraId="2CC3BE99" w14:textId="77777777" w:rsidR="00916A89" w:rsidRPr="00F14751" w:rsidRDefault="00916A89" w:rsidP="00C8508E">
      <w:pPr>
        <w:jc w:val="both"/>
        <w:rPr>
          <w:rFonts w:asciiTheme="majorHAnsi" w:hAnsiTheme="majorHAnsi"/>
          <w:sz w:val="24"/>
        </w:rPr>
      </w:pPr>
      <w:r w:rsidRPr="00F14751">
        <w:rPr>
          <w:rFonts w:asciiTheme="majorHAnsi" w:hAnsiTheme="majorHAnsi"/>
          <w:sz w:val="24"/>
        </w:rPr>
        <w:br w:type="page"/>
      </w:r>
    </w:p>
    <w:p w14:paraId="6C73B824" w14:textId="77777777" w:rsidR="0054568F" w:rsidRPr="00F14751" w:rsidRDefault="0054568F" w:rsidP="00C8508E">
      <w:pPr>
        <w:pStyle w:val="NoSpacing"/>
        <w:spacing w:line="360" w:lineRule="auto"/>
        <w:jc w:val="both"/>
        <w:rPr>
          <w:rFonts w:ascii="Times New Roman" w:hAnsi="Times New Roman" w:cs="Times New Roman"/>
          <w:sz w:val="20"/>
        </w:rPr>
      </w:pPr>
      <w:r w:rsidRPr="00F14751">
        <w:rPr>
          <w:rFonts w:asciiTheme="majorHAnsi" w:hAnsiTheme="majorHAnsi"/>
          <w:sz w:val="24"/>
        </w:rPr>
        <w:t xml:space="preserve">Table 5: </w:t>
      </w:r>
      <w:r w:rsidRPr="00F14751">
        <w:rPr>
          <w:rFonts w:asciiTheme="majorHAnsi" w:hAnsiTheme="majorHAnsi"/>
          <w:sz w:val="24"/>
          <w:szCs w:val="24"/>
        </w:rPr>
        <w:t>Estimation results of the FE model using the whole sample with the measures of poverty as dependent variables. The model includes</w:t>
      </w:r>
      <w:r w:rsidR="0012500C" w:rsidRPr="00F14751">
        <w:rPr>
          <w:rFonts w:asciiTheme="majorHAnsi" w:hAnsiTheme="majorHAnsi"/>
          <w:sz w:val="24"/>
          <w:szCs w:val="24"/>
        </w:rPr>
        <w:t xml:space="preserve"> country and time fixed effects.</w:t>
      </w:r>
    </w:p>
    <w:tbl>
      <w:tblPr>
        <w:tblW w:w="10552" w:type="dxa"/>
        <w:jc w:val="center"/>
        <w:tblLayout w:type="fixed"/>
        <w:tblCellMar>
          <w:left w:w="75" w:type="dxa"/>
          <w:right w:w="75" w:type="dxa"/>
        </w:tblCellMar>
        <w:tblLook w:val="0000" w:firstRow="0" w:lastRow="0" w:firstColumn="0" w:lastColumn="0" w:noHBand="0" w:noVBand="0"/>
      </w:tblPr>
      <w:tblGrid>
        <w:gridCol w:w="2300"/>
        <w:gridCol w:w="1164"/>
        <w:gridCol w:w="1418"/>
        <w:gridCol w:w="1417"/>
        <w:gridCol w:w="1418"/>
        <w:gridCol w:w="1417"/>
        <w:gridCol w:w="1418"/>
      </w:tblGrid>
      <w:tr w:rsidR="0054568F" w:rsidRPr="00F14751" w14:paraId="45D8A712" w14:textId="77777777" w:rsidTr="008738C3">
        <w:trPr>
          <w:jc w:val="center"/>
        </w:trPr>
        <w:tc>
          <w:tcPr>
            <w:tcW w:w="2300" w:type="dxa"/>
            <w:tcBorders>
              <w:top w:val="single" w:sz="6" w:space="0" w:color="auto"/>
              <w:left w:val="nil"/>
              <w:bottom w:val="nil"/>
              <w:right w:val="nil"/>
            </w:tcBorders>
            <w:vAlign w:val="center"/>
          </w:tcPr>
          <w:p w14:paraId="2E6C1EA3"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single" w:sz="6" w:space="0" w:color="auto"/>
              <w:left w:val="nil"/>
              <w:bottom w:val="nil"/>
              <w:right w:val="nil"/>
            </w:tcBorders>
            <w:vAlign w:val="center"/>
          </w:tcPr>
          <w:p w14:paraId="04E019E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w:t>
            </w:r>
          </w:p>
        </w:tc>
        <w:tc>
          <w:tcPr>
            <w:tcW w:w="1418" w:type="dxa"/>
            <w:tcBorders>
              <w:top w:val="single" w:sz="6" w:space="0" w:color="auto"/>
              <w:left w:val="nil"/>
              <w:bottom w:val="nil"/>
              <w:right w:val="nil"/>
            </w:tcBorders>
            <w:vAlign w:val="center"/>
          </w:tcPr>
          <w:p w14:paraId="244D64D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w:t>
            </w:r>
          </w:p>
        </w:tc>
        <w:tc>
          <w:tcPr>
            <w:tcW w:w="1417" w:type="dxa"/>
            <w:tcBorders>
              <w:top w:val="single" w:sz="6" w:space="0" w:color="auto"/>
              <w:left w:val="nil"/>
              <w:bottom w:val="nil"/>
              <w:right w:val="nil"/>
            </w:tcBorders>
            <w:vAlign w:val="center"/>
          </w:tcPr>
          <w:p w14:paraId="48235ED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w:t>
            </w:r>
          </w:p>
        </w:tc>
        <w:tc>
          <w:tcPr>
            <w:tcW w:w="1418" w:type="dxa"/>
            <w:tcBorders>
              <w:top w:val="single" w:sz="6" w:space="0" w:color="auto"/>
              <w:left w:val="nil"/>
              <w:bottom w:val="nil"/>
              <w:right w:val="nil"/>
            </w:tcBorders>
            <w:vAlign w:val="center"/>
          </w:tcPr>
          <w:p w14:paraId="0FFAD8F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w:t>
            </w:r>
          </w:p>
        </w:tc>
        <w:tc>
          <w:tcPr>
            <w:tcW w:w="1417" w:type="dxa"/>
            <w:tcBorders>
              <w:top w:val="single" w:sz="6" w:space="0" w:color="auto"/>
              <w:left w:val="nil"/>
              <w:bottom w:val="nil"/>
              <w:right w:val="nil"/>
            </w:tcBorders>
            <w:vAlign w:val="center"/>
          </w:tcPr>
          <w:p w14:paraId="25625AA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18" w:type="dxa"/>
            <w:tcBorders>
              <w:top w:val="single" w:sz="6" w:space="0" w:color="auto"/>
              <w:left w:val="nil"/>
              <w:bottom w:val="nil"/>
              <w:right w:val="nil"/>
            </w:tcBorders>
            <w:vAlign w:val="center"/>
          </w:tcPr>
          <w:p w14:paraId="493D0AE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w:t>
            </w:r>
          </w:p>
        </w:tc>
      </w:tr>
      <w:tr w:rsidR="0054568F" w:rsidRPr="00F14751" w14:paraId="1F859E24" w14:textId="77777777" w:rsidTr="008738C3">
        <w:trPr>
          <w:jc w:val="center"/>
        </w:trPr>
        <w:tc>
          <w:tcPr>
            <w:tcW w:w="2300" w:type="dxa"/>
            <w:tcBorders>
              <w:top w:val="nil"/>
              <w:left w:val="nil"/>
              <w:bottom w:val="single" w:sz="6" w:space="0" w:color="auto"/>
              <w:right w:val="nil"/>
            </w:tcBorders>
            <w:vAlign w:val="center"/>
          </w:tcPr>
          <w:p w14:paraId="238E453E"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VARIABLES</w:t>
            </w:r>
          </w:p>
        </w:tc>
        <w:tc>
          <w:tcPr>
            <w:tcW w:w="1164" w:type="dxa"/>
            <w:tcBorders>
              <w:top w:val="nil"/>
              <w:left w:val="nil"/>
              <w:bottom w:val="single" w:sz="6" w:space="0" w:color="auto"/>
              <w:right w:val="nil"/>
            </w:tcBorders>
            <w:vAlign w:val="center"/>
          </w:tcPr>
          <w:p w14:paraId="24031DF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($2)</w:t>
            </w:r>
          </w:p>
        </w:tc>
        <w:tc>
          <w:tcPr>
            <w:tcW w:w="1418" w:type="dxa"/>
            <w:tcBorders>
              <w:top w:val="nil"/>
              <w:left w:val="nil"/>
              <w:bottom w:val="single" w:sz="6" w:space="0" w:color="auto"/>
              <w:right w:val="nil"/>
            </w:tcBorders>
            <w:vAlign w:val="center"/>
          </w:tcPr>
          <w:p w14:paraId="26A22AC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($1.25)</w:t>
            </w:r>
          </w:p>
        </w:tc>
        <w:tc>
          <w:tcPr>
            <w:tcW w:w="1417" w:type="dxa"/>
            <w:tcBorders>
              <w:top w:val="nil"/>
              <w:left w:val="nil"/>
              <w:bottom w:val="single" w:sz="6" w:space="0" w:color="auto"/>
              <w:right w:val="nil"/>
            </w:tcBorders>
            <w:vAlign w:val="center"/>
          </w:tcPr>
          <w:p w14:paraId="36510E0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($2)</w:t>
            </w:r>
          </w:p>
        </w:tc>
        <w:tc>
          <w:tcPr>
            <w:tcW w:w="1418" w:type="dxa"/>
            <w:tcBorders>
              <w:top w:val="nil"/>
              <w:left w:val="nil"/>
              <w:bottom w:val="single" w:sz="6" w:space="0" w:color="auto"/>
              <w:right w:val="nil"/>
            </w:tcBorders>
            <w:vAlign w:val="center"/>
          </w:tcPr>
          <w:p w14:paraId="5E932F2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($1.25)</w:t>
            </w:r>
          </w:p>
        </w:tc>
        <w:tc>
          <w:tcPr>
            <w:tcW w:w="1417" w:type="dxa"/>
            <w:tcBorders>
              <w:top w:val="nil"/>
              <w:left w:val="nil"/>
              <w:bottom w:val="single" w:sz="6" w:space="0" w:color="auto"/>
              <w:right w:val="nil"/>
            </w:tcBorders>
            <w:vAlign w:val="center"/>
          </w:tcPr>
          <w:p w14:paraId="4F84CF7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($2)</w:t>
            </w:r>
          </w:p>
        </w:tc>
        <w:tc>
          <w:tcPr>
            <w:tcW w:w="1418" w:type="dxa"/>
            <w:tcBorders>
              <w:top w:val="nil"/>
              <w:left w:val="nil"/>
              <w:bottom w:val="single" w:sz="6" w:space="0" w:color="auto"/>
              <w:right w:val="nil"/>
            </w:tcBorders>
            <w:vAlign w:val="center"/>
          </w:tcPr>
          <w:p w14:paraId="35191D4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($1.25)</w:t>
            </w:r>
          </w:p>
        </w:tc>
      </w:tr>
      <w:tr w:rsidR="0054568F" w:rsidRPr="00F14751" w14:paraId="5BA9FBB8" w14:textId="77777777" w:rsidTr="008738C3">
        <w:trPr>
          <w:jc w:val="center"/>
        </w:trPr>
        <w:tc>
          <w:tcPr>
            <w:tcW w:w="2300" w:type="dxa"/>
            <w:tcBorders>
              <w:top w:val="nil"/>
              <w:left w:val="nil"/>
              <w:bottom w:val="nil"/>
              <w:right w:val="nil"/>
            </w:tcBorders>
            <w:vAlign w:val="center"/>
          </w:tcPr>
          <w:p w14:paraId="64108106"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6832BAF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center"/>
          </w:tcPr>
          <w:p w14:paraId="7D3C66C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center"/>
          </w:tcPr>
          <w:p w14:paraId="113EFB1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center"/>
          </w:tcPr>
          <w:p w14:paraId="383285E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center"/>
          </w:tcPr>
          <w:p w14:paraId="0546E64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center"/>
          </w:tcPr>
          <w:p w14:paraId="0BFBF31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r>
      <w:tr w:rsidR="0054568F" w:rsidRPr="00F14751" w14:paraId="12C328BC" w14:textId="77777777" w:rsidTr="008738C3">
        <w:trPr>
          <w:jc w:val="center"/>
        </w:trPr>
        <w:tc>
          <w:tcPr>
            <w:tcW w:w="2300" w:type="dxa"/>
            <w:tcBorders>
              <w:top w:val="nil"/>
              <w:left w:val="nil"/>
              <w:bottom w:val="nil"/>
              <w:right w:val="nil"/>
            </w:tcBorders>
            <w:vAlign w:val="center"/>
          </w:tcPr>
          <w:p w14:paraId="232AA26E"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Trade</w:t>
            </w:r>
          </w:p>
        </w:tc>
        <w:tc>
          <w:tcPr>
            <w:tcW w:w="1164" w:type="dxa"/>
            <w:tcBorders>
              <w:top w:val="nil"/>
              <w:left w:val="nil"/>
              <w:bottom w:val="nil"/>
              <w:right w:val="nil"/>
            </w:tcBorders>
            <w:vAlign w:val="center"/>
          </w:tcPr>
          <w:p w14:paraId="35A60E9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0.0636</w:t>
            </w:r>
          </w:p>
        </w:tc>
        <w:tc>
          <w:tcPr>
            <w:tcW w:w="1418" w:type="dxa"/>
            <w:tcBorders>
              <w:top w:val="nil"/>
              <w:left w:val="nil"/>
              <w:bottom w:val="nil"/>
              <w:right w:val="nil"/>
            </w:tcBorders>
            <w:vAlign w:val="center"/>
          </w:tcPr>
          <w:p w14:paraId="3E8B367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0.0315</w:t>
            </w:r>
          </w:p>
        </w:tc>
        <w:tc>
          <w:tcPr>
            <w:tcW w:w="1417" w:type="dxa"/>
            <w:tcBorders>
              <w:top w:val="nil"/>
              <w:left w:val="nil"/>
              <w:bottom w:val="nil"/>
              <w:right w:val="nil"/>
            </w:tcBorders>
            <w:vAlign w:val="center"/>
          </w:tcPr>
          <w:p w14:paraId="7DB4304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0.0462</w:t>
            </w:r>
          </w:p>
        </w:tc>
        <w:tc>
          <w:tcPr>
            <w:tcW w:w="1418" w:type="dxa"/>
            <w:tcBorders>
              <w:top w:val="nil"/>
              <w:left w:val="nil"/>
              <w:bottom w:val="nil"/>
              <w:right w:val="nil"/>
            </w:tcBorders>
            <w:vAlign w:val="center"/>
          </w:tcPr>
          <w:p w14:paraId="04AC88C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0.0446</w:t>
            </w:r>
          </w:p>
        </w:tc>
        <w:tc>
          <w:tcPr>
            <w:tcW w:w="1417" w:type="dxa"/>
            <w:tcBorders>
              <w:top w:val="nil"/>
              <w:left w:val="nil"/>
              <w:bottom w:val="nil"/>
              <w:right w:val="nil"/>
            </w:tcBorders>
            <w:vAlign w:val="center"/>
          </w:tcPr>
          <w:p w14:paraId="6A081FA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2.153</w:t>
            </w:r>
          </w:p>
        </w:tc>
        <w:tc>
          <w:tcPr>
            <w:tcW w:w="1418" w:type="dxa"/>
            <w:tcBorders>
              <w:top w:val="nil"/>
              <w:left w:val="nil"/>
              <w:bottom w:val="nil"/>
              <w:right w:val="nil"/>
            </w:tcBorders>
            <w:vAlign w:val="center"/>
          </w:tcPr>
          <w:p w14:paraId="54B3DA1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1.156</w:t>
            </w:r>
          </w:p>
        </w:tc>
      </w:tr>
      <w:tr w:rsidR="0054568F" w:rsidRPr="00F14751" w14:paraId="5C235DBA" w14:textId="77777777" w:rsidTr="008738C3">
        <w:trPr>
          <w:jc w:val="center"/>
        </w:trPr>
        <w:tc>
          <w:tcPr>
            <w:tcW w:w="2300" w:type="dxa"/>
            <w:tcBorders>
              <w:top w:val="nil"/>
              <w:left w:val="nil"/>
              <w:bottom w:val="nil"/>
              <w:right w:val="nil"/>
            </w:tcBorders>
            <w:vAlign w:val="center"/>
          </w:tcPr>
          <w:p w14:paraId="63FE6F7D"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3307FB4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(0.0868)</w:t>
            </w:r>
          </w:p>
        </w:tc>
        <w:tc>
          <w:tcPr>
            <w:tcW w:w="1418" w:type="dxa"/>
            <w:tcBorders>
              <w:top w:val="nil"/>
              <w:left w:val="nil"/>
              <w:bottom w:val="nil"/>
              <w:right w:val="nil"/>
            </w:tcBorders>
            <w:vAlign w:val="center"/>
          </w:tcPr>
          <w:p w14:paraId="543FD01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(0.0693)</w:t>
            </w:r>
          </w:p>
        </w:tc>
        <w:tc>
          <w:tcPr>
            <w:tcW w:w="1417" w:type="dxa"/>
            <w:tcBorders>
              <w:top w:val="nil"/>
              <w:left w:val="nil"/>
              <w:bottom w:val="nil"/>
              <w:right w:val="nil"/>
            </w:tcBorders>
            <w:vAlign w:val="center"/>
          </w:tcPr>
          <w:p w14:paraId="2F1E375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(0.0551)</w:t>
            </w:r>
          </w:p>
        </w:tc>
        <w:tc>
          <w:tcPr>
            <w:tcW w:w="1418" w:type="dxa"/>
            <w:tcBorders>
              <w:top w:val="nil"/>
              <w:left w:val="nil"/>
              <w:bottom w:val="nil"/>
              <w:right w:val="nil"/>
            </w:tcBorders>
            <w:vAlign w:val="center"/>
          </w:tcPr>
          <w:p w14:paraId="353E585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(0.0433)</w:t>
            </w:r>
          </w:p>
        </w:tc>
        <w:tc>
          <w:tcPr>
            <w:tcW w:w="1417" w:type="dxa"/>
            <w:tcBorders>
              <w:top w:val="nil"/>
              <w:left w:val="nil"/>
              <w:bottom w:val="nil"/>
              <w:right w:val="nil"/>
            </w:tcBorders>
            <w:vAlign w:val="center"/>
          </w:tcPr>
          <w:p w14:paraId="33D05AA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(2.657)</w:t>
            </w:r>
          </w:p>
        </w:tc>
        <w:tc>
          <w:tcPr>
            <w:tcW w:w="1418" w:type="dxa"/>
            <w:tcBorders>
              <w:top w:val="nil"/>
              <w:left w:val="nil"/>
              <w:bottom w:val="nil"/>
              <w:right w:val="nil"/>
            </w:tcBorders>
            <w:vAlign w:val="center"/>
          </w:tcPr>
          <w:p w14:paraId="5B335A7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(1.198)</w:t>
            </w:r>
          </w:p>
        </w:tc>
      </w:tr>
      <w:tr w:rsidR="0054568F" w:rsidRPr="00F14751" w14:paraId="3675DF06" w14:textId="77777777" w:rsidTr="008738C3">
        <w:trPr>
          <w:jc w:val="center"/>
        </w:trPr>
        <w:tc>
          <w:tcPr>
            <w:tcW w:w="2300" w:type="dxa"/>
            <w:tcBorders>
              <w:top w:val="nil"/>
              <w:left w:val="nil"/>
              <w:bottom w:val="nil"/>
              <w:right w:val="nil"/>
            </w:tcBorders>
            <w:vAlign w:val="center"/>
          </w:tcPr>
          <w:p w14:paraId="53CF8D20"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Financial</w:t>
            </w:r>
          </w:p>
        </w:tc>
        <w:tc>
          <w:tcPr>
            <w:tcW w:w="1164" w:type="dxa"/>
            <w:tcBorders>
              <w:top w:val="nil"/>
              <w:left w:val="nil"/>
              <w:bottom w:val="nil"/>
              <w:right w:val="nil"/>
            </w:tcBorders>
            <w:vAlign w:val="center"/>
          </w:tcPr>
          <w:p w14:paraId="5C65D55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0.117***</w:t>
            </w:r>
          </w:p>
        </w:tc>
        <w:tc>
          <w:tcPr>
            <w:tcW w:w="1418" w:type="dxa"/>
            <w:tcBorders>
              <w:top w:val="nil"/>
              <w:left w:val="nil"/>
              <w:bottom w:val="nil"/>
              <w:right w:val="nil"/>
            </w:tcBorders>
            <w:vAlign w:val="center"/>
          </w:tcPr>
          <w:p w14:paraId="49B59CA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0.0634**</w:t>
            </w:r>
          </w:p>
        </w:tc>
        <w:tc>
          <w:tcPr>
            <w:tcW w:w="1417" w:type="dxa"/>
            <w:tcBorders>
              <w:top w:val="nil"/>
              <w:left w:val="nil"/>
              <w:bottom w:val="nil"/>
              <w:right w:val="nil"/>
            </w:tcBorders>
            <w:vAlign w:val="center"/>
          </w:tcPr>
          <w:p w14:paraId="57489CA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0.0554**</w:t>
            </w:r>
          </w:p>
        </w:tc>
        <w:tc>
          <w:tcPr>
            <w:tcW w:w="1418" w:type="dxa"/>
            <w:tcBorders>
              <w:top w:val="nil"/>
              <w:left w:val="nil"/>
              <w:bottom w:val="nil"/>
              <w:right w:val="nil"/>
            </w:tcBorders>
            <w:vAlign w:val="center"/>
          </w:tcPr>
          <w:p w14:paraId="17AE533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0.0351*</w:t>
            </w:r>
          </w:p>
        </w:tc>
        <w:tc>
          <w:tcPr>
            <w:tcW w:w="1417" w:type="dxa"/>
            <w:tcBorders>
              <w:top w:val="nil"/>
              <w:left w:val="nil"/>
              <w:bottom w:val="nil"/>
              <w:right w:val="nil"/>
            </w:tcBorders>
            <w:vAlign w:val="center"/>
          </w:tcPr>
          <w:p w14:paraId="15BA2BD6"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1.726**</w:t>
            </w:r>
          </w:p>
        </w:tc>
        <w:tc>
          <w:tcPr>
            <w:tcW w:w="1418" w:type="dxa"/>
            <w:tcBorders>
              <w:top w:val="nil"/>
              <w:left w:val="nil"/>
              <w:bottom w:val="nil"/>
              <w:right w:val="nil"/>
            </w:tcBorders>
            <w:vAlign w:val="center"/>
          </w:tcPr>
          <w:p w14:paraId="22306A9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0.680*</w:t>
            </w:r>
          </w:p>
        </w:tc>
      </w:tr>
      <w:tr w:rsidR="0054568F" w:rsidRPr="00F14751" w14:paraId="50303C36" w14:textId="77777777" w:rsidTr="008738C3">
        <w:trPr>
          <w:jc w:val="center"/>
        </w:trPr>
        <w:tc>
          <w:tcPr>
            <w:tcW w:w="2300" w:type="dxa"/>
            <w:tcBorders>
              <w:top w:val="nil"/>
              <w:left w:val="nil"/>
              <w:bottom w:val="nil"/>
              <w:right w:val="nil"/>
            </w:tcBorders>
            <w:vAlign w:val="center"/>
          </w:tcPr>
          <w:p w14:paraId="62F9BD8C"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21E991E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(0.0375)</w:t>
            </w:r>
          </w:p>
        </w:tc>
        <w:tc>
          <w:tcPr>
            <w:tcW w:w="1418" w:type="dxa"/>
            <w:tcBorders>
              <w:top w:val="nil"/>
              <w:left w:val="nil"/>
              <w:bottom w:val="nil"/>
              <w:right w:val="nil"/>
            </w:tcBorders>
            <w:vAlign w:val="center"/>
          </w:tcPr>
          <w:p w14:paraId="18902AC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(0.0252)</w:t>
            </w:r>
          </w:p>
        </w:tc>
        <w:tc>
          <w:tcPr>
            <w:tcW w:w="1417" w:type="dxa"/>
            <w:tcBorders>
              <w:top w:val="nil"/>
              <w:left w:val="nil"/>
              <w:bottom w:val="nil"/>
              <w:right w:val="nil"/>
            </w:tcBorders>
            <w:vAlign w:val="center"/>
          </w:tcPr>
          <w:p w14:paraId="6DC613E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(0.0207)</w:t>
            </w:r>
          </w:p>
        </w:tc>
        <w:tc>
          <w:tcPr>
            <w:tcW w:w="1418" w:type="dxa"/>
            <w:tcBorders>
              <w:top w:val="nil"/>
              <w:left w:val="nil"/>
              <w:bottom w:val="nil"/>
              <w:right w:val="nil"/>
            </w:tcBorders>
            <w:vAlign w:val="center"/>
          </w:tcPr>
          <w:p w14:paraId="62F61ED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(0.0163)</w:t>
            </w:r>
          </w:p>
        </w:tc>
        <w:tc>
          <w:tcPr>
            <w:tcW w:w="1417" w:type="dxa"/>
            <w:tcBorders>
              <w:top w:val="nil"/>
              <w:left w:val="nil"/>
              <w:bottom w:val="nil"/>
              <w:right w:val="nil"/>
            </w:tcBorders>
            <w:vAlign w:val="center"/>
          </w:tcPr>
          <w:p w14:paraId="170A189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(0.748)</w:t>
            </w:r>
          </w:p>
        </w:tc>
        <w:tc>
          <w:tcPr>
            <w:tcW w:w="1418" w:type="dxa"/>
            <w:tcBorders>
              <w:top w:val="nil"/>
              <w:left w:val="nil"/>
              <w:bottom w:val="nil"/>
              <w:right w:val="nil"/>
            </w:tcBorders>
            <w:vAlign w:val="center"/>
          </w:tcPr>
          <w:p w14:paraId="795F183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(0.369)</w:t>
            </w:r>
          </w:p>
        </w:tc>
      </w:tr>
      <w:tr w:rsidR="0054568F" w:rsidRPr="00F14751" w14:paraId="0A47F6B3" w14:textId="77777777" w:rsidTr="008738C3">
        <w:trPr>
          <w:trHeight w:val="182"/>
          <w:jc w:val="center"/>
        </w:trPr>
        <w:tc>
          <w:tcPr>
            <w:tcW w:w="2300" w:type="dxa"/>
            <w:tcBorders>
              <w:top w:val="nil"/>
              <w:left w:val="nil"/>
              <w:bottom w:val="nil"/>
              <w:right w:val="nil"/>
            </w:tcBorders>
            <w:vAlign w:val="center"/>
          </w:tcPr>
          <w:p w14:paraId="6582BBCE"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Tax</w:t>
            </w:r>
          </w:p>
        </w:tc>
        <w:tc>
          <w:tcPr>
            <w:tcW w:w="1164" w:type="dxa"/>
            <w:tcBorders>
              <w:top w:val="nil"/>
              <w:left w:val="nil"/>
              <w:bottom w:val="nil"/>
              <w:right w:val="nil"/>
            </w:tcBorders>
            <w:vAlign w:val="center"/>
          </w:tcPr>
          <w:p w14:paraId="636BC60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-0.0722</w:t>
            </w:r>
          </w:p>
        </w:tc>
        <w:tc>
          <w:tcPr>
            <w:tcW w:w="1418" w:type="dxa"/>
            <w:tcBorders>
              <w:top w:val="nil"/>
              <w:left w:val="nil"/>
              <w:bottom w:val="nil"/>
              <w:right w:val="nil"/>
            </w:tcBorders>
            <w:vAlign w:val="center"/>
          </w:tcPr>
          <w:p w14:paraId="3898952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-0.0745</w:t>
            </w:r>
          </w:p>
        </w:tc>
        <w:tc>
          <w:tcPr>
            <w:tcW w:w="1417" w:type="dxa"/>
            <w:tcBorders>
              <w:top w:val="nil"/>
              <w:left w:val="nil"/>
              <w:bottom w:val="nil"/>
              <w:right w:val="nil"/>
            </w:tcBorders>
            <w:vAlign w:val="center"/>
          </w:tcPr>
          <w:p w14:paraId="509E726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-0.0647</w:t>
            </w:r>
          </w:p>
        </w:tc>
        <w:tc>
          <w:tcPr>
            <w:tcW w:w="1418" w:type="dxa"/>
            <w:tcBorders>
              <w:top w:val="nil"/>
              <w:left w:val="nil"/>
              <w:bottom w:val="nil"/>
              <w:right w:val="nil"/>
            </w:tcBorders>
            <w:vAlign w:val="center"/>
          </w:tcPr>
          <w:p w14:paraId="69988C1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-0.0598*</w:t>
            </w:r>
          </w:p>
        </w:tc>
        <w:tc>
          <w:tcPr>
            <w:tcW w:w="1417" w:type="dxa"/>
            <w:tcBorders>
              <w:top w:val="nil"/>
              <w:left w:val="nil"/>
              <w:bottom w:val="nil"/>
              <w:right w:val="nil"/>
            </w:tcBorders>
            <w:vAlign w:val="center"/>
          </w:tcPr>
          <w:p w14:paraId="1C43866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-2.866</w:t>
            </w:r>
          </w:p>
        </w:tc>
        <w:tc>
          <w:tcPr>
            <w:tcW w:w="1418" w:type="dxa"/>
            <w:tcBorders>
              <w:top w:val="nil"/>
              <w:left w:val="nil"/>
              <w:bottom w:val="nil"/>
              <w:right w:val="nil"/>
            </w:tcBorders>
            <w:vAlign w:val="center"/>
          </w:tcPr>
          <w:p w14:paraId="6587154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-1.518</w:t>
            </w:r>
          </w:p>
        </w:tc>
      </w:tr>
      <w:tr w:rsidR="0054568F" w:rsidRPr="00F14751" w14:paraId="4A264610" w14:textId="77777777" w:rsidTr="008738C3">
        <w:trPr>
          <w:jc w:val="center"/>
        </w:trPr>
        <w:tc>
          <w:tcPr>
            <w:tcW w:w="2300" w:type="dxa"/>
            <w:tcBorders>
              <w:top w:val="nil"/>
              <w:left w:val="nil"/>
              <w:bottom w:val="nil"/>
              <w:right w:val="nil"/>
            </w:tcBorders>
            <w:vAlign w:val="center"/>
          </w:tcPr>
          <w:p w14:paraId="05CFE375"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1355BC5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(0.0623)</w:t>
            </w:r>
          </w:p>
        </w:tc>
        <w:tc>
          <w:tcPr>
            <w:tcW w:w="1418" w:type="dxa"/>
            <w:tcBorders>
              <w:top w:val="nil"/>
              <w:left w:val="nil"/>
              <w:bottom w:val="nil"/>
              <w:right w:val="nil"/>
            </w:tcBorders>
            <w:vAlign w:val="center"/>
          </w:tcPr>
          <w:p w14:paraId="5B2768B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(0.0543)</w:t>
            </w:r>
          </w:p>
        </w:tc>
        <w:tc>
          <w:tcPr>
            <w:tcW w:w="1417" w:type="dxa"/>
            <w:tcBorders>
              <w:top w:val="nil"/>
              <w:left w:val="nil"/>
              <w:bottom w:val="nil"/>
              <w:right w:val="nil"/>
            </w:tcBorders>
            <w:vAlign w:val="center"/>
          </w:tcPr>
          <w:p w14:paraId="11E8174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(0.0410)</w:t>
            </w:r>
          </w:p>
        </w:tc>
        <w:tc>
          <w:tcPr>
            <w:tcW w:w="1418" w:type="dxa"/>
            <w:tcBorders>
              <w:top w:val="nil"/>
              <w:left w:val="nil"/>
              <w:bottom w:val="nil"/>
              <w:right w:val="nil"/>
            </w:tcBorders>
            <w:vAlign w:val="center"/>
          </w:tcPr>
          <w:p w14:paraId="0FD1FBD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(0.0330)</w:t>
            </w:r>
          </w:p>
        </w:tc>
        <w:tc>
          <w:tcPr>
            <w:tcW w:w="1417" w:type="dxa"/>
            <w:tcBorders>
              <w:top w:val="nil"/>
              <w:left w:val="nil"/>
              <w:bottom w:val="nil"/>
              <w:right w:val="nil"/>
            </w:tcBorders>
            <w:vAlign w:val="center"/>
          </w:tcPr>
          <w:p w14:paraId="05B793B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(1.996)</w:t>
            </w:r>
          </w:p>
        </w:tc>
        <w:tc>
          <w:tcPr>
            <w:tcW w:w="1418" w:type="dxa"/>
            <w:tcBorders>
              <w:top w:val="nil"/>
              <w:left w:val="nil"/>
              <w:bottom w:val="nil"/>
              <w:right w:val="nil"/>
            </w:tcBorders>
            <w:vAlign w:val="center"/>
          </w:tcPr>
          <w:p w14:paraId="6EABA6A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(1.042)</w:t>
            </w:r>
          </w:p>
        </w:tc>
      </w:tr>
      <w:tr w:rsidR="0054568F" w:rsidRPr="00F14751" w14:paraId="020D14E7" w14:textId="77777777" w:rsidTr="008738C3">
        <w:trPr>
          <w:jc w:val="center"/>
        </w:trPr>
        <w:tc>
          <w:tcPr>
            <w:tcW w:w="2300" w:type="dxa"/>
            <w:tcBorders>
              <w:top w:val="nil"/>
              <w:left w:val="nil"/>
              <w:bottom w:val="nil"/>
              <w:right w:val="nil"/>
            </w:tcBorders>
            <w:vAlign w:val="center"/>
          </w:tcPr>
          <w:p w14:paraId="395AC089"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Privatizations</w:t>
            </w:r>
          </w:p>
        </w:tc>
        <w:tc>
          <w:tcPr>
            <w:tcW w:w="1164" w:type="dxa"/>
            <w:tcBorders>
              <w:top w:val="nil"/>
              <w:left w:val="nil"/>
              <w:bottom w:val="nil"/>
              <w:right w:val="nil"/>
            </w:tcBorders>
            <w:vAlign w:val="center"/>
          </w:tcPr>
          <w:p w14:paraId="699910B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0.120***</w:t>
            </w:r>
          </w:p>
        </w:tc>
        <w:tc>
          <w:tcPr>
            <w:tcW w:w="1418" w:type="dxa"/>
            <w:tcBorders>
              <w:top w:val="nil"/>
              <w:left w:val="nil"/>
              <w:bottom w:val="nil"/>
              <w:right w:val="nil"/>
            </w:tcBorders>
            <w:vAlign w:val="center"/>
          </w:tcPr>
          <w:p w14:paraId="30246C7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0.0999***</w:t>
            </w:r>
          </w:p>
        </w:tc>
        <w:tc>
          <w:tcPr>
            <w:tcW w:w="1417" w:type="dxa"/>
            <w:tcBorders>
              <w:top w:val="nil"/>
              <w:left w:val="nil"/>
              <w:bottom w:val="nil"/>
              <w:right w:val="nil"/>
            </w:tcBorders>
            <w:vAlign w:val="center"/>
          </w:tcPr>
          <w:p w14:paraId="00610AF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0.0713**</w:t>
            </w:r>
          </w:p>
        </w:tc>
        <w:tc>
          <w:tcPr>
            <w:tcW w:w="1418" w:type="dxa"/>
            <w:tcBorders>
              <w:top w:val="nil"/>
              <w:left w:val="nil"/>
              <w:bottom w:val="nil"/>
              <w:right w:val="nil"/>
            </w:tcBorders>
            <w:vAlign w:val="center"/>
          </w:tcPr>
          <w:p w14:paraId="25EE460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0.0465**</w:t>
            </w:r>
          </w:p>
        </w:tc>
        <w:tc>
          <w:tcPr>
            <w:tcW w:w="1417" w:type="dxa"/>
            <w:tcBorders>
              <w:top w:val="nil"/>
              <w:left w:val="nil"/>
              <w:bottom w:val="nil"/>
              <w:right w:val="nil"/>
            </w:tcBorders>
            <w:vAlign w:val="center"/>
          </w:tcPr>
          <w:p w14:paraId="4101390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4.020***</w:t>
            </w:r>
          </w:p>
        </w:tc>
        <w:tc>
          <w:tcPr>
            <w:tcW w:w="1418" w:type="dxa"/>
            <w:tcBorders>
              <w:top w:val="nil"/>
              <w:left w:val="nil"/>
              <w:bottom w:val="nil"/>
              <w:right w:val="nil"/>
            </w:tcBorders>
            <w:vAlign w:val="center"/>
          </w:tcPr>
          <w:p w14:paraId="66F5E2D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1.600**</w:t>
            </w:r>
          </w:p>
        </w:tc>
      </w:tr>
      <w:tr w:rsidR="0054568F" w:rsidRPr="00F14751" w14:paraId="2CD2E69F" w14:textId="77777777" w:rsidTr="008738C3">
        <w:trPr>
          <w:jc w:val="center"/>
        </w:trPr>
        <w:tc>
          <w:tcPr>
            <w:tcW w:w="2300" w:type="dxa"/>
            <w:tcBorders>
              <w:top w:val="nil"/>
              <w:left w:val="nil"/>
              <w:bottom w:val="nil"/>
              <w:right w:val="nil"/>
            </w:tcBorders>
            <w:vAlign w:val="center"/>
          </w:tcPr>
          <w:p w14:paraId="4AE78283"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2E86B5F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(0.0374)</w:t>
            </w:r>
          </w:p>
        </w:tc>
        <w:tc>
          <w:tcPr>
            <w:tcW w:w="1418" w:type="dxa"/>
            <w:tcBorders>
              <w:top w:val="nil"/>
              <w:left w:val="nil"/>
              <w:bottom w:val="nil"/>
              <w:right w:val="nil"/>
            </w:tcBorders>
            <w:vAlign w:val="center"/>
          </w:tcPr>
          <w:p w14:paraId="00FF44B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(0.0305)</w:t>
            </w:r>
          </w:p>
        </w:tc>
        <w:tc>
          <w:tcPr>
            <w:tcW w:w="1417" w:type="dxa"/>
            <w:tcBorders>
              <w:top w:val="nil"/>
              <w:left w:val="nil"/>
              <w:bottom w:val="nil"/>
              <w:right w:val="nil"/>
            </w:tcBorders>
            <w:vAlign w:val="center"/>
          </w:tcPr>
          <w:p w14:paraId="5BFC93C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(0.0235)</w:t>
            </w:r>
          </w:p>
        </w:tc>
        <w:tc>
          <w:tcPr>
            <w:tcW w:w="1418" w:type="dxa"/>
            <w:tcBorders>
              <w:top w:val="nil"/>
              <w:left w:val="nil"/>
              <w:bottom w:val="nil"/>
              <w:right w:val="nil"/>
            </w:tcBorders>
            <w:vAlign w:val="center"/>
          </w:tcPr>
          <w:p w14:paraId="03BDE49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(0.0192)</w:t>
            </w:r>
          </w:p>
        </w:tc>
        <w:tc>
          <w:tcPr>
            <w:tcW w:w="1417" w:type="dxa"/>
            <w:tcBorders>
              <w:top w:val="nil"/>
              <w:left w:val="nil"/>
              <w:bottom w:val="nil"/>
              <w:right w:val="nil"/>
            </w:tcBorders>
            <w:vAlign w:val="center"/>
          </w:tcPr>
          <w:p w14:paraId="26F7CCC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(1.271)</w:t>
            </w:r>
          </w:p>
        </w:tc>
        <w:tc>
          <w:tcPr>
            <w:tcW w:w="1418" w:type="dxa"/>
            <w:tcBorders>
              <w:top w:val="nil"/>
              <w:left w:val="nil"/>
              <w:bottom w:val="nil"/>
              <w:right w:val="nil"/>
            </w:tcBorders>
            <w:vAlign w:val="center"/>
          </w:tcPr>
          <w:p w14:paraId="0B789AA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(0.595)</w:t>
            </w:r>
          </w:p>
        </w:tc>
      </w:tr>
      <w:tr w:rsidR="0054568F" w:rsidRPr="00F14751" w14:paraId="4607AD2E" w14:textId="77777777" w:rsidTr="008738C3">
        <w:trPr>
          <w:jc w:val="center"/>
        </w:trPr>
        <w:tc>
          <w:tcPr>
            <w:tcW w:w="2300" w:type="dxa"/>
            <w:tcBorders>
              <w:top w:val="nil"/>
              <w:left w:val="nil"/>
              <w:bottom w:val="nil"/>
              <w:right w:val="nil"/>
            </w:tcBorders>
            <w:vAlign w:val="center"/>
          </w:tcPr>
          <w:p w14:paraId="31E61A55"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Labor</w:t>
            </w:r>
          </w:p>
        </w:tc>
        <w:tc>
          <w:tcPr>
            <w:tcW w:w="1164" w:type="dxa"/>
            <w:tcBorders>
              <w:top w:val="nil"/>
              <w:left w:val="nil"/>
              <w:bottom w:val="nil"/>
              <w:right w:val="nil"/>
            </w:tcBorders>
            <w:vAlign w:val="center"/>
          </w:tcPr>
          <w:p w14:paraId="638D0E0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-0.0818</w:t>
            </w:r>
          </w:p>
        </w:tc>
        <w:tc>
          <w:tcPr>
            <w:tcW w:w="1418" w:type="dxa"/>
            <w:tcBorders>
              <w:top w:val="nil"/>
              <w:left w:val="nil"/>
              <w:bottom w:val="nil"/>
              <w:right w:val="nil"/>
            </w:tcBorders>
            <w:vAlign w:val="center"/>
          </w:tcPr>
          <w:p w14:paraId="35606356"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-0.179</w:t>
            </w:r>
          </w:p>
        </w:tc>
        <w:tc>
          <w:tcPr>
            <w:tcW w:w="1417" w:type="dxa"/>
            <w:tcBorders>
              <w:top w:val="nil"/>
              <w:left w:val="nil"/>
              <w:bottom w:val="nil"/>
              <w:right w:val="nil"/>
            </w:tcBorders>
            <w:vAlign w:val="center"/>
          </w:tcPr>
          <w:p w14:paraId="4DCF9B9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-0.145</w:t>
            </w:r>
          </w:p>
        </w:tc>
        <w:tc>
          <w:tcPr>
            <w:tcW w:w="1418" w:type="dxa"/>
            <w:tcBorders>
              <w:top w:val="nil"/>
              <w:left w:val="nil"/>
              <w:bottom w:val="nil"/>
              <w:right w:val="nil"/>
            </w:tcBorders>
            <w:vAlign w:val="center"/>
          </w:tcPr>
          <w:p w14:paraId="3090659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-0.164</w:t>
            </w:r>
          </w:p>
        </w:tc>
        <w:tc>
          <w:tcPr>
            <w:tcW w:w="1417" w:type="dxa"/>
            <w:tcBorders>
              <w:top w:val="nil"/>
              <w:left w:val="nil"/>
              <w:bottom w:val="nil"/>
              <w:right w:val="nil"/>
            </w:tcBorders>
            <w:vAlign w:val="center"/>
          </w:tcPr>
          <w:p w14:paraId="2E96301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-6.235</w:t>
            </w:r>
          </w:p>
        </w:tc>
        <w:tc>
          <w:tcPr>
            <w:tcW w:w="1418" w:type="dxa"/>
            <w:tcBorders>
              <w:top w:val="nil"/>
              <w:left w:val="nil"/>
              <w:bottom w:val="nil"/>
              <w:right w:val="nil"/>
            </w:tcBorders>
            <w:vAlign w:val="center"/>
          </w:tcPr>
          <w:p w14:paraId="52C0B5B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-2.987</w:t>
            </w:r>
          </w:p>
        </w:tc>
      </w:tr>
      <w:tr w:rsidR="0054568F" w:rsidRPr="00F14751" w14:paraId="3C3AB035" w14:textId="77777777" w:rsidTr="008738C3">
        <w:trPr>
          <w:jc w:val="center"/>
        </w:trPr>
        <w:tc>
          <w:tcPr>
            <w:tcW w:w="2300" w:type="dxa"/>
            <w:tcBorders>
              <w:top w:val="nil"/>
              <w:left w:val="nil"/>
              <w:bottom w:val="nil"/>
              <w:right w:val="nil"/>
            </w:tcBorders>
            <w:vAlign w:val="center"/>
          </w:tcPr>
          <w:p w14:paraId="2F8BA20B"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1AD43BC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(0.146)</w:t>
            </w:r>
          </w:p>
        </w:tc>
        <w:tc>
          <w:tcPr>
            <w:tcW w:w="1418" w:type="dxa"/>
            <w:tcBorders>
              <w:top w:val="nil"/>
              <w:left w:val="nil"/>
              <w:bottom w:val="nil"/>
              <w:right w:val="nil"/>
            </w:tcBorders>
            <w:vAlign w:val="center"/>
          </w:tcPr>
          <w:p w14:paraId="5B068C46"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(0.142)</w:t>
            </w:r>
          </w:p>
        </w:tc>
        <w:tc>
          <w:tcPr>
            <w:tcW w:w="1417" w:type="dxa"/>
            <w:tcBorders>
              <w:top w:val="nil"/>
              <w:left w:val="nil"/>
              <w:bottom w:val="nil"/>
              <w:right w:val="nil"/>
            </w:tcBorders>
            <w:vAlign w:val="center"/>
          </w:tcPr>
          <w:p w14:paraId="254035B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(0.117)</w:t>
            </w:r>
          </w:p>
        </w:tc>
        <w:tc>
          <w:tcPr>
            <w:tcW w:w="1418" w:type="dxa"/>
            <w:tcBorders>
              <w:top w:val="nil"/>
              <w:left w:val="nil"/>
              <w:bottom w:val="nil"/>
              <w:right w:val="nil"/>
            </w:tcBorders>
            <w:vAlign w:val="center"/>
          </w:tcPr>
          <w:p w14:paraId="2B5A8B7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(0.109)</w:t>
            </w:r>
          </w:p>
        </w:tc>
        <w:tc>
          <w:tcPr>
            <w:tcW w:w="1417" w:type="dxa"/>
            <w:tcBorders>
              <w:top w:val="nil"/>
              <w:left w:val="nil"/>
              <w:bottom w:val="nil"/>
              <w:right w:val="nil"/>
            </w:tcBorders>
            <w:vAlign w:val="center"/>
          </w:tcPr>
          <w:p w14:paraId="4BA5657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(7.046)</w:t>
            </w:r>
          </w:p>
        </w:tc>
        <w:tc>
          <w:tcPr>
            <w:tcW w:w="1418" w:type="dxa"/>
            <w:tcBorders>
              <w:top w:val="nil"/>
              <w:left w:val="nil"/>
              <w:bottom w:val="nil"/>
              <w:right w:val="nil"/>
            </w:tcBorders>
            <w:vAlign w:val="center"/>
          </w:tcPr>
          <w:p w14:paraId="23317AA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(3.336)</w:t>
            </w:r>
          </w:p>
        </w:tc>
      </w:tr>
      <w:tr w:rsidR="0054568F" w:rsidRPr="00F14751" w14:paraId="16A90D21" w14:textId="77777777" w:rsidTr="008738C3">
        <w:trPr>
          <w:jc w:val="center"/>
        </w:trPr>
        <w:tc>
          <w:tcPr>
            <w:tcW w:w="2300" w:type="dxa"/>
            <w:tcBorders>
              <w:top w:val="nil"/>
              <w:left w:val="nil"/>
              <w:bottom w:val="nil"/>
              <w:right w:val="nil"/>
            </w:tcBorders>
            <w:vAlign w:val="center"/>
          </w:tcPr>
          <w:p w14:paraId="3286B7CC"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Polity</w:t>
            </w:r>
          </w:p>
        </w:tc>
        <w:tc>
          <w:tcPr>
            <w:tcW w:w="1164" w:type="dxa"/>
            <w:tcBorders>
              <w:top w:val="nil"/>
              <w:left w:val="nil"/>
              <w:bottom w:val="nil"/>
              <w:right w:val="nil"/>
            </w:tcBorders>
            <w:vAlign w:val="center"/>
          </w:tcPr>
          <w:p w14:paraId="7545DF1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0.282</w:t>
            </w:r>
          </w:p>
        </w:tc>
        <w:tc>
          <w:tcPr>
            <w:tcW w:w="1418" w:type="dxa"/>
            <w:tcBorders>
              <w:top w:val="nil"/>
              <w:left w:val="nil"/>
              <w:bottom w:val="nil"/>
              <w:right w:val="nil"/>
            </w:tcBorders>
            <w:vAlign w:val="center"/>
          </w:tcPr>
          <w:p w14:paraId="148BF78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0.246</w:t>
            </w:r>
          </w:p>
        </w:tc>
        <w:tc>
          <w:tcPr>
            <w:tcW w:w="1417" w:type="dxa"/>
            <w:tcBorders>
              <w:top w:val="nil"/>
              <w:left w:val="nil"/>
              <w:bottom w:val="nil"/>
              <w:right w:val="nil"/>
            </w:tcBorders>
            <w:vAlign w:val="center"/>
          </w:tcPr>
          <w:p w14:paraId="58A3DA3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0.227</w:t>
            </w:r>
          </w:p>
        </w:tc>
        <w:tc>
          <w:tcPr>
            <w:tcW w:w="1418" w:type="dxa"/>
            <w:tcBorders>
              <w:top w:val="nil"/>
              <w:left w:val="nil"/>
              <w:bottom w:val="nil"/>
              <w:right w:val="nil"/>
            </w:tcBorders>
            <w:vAlign w:val="center"/>
          </w:tcPr>
          <w:p w14:paraId="20F790E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0.202*</w:t>
            </w:r>
          </w:p>
        </w:tc>
        <w:tc>
          <w:tcPr>
            <w:tcW w:w="1417" w:type="dxa"/>
            <w:tcBorders>
              <w:top w:val="nil"/>
              <w:left w:val="nil"/>
              <w:bottom w:val="nil"/>
              <w:right w:val="nil"/>
            </w:tcBorders>
            <w:vAlign w:val="center"/>
          </w:tcPr>
          <w:p w14:paraId="547FB43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10.33</w:t>
            </w:r>
          </w:p>
        </w:tc>
        <w:tc>
          <w:tcPr>
            <w:tcW w:w="1418" w:type="dxa"/>
            <w:tcBorders>
              <w:top w:val="nil"/>
              <w:left w:val="nil"/>
              <w:bottom w:val="nil"/>
              <w:right w:val="nil"/>
            </w:tcBorders>
            <w:vAlign w:val="center"/>
          </w:tcPr>
          <w:p w14:paraId="423216F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4.676</w:t>
            </w:r>
          </w:p>
        </w:tc>
      </w:tr>
      <w:tr w:rsidR="0054568F" w:rsidRPr="00F14751" w14:paraId="32DBE9B3" w14:textId="77777777" w:rsidTr="008738C3">
        <w:trPr>
          <w:jc w:val="center"/>
        </w:trPr>
        <w:tc>
          <w:tcPr>
            <w:tcW w:w="2300" w:type="dxa"/>
            <w:tcBorders>
              <w:top w:val="nil"/>
              <w:left w:val="nil"/>
              <w:bottom w:val="nil"/>
              <w:right w:val="nil"/>
            </w:tcBorders>
            <w:vAlign w:val="center"/>
          </w:tcPr>
          <w:p w14:paraId="6E697251"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5E538AA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(0.226)</w:t>
            </w:r>
          </w:p>
        </w:tc>
        <w:tc>
          <w:tcPr>
            <w:tcW w:w="1418" w:type="dxa"/>
            <w:tcBorders>
              <w:top w:val="nil"/>
              <w:left w:val="nil"/>
              <w:bottom w:val="nil"/>
              <w:right w:val="nil"/>
            </w:tcBorders>
            <w:vAlign w:val="center"/>
          </w:tcPr>
          <w:p w14:paraId="45FA306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(0.167)</w:t>
            </w:r>
          </w:p>
        </w:tc>
        <w:tc>
          <w:tcPr>
            <w:tcW w:w="1417" w:type="dxa"/>
            <w:tcBorders>
              <w:top w:val="nil"/>
              <w:left w:val="nil"/>
              <w:bottom w:val="nil"/>
              <w:right w:val="nil"/>
            </w:tcBorders>
            <w:vAlign w:val="center"/>
          </w:tcPr>
          <w:p w14:paraId="2A1FF18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(0.133)</w:t>
            </w:r>
          </w:p>
        </w:tc>
        <w:tc>
          <w:tcPr>
            <w:tcW w:w="1418" w:type="dxa"/>
            <w:tcBorders>
              <w:top w:val="nil"/>
              <w:left w:val="nil"/>
              <w:bottom w:val="nil"/>
              <w:right w:val="nil"/>
            </w:tcBorders>
            <w:vAlign w:val="center"/>
          </w:tcPr>
          <w:p w14:paraId="2681A98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(0.0988)</w:t>
            </w:r>
          </w:p>
        </w:tc>
        <w:tc>
          <w:tcPr>
            <w:tcW w:w="1417" w:type="dxa"/>
            <w:tcBorders>
              <w:top w:val="nil"/>
              <w:left w:val="nil"/>
              <w:bottom w:val="nil"/>
              <w:right w:val="nil"/>
            </w:tcBorders>
            <w:vAlign w:val="center"/>
          </w:tcPr>
          <w:p w14:paraId="57515F9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(7.527)</w:t>
            </w:r>
          </w:p>
        </w:tc>
        <w:tc>
          <w:tcPr>
            <w:tcW w:w="1418" w:type="dxa"/>
            <w:tcBorders>
              <w:top w:val="nil"/>
              <w:left w:val="nil"/>
              <w:bottom w:val="nil"/>
              <w:right w:val="nil"/>
            </w:tcBorders>
            <w:vAlign w:val="center"/>
          </w:tcPr>
          <w:p w14:paraId="67CCB22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(3.291)</w:t>
            </w:r>
          </w:p>
        </w:tc>
      </w:tr>
      <w:tr w:rsidR="0054568F" w:rsidRPr="00F14751" w14:paraId="3A75ECF3" w14:textId="77777777" w:rsidTr="008738C3">
        <w:trPr>
          <w:jc w:val="center"/>
        </w:trPr>
        <w:tc>
          <w:tcPr>
            <w:tcW w:w="2300" w:type="dxa"/>
            <w:tcBorders>
              <w:top w:val="nil"/>
              <w:left w:val="nil"/>
              <w:bottom w:val="nil"/>
              <w:right w:val="nil"/>
            </w:tcBorders>
            <w:vAlign w:val="center"/>
          </w:tcPr>
          <w:p w14:paraId="39A135D8"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GDP</w:t>
            </w:r>
          </w:p>
        </w:tc>
        <w:tc>
          <w:tcPr>
            <w:tcW w:w="1164" w:type="dxa"/>
            <w:tcBorders>
              <w:top w:val="nil"/>
              <w:left w:val="nil"/>
              <w:bottom w:val="nil"/>
              <w:right w:val="nil"/>
            </w:tcBorders>
            <w:vAlign w:val="center"/>
          </w:tcPr>
          <w:p w14:paraId="789B73A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-0.163**</w:t>
            </w:r>
          </w:p>
        </w:tc>
        <w:tc>
          <w:tcPr>
            <w:tcW w:w="1418" w:type="dxa"/>
            <w:tcBorders>
              <w:top w:val="nil"/>
              <w:left w:val="nil"/>
              <w:bottom w:val="nil"/>
              <w:right w:val="nil"/>
            </w:tcBorders>
            <w:vAlign w:val="center"/>
          </w:tcPr>
          <w:p w14:paraId="7EB2071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-0.0487</w:t>
            </w:r>
          </w:p>
        </w:tc>
        <w:tc>
          <w:tcPr>
            <w:tcW w:w="1417" w:type="dxa"/>
            <w:tcBorders>
              <w:top w:val="nil"/>
              <w:left w:val="nil"/>
              <w:bottom w:val="nil"/>
              <w:right w:val="nil"/>
            </w:tcBorders>
            <w:vAlign w:val="center"/>
          </w:tcPr>
          <w:p w14:paraId="0EC6192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-0.0370</w:t>
            </w:r>
          </w:p>
        </w:tc>
        <w:tc>
          <w:tcPr>
            <w:tcW w:w="1418" w:type="dxa"/>
            <w:tcBorders>
              <w:top w:val="nil"/>
              <w:left w:val="nil"/>
              <w:bottom w:val="nil"/>
              <w:right w:val="nil"/>
            </w:tcBorders>
            <w:vAlign w:val="center"/>
          </w:tcPr>
          <w:p w14:paraId="60C0B2E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0.00214</w:t>
            </w:r>
          </w:p>
        </w:tc>
        <w:tc>
          <w:tcPr>
            <w:tcW w:w="1417" w:type="dxa"/>
            <w:tcBorders>
              <w:top w:val="nil"/>
              <w:left w:val="nil"/>
              <w:bottom w:val="nil"/>
              <w:right w:val="nil"/>
            </w:tcBorders>
            <w:vAlign w:val="center"/>
          </w:tcPr>
          <w:p w14:paraId="5B9B524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-0.968</w:t>
            </w:r>
          </w:p>
        </w:tc>
        <w:tc>
          <w:tcPr>
            <w:tcW w:w="1418" w:type="dxa"/>
            <w:tcBorders>
              <w:top w:val="nil"/>
              <w:left w:val="nil"/>
              <w:bottom w:val="nil"/>
              <w:right w:val="nil"/>
            </w:tcBorders>
            <w:vAlign w:val="center"/>
          </w:tcPr>
          <w:p w14:paraId="70B0674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0.336</w:t>
            </w:r>
          </w:p>
        </w:tc>
      </w:tr>
      <w:tr w:rsidR="0054568F" w:rsidRPr="00F14751" w14:paraId="5A828F79" w14:textId="77777777" w:rsidTr="008738C3">
        <w:trPr>
          <w:jc w:val="center"/>
        </w:trPr>
        <w:tc>
          <w:tcPr>
            <w:tcW w:w="2300" w:type="dxa"/>
            <w:tcBorders>
              <w:top w:val="nil"/>
              <w:left w:val="nil"/>
              <w:bottom w:val="nil"/>
              <w:right w:val="nil"/>
            </w:tcBorders>
            <w:vAlign w:val="center"/>
          </w:tcPr>
          <w:p w14:paraId="590FF2EE"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53E7675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(0.0631)</w:t>
            </w:r>
          </w:p>
        </w:tc>
        <w:tc>
          <w:tcPr>
            <w:tcW w:w="1418" w:type="dxa"/>
            <w:tcBorders>
              <w:top w:val="nil"/>
              <w:left w:val="nil"/>
              <w:bottom w:val="nil"/>
              <w:right w:val="nil"/>
            </w:tcBorders>
            <w:vAlign w:val="center"/>
          </w:tcPr>
          <w:p w14:paraId="6F73FDA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(0.0386)</w:t>
            </w:r>
          </w:p>
        </w:tc>
        <w:tc>
          <w:tcPr>
            <w:tcW w:w="1417" w:type="dxa"/>
            <w:tcBorders>
              <w:top w:val="nil"/>
              <w:left w:val="nil"/>
              <w:bottom w:val="nil"/>
              <w:right w:val="nil"/>
            </w:tcBorders>
            <w:vAlign w:val="center"/>
          </w:tcPr>
          <w:p w14:paraId="4FD7888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(0.0306)</w:t>
            </w:r>
          </w:p>
        </w:tc>
        <w:tc>
          <w:tcPr>
            <w:tcW w:w="1418" w:type="dxa"/>
            <w:tcBorders>
              <w:top w:val="nil"/>
              <w:left w:val="nil"/>
              <w:bottom w:val="nil"/>
              <w:right w:val="nil"/>
            </w:tcBorders>
            <w:vAlign w:val="center"/>
          </w:tcPr>
          <w:p w14:paraId="1A9C684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(0.0240)</w:t>
            </w:r>
          </w:p>
        </w:tc>
        <w:tc>
          <w:tcPr>
            <w:tcW w:w="1417" w:type="dxa"/>
            <w:tcBorders>
              <w:top w:val="nil"/>
              <w:left w:val="nil"/>
              <w:bottom w:val="nil"/>
              <w:right w:val="nil"/>
            </w:tcBorders>
            <w:vAlign w:val="center"/>
          </w:tcPr>
          <w:p w14:paraId="7D58193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(1.173)</w:t>
            </w:r>
          </w:p>
        </w:tc>
        <w:tc>
          <w:tcPr>
            <w:tcW w:w="1418" w:type="dxa"/>
            <w:tcBorders>
              <w:top w:val="nil"/>
              <w:left w:val="nil"/>
              <w:bottom w:val="nil"/>
              <w:right w:val="nil"/>
            </w:tcBorders>
            <w:vAlign w:val="center"/>
          </w:tcPr>
          <w:p w14:paraId="37CD4FF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(0.592)</w:t>
            </w:r>
          </w:p>
        </w:tc>
      </w:tr>
      <w:tr w:rsidR="0054568F" w:rsidRPr="00F14751" w14:paraId="5EC9AC75" w14:textId="77777777" w:rsidTr="008738C3">
        <w:trPr>
          <w:jc w:val="center"/>
        </w:trPr>
        <w:tc>
          <w:tcPr>
            <w:tcW w:w="2300" w:type="dxa"/>
            <w:tcBorders>
              <w:top w:val="nil"/>
              <w:left w:val="nil"/>
              <w:bottom w:val="nil"/>
              <w:right w:val="nil"/>
            </w:tcBorders>
            <w:vAlign w:val="center"/>
          </w:tcPr>
          <w:p w14:paraId="5DC70ABE"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GDPgrowth</w:t>
            </w:r>
            <w:proofErr w:type="spellEnd"/>
          </w:p>
        </w:tc>
        <w:tc>
          <w:tcPr>
            <w:tcW w:w="1164" w:type="dxa"/>
            <w:tcBorders>
              <w:top w:val="nil"/>
              <w:left w:val="nil"/>
              <w:bottom w:val="nil"/>
              <w:right w:val="nil"/>
            </w:tcBorders>
            <w:vAlign w:val="center"/>
          </w:tcPr>
          <w:p w14:paraId="37F4098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0.0784</w:t>
            </w:r>
          </w:p>
        </w:tc>
        <w:tc>
          <w:tcPr>
            <w:tcW w:w="1418" w:type="dxa"/>
            <w:tcBorders>
              <w:top w:val="nil"/>
              <w:left w:val="nil"/>
              <w:bottom w:val="nil"/>
              <w:right w:val="nil"/>
            </w:tcBorders>
            <w:vAlign w:val="center"/>
          </w:tcPr>
          <w:p w14:paraId="281EF04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0.0182</w:t>
            </w:r>
          </w:p>
        </w:tc>
        <w:tc>
          <w:tcPr>
            <w:tcW w:w="1417" w:type="dxa"/>
            <w:tcBorders>
              <w:top w:val="nil"/>
              <w:left w:val="nil"/>
              <w:bottom w:val="nil"/>
              <w:right w:val="nil"/>
            </w:tcBorders>
            <w:vAlign w:val="center"/>
          </w:tcPr>
          <w:p w14:paraId="45F4213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0.0126</w:t>
            </w:r>
          </w:p>
        </w:tc>
        <w:tc>
          <w:tcPr>
            <w:tcW w:w="1418" w:type="dxa"/>
            <w:tcBorders>
              <w:top w:val="nil"/>
              <w:left w:val="nil"/>
              <w:bottom w:val="nil"/>
              <w:right w:val="nil"/>
            </w:tcBorders>
            <w:vAlign w:val="center"/>
          </w:tcPr>
          <w:p w14:paraId="41AB23E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-0.00960</w:t>
            </w:r>
          </w:p>
        </w:tc>
        <w:tc>
          <w:tcPr>
            <w:tcW w:w="1417" w:type="dxa"/>
            <w:tcBorders>
              <w:top w:val="nil"/>
              <w:left w:val="nil"/>
              <w:bottom w:val="nil"/>
              <w:right w:val="nil"/>
            </w:tcBorders>
            <w:vAlign w:val="center"/>
          </w:tcPr>
          <w:p w14:paraId="5D8C53F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0.607</w:t>
            </w:r>
          </w:p>
        </w:tc>
        <w:tc>
          <w:tcPr>
            <w:tcW w:w="1418" w:type="dxa"/>
            <w:tcBorders>
              <w:top w:val="nil"/>
              <w:left w:val="nil"/>
              <w:bottom w:val="nil"/>
              <w:right w:val="nil"/>
            </w:tcBorders>
            <w:vAlign w:val="center"/>
          </w:tcPr>
          <w:p w14:paraId="6B7E13C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-0.0687</w:t>
            </w:r>
          </w:p>
        </w:tc>
      </w:tr>
      <w:tr w:rsidR="0054568F" w:rsidRPr="00F14751" w14:paraId="597E1165" w14:textId="77777777" w:rsidTr="008738C3">
        <w:trPr>
          <w:jc w:val="center"/>
        </w:trPr>
        <w:tc>
          <w:tcPr>
            <w:tcW w:w="2300" w:type="dxa"/>
            <w:tcBorders>
              <w:top w:val="nil"/>
              <w:left w:val="nil"/>
              <w:bottom w:val="nil"/>
              <w:right w:val="nil"/>
            </w:tcBorders>
            <w:vAlign w:val="center"/>
          </w:tcPr>
          <w:p w14:paraId="79E9E562"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1D11DB7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(0.0944)</w:t>
            </w:r>
          </w:p>
        </w:tc>
        <w:tc>
          <w:tcPr>
            <w:tcW w:w="1418" w:type="dxa"/>
            <w:tcBorders>
              <w:top w:val="nil"/>
              <w:left w:val="nil"/>
              <w:bottom w:val="nil"/>
              <w:right w:val="nil"/>
            </w:tcBorders>
            <w:vAlign w:val="center"/>
          </w:tcPr>
          <w:p w14:paraId="511DF9B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(0.0607)</w:t>
            </w:r>
          </w:p>
        </w:tc>
        <w:tc>
          <w:tcPr>
            <w:tcW w:w="1417" w:type="dxa"/>
            <w:tcBorders>
              <w:top w:val="nil"/>
              <w:left w:val="nil"/>
              <w:bottom w:val="nil"/>
              <w:right w:val="nil"/>
            </w:tcBorders>
            <w:vAlign w:val="center"/>
          </w:tcPr>
          <w:p w14:paraId="0600C66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(0.0436)</w:t>
            </w:r>
          </w:p>
        </w:tc>
        <w:tc>
          <w:tcPr>
            <w:tcW w:w="1418" w:type="dxa"/>
            <w:tcBorders>
              <w:top w:val="nil"/>
              <w:left w:val="nil"/>
              <w:bottom w:val="nil"/>
              <w:right w:val="nil"/>
            </w:tcBorders>
            <w:vAlign w:val="center"/>
          </w:tcPr>
          <w:p w14:paraId="66C7513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(0.0255)</w:t>
            </w:r>
          </w:p>
        </w:tc>
        <w:tc>
          <w:tcPr>
            <w:tcW w:w="1417" w:type="dxa"/>
            <w:tcBorders>
              <w:top w:val="nil"/>
              <w:left w:val="nil"/>
              <w:bottom w:val="nil"/>
              <w:right w:val="nil"/>
            </w:tcBorders>
            <w:vAlign w:val="center"/>
          </w:tcPr>
          <w:p w14:paraId="0783FDA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(2.493)</w:t>
            </w:r>
          </w:p>
        </w:tc>
        <w:tc>
          <w:tcPr>
            <w:tcW w:w="1418" w:type="dxa"/>
            <w:tcBorders>
              <w:top w:val="nil"/>
              <w:left w:val="nil"/>
              <w:bottom w:val="nil"/>
              <w:right w:val="nil"/>
            </w:tcBorders>
            <w:vAlign w:val="center"/>
          </w:tcPr>
          <w:p w14:paraId="6DA7CD5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(0.894)</w:t>
            </w:r>
          </w:p>
        </w:tc>
      </w:tr>
      <w:tr w:rsidR="0054568F" w:rsidRPr="00F14751" w14:paraId="57FF43B9" w14:textId="77777777" w:rsidTr="008738C3">
        <w:trPr>
          <w:jc w:val="center"/>
        </w:trPr>
        <w:tc>
          <w:tcPr>
            <w:tcW w:w="2300" w:type="dxa"/>
            <w:tcBorders>
              <w:top w:val="nil"/>
              <w:left w:val="nil"/>
              <w:bottom w:val="nil"/>
              <w:right w:val="nil"/>
            </w:tcBorders>
            <w:vAlign w:val="center"/>
          </w:tcPr>
          <w:p w14:paraId="546E3AEA"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School</w:t>
            </w:r>
          </w:p>
        </w:tc>
        <w:tc>
          <w:tcPr>
            <w:tcW w:w="1164" w:type="dxa"/>
            <w:tcBorders>
              <w:top w:val="nil"/>
              <w:left w:val="nil"/>
              <w:bottom w:val="nil"/>
              <w:right w:val="nil"/>
            </w:tcBorders>
            <w:vAlign w:val="center"/>
          </w:tcPr>
          <w:p w14:paraId="23D6FA1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-1.914</w:t>
            </w:r>
          </w:p>
        </w:tc>
        <w:tc>
          <w:tcPr>
            <w:tcW w:w="1418" w:type="dxa"/>
            <w:tcBorders>
              <w:top w:val="nil"/>
              <w:left w:val="nil"/>
              <w:bottom w:val="nil"/>
              <w:right w:val="nil"/>
            </w:tcBorders>
            <w:vAlign w:val="center"/>
          </w:tcPr>
          <w:p w14:paraId="0944874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-1.415</w:t>
            </w:r>
          </w:p>
        </w:tc>
        <w:tc>
          <w:tcPr>
            <w:tcW w:w="1417" w:type="dxa"/>
            <w:tcBorders>
              <w:top w:val="nil"/>
              <w:left w:val="nil"/>
              <w:bottom w:val="nil"/>
              <w:right w:val="nil"/>
            </w:tcBorders>
            <w:vAlign w:val="center"/>
          </w:tcPr>
          <w:p w14:paraId="2506FA4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-1.152*</w:t>
            </w:r>
          </w:p>
        </w:tc>
        <w:tc>
          <w:tcPr>
            <w:tcW w:w="1418" w:type="dxa"/>
            <w:tcBorders>
              <w:top w:val="nil"/>
              <w:left w:val="nil"/>
              <w:bottom w:val="nil"/>
              <w:right w:val="nil"/>
            </w:tcBorders>
            <w:vAlign w:val="center"/>
          </w:tcPr>
          <w:p w14:paraId="17BD1C5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-0.840</w:t>
            </w:r>
          </w:p>
        </w:tc>
        <w:tc>
          <w:tcPr>
            <w:tcW w:w="1417" w:type="dxa"/>
            <w:tcBorders>
              <w:top w:val="nil"/>
              <w:left w:val="nil"/>
              <w:bottom w:val="nil"/>
              <w:right w:val="nil"/>
            </w:tcBorders>
            <w:vAlign w:val="center"/>
          </w:tcPr>
          <w:p w14:paraId="4CF4EA3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-53.33</w:t>
            </w:r>
          </w:p>
        </w:tc>
        <w:tc>
          <w:tcPr>
            <w:tcW w:w="1418" w:type="dxa"/>
            <w:tcBorders>
              <w:top w:val="nil"/>
              <w:left w:val="nil"/>
              <w:bottom w:val="nil"/>
              <w:right w:val="nil"/>
            </w:tcBorders>
            <w:vAlign w:val="center"/>
          </w:tcPr>
          <w:p w14:paraId="6AC9BA5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-18.97</w:t>
            </w:r>
          </w:p>
        </w:tc>
      </w:tr>
      <w:tr w:rsidR="0054568F" w:rsidRPr="00F14751" w14:paraId="313530C3" w14:textId="77777777" w:rsidTr="008738C3">
        <w:trPr>
          <w:jc w:val="center"/>
        </w:trPr>
        <w:tc>
          <w:tcPr>
            <w:tcW w:w="2300" w:type="dxa"/>
            <w:tcBorders>
              <w:top w:val="nil"/>
              <w:left w:val="nil"/>
              <w:bottom w:val="nil"/>
              <w:right w:val="nil"/>
            </w:tcBorders>
            <w:vAlign w:val="center"/>
          </w:tcPr>
          <w:p w14:paraId="76D5E40C"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069AAA6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(1.191)</w:t>
            </w:r>
          </w:p>
        </w:tc>
        <w:tc>
          <w:tcPr>
            <w:tcW w:w="1418" w:type="dxa"/>
            <w:tcBorders>
              <w:top w:val="nil"/>
              <w:left w:val="nil"/>
              <w:bottom w:val="nil"/>
              <w:right w:val="nil"/>
            </w:tcBorders>
            <w:vAlign w:val="center"/>
          </w:tcPr>
          <w:p w14:paraId="7687153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(0.796)</w:t>
            </w:r>
          </w:p>
        </w:tc>
        <w:tc>
          <w:tcPr>
            <w:tcW w:w="1417" w:type="dxa"/>
            <w:tcBorders>
              <w:top w:val="nil"/>
              <w:left w:val="nil"/>
              <w:bottom w:val="nil"/>
              <w:right w:val="nil"/>
            </w:tcBorders>
            <w:vAlign w:val="center"/>
          </w:tcPr>
          <w:p w14:paraId="3744DD5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(0.636)</w:t>
            </w:r>
          </w:p>
        </w:tc>
        <w:tc>
          <w:tcPr>
            <w:tcW w:w="1418" w:type="dxa"/>
            <w:tcBorders>
              <w:top w:val="nil"/>
              <w:left w:val="nil"/>
              <w:bottom w:val="nil"/>
              <w:right w:val="nil"/>
            </w:tcBorders>
            <w:vAlign w:val="center"/>
          </w:tcPr>
          <w:p w14:paraId="67ECBCE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(0.522)</w:t>
            </w:r>
          </w:p>
        </w:tc>
        <w:tc>
          <w:tcPr>
            <w:tcW w:w="1417" w:type="dxa"/>
            <w:tcBorders>
              <w:top w:val="nil"/>
              <w:left w:val="nil"/>
              <w:bottom w:val="nil"/>
              <w:right w:val="nil"/>
            </w:tcBorders>
            <w:vAlign w:val="center"/>
          </w:tcPr>
          <w:p w14:paraId="0017E9C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(34.35)</w:t>
            </w:r>
          </w:p>
        </w:tc>
        <w:tc>
          <w:tcPr>
            <w:tcW w:w="1418" w:type="dxa"/>
            <w:tcBorders>
              <w:top w:val="nil"/>
              <w:left w:val="nil"/>
              <w:bottom w:val="nil"/>
              <w:right w:val="nil"/>
            </w:tcBorders>
            <w:vAlign w:val="center"/>
          </w:tcPr>
          <w:p w14:paraId="306F199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(16.32)</w:t>
            </w:r>
          </w:p>
        </w:tc>
      </w:tr>
      <w:tr w:rsidR="0054568F" w:rsidRPr="00F14751" w14:paraId="68273019" w14:textId="77777777" w:rsidTr="008738C3">
        <w:trPr>
          <w:jc w:val="center"/>
        </w:trPr>
        <w:tc>
          <w:tcPr>
            <w:tcW w:w="2300" w:type="dxa"/>
            <w:tcBorders>
              <w:top w:val="nil"/>
              <w:left w:val="nil"/>
              <w:bottom w:val="nil"/>
              <w:right w:val="nil"/>
            </w:tcBorders>
            <w:vAlign w:val="center"/>
          </w:tcPr>
          <w:p w14:paraId="609C82D4"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Death</w:t>
            </w:r>
          </w:p>
        </w:tc>
        <w:tc>
          <w:tcPr>
            <w:tcW w:w="1164" w:type="dxa"/>
            <w:tcBorders>
              <w:top w:val="nil"/>
              <w:left w:val="nil"/>
              <w:bottom w:val="nil"/>
              <w:right w:val="nil"/>
            </w:tcBorders>
            <w:vAlign w:val="center"/>
          </w:tcPr>
          <w:p w14:paraId="6F53DE9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4.066**</w:t>
            </w:r>
          </w:p>
        </w:tc>
        <w:tc>
          <w:tcPr>
            <w:tcW w:w="1418" w:type="dxa"/>
            <w:tcBorders>
              <w:top w:val="nil"/>
              <w:left w:val="nil"/>
              <w:bottom w:val="nil"/>
              <w:right w:val="nil"/>
            </w:tcBorders>
            <w:vAlign w:val="center"/>
          </w:tcPr>
          <w:p w14:paraId="7F90714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2.872*</w:t>
            </w:r>
          </w:p>
        </w:tc>
        <w:tc>
          <w:tcPr>
            <w:tcW w:w="1417" w:type="dxa"/>
            <w:tcBorders>
              <w:top w:val="nil"/>
              <w:left w:val="nil"/>
              <w:bottom w:val="nil"/>
              <w:right w:val="nil"/>
            </w:tcBorders>
            <w:vAlign w:val="center"/>
          </w:tcPr>
          <w:p w14:paraId="6356597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2.118*</w:t>
            </w:r>
          </w:p>
        </w:tc>
        <w:tc>
          <w:tcPr>
            <w:tcW w:w="1418" w:type="dxa"/>
            <w:tcBorders>
              <w:top w:val="nil"/>
              <w:left w:val="nil"/>
              <w:bottom w:val="nil"/>
              <w:right w:val="nil"/>
            </w:tcBorders>
            <w:vAlign w:val="center"/>
          </w:tcPr>
          <w:p w14:paraId="02B38F7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1.192</w:t>
            </w:r>
          </w:p>
        </w:tc>
        <w:tc>
          <w:tcPr>
            <w:tcW w:w="1417" w:type="dxa"/>
            <w:tcBorders>
              <w:top w:val="nil"/>
              <w:left w:val="nil"/>
              <w:bottom w:val="nil"/>
              <w:right w:val="nil"/>
            </w:tcBorders>
            <w:vAlign w:val="center"/>
          </w:tcPr>
          <w:p w14:paraId="3D9287A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201.8***</w:t>
            </w:r>
          </w:p>
        </w:tc>
        <w:tc>
          <w:tcPr>
            <w:tcW w:w="1418" w:type="dxa"/>
            <w:tcBorders>
              <w:top w:val="nil"/>
              <w:left w:val="nil"/>
              <w:bottom w:val="nil"/>
              <w:right w:val="nil"/>
            </w:tcBorders>
            <w:vAlign w:val="center"/>
          </w:tcPr>
          <w:p w14:paraId="396B65A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85.31**</w:t>
            </w:r>
          </w:p>
        </w:tc>
      </w:tr>
      <w:tr w:rsidR="0054568F" w:rsidRPr="00F14751" w14:paraId="6E260601" w14:textId="77777777" w:rsidTr="008738C3">
        <w:trPr>
          <w:jc w:val="center"/>
        </w:trPr>
        <w:tc>
          <w:tcPr>
            <w:tcW w:w="2300" w:type="dxa"/>
            <w:tcBorders>
              <w:top w:val="nil"/>
              <w:left w:val="nil"/>
              <w:bottom w:val="nil"/>
              <w:right w:val="nil"/>
            </w:tcBorders>
            <w:vAlign w:val="center"/>
          </w:tcPr>
          <w:p w14:paraId="426D2206"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6FBF0C1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(1.548)</w:t>
            </w:r>
          </w:p>
        </w:tc>
        <w:tc>
          <w:tcPr>
            <w:tcW w:w="1418" w:type="dxa"/>
            <w:tcBorders>
              <w:top w:val="nil"/>
              <w:left w:val="nil"/>
              <w:bottom w:val="nil"/>
              <w:right w:val="nil"/>
            </w:tcBorders>
            <w:vAlign w:val="center"/>
          </w:tcPr>
          <w:p w14:paraId="0F3F5B8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(1.321)</w:t>
            </w:r>
          </w:p>
        </w:tc>
        <w:tc>
          <w:tcPr>
            <w:tcW w:w="1417" w:type="dxa"/>
            <w:tcBorders>
              <w:top w:val="nil"/>
              <w:left w:val="nil"/>
              <w:bottom w:val="nil"/>
              <w:right w:val="nil"/>
            </w:tcBorders>
            <w:vAlign w:val="center"/>
          </w:tcPr>
          <w:p w14:paraId="0CA7BC2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(0.988)</w:t>
            </w:r>
          </w:p>
        </w:tc>
        <w:tc>
          <w:tcPr>
            <w:tcW w:w="1418" w:type="dxa"/>
            <w:tcBorders>
              <w:top w:val="nil"/>
              <w:left w:val="nil"/>
              <w:bottom w:val="nil"/>
              <w:right w:val="nil"/>
            </w:tcBorders>
            <w:vAlign w:val="center"/>
          </w:tcPr>
          <w:p w14:paraId="19E95FF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(0.779)</w:t>
            </w:r>
          </w:p>
        </w:tc>
        <w:tc>
          <w:tcPr>
            <w:tcW w:w="1417" w:type="dxa"/>
            <w:tcBorders>
              <w:top w:val="nil"/>
              <w:left w:val="nil"/>
              <w:bottom w:val="nil"/>
              <w:right w:val="nil"/>
            </w:tcBorders>
            <w:vAlign w:val="center"/>
          </w:tcPr>
          <w:p w14:paraId="29141526"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(64.85)</w:t>
            </w:r>
          </w:p>
        </w:tc>
        <w:tc>
          <w:tcPr>
            <w:tcW w:w="1418" w:type="dxa"/>
            <w:tcBorders>
              <w:top w:val="nil"/>
              <w:left w:val="nil"/>
              <w:bottom w:val="nil"/>
              <w:right w:val="nil"/>
            </w:tcBorders>
            <w:vAlign w:val="center"/>
          </w:tcPr>
          <w:p w14:paraId="027C1B0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(28.91)</w:t>
            </w:r>
          </w:p>
        </w:tc>
      </w:tr>
      <w:tr w:rsidR="0054568F" w:rsidRPr="00F14751" w14:paraId="6D4E74F6" w14:textId="77777777" w:rsidTr="008738C3">
        <w:trPr>
          <w:jc w:val="center"/>
        </w:trPr>
        <w:tc>
          <w:tcPr>
            <w:tcW w:w="2300" w:type="dxa"/>
            <w:tcBorders>
              <w:top w:val="nil"/>
              <w:left w:val="nil"/>
              <w:bottom w:val="nil"/>
              <w:right w:val="nil"/>
            </w:tcBorders>
            <w:vAlign w:val="center"/>
          </w:tcPr>
          <w:p w14:paraId="43C1371F"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UrbanPopgrowth</w:t>
            </w:r>
            <w:proofErr w:type="spellEnd"/>
          </w:p>
        </w:tc>
        <w:tc>
          <w:tcPr>
            <w:tcW w:w="1164" w:type="dxa"/>
            <w:tcBorders>
              <w:top w:val="nil"/>
              <w:left w:val="nil"/>
              <w:bottom w:val="nil"/>
              <w:right w:val="nil"/>
            </w:tcBorders>
            <w:vAlign w:val="center"/>
          </w:tcPr>
          <w:p w14:paraId="666C7A4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0.350</w:t>
            </w:r>
          </w:p>
        </w:tc>
        <w:tc>
          <w:tcPr>
            <w:tcW w:w="1418" w:type="dxa"/>
            <w:tcBorders>
              <w:top w:val="nil"/>
              <w:left w:val="nil"/>
              <w:bottom w:val="nil"/>
              <w:right w:val="nil"/>
            </w:tcBorders>
            <w:vAlign w:val="center"/>
          </w:tcPr>
          <w:p w14:paraId="6A9AC8D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-0.585</w:t>
            </w:r>
          </w:p>
        </w:tc>
        <w:tc>
          <w:tcPr>
            <w:tcW w:w="1417" w:type="dxa"/>
            <w:tcBorders>
              <w:top w:val="nil"/>
              <w:left w:val="nil"/>
              <w:bottom w:val="nil"/>
              <w:right w:val="nil"/>
            </w:tcBorders>
            <w:vAlign w:val="center"/>
          </w:tcPr>
          <w:p w14:paraId="4F18711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-0.546</w:t>
            </w:r>
          </w:p>
        </w:tc>
        <w:tc>
          <w:tcPr>
            <w:tcW w:w="1418" w:type="dxa"/>
            <w:tcBorders>
              <w:top w:val="nil"/>
              <w:left w:val="nil"/>
              <w:bottom w:val="nil"/>
              <w:right w:val="nil"/>
            </w:tcBorders>
            <w:vAlign w:val="center"/>
          </w:tcPr>
          <w:p w14:paraId="77B68E8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-0.802</w:t>
            </w:r>
          </w:p>
        </w:tc>
        <w:tc>
          <w:tcPr>
            <w:tcW w:w="1417" w:type="dxa"/>
            <w:tcBorders>
              <w:top w:val="nil"/>
              <w:left w:val="nil"/>
              <w:bottom w:val="nil"/>
              <w:right w:val="nil"/>
            </w:tcBorders>
            <w:vAlign w:val="center"/>
          </w:tcPr>
          <w:p w14:paraId="318622A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-48.74</w:t>
            </w:r>
          </w:p>
        </w:tc>
        <w:tc>
          <w:tcPr>
            <w:tcW w:w="1418" w:type="dxa"/>
            <w:tcBorders>
              <w:top w:val="nil"/>
              <w:left w:val="nil"/>
              <w:bottom w:val="nil"/>
              <w:right w:val="nil"/>
            </w:tcBorders>
            <w:vAlign w:val="center"/>
          </w:tcPr>
          <w:p w14:paraId="01EC9CF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-31.35</w:t>
            </w:r>
          </w:p>
        </w:tc>
      </w:tr>
      <w:tr w:rsidR="0054568F" w:rsidRPr="00F14751" w14:paraId="28C810E9" w14:textId="77777777" w:rsidTr="008738C3">
        <w:trPr>
          <w:jc w:val="center"/>
        </w:trPr>
        <w:tc>
          <w:tcPr>
            <w:tcW w:w="2300" w:type="dxa"/>
            <w:tcBorders>
              <w:top w:val="nil"/>
              <w:left w:val="nil"/>
              <w:bottom w:val="nil"/>
              <w:right w:val="nil"/>
            </w:tcBorders>
            <w:vAlign w:val="center"/>
          </w:tcPr>
          <w:p w14:paraId="75E9FB46"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2C59B19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(1.322)</w:t>
            </w:r>
          </w:p>
        </w:tc>
        <w:tc>
          <w:tcPr>
            <w:tcW w:w="1418" w:type="dxa"/>
            <w:tcBorders>
              <w:top w:val="nil"/>
              <w:left w:val="nil"/>
              <w:bottom w:val="nil"/>
              <w:right w:val="nil"/>
            </w:tcBorders>
            <w:vAlign w:val="center"/>
          </w:tcPr>
          <w:p w14:paraId="07FE4C1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(0.886)</w:t>
            </w:r>
          </w:p>
        </w:tc>
        <w:tc>
          <w:tcPr>
            <w:tcW w:w="1417" w:type="dxa"/>
            <w:tcBorders>
              <w:top w:val="nil"/>
              <w:left w:val="nil"/>
              <w:bottom w:val="nil"/>
              <w:right w:val="nil"/>
            </w:tcBorders>
            <w:vAlign w:val="center"/>
          </w:tcPr>
          <w:p w14:paraId="41B8DEB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(0.715)</w:t>
            </w:r>
          </w:p>
        </w:tc>
        <w:tc>
          <w:tcPr>
            <w:tcW w:w="1418" w:type="dxa"/>
            <w:tcBorders>
              <w:top w:val="nil"/>
              <w:left w:val="nil"/>
              <w:bottom w:val="nil"/>
              <w:right w:val="nil"/>
            </w:tcBorders>
            <w:vAlign w:val="center"/>
          </w:tcPr>
          <w:p w14:paraId="6C45420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(0.513)</w:t>
            </w:r>
          </w:p>
        </w:tc>
        <w:tc>
          <w:tcPr>
            <w:tcW w:w="1417" w:type="dxa"/>
            <w:tcBorders>
              <w:top w:val="nil"/>
              <w:left w:val="nil"/>
              <w:bottom w:val="nil"/>
              <w:right w:val="nil"/>
            </w:tcBorders>
            <w:vAlign w:val="center"/>
          </w:tcPr>
          <w:p w14:paraId="3803438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(40.12)</w:t>
            </w:r>
          </w:p>
        </w:tc>
        <w:tc>
          <w:tcPr>
            <w:tcW w:w="1418" w:type="dxa"/>
            <w:tcBorders>
              <w:top w:val="nil"/>
              <w:left w:val="nil"/>
              <w:bottom w:val="nil"/>
              <w:right w:val="nil"/>
            </w:tcBorders>
            <w:vAlign w:val="center"/>
          </w:tcPr>
          <w:p w14:paraId="7041D65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(19.10)</w:t>
            </w:r>
          </w:p>
        </w:tc>
      </w:tr>
      <w:tr w:rsidR="0054568F" w:rsidRPr="00F14751" w14:paraId="4D3246F4" w14:textId="77777777" w:rsidTr="008738C3">
        <w:trPr>
          <w:jc w:val="center"/>
        </w:trPr>
        <w:tc>
          <w:tcPr>
            <w:tcW w:w="2300" w:type="dxa"/>
            <w:tcBorders>
              <w:top w:val="nil"/>
              <w:left w:val="nil"/>
              <w:bottom w:val="nil"/>
              <w:right w:val="nil"/>
            </w:tcBorders>
            <w:vAlign w:val="center"/>
          </w:tcPr>
          <w:p w14:paraId="1E3D7DB5"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Mercosur</w:t>
            </w:r>
          </w:p>
        </w:tc>
        <w:tc>
          <w:tcPr>
            <w:tcW w:w="1164" w:type="dxa"/>
            <w:tcBorders>
              <w:top w:val="nil"/>
              <w:left w:val="nil"/>
              <w:bottom w:val="nil"/>
              <w:right w:val="nil"/>
            </w:tcBorders>
            <w:vAlign w:val="center"/>
          </w:tcPr>
          <w:p w14:paraId="380C520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2.615</w:t>
            </w:r>
          </w:p>
        </w:tc>
        <w:tc>
          <w:tcPr>
            <w:tcW w:w="1418" w:type="dxa"/>
            <w:tcBorders>
              <w:top w:val="nil"/>
              <w:left w:val="nil"/>
              <w:bottom w:val="nil"/>
              <w:right w:val="nil"/>
            </w:tcBorders>
            <w:vAlign w:val="center"/>
          </w:tcPr>
          <w:p w14:paraId="4BB3EF7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0.823</w:t>
            </w:r>
          </w:p>
        </w:tc>
        <w:tc>
          <w:tcPr>
            <w:tcW w:w="1417" w:type="dxa"/>
            <w:tcBorders>
              <w:top w:val="nil"/>
              <w:left w:val="nil"/>
              <w:bottom w:val="nil"/>
              <w:right w:val="nil"/>
            </w:tcBorders>
            <w:vAlign w:val="center"/>
          </w:tcPr>
          <w:p w14:paraId="50F6C46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0.140</w:t>
            </w:r>
          </w:p>
        </w:tc>
        <w:tc>
          <w:tcPr>
            <w:tcW w:w="1418" w:type="dxa"/>
            <w:tcBorders>
              <w:top w:val="nil"/>
              <w:left w:val="nil"/>
              <w:bottom w:val="nil"/>
              <w:right w:val="nil"/>
            </w:tcBorders>
            <w:vAlign w:val="center"/>
          </w:tcPr>
          <w:p w14:paraId="25D8ABC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-0.777</w:t>
            </w:r>
          </w:p>
        </w:tc>
        <w:tc>
          <w:tcPr>
            <w:tcW w:w="1417" w:type="dxa"/>
            <w:tcBorders>
              <w:top w:val="nil"/>
              <w:left w:val="nil"/>
              <w:bottom w:val="nil"/>
              <w:right w:val="nil"/>
            </w:tcBorders>
            <w:vAlign w:val="center"/>
          </w:tcPr>
          <w:p w14:paraId="0442083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-32.33</w:t>
            </w:r>
          </w:p>
        </w:tc>
        <w:tc>
          <w:tcPr>
            <w:tcW w:w="1418" w:type="dxa"/>
            <w:tcBorders>
              <w:top w:val="nil"/>
              <w:left w:val="nil"/>
              <w:bottom w:val="nil"/>
              <w:right w:val="nil"/>
            </w:tcBorders>
            <w:vAlign w:val="center"/>
          </w:tcPr>
          <w:p w14:paraId="74431966"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-21.55</w:t>
            </w:r>
          </w:p>
        </w:tc>
      </w:tr>
      <w:tr w:rsidR="0054568F" w:rsidRPr="00F14751" w14:paraId="129CFAB3" w14:textId="77777777" w:rsidTr="008738C3">
        <w:trPr>
          <w:jc w:val="center"/>
        </w:trPr>
        <w:tc>
          <w:tcPr>
            <w:tcW w:w="2300" w:type="dxa"/>
            <w:tcBorders>
              <w:top w:val="nil"/>
              <w:left w:val="nil"/>
              <w:bottom w:val="nil"/>
              <w:right w:val="nil"/>
            </w:tcBorders>
            <w:vAlign w:val="center"/>
          </w:tcPr>
          <w:p w14:paraId="1CD8E3DF"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47AAA4B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(2.197)</w:t>
            </w:r>
          </w:p>
        </w:tc>
        <w:tc>
          <w:tcPr>
            <w:tcW w:w="1418" w:type="dxa"/>
            <w:tcBorders>
              <w:top w:val="nil"/>
              <w:left w:val="nil"/>
              <w:bottom w:val="nil"/>
              <w:right w:val="nil"/>
            </w:tcBorders>
            <w:vAlign w:val="center"/>
          </w:tcPr>
          <w:p w14:paraId="787D33D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(1.744)</w:t>
            </w:r>
          </w:p>
        </w:tc>
        <w:tc>
          <w:tcPr>
            <w:tcW w:w="1417" w:type="dxa"/>
            <w:tcBorders>
              <w:top w:val="nil"/>
              <w:left w:val="nil"/>
              <w:bottom w:val="nil"/>
              <w:right w:val="nil"/>
            </w:tcBorders>
            <w:vAlign w:val="center"/>
          </w:tcPr>
          <w:p w14:paraId="763A2CD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(1.509)</w:t>
            </w:r>
          </w:p>
        </w:tc>
        <w:tc>
          <w:tcPr>
            <w:tcW w:w="1418" w:type="dxa"/>
            <w:tcBorders>
              <w:top w:val="nil"/>
              <w:left w:val="nil"/>
              <w:bottom w:val="nil"/>
              <w:right w:val="nil"/>
            </w:tcBorders>
            <w:vAlign w:val="center"/>
          </w:tcPr>
          <w:p w14:paraId="30D6683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(1.469)</w:t>
            </w:r>
          </w:p>
        </w:tc>
        <w:tc>
          <w:tcPr>
            <w:tcW w:w="1417" w:type="dxa"/>
            <w:tcBorders>
              <w:top w:val="nil"/>
              <w:left w:val="nil"/>
              <w:bottom w:val="nil"/>
              <w:right w:val="nil"/>
            </w:tcBorders>
            <w:vAlign w:val="center"/>
          </w:tcPr>
          <w:p w14:paraId="2C686CB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(76.00)</w:t>
            </w:r>
          </w:p>
        </w:tc>
        <w:tc>
          <w:tcPr>
            <w:tcW w:w="1418" w:type="dxa"/>
            <w:tcBorders>
              <w:top w:val="nil"/>
              <w:left w:val="nil"/>
              <w:bottom w:val="nil"/>
              <w:right w:val="nil"/>
            </w:tcBorders>
            <w:vAlign w:val="center"/>
          </w:tcPr>
          <w:p w14:paraId="3D20139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(39.24)</w:t>
            </w:r>
          </w:p>
        </w:tc>
      </w:tr>
      <w:tr w:rsidR="0054568F" w:rsidRPr="00F14751" w14:paraId="6EB56489" w14:textId="77777777" w:rsidTr="008738C3">
        <w:trPr>
          <w:jc w:val="center"/>
        </w:trPr>
        <w:tc>
          <w:tcPr>
            <w:tcW w:w="2300" w:type="dxa"/>
            <w:tcBorders>
              <w:top w:val="nil"/>
              <w:left w:val="nil"/>
              <w:bottom w:val="nil"/>
              <w:right w:val="nil"/>
            </w:tcBorders>
            <w:vAlign w:val="center"/>
          </w:tcPr>
          <w:p w14:paraId="2B4A7341"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Unasur</w:t>
            </w:r>
            <w:proofErr w:type="spellEnd"/>
          </w:p>
        </w:tc>
        <w:tc>
          <w:tcPr>
            <w:tcW w:w="1164" w:type="dxa"/>
            <w:tcBorders>
              <w:top w:val="nil"/>
              <w:left w:val="nil"/>
              <w:bottom w:val="nil"/>
              <w:right w:val="nil"/>
            </w:tcBorders>
            <w:vAlign w:val="center"/>
          </w:tcPr>
          <w:p w14:paraId="6234505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-0.274</w:t>
            </w:r>
          </w:p>
        </w:tc>
        <w:tc>
          <w:tcPr>
            <w:tcW w:w="1418" w:type="dxa"/>
            <w:tcBorders>
              <w:top w:val="nil"/>
              <w:left w:val="nil"/>
              <w:bottom w:val="nil"/>
              <w:right w:val="nil"/>
            </w:tcBorders>
            <w:vAlign w:val="center"/>
          </w:tcPr>
          <w:p w14:paraId="0BFBF22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1.092</w:t>
            </w:r>
          </w:p>
        </w:tc>
        <w:tc>
          <w:tcPr>
            <w:tcW w:w="1417" w:type="dxa"/>
            <w:tcBorders>
              <w:top w:val="nil"/>
              <w:left w:val="nil"/>
              <w:bottom w:val="nil"/>
              <w:right w:val="nil"/>
            </w:tcBorders>
            <w:vAlign w:val="center"/>
          </w:tcPr>
          <w:p w14:paraId="5B84968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0.854</w:t>
            </w:r>
          </w:p>
        </w:tc>
        <w:tc>
          <w:tcPr>
            <w:tcW w:w="1418" w:type="dxa"/>
            <w:tcBorders>
              <w:top w:val="nil"/>
              <w:left w:val="nil"/>
              <w:bottom w:val="nil"/>
              <w:right w:val="nil"/>
            </w:tcBorders>
            <w:vAlign w:val="center"/>
          </w:tcPr>
          <w:p w14:paraId="088ECDC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1.082*</w:t>
            </w:r>
          </w:p>
        </w:tc>
        <w:tc>
          <w:tcPr>
            <w:tcW w:w="1417" w:type="dxa"/>
            <w:tcBorders>
              <w:top w:val="nil"/>
              <w:left w:val="nil"/>
              <w:bottom w:val="nil"/>
              <w:right w:val="nil"/>
            </w:tcBorders>
            <w:vAlign w:val="center"/>
          </w:tcPr>
          <w:p w14:paraId="6977EE0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21.97</w:t>
            </w:r>
          </w:p>
        </w:tc>
        <w:tc>
          <w:tcPr>
            <w:tcW w:w="1418" w:type="dxa"/>
            <w:tcBorders>
              <w:top w:val="nil"/>
              <w:left w:val="nil"/>
              <w:bottom w:val="nil"/>
              <w:right w:val="nil"/>
            </w:tcBorders>
            <w:vAlign w:val="center"/>
          </w:tcPr>
          <w:p w14:paraId="38F373FC"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19.73</w:t>
            </w:r>
          </w:p>
        </w:tc>
      </w:tr>
      <w:tr w:rsidR="0054568F" w:rsidRPr="00F14751" w14:paraId="2EF747EC" w14:textId="77777777" w:rsidTr="008738C3">
        <w:trPr>
          <w:jc w:val="center"/>
        </w:trPr>
        <w:tc>
          <w:tcPr>
            <w:tcW w:w="2300" w:type="dxa"/>
            <w:tcBorders>
              <w:top w:val="nil"/>
              <w:left w:val="nil"/>
              <w:bottom w:val="nil"/>
              <w:right w:val="nil"/>
            </w:tcBorders>
            <w:vAlign w:val="center"/>
          </w:tcPr>
          <w:p w14:paraId="3FDEBB61"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5EC7496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(1.802)</w:t>
            </w:r>
          </w:p>
        </w:tc>
        <w:tc>
          <w:tcPr>
            <w:tcW w:w="1418" w:type="dxa"/>
            <w:tcBorders>
              <w:top w:val="nil"/>
              <w:left w:val="nil"/>
              <w:bottom w:val="nil"/>
              <w:right w:val="nil"/>
            </w:tcBorders>
            <w:vAlign w:val="center"/>
          </w:tcPr>
          <w:p w14:paraId="1E5729F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(1.031)</w:t>
            </w:r>
          </w:p>
        </w:tc>
        <w:tc>
          <w:tcPr>
            <w:tcW w:w="1417" w:type="dxa"/>
            <w:tcBorders>
              <w:top w:val="nil"/>
              <w:left w:val="nil"/>
              <w:bottom w:val="nil"/>
              <w:right w:val="nil"/>
            </w:tcBorders>
            <w:vAlign w:val="center"/>
          </w:tcPr>
          <w:p w14:paraId="10F0C74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(0.814)</w:t>
            </w:r>
          </w:p>
        </w:tc>
        <w:tc>
          <w:tcPr>
            <w:tcW w:w="1418" w:type="dxa"/>
            <w:tcBorders>
              <w:top w:val="nil"/>
              <w:left w:val="nil"/>
              <w:bottom w:val="nil"/>
              <w:right w:val="nil"/>
            </w:tcBorders>
            <w:vAlign w:val="center"/>
          </w:tcPr>
          <w:p w14:paraId="00191E7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(0.588)</w:t>
            </w:r>
          </w:p>
        </w:tc>
        <w:tc>
          <w:tcPr>
            <w:tcW w:w="1417" w:type="dxa"/>
            <w:tcBorders>
              <w:top w:val="nil"/>
              <w:left w:val="nil"/>
              <w:bottom w:val="nil"/>
              <w:right w:val="nil"/>
            </w:tcBorders>
            <w:vAlign w:val="center"/>
          </w:tcPr>
          <w:p w14:paraId="5EB2C63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(39.86)</w:t>
            </w:r>
          </w:p>
        </w:tc>
        <w:tc>
          <w:tcPr>
            <w:tcW w:w="1418" w:type="dxa"/>
            <w:tcBorders>
              <w:top w:val="nil"/>
              <w:left w:val="nil"/>
              <w:bottom w:val="nil"/>
              <w:right w:val="nil"/>
            </w:tcBorders>
            <w:vAlign w:val="center"/>
          </w:tcPr>
          <w:p w14:paraId="0B6B506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(16.41)</w:t>
            </w:r>
          </w:p>
        </w:tc>
      </w:tr>
      <w:tr w:rsidR="0054568F" w:rsidRPr="00F14751" w14:paraId="61040865" w14:textId="77777777" w:rsidTr="008738C3">
        <w:trPr>
          <w:jc w:val="center"/>
        </w:trPr>
        <w:tc>
          <w:tcPr>
            <w:tcW w:w="2300" w:type="dxa"/>
            <w:tcBorders>
              <w:top w:val="nil"/>
              <w:left w:val="nil"/>
              <w:bottom w:val="nil"/>
              <w:right w:val="nil"/>
            </w:tcBorders>
            <w:vAlign w:val="center"/>
          </w:tcPr>
          <w:p w14:paraId="5F8EE26D"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Gini</w:t>
            </w:r>
          </w:p>
        </w:tc>
        <w:tc>
          <w:tcPr>
            <w:tcW w:w="1164" w:type="dxa"/>
            <w:tcBorders>
              <w:top w:val="nil"/>
              <w:left w:val="nil"/>
              <w:bottom w:val="nil"/>
              <w:right w:val="nil"/>
            </w:tcBorders>
            <w:vAlign w:val="center"/>
          </w:tcPr>
          <w:p w14:paraId="07916A8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0.855***</w:t>
            </w:r>
          </w:p>
        </w:tc>
        <w:tc>
          <w:tcPr>
            <w:tcW w:w="1418" w:type="dxa"/>
            <w:tcBorders>
              <w:top w:val="nil"/>
              <w:left w:val="nil"/>
              <w:bottom w:val="nil"/>
              <w:right w:val="nil"/>
            </w:tcBorders>
            <w:vAlign w:val="center"/>
          </w:tcPr>
          <w:p w14:paraId="70B1A63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0.733***</w:t>
            </w:r>
          </w:p>
        </w:tc>
        <w:tc>
          <w:tcPr>
            <w:tcW w:w="1417" w:type="dxa"/>
            <w:tcBorders>
              <w:top w:val="nil"/>
              <w:left w:val="nil"/>
              <w:bottom w:val="nil"/>
              <w:right w:val="nil"/>
            </w:tcBorders>
            <w:vAlign w:val="center"/>
          </w:tcPr>
          <w:p w14:paraId="6A41B97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0.562***</w:t>
            </w:r>
          </w:p>
        </w:tc>
        <w:tc>
          <w:tcPr>
            <w:tcW w:w="1418" w:type="dxa"/>
            <w:tcBorders>
              <w:top w:val="nil"/>
              <w:left w:val="nil"/>
              <w:bottom w:val="nil"/>
              <w:right w:val="nil"/>
            </w:tcBorders>
            <w:vAlign w:val="center"/>
          </w:tcPr>
          <w:p w14:paraId="7675A47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0.416***</w:t>
            </w:r>
          </w:p>
        </w:tc>
        <w:tc>
          <w:tcPr>
            <w:tcW w:w="1417" w:type="dxa"/>
            <w:tcBorders>
              <w:top w:val="nil"/>
              <w:left w:val="nil"/>
              <w:bottom w:val="nil"/>
              <w:right w:val="nil"/>
            </w:tcBorders>
            <w:vAlign w:val="center"/>
          </w:tcPr>
          <w:p w14:paraId="1A340C1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21.82***</w:t>
            </w:r>
          </w:p>
        </w:tc>
        <w:tc>
          <w:tcPr>
            <w:tcW w:w="1418" w:type="dxa"/>
            <w:tcBorders>
              <w:top w:val="nil"/>
              <w:left w:val="nil"/>
              <w:bottom w:val="nil"/>
              <w:right w:val="nil"/>
            </w:tcBorders>
            <w:vAlign w:val="center"/>
          </w:tcPr>
          <w:p w14:paraId="59C1206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9.751***</w:t>
            </w:r>
          </w:p>
        </w:tc>
      </w:tr>
      <w:tr w:rsidR="0054568F" w:rsidRPr="00F14751" w14:paraId="13E14FA7" w14:textId="77777777" w:rsidTr="008738C3">
        <w:trPr>
          <w:jc w:val="center"/>
        </w:trPr>
        <w:tc>
          <w:tcPr>
            <w:tcW w:w="2300" w:type="dxa"/>
            <w:tcBorders>
              <w:top w:val="nil"/>
              <w:left w:val="nil"/>
              <w:bottom w:val="nil"/>
              <w:right w:val="nil"/>
            </w:tcBorders>
            <w:vAlign w:val="center"/>
          </w:tcPr>
          <w:p w14:paraId="72C2FEC1"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3DB419D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(0.105)</w:t>
            </w:r>
          </w:p>
        </w:tc>
        <w:tc>
          <w:tcPr>
            <w:tcW w:w="1418" w:type="dxa"/>
            <w:tcBorders>
              <w:top w:val="nil"/>
              <w:left w:val="nil"/>
              <w:bottom w:val="nil"/>
              <w:right w:val="nil"/>
            </w:tcBorders>
            <w:vAlign w:val="center"/>
          </w:tcPr>
          <w:p w14:paraId="414F296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(0.0960)</w:t>
            </w:r>
          </w:p>
        </w:tc>
        <w:tc>
          <w:tcPr>
            <w:tcW w:w="1417" w:type="dxa"/>
            <w:tcBorders>
              <w:top w:val="nil"/>
              <w:left w:val="nil"/>
              <w:bottom w:val="nil"/>
              <w:right w:val="nil"/>
            </w:tcBorders>
            <w:vAlign w:val="center"/>
          </w:tcPr>
          <w:p w14:paraId="14F3993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(0.0893)</w:t>
            </w:r>
          </w:p>
        </w:tc>
        <w:tc>
          <w:tcPr>
            <w:tcW w:w="1418" w:type="dxa"/>
            <w:tcBorders>
              <w:top w:val="nil"/>
              <w:left w:val="nil"/>
              <w:bottom w:val="nil"/>
              <w:right w:val="nil"/>
            </w:tcBorders>
            <w:vAlign w:val="center"/>
          </w:tcPr>
          <w:p w14:paraId="604A0CE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(0.0888)</w:t>
            </w:r>
          </w:p>
        </w:tc>
        <w:tc>
          <w:tcPr>
            <w:tcW w:w="1417" w:type="dxa"/>
            <w:tcBorders>
              <w:top w:val="nil"/>
              <w:left w:val="nil"/>
              <w:bottom w:val="nil"/>
              <w:right w:val="nil"/>
            </w:tcBorders>
            <w:vAlign w:val="center"/>
          </w:tcPr>
          <w:p w14:paraId="13DCE02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(4.814)</w:t>
            </w:r>
          </w:p>
        </w:tc>
        <w:tc>
          <w:tcPr>
            <w:tcW w:w="1418" w:type="dxa"/>
            <w:tcBorders>
              <w:top w:val="nil"/>
              <w:left w:val="nil"/>
              <w:bottom w:val="nil"/>
              <w:right w:val="nil"/>
            </w:tcBorders>
            <w:vAlign w:val="center"/>
          </w:tcPr>
          <w:p w14:paraId="1B908F9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(2.976)</w:t>
            </w:r>
          </w:p>
        </w:tc>
      </w:tr>
      <w:tr w:rsidR="0054568F" w:rsidRPr="00F14751" w14:paraId="22F08DE8" w14:textId="77777777" w:rsidTr="008738C3">
        <w:trPr>
          <w:jc w:val="center"/>
        </w:trPr>
        <w:tc>
          <w:tcPr>
            <w:tcW w:w="2300" w:type="dxa"/>
            <w:tcBorders>
              <w:top w:val="nil"/>
              <w:left w:val="nil"/>
              <w:bottom w:val="nil"/>
              <w:right w:val="nil"/>
            </w:tcBorders>
            <w:vAlign w:val="center"/>
          </w:tcPr>
          <w:p w14:paraId="45B96B32"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Constant</w:t>
            </w:r>
          </w:p>
        </w:tc>
        <w:tc>
          <w:tcPr>
            <w:tcW w:w="1164" w:type="dxa"/>
            <w:tcBorders>
              <w:top w:val="nil"/>
              <w:left w:val="nil"/>
              <w:bottom w:val="nil"/>
              <w:right w:val="nil"/>
            </w:tcBorders>
            <w:vAlign w:val="center"/>
          </w:tcPr>
          <w:p w14:paraId="7552397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-33.37</w:t>
            </w:r>
          </w:p>
        </w:tc>
        <w:tc>
          <w:tcPr>
            <w:tcW w:w="1418" w:type="dxa"/>
            <w:tcBorders>
              <w:top w:val="nil"/>
              <w:left w:val="nil"/>
              <w:bottom w:val="nil"/>
              <w:right w:val="nil"/>
            </w:tcBorders>
            <w:vAlign w:val="center"/>
          </w:tcPr>
          <w:p w14:paraId="6E73CEC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-23.87</w:t>
            </w:r>
          </w:p>
        </w:tc>
        <w:tc>
          <w:tcPr>
            <w:tcW w:w="1417" w:type="dxa"/>
            <w:tcBorders>
              <w:top w:val="nil"/>
              <w:left w:val="nil"/>
              <w:bottom w:val="nil"/>
              <w:right w:val="nil"/>
            </w:tcBorders>
            <w:vAlign w:val="center"/>
          </w:tcPr>
          <w:p w14:paraId="6BD0202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-17.38</w:t>
            </w:r>
          </w:p>
        </w:tc>
        <w:tc>
          <w:tcPr>
            <w:tcW w:w="1418" w:type="dxa"/>
            <w:tcBorders>
              <w:top w:val="nil"/>
              <w:left w:val="nil"/>
              <w:bottom w:val="nil"/>
              <w:right w:val="nil"/>
            </w:tcBorders>
            <w:vAlign w:val="center"/>
          </w:tcPr>
          <w:p w14:paraId="2A6D4D4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-8.672</w:t>
            </w:r>
          </w:p>
        </w:tc>
        <w:tc>
          <w:tcPr>
            <w:tcW w:w="1417" w:type="dxa"/>
            <w:tcBorders>
              <w:top w:val="nil"/>
              <w:left w:val="nil"/>
              <w:bottom w:val="nil"/>
              <w:right w:val="nil"/>
            </w:tcBorders>
            <w:vAlign w:val="center"/>
          </w:tcPr>
          <w:p w14:paraId="3E39AA8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-1,414*</w:t>
            </w:r>
          </w:p>
        </w:tc>
        <w:tc>
          <w:tcPr>
            <w:tcW w:w="1418" w:type="dxa"/>
            <w:tcBorders>
              <w:top w:val="nil"/>
              <w:left w:val="nil"/>
              <w:bottom w:val="nil"/>
              <w:right w:val="nil"/>
            </w:tcBorders>
            <w:vAlign w:val="center"/>
          </w:tcPr>
          <w:p w14:paraId="454FD6C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-641.3*</w:t>
            </w:r>
          </w:p>
        </w:tc>
      </w:tr>
      <w:tr w:rsidR="0054568F" w:rsidRPr="00F14751" w14:paraId="772B5C15" w14:textId="77777777" w:rsidTr="008738C3">
        <w:trPr>
          <w:jc w:val="center"/>
        </w:trPr>
        <w:tc>
          <w:tcPr>
            <w:tcW w:w="2300" w:type="dxa"/>
            <w:tcBorders>
              <w:top w:val="nil"/>
              <w:left w:val="nil"/>
              <w:bottom w:val="nil"/>
              <w:right w:val="nil"/>
            </w:tcBorders>
            <w:vAlign w:val="center"/>
          </w:tcPr>
          <w:p w14:paraId="0180B46F"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4196ADD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(18.73)</w:t>
            </w:r>
          </w:p>
        </w:tc>
        <w:tc>
          <w:tcPr>
            <w:tcW w:w="1418" w:type="dxa"/>
            <w:tcBorders>
              <w:top w:val="nil"/>
              <w:left w:val="nil"/>
              <w:bottom w:val="nil"/>
              <w:right w:val="nil"/>
            </w:tcBorders>
            <w:vAlign w:val="center"/>
          </w:tcPr>
          <w:p w14:paraId="4C96D3D6"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(15.59)</w:t>
            </w:r>
          </w:p>
        </w:tc>
        <w:tc>
          <w:tcPr>
            <w:tcW w:w="1417" w:type="dxa"/>
            <w:tcBorders>
              <w:top w:val="nil"/>
              <w:left w:val="nil"/>
              <w:bottom w:val="nil"/>
              <w:right w:val="nil"/>
            </w:tcBorders>
            <w:vAlign w:val="center"/>
          </w:tcPr>
          <w:p w14:paraId="5149A4C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(12.33)</w:t>
            </w:r>
          </w:p>
        </w:tc>
        <w:tc>
          <w:tcPr>
            <w:tcW w:w="1418" w:type="dxa"/>
            <w:tcBorders>
              <w:top w:val="nil"/>
              <w:left w:val="nil"/>
              <w:bottom w:val="nil"/>
              <w:right w:val="nil"/>
            </w:tcBorders>
            <w:vAlign w:val="center"/>
          </w:tcPr>
          <w:p w14:paraId="1143B06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(10.09)</w:t>
            </w:r>
          </w:p>
        </w:tc>
        <w:tc>
          <w:tcPr>
            <w:tcW w:w="1417" w:type="dxa"/>
            <w:tcBorders>
              <w:top w:val="nil"/>
              <w:left w:val="nil"/>
              <w:bottom w:val="nil"/>
              <w:right w:val="nil"/>
            </w:tcBorders>
            <w:vAlign w:val="center"/>
          </w:tcPr>
          <w:p w14:paraId="6CD2284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(714.5)</w:t>
            </w:r>
          </w:p>
        </w:tc>
        <w:tc>
          <w:tcPr>
            <w:tcW w:w="1418" w:type="dxa"/>
            <w:tcBorders>
              <w:top w:val="nil"/>
              <w:left w:val="nil"/>
              <w:bottom w:val="nil"/>
              <w:right w:val="nil"/>
            </w:tcBorders>
            <w:vAlign w:val="center"/>
          </w:tcPr>
          <w:p w14:paraId="5560A1C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(316.1)</w:t>
            </w:r>
          </w:p>
        </w:tc>
      </w:tr>
      <w:tr w:rsidR="0054568F" w:rsidRPr="00F14751" w14:paraId="62A239A3" w14:textId="77777777" w:rsidTr="008738C3">
        <w:trPr>
          <w:jc w:val="center"/>
        </w:trPr>
        <w:tc>
          <w:tcPr>
            <w:tcW w:w="2300" w:type="dxa"/>
            <w:tcBorders>
              <w:top w:val="nil"/>
              <w:left w:val="nil"/>
              <w:bottom w:val="nil"/>
              <w:right w:val="nil"/>
            </w:tcBorders>
            <w:vAlign w:val="center"/>
          </w:tcPr>
          <w:p w14:paraId="55787715"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p>
        </w:tc>
        <w:tc>
          <w:tcPr>
            <w:tcW w:w="1164" w:type="dxa"/>
            <w:tcBorders>
              <w:top w:val="nil"/>
              <w:left w:val="nil"/>
              <w:bottom w:val="nil"/>
              <w:right w:val="nil"/>
            </w:tcBorders>
            <w:vAlign w:val="center"/>
          </w:tcPr>
          <w:p w14:paraId="097D386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center"/>
          </w:tcPr>
          <w:p w14:paraId="23E862E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center"/>
          </w:tcPr>
          <w:p w14:paraId="2526782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center"/>
          </w:tcPr>
          <w:p w14:paraId="4FDC5A44"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center"/>
          </w:tcPr>
          <w:p w14:paraId="537FC45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center"/>
          </w:tcPr>
          <w:p w14:paraId="679BE4B7"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p>
        </w:tc>
      </w:tr>
      <w:tr w:rsidR="0054568F" w:rsidRPr="00F14751" w14:paraId="1863B9A4" w14:textId="77777777" w:rsidTr="008738C3">
        <w:trPr>
          <w:jc w:val="center"/>
        </w:trPr>
        <w:tc>
          <w:tcPr>
            <w:tcW w:w="2300" w:type="dxa"/>
            <w:tcBorders>
              <w:top w:val="nil"/>
              <w:left w:val="nil"/>
              <w:bottom w:val="nil"/>
              <w:right w:val="nil"/>
            </w:tcBorders>
            <w:vAlign w:val="center"/>
          </w:tcPr>
          <w:p w14:paraId="048A1768"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Observations</w:t>
            </w:r>
          </w:p>
        </w:tc>
        <w:tc>
          <w:tcPr>
            <w:tcW w:w="1164" w:type="dxa"/>
            <w:tcBorders>
              <w:top w:val="nil"/>
              <w:left w:val="nil"/>
              <w:bottom w:val="nil"/>
              <w:right w:val="nil"/>
            </w:tcBorders>
            <w:vAlign w:val="center"/>
          </w:tcPr>
          <w:p w14:paraId="40B0A78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w:t>
            </w:r>
          </w:p>
        </w:tc>
        <w:tc>
          <w:tcPr>
            <w:tcW w:w="1418" w:type="dxa"/>
            <w:tcBorders>
              <w:top w:val="nil"/>
              <w:left w:val="nil"/>
              <w:bottom w:val="nil"/>
              <w:right w:val="nil"/>
            </w:tcBorders>
            <w:vAlign w:val="center"/>
          </w:tcPr>
          <w:p w14:paraId="5418C3F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w:t>
            </w:r>
          </w:p>
        </w:tc>
        <w:tc>
          <w:tcPr>
            <w:tcW w:w="1417" w:type="dxa"/>
            <w:tcBorders>
              <w:top w:val="nil"/>
              <w:left w:val="nil"/>
              <w:bottom w:val="nil"/>
              <w:right w:val="nil"/>
            </w:tcBorders>
            <w:vAlign w:val="center"/>
          </w:tcPr>
          <w:p w14:paraId="552271E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w:t>
            </w:r>
          </w:p>
        </w:tc>
        <w:tc>
          <w:tcPr>
            <w:tcW w:w="1418" w:type="dxa"/>
            <w:tcBorders>
              <w:top w:val="nil"/>
              <w:left w:val="nil"/>
              <w:bottom w:val="nil"/>
              <w:right w:val="nil"/>
            </w:tcBorders>
            <w:vAlign w:val="center"/>
          </w:tcPr>
          <w:p w14:paraId="2577C9D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w:t>
            </w:r>
          </w:p>
        </w:tc>
        <w:tc>
          <w:tcPr>
            <w:tcW w:w="1417" w:type="dxa"/>
            <w:tcBorders>
              <w:top w:val="nil"/>
              <w:left w:val="nil"/>
              <w:bottom w:val="nil"/>
              <w:right w:val="nil"/>
            </w:tcBorders>
            <w:vAlign w:val="center"/>
          </w:tcPr>
          <w:p w14:paraId="7F85FAD0"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w:t>
            </w:r>
          </w:p>
        </w:tc>
        <w:tc>
          <w:tcPr>
            <w:tcW w:w="1418" w:type="dxa"/>
            <w:tcBorders>
              <w:top w:val="nil"/>
              <w:left w:val="nil"/>
              <w:bottom w:val="nil"/>
              <w:right w:val="nil"/>
            </w:tcBorders>
            <w:vAlign w:val="center"/>
          </w:tcPr>
          <w:p w14:paraId="51F3FDF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192</w:t>
            </w:r>
          </w:p>
        </w:tc>
      </w:tr>
      <w:tr w:rsidR="0054568F" w:rsidRPr="00F14751" w14:paraId="0BA9AE5A" w14:textId="77777777" w:rsidTr="008738C3">
        <w:trPr>
          <w:jc w:val="center"/>
        </w:trPr>
        <w:tc>
          <w:tcPr>
            <w:tcW w:w="2300" w:type="dxa"/>
            <w:tcBorders>
              <w:top w:val="nil"/>
              <w:left w:val="nil"/>
              <w:bottom w:val="nil"/>
              <w:right w:val="nil"/>
            </w:tcBorders>
            <w:vAlign w:val="center"/>
          </w:tcPr>
          <w:p w14:paraId="44D57D2E"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R-squared</w:t>
            </w:r>
          </w:p>
        </w:tc>
        <w:tc>
          <w:tcPr>
            <w:tcW w:w="1164" w:type="dxa"/>
            <w:tcBorders>
              <w:top w:val="nil"/>
              <w:left w:val="nil"/>
              <w:bottom w:val="nil"/>
              <w:right w:val="nil"/>
            </w:tcBorders>
            <w:vAlign w:val="center"/>
          </w:tcPr>
          <w:p w14:paraId="4D3014D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0.771</w:t>
            </w:r>
          </w:p>
        </w:tc>
        <w:tc>
          <w:tcPr>
            <w:tcW w:w="1418" w:type="dxa"/>
            <w:tcBorders>
              <w:top w:val="nil"/>
              <w:left w:val="nil"/>
              <w:bottom w:val="nil"/>
              <w:right w:val="nil"/>
            </w:tcBorders>
            <w:vAlign w:val="center"/>
          </w:tcPr>
          <w:p w14:paraId="489B7E3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0.751</w:t>
            </w:r>
          </w:p>
        </w:tc>
        <w:tc>
          <w:tcPr>
            <w:tcW w:w="1417" w:type="dxa"/>
            <w:tcBorders>
              <w:top w:val="nil"/>
              <w:left w:val="nil"/>
              <w:bottom w:val="nil"/>
              <w:right w:val="nil"/>
            </w:tcBorders>
            <w:vAlign w:val="center"/>
          </w:tcPr>
          <w:p w14:paraId="10464AEB"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0.744</w:t>
            </w:r>
          </w:p>
        </w:tc>
        <w:tc>
          <w:tcPr>
            <w:tcW w:w="1418" w:type="dxa"/>
            <w:tcBorders>
              <w:top w:val="nil"/>
              <w:left w:val="nil"/>
              <w:bottom w:val="nil"/>
              <w:right w:val="nil"/>
            </w:tcBorders>
            <w:vAlign w:val="center"/>
          </w:tcPr>
          <w:p w14:paraId="73B4D6A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0.677</w:t>
            </w:r>
          </w:p>
        </w:tc>
        <w:tc>
          <w:tcPr>
            <w:tcW w:w="1417" w:type="dxa"/>
            <w:tcBorders>
              <w:top w:val="nil"/>
              <w:left w:val="nil"/>
              <w:bottom w:val="nil"/>
              <w:right w:val="nil"/>
            </w:tcBorders>
            <w:vAlign w:val="center"/>
          </w:tcPr>
          <w:p w14:paraId="7B9C018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0.660</w:t>
            </w:r>
          </w:p>
        </w:tc>
        <w:tc>
          <w:tcPr>
            <w:tcW w:w="1418" w:type="dxa"/>
            <w:tcBorders>
              <w:top w:val="nil"/>
              <w:left w:val="nil"/>
              <w:bottom w:val="nil"/>
              <w:right w:val="nil"/>
            </w:tcBorders>
            <w:vAlign w:val="center"/>
          </w:tcPr>
          <w:p w14:paraId="2AF4C80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0.598</w:t>
            </w:r>
          </w:p>
        </w:tc>
      </w:tr>
      <w:tr w:rsidR="0054568F" w:rsidRPr="00F14751" w14:paraId="7D81E86B" w14:textId="77777777" w:rsidTr="008738C3">
        <w:trPr>
          <w:jc w:val="center"/>
        </w:trPr>
        <w:tc>
          <w:tcPr>
            <w:tcW w:w="2300" w:type="dxa"/>
            <w:tcBorders>
              <w:top w:val="nil"/>
              <w:left w:val="nil"/>
              <w:bottom w:val="nil"/>
              <w:right w:val="nil"/>
            </w:tcBorders>
            <w:vAlign w:val="center"/>
          </w:tcPr>
          <w:p w14:paraId="079259F6" w14:textId="77777777" w:rsidR="0054568F" w:rsidRPr="00F14751" w:rsidRDefault="00826E50"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Number of C</w:t>
            </w:r>
            <w:r w:rsidR="0054568F" w:rsidRPr="00F14751">
              <w:rPr>
                <w:rFonts w:ascii="Times New Roman" w:hAnsi="Times New Roman" w:cs="Times New Roman"/>
                <w:sz w:val="24"/>
                <w:szCs w:val="24"/>
              </w:rPr>
              <w:t>ountries</w:t>
            </w:r>
          </w:p>
        </w:tc>
        <w:tc>
          <w:tcPr>
            <w:tcW w:w="1164" w:type="dxa"/>
            <w:tcBorders>
              <w:top w:val="nil"/>
              <w:left w:val="nil"/>
              <w:bottom w:val="nil"/>
              <w:right w:val="nil"/>
            </w:tcBorders>
            <w:vAlign w:val="center"/>
          </w:tcPr>
          <w:p w14:paraId="1491ECB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418" w:type="dxa"/>
            <w:tcBorders>
              <w:top w:val="nil"/>
              <w:left w:val="nil"/>
              <w:bottom w:val="nil"/>
              <w:right w:val="nil"/>
            </w:tcBorders>
            <w:vAlign w:val="center"/>
          </w:tcPr>
          <w:p w14:paraId="3D33D53E"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417" w:type="dxa"/>
            <w:tcBorders>
              <w:top w:val="nil"/>
              <w:left w:val="nil"/>
              <w:bottom w:val="nil"/>
              <w:right w:val="nil"/>
            </w:tcBorders>
            <w:vAlign w:val="center"/>
          </w:tcPr>
          <w:p w14:paraId="0888896A"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418" w:type="dxa"/>
            <w:tcBorders>
              <w:top w:val="nil"/>
              <w:left w:val="nil"/>
              <w:bottom w:val="nil"/>
              <w:right w:val="nil"/>
            </w:tcBorders>
            <w:vAlign w:val="center"/>
          </w:tcPr>
          <w:p w14:paraId="790C4B78"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417" w:type="dxa"/>
            <w:tcBorders>
              <w:top w:val="nil"/>
              <w:left w:val="nil"/>
              <w:bottom w:val="nil"/>
              <w:right w:val="nil"/>
            </w:tcBorders>
            <w:vAlign w:val="center"/>
          </w:tcPr>
          <w:p w14:paraId="67B841FD"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c>
          <w:tcPr>
            <w:tcW w:w="1418" w:type="dxa"/>
            <w:tcBorders>
              <w:top w:val="nil"/>
              <w:left w:val="nil"/>
              <w:bottom w:val="nil"/>
              <w:right w:val="nil"/>
            </w:tcBorders>
            <w:vAlign w:val="center"/>
          </w:tcPr>
          <w:p w14:paraId="22C8697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w:t>
            </w:r>
          </w:p>
        </w:tc>
      </w:tr>
      <w:tr w:rsidR="0054568F" w:rsidRPr="00F14751" w14:paraId="0D01A687" w14:textId="77777777" w:rsidTr="008738C3">
        <w:tblPrEx>
          <w:tblBorders>
            <w:bottom w:val="single" w:sz="6" w:space="0" w:color="auto"/>
          </w:tblBorders>
        </w:tblPrEx>
        <w:trPr>
          <w:jc w:val="center"/>
        </w:trPr>
        <w:tc>
          <w:tcPr>
            <w:tcW w:w="2300" w:type="dxa"/>
            <w:tcBorders>
              <w:top w:val="nil"/>
              <w:left w:val="nil"/>
              <w:bottom w:val="single" w:sz="6" w:space="0" w:color="auto"/>
              <w:right w:val="nil"/>
            </w:tcBorders>
            <w:vAlign w:val="center"/>
          </w:tcPr>
          <w:p w14:paraId="7BBE3EF0" w14:textId="77777777" w:rsidR="0054568F" w:rsidRPr="00F14751" w:rsidRDefault="0054568F"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Robust SE</w:t>
            </w:r>
          </w:p>
        </w:tc>
        <w:tc>
          <w:tcPr>
            <w:tcW w:w="1164" w:type="dxa"/>
            <w:tcBorders>
              <w:top w:val="nil"/>
              <w:left w:val="nil"/>
              <w:bottom w:val="single" w:sz="6" w:space="0" w:color="auto"/>
              <w:right w:val="nil"/>
            </w:tcBorders>
            <w:vAlign w:val="center"/>
          </w:tcPr>
          <w:p w14:paraId="4C8176F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18" w:type="dxa"/>
            <w:tcBorders>
              <w:top w:val="nil"/>
              <w:left w:val="nil"/>
              <w:bottom w:val="single" w:sz="6" w:space="0" w:color="auto"/>
              <w:right w:val="nil"/>
            </w:tcBorders>
            <w:vAlign w:val="center"/>
          </w:tcPr>
          <w:p w14:paraId="1DBD0233"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17" w:type="dxa"/>
            <w:tcBorders>
              <w:top w:val="nil"/>
              <w:left w:val="nil"/>
              <w:bottom w:val="single" w:sz="6" w:space="0" w:color="auto"/>
              <w:right w:val="nil"/>
            </w:tcBorders>
            <w:vAlign w:val="center"/>
          </w:tcPr>
          <w:p w14:paraId="770A21A9"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18" w:type="dxa"/>
            <w:tcBorders>
              <w:top w:val="nil"/>
              <w:left w:val="nil"/>
              <w:bottom w:val="single" w:sz="6" w:space="0" w:color="auto"/>
              <w:right w:val="nil"/>
            </w:tcBorders>
            <w:vAlign w:val="center"/>
          </w:tcPr>
          <w:p w14:paraId="5ABA4701"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17" w:type="dxa"/>
            <w:tcBorders>
              <w:top w:val="nil"/>
              <w:left w:val="nil"/>
              <w:bottom w:val="single" w:sz="6" w:space="0" w:color="auto"/>
              <w:right w:val="nil"/>
            </w:tcBorders>
            <w:vAlign w:val="center"/>
          </w:tcPr>
          <w:p w14:paraId="3742DFE2"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18" w:type="dxa"/>
            <w:tcBorders>
              <w:top w:val="nil"/>
              <w:left w:val="nil"/>
              <w:bottom w:val="single" w:sz="6" w:space="0" w:color="auto"/>
              <w:right w:val="nil"/>
            </w:tcBorders>
            <w:vAlign w:val="center"/>
          </w:tcPr>
          <w:p w14:paraId="1B93B7DF"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r>
    </w:tbl>
    <w:p w14:paraId="135E4B95" w14:textId="77777777" w:rsidR="0054568F" w:rsidRPr="00F14751" w:rsidRDefault="0054568F"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Robust standard errors in parentheses</w:t>
      </w:r>
    </w:p>
    <w:p w14:paraId="238651FF" w14:textId="77777777" w:rsidR="00916A89" w:rsidRPr="00F14751" w:rsidRDefault="0054568F" w:rsidP="008738C3">
      <w:pPr>
        <w:jc w:val="center"/>
        <w:rPr>
          <w:sz w:val="24"/>
          <w:szCs w:val="24"/>
        </w:rPr>
      </w:pPr>
      <w:r w:rsidRPr="00F14751">
        <w:rPr>
          <w:rFonts w:ascii="Times New Roman" w:hAnsi="Times New Roman" w:cs="Times New Roman"/>
          <w:sz w:val="24"/>
          <w:szCs w:val="24"/>
        </w:rPr>
        <w:t>*** p&lt;0.01, ** p&lt;0.05, * p&lt;0.1</w:t>
      </w:r>
    </w:p>
    <w:p w14:paraId="73046652" w14:textId="77777777" w:rsidR="00916A89" w:rsidRPr="00F14751" w:rsidRDefault="00916A89" w:rsidP="00C8508E">
      <w:pPr>
        <w:jc w:val="both"/>
        <w:rPr>
          <w:rFonts w:asciiTheme="majorHAnsi" w:hAnsiTheme="majorHAnsi"/>
          <w:sz w:val="24"/>
          <w:u w:val="single"/>
        </w:rPr>
      </w:pPr>
      <w:r w:rsidRPr="00F14751">
        <w:rPr>
          <w:rFonts w:asciiTheme="majorHAnsi" w:hAnsiTheme="majorHAnsi"/>
          <w:sz w:val="24"/>
          <w:u w:val="single"/>
        </w:rPr>
        <w:br w:type="page"/>
      </w:r>
    </w:p>
    <w:p w14:paraId="3903BB85" w14:textId="484105B9" w:rsidR="00027F9C" w:rsidRDefault="00AC71FA" w:rsidP="00027F9C">
      <w:pPr>
        <w:pStyle w:val="NoSpacing"/>
        <w:spacing w:line="360" w:lineRule="auto"/>
        <w:jc w:val="both"/>
        <w:rPr>
          <w:rFonts w:asciiTheme="majorHAnsi" w:hAnsiTheme="majorHAnsi"/>
          <w:sz w:val="24"/>
          <w:szCs w:val="24"/>
        </w:rPr>
      </w:pPr>
      <w:r w:rsidRPr="00F14751">
        <w:rPr>
          <w:rFonts w:asciiTheme="majorHAnsi" w:hAnsiTheme="majorHAnsi"/>
          <w:sz w:val="24"/>
          <w:szCs w:val="24"/>
        </w:rPr>
        <w:t xml:space="preserve">Table 6 presents the results for relationship between structural reforms and </w:t>
      </w:r>
      <w:r>
        <w:rPr>
          <w:rFonts w:asciiTheme="majorHAnsi" w:hAnsiTheme="majorHAnsi"/>
          <w:sz w:val="24"/>
          <w:szCs w:val="24"/>
        </w:rPr>
        <w:t xml:space="preserve">inequality. The first row shows that structural reforms, in general, have no significant effect on inequality, as measured by the Gini coefficient and the deciles and quintiles. Poverty, as measured by the </w:t>
      </w:r>
      <w:proofErr w:type="spellStart"/>
      <w:r>
        <w:rPr>
          <w:rFonts w:asciiTheme="majorHAnsi" w:hAnsiTheme="majorHAnsi"/>
          <w:sz w:val="24"/>
          <w:szCs w:val="24"/>
        </w:rPr>
        <w:t>DoP</w:t>
      </w:r>
      <w:proofErr w:type="spellEnd"/>
      <w:r>
        <w:rPr>
          <w:rFonts w:asciiTheme="majorHAnsi" w:hAnsiTheme="majorHAnsi"/>
          <w:sz w:val="24"/>
          <w:szCs w:val="24"/>
        </w:rPr>
        <w:t xml:space="preserve"> ($2) has a very significant effect on inequality. This suggests that the higher the extent and depth of poverty, the higher the level of inequality. This is in line with the </w:t>
      </w:r>
      <w:r w:rsidRPr="00F14751">
        <w:rPr>
          <w:rFonts w:asciiTheme="majorHAnsi" w:hAnsiTheme="majorHAnsi"/>
          <w:sz w:val="24"/>
          <w:szCs w:val="24"/>
        </w:rPr>
        <w:t xml:space="preserve">positive relationship we found </w:t>
      </w:r>
      <w:r w:rsidR="00E14023">
        <w:rPr>
          <w:rFonts w:asciiTheme="majorHAnsi" w:hAnsiTheme="majorHAnsi"/>
          <w:sz w:val="24"/>
          <w:szCs w:val="24"/>
        </w:rPr>
        <w:t xml:space="preserve">earlier </w:t>
      </w:r>
      <w:r w:rsidRPr="00F14751">
        <w:rPr>
          <w:rFonts w:asciiTheme="majorHAnsi" w:hAnsiTheme="majorHAnsi"/>
          <w:sz w:val="24"/>
          <w:szCs w:val="24"/>
        </w:rPr>
        <w:t>in table 4</w:t>
      </w:r>
      <w:r w:rsidR="00E14023">
        <w:rPr>
          <w:rFonts w:asciiTheme="majorHAnsi" w:hAnsiTheme="majorHAnsi"/>
          <w:sz w:val="24"/>
          <w:szCs w:val="24"/>
        </w:rPr>
        <w:t>. This</w:t>
      </w:r>
      <w:r>
        <w:rPr>
          <w:rFonts w:asciiTheme="majorHAnsi" w:hAnsiTheme="majorHAnsi"/>
          <w:sz w:val="24"/>
          <w:szCs w:val="24"/>
        </w:rPr>
        <w:t xml:space="preserve"> shows there is a positive relationship between poverty and inequality, and vice versa. </w:t>
      </w:r>
      <w:r w:rsidR="003B6D26" w:rsidRPr="00F14751">
        <w:rPr>
          <w:rFonts w:asciiTheme="majorHAnsi" w:hAnsiTheme="majorHAnsi"/>
          <w:sz w:val="24"/>
          <w:szCs w:val="24"/>
        </w:rPr>
        <w:t>An increase in the average level income seems to make the distribution of income more equal</w:t>
      </w:r>
      <w:r w:rsidR="003B6D26">
        <w:rPr>
          <w:rFonts w:asciiTheme="majorHAnsi" w:hAnsiTheme="majorHAnsi"/>
          <w:sz w:val="24"/>
          <w:szCs w:val="24"/>
        </w:rPr>
        <w:t xml:space="preserve">. An increase in the death rate seems to increase the share of income held by D1 and D2. </w:t>
      </w:r>
      <w:r w:rsidR="00E14023">
        <w:rPr>
          <w:rFonts w:asciiTheme="majorHAnsi" w:hAnsiTheme="majorHAnsi"/>
          <w:sz w:val="24"/>
          <w:szCs w:val="24"/>
        </w:rPr>
        <w:t>So, a</w:t>
      </w:r>
      <w:r w:rsidR="00DA72F3">
        <w:rPr>
          <w:rFonts w:asciiTheme="majorHAnsi" w:hAnsiTheme="majorHAnsi"/>
          <w:sz w:val="24"/>
          <w:szCs w:val="24"/>
        </w:rPr>
        <w:t xml:space="preserve">lthough the death rate increases both the extent and depth of </w:t>
      </w:r>
      <w:r w:rsidR="003B6D26" w:rsidRPr="00F14751">
        <w:rPr>
          <w:rFonts w:asciiTheme="majorHAnsi" w:hAnsiTheme="majorHAnsi"/>
          <w:sz w:val="24"/>
          <w:szCs w:val="24"/>
        </w:rPr>
        <w:t>poverty (see table</w:t>
      </w:r>
      <w:r w:rsidR="006F5842">
        <w:rPr>
          <w:rFonts w:asciiTheme="majorHAnsi" w:hAnsiTheme="majorHAnsi"/>
          <w:sz w:val="24"/>
          <w:szCs w:val="24"/>
        </w:rPr>
        <w:t>5</w:t>
      </w:r>
      <w:r w:rsidR="003B6D26" w:rsidRPr="00F14751">
        <w:rPr>
          <w:rFonts w:asciiTheme="majorHAnsi" w:hAnsiTheme="majorHAnsi"/>
          <w:sz w:val="24"/>
          <w:szCs w:val="24"/>
        </w:rPr>
        <w:t xml:space="preserve">), it increases the share of income held by the poorest 10 percent. Apparently, this increase in poverty is not reflected </w:t>
      </w:r>
      <w:r w:rsidR="00DA72F3">
        <w:rPr>
          <w:rFonts w:asciiTheme="majorHAnsi" w:hAnsiTheme="majorHAnsi"/>
          <w:sz w:val="24"/>
          <w:szCs w:val="24"/>
        </w:rPr>
        <w:t>in changes of the share of income held by the poorest 10 percent of the population</w:t>
      </w:r>
      <w:r w:rsidR="003B6D26" w:rsidRPr="00F14751">
        <w:rPr>
          <w:rFonts w:asciiTheme="majorHAnsi" w:hAnsiTheme="majorHAnsi"/>
          <w:sz w:val="24"/>
          <w:szCs w:val="24"/>
        </w:rPr>
        <w:t>.</w:t>
      </w:r>
    </w:p>
    <w:p w14:paraId="3F1D3770" w14:textId="090A3DF4" w:rsidR="001E5A71" w:rsidRDefault="006F5842" w:rsidP="001E5A71">
      <w:pPr>
        <w:pStyle w:val="NoSpacing"/>
        <w:spacing w:line="360" w:lineRule="auto"/>
        <w:jc w:val="both"/>
        <w:rPr>
          <w:rFonts w:asciiTheme="majorHAnsi" w:hAnsiTheme="majorHAnsi"/>
          <w:sz w:val="24"/>
          <w:szCs w:val="24"/>
        </w:rPr>
      </w:pPr>
      <w:r>
        <w:rPr>
          <w:rFonts w:asciiTheme="majorHAnsi" w:hAnsiTheme="majorHAnsi"/>
          <w:sz w:val="24"/>
          <w:szCs w:val="24"/>
        </w:rPr>
        <w:tab/>
      </w:r>
      <w:r w:rsidR="00E14023" w:rsidRPr="00F14751">
        <w:rPr>
          <w:rFonts w:asciiTheme="majorHAnsi" w:hAnsiTheme="majorHAnsi"/>
          <w:sz w:val="24"/>
          <w:szCs w:val="24"/>
        </w:rPr>
        <w:t xml:space="preserve">Table 7 present the results for the relationship between each individual reform area and inequality. </w:t>
      </w:r>
      <w:r w:rsidR="008023E6">
        <w:rPr>
          <w:rFonts w:asciiTheme="majorHAnsi" w:hAnsiTheme="majorHAnsi"/>
          <w:sz w:val="24"/>
          <w:szCs w:val="24"/>
        </w:rPr>
        <w:t xml:space="preserve">The </w:t>
      </w:r>
      <w:r w:rsidR="000C0708">
        <w:rPr>
          <w:rFonts w:asciiTheme="majorHAnsi" w:hAnsiTheme="majorHAnsi"/>
          <w:sz w:val="24"/>
          <w:szCs w:val="24"/>
        </w:rPr>
        <w:t>r</w:t>
      </w:r>
      <w:r w:rsidR="00E14023" w:rsidRPr="00F14751">
        <w:rPr>
          <w:rFonts w:asciiTheme="majorHAnsi" w:hAnsiTheme="majorHAnsi"/>
          <w:sz w:val="24"/>
          <w:szCs w:val="24"/>
        </w:rPr>
        <w:t xml:space="preserve">esults </w:t>
      </w:r>
      <w:r w:rsidR="008023E6">
        <w:rPr>
          <w:rFonts w:asciiTheme="majorHAnsi" w:hAnsiTheme="majorHAnsi"/>
          <w:sz w:val="24"/>
          <w:szCs w:val="24"/>
        </w:rPr>
        <w:t xml:space="preserve">show that </w:t>
      </w:r>
      <w:r w:rsidR="008023E6" w:rsidRPr="00F14751">
        <w:rPr>
          <w:rFonts w:asciiTheme="majorHAnsi" w:hAnsiTheme="majorHAnsi"/>
          <w:sz w:val="24"/>
          <w:szCs w:val="24"/>
        </w:rPr>
        <w:t>reform</w:t>
      </w:r>
      <w:r w:rsidR="00E14023" w:rsidRPr="00F14751">
        <w:rPr>
          <w:rFonts w:asciiTheme="majorHAnsi" w:hAnsiTheme="majorHAnsi"/>
          <w:sz w:val="24"/>
          <w:szCs w:val="24"/>
        </w:rPr>
        <w:t xml:space="preserve"> areas have different</w:t>
      </w:r>
      <w:r w:rsidR="00E14023">
        <w:rPr>
          <w:rFonts w:asciiTheme="majorHAnsi" w:hAnsiTheme="majorHAnsi"/>
          <w:sz w:val="24"/>
          <w:szCs w:val="24"/>
        </w:rPr>
        <w:t xml:space="preserve"> and</w:t>
      </w:r>
      <w:r w:rsidR="00E14023" w:rsidRPr="00F14751">
        <w:rPr>
          <w:rFonts w:asciiTheme="majorHAnsi" w:hAnsiTheme="majorHAnsi"/>
          <w:sz w:val="24"/>
          <w:szCs w:val="24"/>
        </w:rPr>
        <w:t xml:space="preserve"> offsetting effects on inequality</w:t>
      </w:r>
      <w:r w:rsidR="002503CD">
        <w:rPr>
          <w:rFonts w:asciiTheme="majorHAnsi" w:hAnsiTheme="majorHAnsi"/>
          <w:sz w:val="24"/>
          <w:szCs w:val="24"/>
        </w:rPr>
        <w:t xml:space="preserve">. </w:t>
      </w:r>
      <w:r w:rsidR="001C6FE4">
        <w:rPr>
          <w:rFonts w:asciiTheme="majorHAnsi" w:hAnsiTheme="majorHAnsi"/>
          <w:sz w:val="24"/>
          <w:szCs w:val="24"/>
        </w:rPr>
        <w:t xml:space="preserve">Looking at the distributional effects of each reform area, financial and labor reforms both decrease the share of income held by the poor in society, especially the income held by the poorest 10 percent. Therefore, they both have a significant positive effect on inequality, as measured by the Gini coefficient. On the contrary, tax reforms and privatizations increase the share of </w:t>
      </w:r>
      <w:r w:rsidR="00150AB0">
        <w:rPr>
          <w:rFonts w:asciiTheme="majorHAnsi" w:hAnsiTheme="majorHAnsi"/>
          <w:sz w:val="24"/>
          <w:szCs w:val="24"/>
        </w:rPr>
        <w:t>income held by the poor in</w:t>
      </w:r>
      <w:r w:rsidR="001C6FE4">
        <w:rPr>
          <w:rFonts w:asciiTheme="majorHAnsi" w:hAnsiTheme="majorHAnsi"/>
          <w:sz w:val="24"/>
          <w:szCs w:val="24"/>
        </w:rPr>
        <w:t xml:space="preserve"> society</w:t>
      </w:r>
      <w:r w:rsidR="00AC2943">
        <w:rPr>
          <w:rFonts w:asciiTheme="majorHAnsi" w:hAnsiTheme="majorHAnsi"/>
          <w:sz w:val="24"/>
          <w:szCs w:val="24"/>
        </w:rPr>
        <w:t>. Privatizations also seem to</w:t>
      </w:r>
      <w:r w:rsidR="00150AB0">
        <w:rPr>
          <w:rFonts w:asciiTheme="majorHAnsi" w:hAnsiTheme="majorHAnsi"/>
          <w:sz w:val="24"/>
          <w:szCs w:val="24"/>
        </w:rPr>
        <w:t xml:space="preserve"> decrease the share of income held by the rich.</w:t>
      </w:r>
      <w:r w:rsidR="001C6FE4">
        <w:rPr>
          <w:rFonts w:asciiTheme="majorHAnsi" w:hAnsiTheme="majorHAnsi"/>
          <w:sz w:val="24"/>
          <w:szCs w:val="24"/>
        </w:rPr>
        <w:t xml:space="preserve"> </w:t>
      </w:r>
      <w:r w:rsidR="00150AB0">
        <w:rPr>
          <w:rFonts w:asciiTheme="majorHAnsi" w:hAnsiTheme="majorHAnsi"/>
          <w:sz w:val="24"/>
          <w:szCs w:val="24"/>
        </w:rPr>
        <w:t xml:space="preserve">As a result, both </w:t>
      </w:r>
      <w:r w:rsidR="00126A67">
        <w:rPr>
          <w:rFonts w:asciiTheme="majorHAnsi" w:hAnsiTheme="majorHAnsi"/>
          <w:sz w:val="24"/>
          <w:szCs w:val="24"/>
        </w:rPr>
        <w:t xml:space="preserve">reforms </w:t>
      </w:r>
      <w:r w:rsidR="001C6FE4">
        <w:rPr>
          <w:rFonts w:asciiTheme="majorHAnsi" w:hAnsiTheme="majorHAnsi"/>
          <w:sz w:val="24"/>
          <w:szCs w:val="24"/>
        </w:rPr>
        <w:t>decrease inequality. These different and offsetting effects of the different reforms areas explain why structural reforms, in general, have no significant effect on inequality</w:t>
      </w:r>
      <w:r w:rsidR="008B72EB">
        <w:rPr>
          <w:rFonts w:asciiTheme="majorHAnsi" w:hAnsiTheme="majorHAnsi"/>
          <w:sz w:val="24"/>
          <w:szCs w:val="24"/>
        </w:rPr>
        <w:t xml:space="preserve"> at all. </w:t>
      </w:r>
    </w:p>
    <w:p w14:paraId="68F75D61" w14:textId="77777777" w:rsidR="008B72EB" w:rsidRDefault="008B72EB" w:rsidP="001E5A71">
      <w:pPr>
        <w:pStyle w:val="NoSpacing"/>
        <w:spacing w:line="360" w:lineRule="auto"/>
        <w:jc w:val="both"/>
        <w:rPr>
          <w:rFonts w:asciiTheme="majorHAnsi" w:hAnsiTheme="majorHAnsi"/>
          <w:sz w:val="24"/>
          <w:szCs w:val="24"/>
        </w:rPr>
      </w:pPr>
    </w:p>
    <w:p w14:paraId="0F51E5DD" w14:textId="77777777" w:rsidR="001E5A71" w:rsidRDefault="001E5A71">
      <w:pPr>
        <w:rPr>
          <w:rFonts w:asciiTheme="majorHAnsi" w:hAnsiTheme="majorHAnsi"/>
          <w:sz w:val="24"/>
          <w:szCs w:val="24"/>
        </w:rPr>
      </w:pPr>
      <w:r>
        <w:rPr>
          <w:rFonts w:asciiTheme="majorHAnsi" w:hAnsiTheme="majorHAnsi"/>
          <w:sz w:val="24"/>
          <w:szCs w:val="24"/>
        </w:rPr>
        <w:br w:type="page"/>
      </w:r>
    </w:p>
    <w:p w14:paraId="26603133" w14:textId="77777777" w:rsidR="00B138CA" w:rsidRPr="00F14751" w:rsidRDefault="00B138CA" w:rsidP="00C8508E">
      <w:pPr>
        <w:pStyle w:val="NoSpacing"/>
        <w:spacing w:line="360" w:lineRule="auto"/>
        <w:jc w:val="both"/>
        <w:rPr>
          <w:rFonts w:asciiTheme="majorHAnsi" w:hAnsiTheme="majorHAnsi"/>
          <w:sz w:val="24"/>
          <w:szCs w:val="24"/>
        </w:rPr>
        <w:sectPr w:rsidR="00B138CA" w:rsidRPr="00F14751" w:rsidSect="00D14068">
          <w:pgSz w:w="11906" w:h="16838"/>
          <w:pgMar w:top="1417" w:right="1417" w:bottom="1417" w:left="1417" w:header="708" w:footer="708" w:gutter="0"/>
          <w:cols w:space="708"/>
          <w:docGrid w:linePitch="360"/>
        </w:sectPr>
      </w:pPr>
    </w:p>
    <w:p w14:paraId="534C36E9" w14:textId="77777777" w:rsidR="00DE1107" w:rsidRPr="00F14751" w:rsidRDefault="00DE1107"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 xml:space="preserve">Table </w:t>
      </w:r>
      <w:r w:rsidR="0054568F" w:rsidRPr="00F14751">
        <w:rPr>
          <w:rFonts w:asciiTheme="majorHAnsi" w:hAnsiTheme="majorHAnsi"/>
          <w:sz w:val="24"/>
          <w:szCs w:val="24"/>
        </w:rPr>
        <w:t>6</w:t>
      </w:r>
      <w:r w:rsidRPr="00F14751">
        <w:rPr>
          <w:rFonts w:asciiTheme="majorHAnsi" w:hAnsiTheme="majorHAnsi"/>
          <w:sz w:val="24"/>
          <w:szCs w:val="24"/>
        </w:rPr>
        <w:t xml:space="preserve">: Estimation results of the FE model using the whole sample with the measures of inequality as dependent variables. The model includes </w:t>
      </w:r>
      <w:r w:rsidR="0001621E" w:rsidRPr="00F14751">
        <w:rPr>
          <w:rFonts w:asciiTheme="majorHAnsi" w:hAnsiTheme="majorHAnsi"/>
          <w:sz w:val="24"/>
          <w:szCs w:val="24"/>
        </w:rPr>
        <w:t>country and time fixed effects</w:t>
      </w:r>
      <w:r w:rsidR="0012500C" w:rsidRPr="00F14751">
        <w:rPr>
          <w:rFonts w:asciiTheme="majorHAnsi" w:hAnsiTheme="majorHAnsi"/>
          <w:sz w:val="24"/>
          <w:szCs w:val="24"/>
        </w:rPr>
        <w:t>.</w:t>
      </w:r>
    </w:p>
    <w:tbl>
      <w:tblPr>
        <w:tblW w:w="15643" w:type="dxa"/>
        <w:jc w:val="center"/>
        <w:tblLayout w:type="fixed"/>
        <w:tblCellMar>
          <w:left w:w="75" w:type="dxa"/>
          <w:right w:w="75" w:type="dxa"/>
        </w:tblCellMar>
        <w:tblLook w:val="0000" w:firstRow="0" w:lastRow="0" w:firstColumn="0" w:lastColumn="0" w:noHBand="0" w:noVBand="0"/>
      </w:tblPr>
      <w:tblGrid>
        <w:gridCol w:w="1954"/>
        <w:gridCol w:w="1368"/>
        <w:gridCol w:w="1369"/>
        <w:gridCol w:w="1369"/>
        <w:gridCol w:w="1369"/>
        <w:gridCol w:w="1369"/>
        <w:gridCol w:w="1369"/>
        <w:gridCol w:w="1369"/>
        <w:gridCol w:w="1369"/>
        <w:gridCol w:w="1369"/>
        <w:gridCol w:w="1369"/>
      </w:tblGrid>
      <w:tr w:rsidR="002743A7" w:rsidRPr="00F14751" w14:paraId="34980A0A" w14:textId="77777777" w:rsidTr="008738C3">
        <w:trPr>
          <w:jc w:val="center"/>
        </w:trPr>
        <w:tc>
          <w:tcPr>
            <w:tcW w:w="1954" w:type="dxa"/>
            <w:tcBorders>
              <w:top w:val="single" w:sz="6" w:space="0" w:color="auto"/>
              <w:left w:val="nil"/>
              <w:bottom w:val="nil"/>
              <w:right w:val="nil"/>
            </w:tcBorders>
            <w:vAlign w:val="center"/>
          </w:tcPr>
          <w:p w14:paraId="2DE36A21"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single" w:sz="6" w:space="0" w:color="auto"/>
              <w:left w:val="nil"/>
              <w:bottom w:val="nil"/>
              <w:right w:val="nil"/>
            </w:tcBorders>
            <w:vAlign w:val="center"/>
          </w:tcPr>
          <w:p w14:paraId="086B338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w:t>
            </w:r>
          </w:p>
        </w:tc>
        <w:tc>
          <w:tcPr>
            <w:tcW w:w="1369" w:type="dxa"/>
            <w:tcBorders>
              <w:top w:val="single" w:sz="6" w:space="0" w:color="auto"/>
              <w:left w:val="nil"/>
              <w:bottom w:val="nil"/>
              <w:right w:val="nil"/>
            </w:tcBorders>
            <w:vAlign w:val="center"/>
          </w:tcPr>
          <w:p w14:paraId="13A49D1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w:t>
            </w:r>
          </w:p>
        </w:tc>
        <w:tc>
          <w:tcPr>
            <w:tcW w:w="1369" w:type="dxa"/>
            <w:tcBorders>
              <w:top w:val="single" w:sz="6" w:space="0" w:color="auto"/>
              <w:left w:val="nil"/>
              <w:bottom w:val="nil"/>
              <w:right w:val="nil"/>
            </w:tcBorders>
            <w:vAlign w:val="center"/>
          </w:tcPr>
          <w:p w14:paraId="2D2AFCB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(3)</w:t>
            </w:r>
          </w:p>
        </w:tc>
        <w:tc>
          <w:tcPr>
            <w:tcW w:w="1369" w:type="dxa"/>
            <w:tcBorders>
              <w:top w:val="single" w:sz="6" w:space="0" w:color="auto"/>
              <w:left w:val="nil"/>
              <w:bottom w:val="nil"/>
              <w:right w:val="nil"/>
            </w:tcBorders>
            <w:vAlign w:val="center"/>
          </w:tcPr>
          <w:p w14:paraId="652D699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(4)</w:t>
            </w:r>
          </w:p>
        </w:tc>
        <w:tc>
          <w:tcPr>
            <w:tcW w:w="1369" w:type="dxa"/>
            <w:tcBorders>
              <w:top w:val="single" w:sz="6" w:space="0" w:color="auto"/>
              <w:left w:val="nil"/>
              <w:bottom w:val="nil"/>
              <w:right w:val="nil"/>
            </w:tcBorders>
            <w:vAlign w:val="center"/>
          </w:tcPr>
          <w:p w14:paraId="1A37DA4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(5)</w:t>
            </w:r>
          </w:p>
        </w:tc>
        <w:tc>
          <w:tcPr>
            <w:tcW w:w="1369" w:type="dxa"/>
            <w:tcBorders>
              <w:top w:val="single" w:sz="6" w:space="0" w:color="auto"/>
              <w:left w:val="nil"/>
              <w:bottom w:val="nil"/>
              <w:right w:val="nil"/>
            </w:tcBorders>
            <w:vAlign w:val="center"/>
          </w:tcPr>
          <w:p w14:paraId="6BBCF61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(6)</w:t>
            </w:r>
          </w:p>
        </w:tc>
        <w:tc>
          <w:tcPr>
            <w:tcW w:w="1369" w:type="dxa"/>
            <w:tcBorders>
              <w:top w:val="single" w:sz="6" w:space="0" w:color="auto"/>
              <w:left w:val="nil"/>
              <w:bottom w:val="nil"/>
              <w:right w:val="nil"/>
            </w:tcBorders>
            <w:vAlign w:val="center"/>
          </w:tcPr>
          <w:p w14:paraId="4B3A6BB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(7)</w:t>
            </w:r>
          </w:p>
        </w:tc>
        <w:tc>
          <w:tcPr>
            <w:tcW w:w="1369" w:type="dxa"/>
            <w:tcBorders>
              <w:top w:val="single" w:sz="6" w:space="0" w:color="auto"/>
              <w:left w:val="nil"/>
              <w:bottom w:val="nil"/>
              <w:right w:val="nil"/>
            </w:tcBorders>
            <w:vAlign w:val="center"/>
          </w:tcPr>
          <w:p w14:paraId="1B43E3F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(8)</w:t>
            </w:r>
          </w:p>
        </w:tc>
        <w:tc>
          <w:tcPr>
            <w:tcW w:w="1369" w:type="dxa"/>
            <w:tcBorders>
              <w:top w:val="single" w:sz="6" w:space="0" w:color="auto"/>
              <w:left w:val="nil"/>
              <w:bottom w:val="nil"/>
              <w:right w:val="nil"/>
            </w:tcBorders>
            <w:vAlign w:val="center"/>
          </w:tcPr>
          <w:p w14:paraId="168C437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(9)</w:t>
            </w:r>
          </w:p>
        </w:tc>
        <w:tc>
          <w:tcPr>
            <w:tcW w:w="1369" w:type="dxa"/>
            <w:tcBorders>
              <w:top w:val="single" w:sz="6" w:space="0" w:color="auto"/>
              <w:left w:val="nil"/>
              <w:bottom w:val="nil"/>
              <w:right w:val="nil"/>
            </w:tcBorders>
            <w:vAlign w:val="center"/>
          </w:tcPr>
          <w:p w14:paraId="1E04AE1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w:t>
            </w:r>
          </w:p>
        </w:tc>
      </w:tr>
      <w:tr w:rsidR="002743A7" w:rsidRPr="00F14751" w14:paraId="1E2E1B57" w14:textId="77777777" w:rsidTr="008738C3">
        <w:trPr>
          <w:jc w:val="center"/>
        </w:trPr>
        <w:tc>
          <w:tcPr>
            <w:tcW w:w="1954" w:type="dxa"/>
            <w:tcBorders>
              <w:top w:val="nil"/>
              <w:left w:val="nil"/>
              <w:bottom w:val="single" w:sz="6" w:space="0" w:color="auto"/>
              <w:right w:val="nil"/>
            </w:tcBorders>
            <w:vAlign w:val="center"/>
          </w:tcPr>
          <w:p w14:paraId="47C5FF5E"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VARIABLES</w:t>
            </w:r>
          </w:p>
        </w:tc>
        <w:tc>
          <w:tcPr>
            <w:tcW w:w="1368" w:type="dxa"/>
            <w:tcBorders>
              <w:top w:val="nil"/>
              <w:left w:val="nil"/>
              <w:bottom w:val="single" w:sz="6" w:space="0" w:color="auto"/>
              <w:right w:val="nil"/>
            </w:tcBorders>
            <w:vAlign w:val="center"/>
          </w:tcPr>
          <w:p w14:paraId="11E29BE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Gini</w:t>
            </w:r>
          </w:p>
        </w:tc>
        <w:tc>
          <w:tcPr>
            <w:tcW w:w="1369" w:type="dxa"/>
            <w:tcBorders>
              <w:top w:val="nil"/>
              <w:left w:val="nil"/>
              <w:bottom w:val="single" w:sz="6" w:space="0" w:color="auto"/>
              <w:right w:val="nil"/>
            </w:tcBorders>
            <w:vAlign w:val="center"/>
          </w:tcPr>
          <w:p w14:paraId="3D83D63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D1</w:t>
            </w:r>
          </w:p>
        </w:tc>
        <w:tc>
          <w:tcPr>
            <w:tcW w:w="1369" w:type="dxa"/>
            <w:tcBorders>
              <w:top w:val="nil"/>
              <w:left w:val="nil"/>
              <w:bottom w:val="single" w:sz="6" w:space="0" w:color="auto"/>
              <w:right w:val="nil"/>
            </w:tcBorders>
            <w:vAlign w:val="center"/>
          </w:tcPr>
          <w:p w14:paraId="05BCF78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D2</w:t>
            </w:r>
          </w:p>
        </w:tc>
        <w:tc>
          <w:tcPr>
            <w:tcW w:w="1369" w:type="dxa"/>
            <w:tcBorders>
              <w:top w:val="nil"/>
              <w:left w:val="nil"/>
              <w:bottom w:val="single" w:sz="6" w:space="0" w:color="auto"/>
              <w:right w:val="nil"/>
            </w:tcBorders>
            <w:vAlign w:val="center"/>
          </w:tcPr>
          <w:p w14:paraId="3D700AA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Q1</w:t>
            </w:r>
          </w:p>
        </w:tc>
        <w:tc>
          <w:tcPr>
            <w:tcW w:w="1369" w:type="dxa"/>
            <w:tcBorders>
              <w:top w:val="nil"/>
              <w:left w:val="nil"/>
              <w:bottom w:val="single" w:sz="6" w:space="0" w:color="auto"/>
              <w:right w:val="nil"/>
            </w:tcBorders>
            <w:vAlign w:val="center"/>
          </w:tcPr>
          <w:p w14:paraId="0E56372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Q2</w:t>
            </w:r>
          </w:p>
        </w:tc>
        <w:tc>
          <w:tcPr>
            <w:tcW w:w="1369" w:type="dxa"/>
            <w:tcBorders>
              <w:top w:val="nil"/>
              <w:left w:val="nil"/>
              <w:bottom w:val="single" w:sz="6" w:space="0" w:color="auto"/>
              <w:right w:val="nil"/>
            </w:tcBorders>
            <w:vAlign w:val="center"/>
          </w:tcPr>
          <w:p w14:paraId="1C8EEF1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Q3</w:t>
            </w:r>
          </w:p>
        </w:tc>
        <w:tc>
          <w:tcPr>
            <w:tcW w:w="1369" w:type="dxa"/>
            <w:tcBorders>
              <w:top w:val="nil"/>
              <w:left w:val="nil"/>
              <w:bottom w:val="single" w:sz="6" w:space="0" w:color="auto"/>
              <w:right w:val="nil"/>
            </w:tcBorders>
            <w:vAlign w:val="center"/>
          </w:tcPr>
          <w:p w14:paraId="3277455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Q4</w:t>
            </w:r>
          </w:p>
        </w:tc>
        <w:tc>
          <w:tcPr>
            <w:tcW w:w="1369" w:type="dxa"/>
            <w:tcBorders>
              <w:top w:val="nil"/>
              <w:left w:val="nil"/>
              <w:bottom w:val="single" w:sz="6" w:space="0" w:color="auto"/>
              <w:right w:val="nil"/>
            </w:tcBorders>
            <w:vAlign w:val="center"/>
          </w:tcPr>
          <w:p w14:paraId="24ABB10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D9</w:t>
            </w:r>
          </w:p>
        </w:tc>
        <w:tc>
          <w:tcPr>
            <w:tcW w:w="1369" w:type="dxa"/>
            <w:tcBorders>
              <w:top w:val="nil"/>
              <w:left w:val="nil"/>
              <w:bottom w:val="single" w:sz="6" w:space="0" w:color="auto"/>
              <w:right w:val="nil"/>
            </w:tcBorders>
            <w:vAlign w:val="center"/>
          </w:tcPr>
          <w:p w14:paraId="69B27F7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D10</w:t>
            </w:r>
          </w:p>
        </w:tc>
        <w:tc>
          <w:tcPr>
            <w:tcW w:w="1369" w:type="dxa"/>
            <w:tcBorders>
              <w:top w:val="nil"/>
              <w:left w:val="nil"/>
              <w:bottom w:val="single" w:sz="6" w:space="0" w:color="auto"/>
              <w:right w:val="nil"/>
            </w:tcBorders>
            <w:vAlign w:val="center"/>
          </w:tcPr>
          <w:p w14:paraId="7FD15E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Q5</w:t>
            </w:r>
          </w:p>
        </w:tc>
      </w:tr>
      <w:tr w:rsidR="002743A7" w:rsidRPr="00F14751" w14:paraId="123CFA00" w14:textId="77777777" w:rsidTr="008738C3">
        <w:trPr>
          <w:jc w:val="center"/>
        </w:trPr>
        <w:tc>
          <w:tcPr>
            <w:tcW w:w="1954" w:type="dxa"/>
            <w:tcBorders>
              <w:top w:val="nil"/>
              <w:left w:val="nil"/>
              <w:bottom w:val="nil"/>
              <w:right w:val="nil"/>
            </w:tcBorders>
            <w:vAlign w:val="center"/>
          </w:tcPr>
          <w:p w14:paraId="69DB95AB"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2809C2C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1980FC5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045E79F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3779CE1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56E3847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715DDA1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38839C4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2C0F7B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690B6F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bottom w:val="nil"/>
              <w:right w:val="nil"/>
            </w:tcBorders>
            <w:vAlign w:val="center"/>
          </w:tcPr>
          <w:p w14:paraId="76CC2F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r>
      <w:tr w:rsidR="002743A7" w:rsidRPr="00F14751" w14:paraId="26C05BCB" w14:textId="77777777" w:rsidTr="008738C3">
        <w:trPr>
          <w:jc w:val="center"/>
        </w:trPr>
        <w:tc>
          <w:tcPr>
            <w:tcW w:w="1954" w:type="dxa"/>
            <w:tcBorders>
              <w:top w:val="nil"/>
              <w:left w:val="nil"/>
              <w:bottom w:val="nil"/>
              <w:right w:val="nil"/>
            </w:tcBorders>
            <w:vAlign w:val="center"/>
          </w:tcPr>
          <w:p w14:paraId="484F8660"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SRI</w:t>
            </w:r>
          </w:p>
        </w:tc>
        <w:tc>
          <w:tcPr>
            <w:tcW w:w="1368" w:type="dxa"/>
            <w:tcBorders>
              <w:top w:val="nil"/>
              <w:left w:val="nil"/>
              <w:bottom w:val="nil"/>
              <w:right w:val="nil"/>
            </w:tcBorders>
            <w:vAlign w:val="center"/>
          </w:tcPr>
          <w:p w14:paraId="2DE2E97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-0.0341</w:t>
            </w:r>
          </w:p>
        </w:tc>
        <w:tc>
          <w:tcPr>
            <w:tcW w:w="1369" w:type="dxa"/>
            <w:tcBorders>
              <w:top w:val="nil"/>
              <w:left w:val="nil"/>
              <w:bottom w:val="nil"/>
              <w:right w:val="nil"/>
            </w:tcBorders>
            <w:vAlign w:val="center"/>
          </w:tcPr>
          <w:p w14:paraId="7522625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-0.00960</w:t>
            </w:r>
          </w:p>
        </w:tc>
        <w:tc>
          <w:tcPr>
            <w:tcW w:w="1369" w:type="dxa"/>
            <w:tcBorders>
              <w:top w:val="nil"/>
              <w:left w:val="nil"/>
              <w:bottom w:val="nil"/>
              <w:right w:val="nil"/>
            </w:tcBorders>
            <w:vAlign w:val="center"/>
          </w:tcPr>
          <w:p w14:paraId="4323E96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0.00304</w:t>
            </w:r>
          </w:p>
        </w:tc>
        <w:tc>
          <w:tcPr>
            <w:tcW w:w="1369" w:type="dxa"/>
            <w:tcBorders>
              <w:top w:val="nil"/>
              <w:left w:val="nil"/>
              <w:bottom w:val="nil"/>
              <w:right w:val="nil"/>
            </w:tcBorders>
            <w:vAlign w:val="center"/>
          </w:tcPr>
          <w:p w14:paraId="53BE75B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-0.00656</w:t>
            </w:r>
          </w:p>
        </w:tc>
        <w:tc>
          <w:tcPr>
            <w:tcW w:w="1369" w:type="dxa"/>
            <w:tcBorders>
              <w:top w:val="nil"/>
              <w:left w:val="nil"/>
              <w:bottom w:val="nil"/>
              <w:right w:val="nil"/>
            </w:tcBorders>
            <w:vAlign w:val="center"/>
          </w:tcPr>
          <w:p w14:paraId="4CB741D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0.0171</w:t>
            </w:r>
          </w:p>
        </w:tc>
        <w:tc>
          <w:tcPr>
            <w:tcW w:w="1369" w:type="dxa"/>
            <w:tcBorders>
              <w:top w:val="nil"/>
              <w:left w:val="nil"/>
              <w:bottom w:val="nil"/>
              <w:right w:val="nil"/>
            </w:tcBorders>
            <w:vAlign w:val="center"/>
          </w:tcPr>
          <w:p w14:paraId="2D65330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0.0228</w:t>
            </w:r>
          </w:p>
        </w:tc>
        <w:tc>
          <w:tcPr>
            <w:tcW w:w="1369" w:type="dxa"/>
            <w:tcBorders>
              <w:top w:val="nil"/>
              <w:left w:val="nil"/>
              <w:bottom w:val="nil"/>
              <w:right w:val="nil"/>
            </w:tcBorders>
            <w:vAlign w:val="center"/>
          </w:tcPr>
          <w:p w14:paraId="1E62E17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0.00909</w:t>
            </w:r>
          </w:p>
        </w:tc>
        <w:tc>
          <w:tcPr>
            <w:tcW w:w="1369" w:type="dxa"/>
            <w:tcBorders>
              <w:top w:val="nil"/>
              <w:left w:val="nil"/>
              <w:bottom w:val="nil"/>
              <w:right w:val="nil"/>
            </w:tcBorders>
            <w:vAlign w:val="center"/>
          </w:tcPr>
          <w:p w14:paraId="52716BB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-0.0106</w:t>
            </w:r>
          </w:p>
        </w:tc>
        <w:tc>
          <w:tcPr>
            <w:tcW w:w="1369" w:type="dxa"/>
            <w:tcBorders>
              <w:top w:val="nil"/>
              <w:left w:val="nil"/>
              <w:bottom w:val="nil"/>
              <w:right w:val="nil"/>
            </w:tcBorders>
            <w:vAlign w:val="center"/>
          </w:tcPr>
          <w:p w14:paraId="643E86F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-0.0318</w:t>
            </w:r>
          </w:p>
        </w:tc>
        <w:tc>
          <w:tcPr>
            <w:tcW w:w="1369" w:type="dxa"/>
            <w:tcBorders>
              <w:top w:val="nil"/>
              <w:left w:val="nil"/>
              <w:bottom w:val="nil"/>
              <w:right w:val="nil"/>
            </w:tcBorders>
            <w:vAlign w:val="center"/>
          </w:tcPr>
          <w:p w14:paraId="4DCC03F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-0.0424</w:t>
            </w:r>
          </w:p>
        </w:tc>
      </w:tr>
      <w:tr w:rsidR="002743A7" w:rsidRPr="00F14751" w14:paraId="1F26D496" w14:textId="77777777" w:rsidTr="008738C3">
        <w:trPr>
          <w:jc w:val="center"/>
        </w:trPr>
        <w:tc>
          <w:tcPr>
            <w:tcW w:w="1954" w:type="dxa"/>
            <w:tcBorders>
              <w:top w:val="nil"/>
              <w:left w:val="nil"/>
              <w:bottom w:val="nil"/>
              <w:right w:val="nil"/>
            </w:tcBorders>
            <w:vAlign w:val="center"/>
          </w:tcPr>
          <w:p w14:paraId="3C8E3E6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37FCF67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(0.0817)</w:t>
            </w:r>
          </w:p>
        </w:tc>
        <w:tc>
          <w:tcPr>
            <w:tcW w:w="1369" w:type="dxa"/>
            <w:tcBorders>
              <w:top w:val="nil"/>
              <w:left w:val="nil"/>
              <w:bottom w:val="nil"/>
              <w:right w:val="nil"/>
            </w:tcBorders>
            <w:vAlign w:val="center"/>
          </w:tcPr>
          <w:p w14:paraId="7E87450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(0.00909)</w:t>
            </w:r>
          </w:p>
        </w:tc>
        <w:tc>
          <w:tcPr>
            <w:tcW w:w="1369" w:type="dxa"/>
            <w:tcBorders>
              <w:top w:val="nil"/>
              <w:left w:val="nil"/>
              <w:bottom w:val="nil"/>
              <w:right w:val="nil"/>
            </w:tcBorders>
            <w:vAlign w:val="center"/>
          </w:tcPr>
          <w:p w14:paraId="266F568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(0.0114)</w:t>
            </w:r>
          </w:p>
        </w:tc>
        <w:tc>
          <w:tcPr>
            <w:tcW w:w="1369" w:type="dxa"/>
            <w:tcBorders>
              <w:top w:val="nil"/>
              <w:left w:val="nil"/>
              <w:bottom w:val="nil"/>
              <w:right w:val="nil"/>
            </w:tcBorders>
            <w:vAlign w:val="center"/>
          </w:tcPr>
          <w:p w14:paraId="1856B1F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(0.0186)</w:t>
            </w:r>
          </w:p>
        </w:tc>
        <w:tc>
          <w:tcPr>
            <w:tcW w:w="1369" w:type="dxa"/>
            <w:tcBorders>
              <w:top w:val="nil"/>
              <w:left w:val="nil"/>
              <w:bottom w:val="nil"/>
              <w:right w:val="nil"/>
            </w:tcBorders>
            <w:vAlign w:val="center"/>
          </w:tcPr>
          <w:p w14:paraId="50F50F9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(0.0252)</w:t>
            </w:r>
          </w:p>
        </w:tc>
        <w:tc>
          <w:tcPr>
            <w:tcW w:w="1369" w:type="dxa"/>
            <w:tcBorders>
              <w:top w:val="nil"/>
              <w:left w:val="nil"/>
              <w:bottom w:val="nil"/>
              <w:right w:val="nil"/>
            </w:tcBorders>
            <w:vAlign w:val="center"/>
          </w:tcPr>
          <w:p w14:paraId="6462FD2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(0.0241)</w:t>
            </w:r>
          </w:p>
        </w:tc>
        <w:tc>
          <w:tcPr>
            <w:tcW w:w="1369" w:type="dxa"/>
            <w:tcBorders>
              <w:top w:val="nil"/>
              <w:left w:val="nil"/>
              <w:bottom w:val="nil"/>
              <w:right w:val="nil"/>
            </w:tcBorders>
            <w:vAlign w:val="center"/>
          </w:tcPr>
          <w:p w14:paraId="4497767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(0.0202)</w:t>
            </w:r>
          </w:p>
        </w:tc>
        <w:tc>
          <w:tcPr>
            <w:tcW w:w="1369" w:type="dxa"/>
            <w:tcBorders>
              <w:top w:val="nil"/>
              <w:left w:val="nil"/>
              <w:bottom w:val="nil"/>
              <w:right w:val="nil"/>
            </w:tcBorders>
            <w:vAlign w:val="center"/>
          </w:tcPr>
          <w:p w14:paraId="01A8D29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(0.0204)</w:t>
            </w:r>
          </w:p>
        </w:tc>
        <w:tc>
          <w:tcPr>
            <w:tcW w:w="1369" w:type="dxa"/>
            <w:tcBorders>
              <w:top w:val="nil"/>
              <w:left w:val="nil"/>
              <w:bottom w:val="nil"/>
              <w:right w:val="nil"/>
            </w:tcBorders>
            <w:vAlign w:val="center"/>
          </w:tcPr>
          <w:p w14:paraId="44A4453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(0.0665)</w:t>
            </w:r>
          </w:p>
        </w:tc>
        <w:tc>
          <w:tcPr>
            <w:tcW w:w="1369" w:type="dxa"/>
            <w:tcBorders>
              <w:top w:val="nil"/>
              <w:left w:val="nil"/>
              <w:bottom w:val="nil"/>
              <w:right w:val="nil"/>
            </w:tcBorders>
            <w:vAlign w:val="center"/>
          </w:tcPr>
          <w:p w14:paraId="6CFF74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(0.0711)</w:t>
            </w:r>
          </w:p>
        </w:tc>
      </w:tr>
      <w:tr w:rsidR="002743A7" w:rsidRPr="00F14751" w14:paraId="35F167A6" w14:textId="77777777" w:rsidTr="008738C3">
        <w:trPr>
          <w:jc w:val="center"/>
        </w:trPr>
        <w:tc>
          <w:tcPr>
            <w:tcW w:w="1954" w:type="dxa"/>
            <w:tcBorders>
              <w:top w:val="nil"/>
              <w:left w:val="nil"/>
              <w:bottom w:val="nil"/>
              <w:right w:val="nil"/>
            </w:tcBorders>
            <w:vAlign w:val="center"/>
          </w:tcPr>
          <w:p w14:paraId="2FB63B1C"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Polity</w:t>
            </w:r>
          </w:p>
        </w:tc>
        <w:tc>
          <w:tcPr>
            <w:tcW w:w="1368" w:type="dxa"/>
            <w:tcBorders>
              <w:top w:val="nil"/>
              <w:left w:val="nil"/>
              <w:bottom w:val="nil"/>
              <w:right w:val="nil"/>
            </w:tcBorders>
            <w:vAlign w:val="center"/>
          </w:tcPr>
          <w:p w14:paraId="7D0678F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0.0748</w:t>
            </w:r>
          </w:p>
        </w:tc>
        <w:tc>
          <w:tcPr>
            <w:tcW w:w="1369" w:type="dxa"/>
            <w:tcBorders>
              <w:top w:val="nil"/>
              <w:left w:val="nil"/>
              <w:bottom w:val="nil"/>
              <w:right w:val="nil"/>
            </w:tcBorders>
            <w:vAlign w:val="center"/>
          </w:tcPr>
          <w:p w14:paraId="7C5C57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-0.0180</w:t>
            </w:r>
          </w:p>
        </w:tc>
        <w:tc>
          <w:tcPr>
            <w:tcW w:w="1369" w:type="dxa"/>
            <w:tcBorders>
              <w:top w:val="nil"/>
              <w:left w:val="nil"/>
              <w:bottom w:val="nil"/>
              <w:right w:val="nil"/>
            </w:tcBorders>
            <w:vAlign w:val="center"/>
          </w:tcPr>
          <w:p w14:paraId="7D8C2E4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-0.0162</w:t>
            </w:r>
          </w:p>
        </w:tc>
        <w:tc>
          <w:tcPr>
            <w:tcW w:w="1369" w:type="dxa"/>
            <w:tcBorders>
              <w:top w:val="nil"/>
              <w:left w:val="nil"/>
              <w:bottom w:val="nil"/>
              <w:right w:val="nil"/>
            </w:tcBorders>
            <w:vAlign w:val="center"/>
          </w:tcPr>
          <w:p w14:paraId="05D765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-0.0342</w:t>
            </w:r>
          </w:p>
        </w:tc>
        <w:tc>
          <w:tcPr>
            <w:tcW w:w="1369" w:type="dxa"/>
            <w:tcBorders>
              <w:top w:val="nil"/>
              <w:left w:val="nil"/>
              <w:bottom w:val="nil"/>
              <w:right w:val="nil"/>
            </w:tcBorders>
            <w:vAlign w:val="center"/>
          </w:tcPr>
          <w:p w14:paraId="334F840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-0.0144</w:t>
            </w:r>
          </w:p>
        </w:tc>
        <w:tc>
          <w:tcPr>
            <w:tcW w:w="1369" w:type="dxa"/>
            <w:tcBorders>
              <w:top w:val="nil"/>
              <w:left w:val="nil"/>
              <w:bottom w:val="nil"/>
              <w:right w:val="nil"/>
            </w:tcBorders>
            <w:vAlign w:val="center"/>
          </w:tcPr>
          <w:p w14:paraId="0C88964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0.0198</w:t>
            </w:r>
          </w:p>
        </w:tc>
        <w:tc>
          <w:tcPr>
            <w:tcW w:w="1369" w:type="dxa"/>
            <w:tcBorders>
              <w:top w:val="nil"/>
              <w:left w:val="nil"/>
              <w:bottom w:val="nil"/>
              <w:right w:val="nil"/>
            </w:tcBorders>
            <w:vAlign w:val="center"/>
          </w:tcPr>
          <w:p w14:paraId="6EF9C8D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0.0246</w:t>
            </w:r>
          </w:p>
        </w:tc>
        <w:tc>
          <w:tcPr>
            <w:tcW w:w="1369" w:type="dxa"/>
            <w:tcBorders>
              <w:top w:val="nil"/>
              <w:left w:val="nil"/>
              <w:bottom w:val="nil"/>
              <w:right w:val="nil"/>
            </w:tcBorders>
            <w:vAlign w:val="center"/>
          </w:tcPr>
          <w:p w14:paraId="7F9A5F3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-0.00349</w:t>
            </w:r>
          </w:p>
        </w:tc>
        <w:tc>
          <w:tcPr>
            <w:tcW w:w="1369" w:type="dxa"/>
            <w:tcBorders>
              <w:top w:val="nil"/>
              <w:left w:val="nil"/>
              <w:bottom w:val="nil"/>
              <w:right w:val="nil"/>
            </w:tcBorders>
            <w:vAlign w:val="center"/>
          </w:tcPr>
          <w:p w14:paraId="6043473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0.00768</w:t>
            </w:r>
          </w:p>
        </w:tc>
        <w:tc>
          <w:tcPr>
            <w:tcW w:w="1369" w:type="dxa"/>
            <w:tcBorders>
              <w:top w:val="nil"/>
              <w:left w:val="nil"/>
              <w:bottom w:val="nil"/>
              <w:right w:val="nil"/>
            </w:tcBorders>
            <w:vAlign w:val="center"/>
          </w:tcPr>
          <w:p w14:paraId="100F4C5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0.00418</w:t>
            </w:r>
          </w:p>
        </w:tc>
      </w:tr>
      <w:tr w:rsidR="002743A7" w:rsidRPr="00F14751" w14:paraId="564ED321" w14:textId="77777777" w:rsidTr="008738C3">
        <w:trPr>
          <w:jc w:val="center"/>
        </w:trPr>
        <w:tc>
          <w:tcPr>
            <w:tcW w:w="1954" w:type="dxa"/>
            <w:tcBorders>
              <w:top w:val="nil"/>
              <w:left w:val="nil"/>
              <w:bottom w:val="nil"/>
              <w:right w:val="nil"/>
            </w:tcBorders>
            <w:vAlign w:val="center"/>
          </w:tcPr>
          <w:p w14:paraId="0922194F"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7C31A28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(0.141)</w:t>
            </w:r>
          </w:p>
        </w:tc>
        <w:tc>
          <w:tcPr>
            <w:tcW w:w="1369" w:type="dxa"/>
            <w:tcBorders>
              <w:top w:val="nil"/>
              <w:left w:val="nil"/>
              <w:bottom w:val="nil"/>
              <w:right w:val="nil"/>
            </w:tcBorders>
            <w:vAlign w:val="center"/>
          </w:tcPr>
          <w:p w14:paraId="1735AD3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(0.0135)</w:t>
            </w:r>
          </w:p>
        </w:tc>
        <w:tc>
          <w:tcPr>
            <w:tcW w:w="1369" w:type="dxa"/>
            <w:tcBorders>
              <w:top w:val="nil"/>
              <w:left w:val="nil"/>
              <w:bottom w:val="nil"/>
              <w:right w:val="nil"/>
            </w:tcBorders>
            <w:vAlign w:val="center"/>
          </w:tcPr>
          <w:p w14:paraId="01425D5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(0.0145)</w:t>
            </w:r>
          </w:p>
        </w:tc>
        <w:tc>
          <w:tcPr>
            <w:tcW w:w="1369" w:type="dxa"/>
            <w:tcBorders>
              <w:top w:val="nil"/>
              <w:left w:val="nil"/>
              <w:bottom w:val="nil"/>
              <w:right w:val="nil"/>
            </w:tcBorders>
            <w:vAlign w:val="center"/>
          </w:tcPr>
          <w:p w14:paraId="6A04787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(0.0275)</w:t>
            </w:r>
          </w:p>
        </w:tc>
        <w:tc>
          <w:tcPr>
            <w:tcW w:w="1369" w:type="dxa"/>
            <w:tcBorders>
              <w:top w:val="nil"/>
              <w:left w:val="nil"/>
              <w:bottom w:val="nil"/>
              <w:right w:val="nil"/>
            </w:tcBorders>
            <w:vAlign w:val="center"/>
          </w:tcPr>
          <w:p w14:paraId="488EA2E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(0.0375)</w:t>
            </w:r>
          </w:p>
        </w:tc>
        <w:tc>
          <w:tcPr>
            <w:tcW w:w="1369" w:type="dxa"/>
            <w:tcBorders>
              <w:top w:val="nil"/>
              <w:left w:val="nil"/>
              <w:bottom w:val="nil"/>
              <w:right w:val="nil"/>
            </w:tcBorders>
            <w:vAlign w:val="center"/>
          </w:tcPr>
          <w:p w14:paraId="230D7C2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(0.0410)</w:t>
            </w:r>
          </w:p>
        </w:tc>
        <w:tc>
          <w:tcPr>
            <w:tcW w:w="1369" w:type="dxa"/>
            <w:tcBorders>
              <w:top w:val="nil"/>
              <w:left w:val="nil"/>
              <w:bottom w:val="nil"/>
              <w:right w:val="nil"/>
            </w:tcBorders>
            <w:vAlign w:val="center"/>
          </w:tcPr>
          <w:p w14:paraId="575F8E2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(0.0347)</w:t>
            </w:r>
          </w:p>
        </w:tc>
        <w:tc>
          <w:tcPr>
            <w:tcW w:w="1369" w:type="dxa"/>
            <w:tcBorders>
              <w:top w:val="nil"/>
              <w:left w:val="nil"/>
              <w:bottom w:val="nil"/>
              <w:right w:val="nil"/>
            </w:tcBorders>
            <w:vAlign w:val="center"/>
          </w:tcPr>
          <w:p w14:paraId="07DE10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(0.0249)</w:t>
            </w:r>
          </w:p>
        </w:tc>
        <w:tc>
          <w:tcPr>
            <w:tcW w:w="1369" w:type="dxa"/>
            <w:tcBorders>
              <w:top w:val="nil"/>
              <w:left w:val="nil"/>
              <w:bottom w:val="nil"/>
              <w:right w:val="nil"/>
            </w:tcBorders>
            <w:vAlign w:val="center"/>
          </w:tcPr>
          <w:p w14:paraId="6D37EBC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(0.125)</w:t>
            </w:r>
          </w:p>
        </w:tc>
        <w:tc>
          <w:tcPr>
            <w:tcW w:w="1369" w:type="dxa"/>
            <w:tcBorders>
              <w:top w:val="nil"/>
              <w:left w:val="nil"/>
              <w:bottom w:val="nil"/>
              <w:right w:val="nil"/>
            </w:tcBorders>
            <w:vAlign w:val="center"/>
          </w:tcPr>
          <w:p w14:paraId="155E1B6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(0.130)</w:t>
            </w:r>
          </w:p>
        </w:tc>
      </w:tr>
      <w:tr w:rsidR="002743A7" w:rsidRPr="00F14751" w14:paraId="19E7BC38" w14:textId="77777777" w:rsidTr="008738C3">
        <w:trPr>
          <w:jc w:val="center"/>
        </w:trPr>
        <w:tc>
          <w:tcPr>
            <w:tcW w:w="1954" w:type="dxa"/>
            <w:tcBorders>
              <w:top w:val="nil"/>
              <w:left w:val="nil"/>
              <w:bottom w:val="nil"/>
              <w:right w:val="nil"/>
            </w:tcBorders>
            <w:vAlign w:val="center"/>
          </w:tcPr>
          <w:p w14:paraId="29066B1D"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GDP</w:t>
            </w:r>
          </w:p>
        </w:tc>
        <w:tc>
          <w:tcPr>
            <w:tcW w:w="1368" w:type="dxa"/>
            <w:tcBorders>
              <w:top w:val="nil"/>
              <w:left w:val="nil"/>
              <w:bottom w:val="nil"/>
              <w:right w:val="nil"/>
            </w:tcBorders>
            <w:vAlign w:val="center"/>
          </w:tcPr>
          <w:p w14:paraId="7647EE0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-0.0785*</w:t>
            </w:r>
          </w:p>
        </w:tc>
        <w:tc>
          <w:tcPr>
            <w:tcW w:w="1369" w:type="dxa"/>
            <w:tcBorders>
              <w:top w:val="nil"/>
              <w:left w:val="nil"/>
              <w:bottom w:val="nil"/>
              <w:right w:val="nil"/>
            </w:tcBorders>
            <w:vAlign w:val="center"/>
          </w:tcPr>
          <w:p w14:paraId="40829E9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0.00226</w:t>
            </w:r>
          </w:p>
        </w:tc>
        <w:tc>
          <w:tcPr>
            <w:tcW w:w="1369" w:type="dxa"/>
            <w:tcBorders>
              <w:top w:val="nil"/>
              <w:left w:val="nil"/>
              <w:bottom w:val="nil"/>
              <w:right w:val="nil"/>
            </w:tcBorders>
            <w:vAlign w:val="center"/>
          </w:tcPr>
          <w:p w14:paraId="6E0AD50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0.00536</w:t>
            </w:r>
          </w:p>
        </w:tc>
        <w:tc>
          <w:tcPr>
            <w:tcW w:w="1369" w:type="dxa"/>
            <w:tcBorders>
              <w:top w:val="nil"/>
              <w:left w:val="nil"/>
              <w:bottom w:val="nil"/>
              <w:right w:val="nil"/>
            </w:tcBorders>
            <w:vAlign w:val="center"/>
          </w:tcPr>
          <w:p w14:paraId="309A728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0.00761</w:t>
            </w:r>
          </w:p>
        </w:tc>
        <w:tc>
          <w:tcPr>
            <w:tcW w:w="1369" w:type="dxa"/>
            <w:tcBorders>
              <w:top w:val="nil"/>
              <w:left w:val="nil"/>
              <w:bottom w:val="nil"/>
              <w:right w:val="nil"/>
            </w:tcBorders>
            <w:vAlign w:val="center"/>
          </w:tcPr>
          <w:p w14:paraId="3027DBD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0.0187</w:t>
            </w:r>
          </w:p>
        </w:tc>
        <w:tc>
          <w:tcPr>
            <w:tcW w:w="1369" w:type="dxa"/>
            <w:tcBorders>
              <w:top w:val="nil"/>
              <w:left w:val="nil"/>
              <w:bottom w:val="nil"/>
              <w:right w:val="nil"/>
            </w:tcBorders>
            <w:vAlign w:val="center"/>
          </w:tcPr>
          <w:p w14:paraId="04298F3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0.0215</w:t>
            </w:r>
          </w:p>
        </w:tc>
        <w:tc>
          <w:tcPr>
            <w:tcW w:w="1369" w:type="dxa"/>
            <w:tcBorders>
              <w:top w:val="nil"/>
              <w:left w:val="nil"/>
              <w:bottom w:val="nil"/>
              <w:right w:val="nil"/>
            </w:tcBorders>
            <w:vAlign w:val="center"/>
          </w:tcPr>
          <w:p w14:paraId="4966F4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0.0270**</w:t>
            </w:r>
          </w:p>
        </w:tc>
        <w:tc>
          <w:tcPr>
            <w:tcW w:w="1369" w:type="dxa"/>
            <w:tcBorders>
              <w:top w:val="nil"/>
              <w:left w:val="nil"/>
              <w:bottom w:val="nil"/>
              <w:right w:val="nil"/>
            </w:tcBorders>
            <w:vAlign w:val="center"/>
          </w:tcPr>
          <w:p w14:paraId="0DB48CC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0.00841</w:t>
            </w:r>
          </w:p>
        </w:tc>
        <w:tc>
          <w:tcPr>
            <w:tcW w:w="1369" w:type="dxa"/>
            <w:tcBorders>
              <w:top w:val="nil"/>
              <w:left w:val="nil"/>
              <w:bottom w:val="nil"/>
              <w:right w:val="nil"/>
            </w:tcBorders>
            <w:vAlign w:val="center"/>
          </w:tcPr>
          <w:p w14:paraId="628A304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-0.0832*</w:t>
            </w:r>
          </w:p>
        </w:tc>
        <w:tc>
          <w:tcPr>
            <w:tcW w:w="1369" w:type="dxa"/>
            <w:tcBorders>
              <w:top w:val="nil"/>
              <w:left w:val="nil"/>
              <w:bottom w:val="nil"/>
              <w:right w:val="nil"/>
            </w:tcBorders>
            <w:vAlign w:val="center"/>
          </w:tcPr>
          <w:p w14:paraId="6A6AAFD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-0.0747*</w:t>
            </w:r>
          </w:p>
        </w:tc>
      </w:tr>
      <w:tr w:rsidR="002743A7" w:rsidRPr="00F14751" w14:paraId="093D11C0" w14:textId="77777777" w:rsidTr="008738C3">
        <w:trPr>
          <w:jc w:val="center"/>
        </w:trPr>
        <w:tc>
          <w:tcPr>
            <w:tcW w:w="1954" w:type="dxa"/>
            <w:tcBorders>
              <w:top w:val="nil"/>
              <w:left w:val="nil"/>
              <w:bottom w:val="nil"/>
              <w:right w:val="nil"/>
            </w:tcBorders>
            <w:vAlign w:val="center"/>
          </w:tcPr>
          <w:p w14:paraId="6A2C7B45"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4781F87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(0.0437)</w:t>
            </w:r>
          </w:p>
        </w:tc>
        <w:tc>
          <w:tcPr>
            <w:tcW w:w="1369" w:type="dxa"/>
            <w:tcBorders>
              <w:top w:val="nil"/>
              <w:left w:val="nil"/>
              <w:bottom w:val="nil"/>
              <w:right w:val="nil"/>
            </w:tcBorders>
            <w:vAlign w:val="center"/>
          </w:tcPr>
          <w:p w14:paraId="60266E8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(0.00364)</w:t>
            </w:r>
          </w:p>
        </w:tc>
        <w:tc>
          <w:tcPr>
            <w:tcW w:w="1369" w:type="dxa"/>
            <w:tcBorders>
              <w:top w:val="nil"/>
              <w:left w:val="nil"/>
              <w:bottom w:val="nil"/>
              <w:right w:val="nil"/>
            </w:tcBorders>
            <w:vAlign w:val="center"/>
          </w:tcPr>
          <w:p w14:paraId="3D6B4E2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(0.00480)</w:t>
            </w:r>
          </w:p>
        </w:tc>
        <w:tc>
          <w:tcPr>
            <w:tcW w:w="1369" w:type="dxa"/>
            <w:tcBorders>
              <w:top w:val="nil"/>
              <w:left w:val="nil"/>
              <w:bottom w:val="nil"/>
              <w:right w:val="nil"/>
            </w:tcBorders>
            <w:vAlign w:val="center"/>
          </w:tcPr>
          <w:p w14:paraId="58A29DA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(0.00813)</w:t>
            </w:r>
          </w:p>
        </w:tc>
        <w:tc>
          <w:tcPr>
            <w:tcW w:w="1369" w:type="dxa"/>
            <w:tcBorders>
              <w:top w:val="nil"/>
              <w:left w:val="nil"/>
              <w:bottom w:val="nil"/>
              <w:right w:val="nil"/>
            </w:tcBorders>
            <w:vAlign w:val="center"/>
          </w:tcPr>
          <w:p w14:paraId="718664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(0.0111)</w:t>
            </w:r>
          </w:p>
        </w:tc>
        <w:tc>
          <w:tcPr>
            <w:tcW w:w="1369" w:type="dxa"/>
            <w:tcBorders>
              <w:top w:val="nil"/>
              <w:left w:val="nil"/>
              <w:bottom w:val="nil"/>
              <w:right w:val="nil"/>
            </w:tcBorders>
            <w:vAlign w:val="center"/>
          </w:tcPr>
          <w:p w14:paraId="4BBC581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(0.0124)</w:t>
            </w:r>
          </w:p>
        </w:tc>
        <w:tc>
          <w:tcPr>
            <w:tcW w:w="1369" w:type="dxa"/>
            <w:tcBorders>
              <w:top w:val="nil"/>
              <w:left w:val="nil"/>
              <w:bottom w:val="nil"/>
              <w:right w:val="nil"/>
            </w:tcBorders>
            <w:vAlign w:val="center"/>
          </w:tcPr>
          <w:p w14:paraId="138C98B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(0.0117)</w:t>
            </w:r>
          </w:p>
        </w:tc>
        <w:tc>
          <w:tcPr>
            <w:tcW w:w="1369" w:type="dxa"/>
            <w:tcBorders>
              <w:top w:val="nil"/>
              <w:left w:val="nil"/>
              <w:bottom w:val="nil"/>
              <w:right w:val="nil"/>
            </w:tcBorders>
            <w:vAlign w:val="center"/>
          </w:tcPr>
          <w:p w14:paraId="13CB71F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(0.00602)</w:t>
            </w:r>
          </w:p>
        </w:tc>
        <w:tc>
          <w:tcPr>
            <w:tcW w:w="1369" w:type="dxa"/>
            <w:tcBorders>
              <w:top w:val="nil"/>
              <w:left w:val="nil"/>
              <w:bottom w:val="nil"/>
              <w:right w:val="nil"/>
            </w:tcBorders>
            <w:vAlign w:val="center"/>
          </w:tcPr>
          <w:p w14:paraId="7EDF96C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(0.0406)</w:t>
            </w:r>
          </w:p>
        </w:tc>
        <w:tc>
          <w:tcPr>
            <w:tcW w:w="1369" w:type="dxa"/>
            <w:tcBorders>
              <w:top w:val="nil"/>
              <w:left w:val="nil"/>
              <w:bottom w:val="nil"/>
              <w:right w:val="nil"/>
            </w:tcBorders>
            <w:vAlign w:val="center"/>
          </w:tcPr>
          <w:p w14:paraId="62A9054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(0.0395)</w:t>
            </w:r>
          </w:p>
        </w:tc>
      </w:tr>
      <w:tr w:rsidR="002743A7" w:rsidRPr="00F14751" w14:paraId="4F6EB316" w14:textId="77777777" w:rsidTr="008738C3">
        <w:trPr>
          <w:jc w:val="center"/>
        </w:trPr>
        <w:tc>
          <w:tcPr>
            <w:tcW w:w="1954" w:type="dxa"/>
            <w:tcBorders>
              <w:top w:val="nil"/>
              <w:left w:val="nil"/>
              <w:bottom w:val="nil"/>
              <w:right w:val="nil"/>
            </w:tcBorders>
            <w:vAlign w:val="center"/>
          </w:tcPr>
          <w:p w14:paraId="06DE9DC3"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roofErr w:type="spellStart"/>
            <w:r w:rsidRPr="00F14751">
              <w:rPr>
                <w:rFonts w:ascii="Times New Roman" w:hAnsi="Times New Roman" w:cs="Times New Roman"/>
                <w:sz w:val="20"/>
                <w:szCs w:val="20"/>
              </w:rPr>
              <w:t>GDPgrowth</w:t>
            </w:r>
            <w:proofErr w:type="spellEnd"/>
          </w:p>
        </w:tc>
        <w:tc>
          <w:tcPr>
            <w:tcW w:w="1368" w:type="dxa"/>
            <w:tcBorders>
              <w:top w:val="nil"/>
              <w:left w:val="nil"/>
              <w:bottom w:val="nil"/>
              <w:right w:val="nil"/>
            </w:tcBorders>
            <w:vAlign w:val="center"/>
          </w:tcPr>
          <w:p w14:paraId="2556FF5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0.00747</w:t>
            </w:r>
          </w:p>
        </w:tc>
        <w:tc>
          <w:tcPr>
            <w:tcW w:w="1369" w:type="dxa"/>
            <w:tcBorders>
              <w:top w:val="nil"/>
              <w:left w:val="nil"/>
              <w:bottom w:val="nil"/>
              <w:right w:val="nil"/>
            </w:tcBorders>
            <w:vAlign w:val="center"/>
          </w:tcPr>
          <w:p w14:paraId="158F24C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8.63e-05</w:t>
            </w:r>
          </w:p>
        </w:tc>
        <w:tc>
          <w:tcPr>
            <w:tcW w:w="1369" w:type="dxa"/>
            <w:tcBorders>
              <w:top w:val="nil"/>
              <w:left w:val="nil"/>
              <w:bottom w:val="nil"/>
              <w:right w:val="nil"/>
            </w:tcBorders>
            <w:vAlign w:val="center"/>
          </w:tcPr>
          <w:p w14:paraId="2F8263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-4.77e-05</w:t>
            </w:r>
          </w:p>
        </w:tc>
        <w:tc>
          <w:tcPr>
            <w:tcW w:w="1369" w:type="dxa"/>
            <w:tcBorders>
              <w:top w:val="nil"/>
              <w:left w:val="nil"/>
              <w:bottom w:val="nil"/>
              <w:right w:val="nil"/>
            </w:tcBorders>
            <w:vAlign w:val="center"/>
          </w:tcPr>
          <w:p w14:paraId="383C495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3.87e-05</w:t>
            </w:r>
          </w:p>
        </w:tc>
        <w:tc>
          <w:tcPr>
            <w:tcW w:w="1369" w:type="dxa"/>
            <w:tcBorders>
              <w:top w:val="nil"/>
              <w:left w:val="nil"/>
              <w:bottom w:val="nil"/>
              <w:right w:val="nil"/>
            </w:tcBorders>
            <w:vAlign w:val="center"/>
          </w:tcPr>
          <w:p w14:paraId="7BD6E84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-0.000915</w:t>
            </w:r>
          </w:p>
        </w:tc>
        <w:tc>
          <w:tcPr>
            <w:tcW w:w="1369" w:type="dxa"/>
            <w:tcBorders>
              <w:top w:val="nil"/>
              <w:left w:val="nil"/>
              <w:bottom w:val="nil"/>
              <w:right w:val="nil"/>
            </w:tcBorders>
            <w:vAlign w:val="center"/>
          </w:tcPr>
          <w:p w14:paraId="7E99927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0.000156</w:t>
            </w:r>
          </w:p>
        </w:tc>
        <w:tc>
          <w:tcPr>
            <w:tcW w:w="1369" w:type="dxa"/>
            <w:tcBorders>
              <w:top w:val="nil"/>
              <w:left w:val="nil"/>
              <w:bottom w:val="nil"/>
              <w:right w:val="nil"/>
            </w:tcBorders>
            <w:vAlign w:val="center"/>
          </w:tcPr>
          <w:p w14:paraId="649461D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-0.00529</w:t>
            </w:r>
          </w:p>
        </w:tc>
        <w:tc>
          <w:tcPr>
            <w:tcW w:w="1369" w:type="dxa"/>
            <w:tcBorders>
              <w:top w:val="nil"/>
              <w:left w:val="nil"/>
              <w:bottom w:val="nil"/>
              <w:right w:val="nil"/>
            </w:tcBorders>
            <w:vAlign w:val="center"/>
          </w:tcPr>
          <w:p w14:paraId="2B7ACFD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-0.00680</w:t>
            </w:r>
          </w:p>
        </w:tc>
        <w:tc>
          <w:tcPr>
            <w:tcW w:w="1369" w:type="dxa"/>
            <w:tcBorders>
              <w:top w:val="nil"/>
              <w:left w:val="nil"/>
              <w:bottom w:val="nil"/>
              <w:right w:val="nil"/>
            </w:tcBorders>
            <w:vAlign w:val="center"/>
          </w:tcPr>
          <w:p w14:paraId="21838D2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0.0128</w:t>
            </w:r>
          </w:p>
        </w:tc>
        <w:tc>
          <w:tcPr>
            <w:tcW w:w="1369" w:type="dxa"/>
            <w:tcBorders>
              <w:top w:val="nil"/>
              <w:left w:val="nil"/>
              <w:bottom w:val="nil"/>
              <w:right w:val="nil"/>
            </w:tcBorders>
            <w:vAlign w:val="center"/>
          </w:tcPr>
          <w:p w14:paraId="4ECAA6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0.00601</w:t>
            </w:r>
          </w:p>
        </w:tc>
      </w:tr>
      <w:tr w:rsidR="002743A7" w:rsidRPr="00F14751" w14:paraId="5E9CC50D" w14:textId="77777777" w:rsidTr="008738C3">
        <w:trPr>
          <w:jc w:val="center"/>
        </w:trPr>
        <w:tc>
          <w:tcPr>
            <w:tcW w:w="1954" w:type="dxa"/>
            <w:tcBorders>
              <w:top w:val="nil"/>
              <w:left w:val="nil"/>
              <w:bottom w:val="nil"/>
              <w:right w:val="nil"/>
            </w:tcBorders>
            <w:vAlign w:val="center"/>
          </w:tcPr>
          <w:p w14:paraId="64D922F0"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791E4A1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(0.0458)</w:t>
            </w:r>
          </w:p>
        </w:tc>
        <w:tc>
          <w:tcPr>
            <w:tcW w:w="1369" w:type="dxa"/>
            <w:tcBorders>
              <w:top w:val="nil"/>
              <w:left w:val="nil"/>
              <w:bottom w:val="nil"/>
              <w:right w:val="nil"/>
            </w:tcBorders>
            <w:vAlign w:val="center"/>
          </w:tcPr>
          <w:p w14:paraId="1A0E678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(0.00496)</w:t>
            </w:r>
          </w:p>
        </w:tc>
        <w:tc>
          <w:tcPr>
            <w:tcW w:w="1369" w:type="dxa"/>
            <w:tcBorders>
              <w:top w:val="nil"/>
              <w:left w:val="nil"/>
              <w:bottom w:val="nil"/>
              <w:right w:val="nil"/>
            </w:tcBorders>
            <w:vAlign w:val="center"/>
          </w:tcPr>
          <w:p w14:paraId="35A7291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(0.00486)</w:t>
            </w:r>
          </w:p>
        </w:tc>
        <w:tc>
          <w:tcPr>
            <w:tcW w:w="1369" w:type="dxa"/>
            <w:tcBorders>
              <w:top w:val="nil"/>
              <w:left w:val="nil"/>
              <w:bottom w:val="nil"/>
              <w:right w:val="nil"/>
            </w:tcBorders>
            <w:vAlign w:val="center"/>
          </w:tcPr>
          <w:p w14:paraId="68DF6E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(0.00946)</w:t>
            </w:r>
          </w:p>
        </w:tc>
        <w:tc>
          <w:tcPr>
            <w:tcW w:w="1369" w:type="dxa"/>
            <w:tcBorders>
              <w:top w:val="nil"/>
              <w:left w:val="nil"/>
              <w:bottom w:val="nil"/>
              <w:right w:val="nil"/>
            </w:tcBorders>
            <w:vAlign w:val="center"/>
          </w:tcPr>
          <w:p w14:paraId="5EA8CC6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(0.0104)</w:t>
            </w:r>
          </w:p>
        </w:tc>
        <w:tc>
          <w:tcPr>
            <w:tcW w:w="1369" w:type="dxa"/>
            <w:tcBorders>
              <w:top w:val="nil"/>
              <w:left w:val="nil"/>
              <w:bottom w:val="nil"/>
              <w:right w:val="nil"/>
            </w:tcBorders>
            <w:vAlign w:val="center"/>
          </w:tcPr>
          <w:p w14:paraId="0CB7B4D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(0.0127)</w:t>
            </w:r>
          </w:p>
        </w:tc>
        <w:tc>
          <w:tcPr>
            <w:tcW w:w="1369" w:type="dxa"/>
            <w:tcBorders>
              <w:top w:val="nil"/>
              <w:left w:val="nil"/>
              <w:bottom w:val="nil"/>
              <w:right w:val="nil"/>
            </w:tcBorders>
            <w:vAlign w:val="center"/>
          </w:tcPr>
          <w:p w14:paraId="7EA2436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(0.0132)</w:t>
            </w:r>
          </w:p>
        </w:tc>
        <w:tc>
          <w:tcPr>
            <w:tcW w:w="1369" w:type="dxa"/>
            <w:tcBorders>
              <w:top w:val="nil"/>
              <w:left w:val="nil"/>
              <w:bottom w:val="nil"/>
              <w:right w:val="nil"/>
            </w:tcBorders>
            <w:vAlign w:val="center"/>
          </w:tcPr>
          <w:p w14:paraId="320073F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(0.00724)</w:t>
            </w:r>
          </w:p>
        </w:tc>
        <w:tc>
          <w:tcPr>
            <w:tcW w:w="1369" w:type="dxa"/>
            <w:tcBorders>
              <w:top w:val="nil"/>
              <w:left w:val="nil"/>
              <w:bottom w:val="nil"/>
              <w:right w:val="nil"/>
            </w:tcBorders>
            <w:vAlign w:val="center"/>
          </w:tcPr>
          <w:p w14:paraId="566E021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(0.0434)</w:t>
            </w:r>
          </w:p>
        </w:tc>
        <w:tc>
          <w:tcPr>
            <w:tcW w:w="1369" w:type="dxa"/>
            <w:tcBorders>
              <w:top w:val="nil"/>
              <w:left w:val="nil"/>
              <w:bottom w:val="nil"/>
              <w:right w:val="nil"/>
            </w:tcBorders>
            <w:vAlign w:val="center"/>
          </w:tcPr>
          <w:p w14:paraId="5552A55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(0.0409)</w:t>
            </w:r>
          </w:p>
        </w:tc>
      </w:tr>
      <w:tr w:rsidR="002743A7" w:rsidRPr="00F14751" w14:paraId="3454DCA0" w14:textId="77777777" w:rsidTr="008738C3">
        <w:trPr>
          <w:jc w:val="center"/>
        </w:trPr>
        <w:tc>
          <w:tcPr>
            <w:tcW w:w="1954" w:type="dxa"/>
            <w:tcBorders>
              <w:top w:val="nil"/>
              <w:left w:val="nil"/>
              <w:bottom w:val="nil"/>
              <w:right w:val="nil"/>
            </w:tcBorders>
            <w:vAlign w:val="center"/>
          </w:tcPr>
          <w:p w14:paraId="3F407F81"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School</w:t>
            </w:r>
          </w:p>
        </w:tc>
        <w:tc>
          <w:tcPr>
            <w:tcW w:w="1368" w:type="dxa"/>
            <w:tcBorders>
              <w:top w:val="nil"/>
              <w:left w:val="nil"/>
              <w:bottom w:val="nil"/>
              <w:right w:val="nil"/>
            </w:tcBorders>
            <w:vAlign w:val="center"/>
          </w:tcPr>
          <w:p w14:paraId="2868546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-1.448</w:t>
            </w:r>
          </w:p>
        </w:tc>
        <w:tc>
          <w:tcPr>
            <w:tcW w:w="1369" w:type="dxa"/>
            <w:tcBorders>
              <w:top w:val="nil"/>
              <w:left w:val="nil"/>
              <w:bottom w:val="nil"/>
              <w:right w:val="nil"/>
            </w:tcBorders>
            <w:vAlign w:val="center"/>
          </w:tcPr>
          <w:p w14:paraId="457AB36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0.132</w:t>
            </w:r>
          </w:p>
        </w:tc>
        <w:tc>
          <w:tcPr>
            <w:tcW w:w="1369" w:type="dxa"/>
            <w:tcBorders>
              <w:top w:val="nil"/>
              <w:left w:val="nil"/>
              <w:bottom w:val="nil"/>
              <w:right w:val="nil"/>
            </w:tcBorders>
            <w:vAlign w:val="center"/>
          </w:tcPr>
          <w:p w14:paraId="0F417B4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0.134</w:t>
            </w:r>
          </w:p>
        </w:tc>
        <w:tc>
          <w:tcPr>
            <w:tcW w:w="1369" w:type="dxa"/>
            <w:tcBorders>
              <w:top w:val="nil"/>
              <w:left w:val="nil"/>
              <w:bottom w:val="nil"/>
              <w:right w:val="nil"/>
            </w:tcBorders>
            <w:vAlign w:val="center"/>
          </w:tcPr>
          <w:p w14:paraId="5E22BB6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0.266</w:t>
            </w:r>
          </w:p>
        </w:tc>
        <w:tc>
          <w:tcPr>
            <w:tcW w:w="1369" w:type="dxa"/>
            <w:tcBorders>
              <w:top w:val="nil"/>
              <w:left w:val="nil"/>
              <w:bottom w:val="nil"/>
              <w:right w:val="nil"/>
            </w:tcBorders>
            <w:vAlign w:val="center"/>
          </w:tcPr>
          <w:p w14:paraId="757CB7E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0.297</w:t>
            </w:r>
          </w:p>
        </w:tc>
        <w:tc>
          <w:tcPr>
            <w:tcW w:w="1369" w:type="dxa"/>
            <w:tcBorders>
              <w:top w:val="nil"/>
              <w:left w:val="nil"/>
              <w:bottom w:val="nil"/>
              <w:right w:val="nil"/>
            </w:tcBorders>
            <w:vAlign w:val="center"/>
          </w:tcPr>
          <w:p w14:paraId="4CA9314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0.326</w:t>
            </w:r>
          </w:p>
        </w:tc>
        <w:tc>
          <w:tcPr>
            <w:tcW w:w="1369" w:type="dxa"/>
            <w:tcBorders>
              <w:top w:val="nil"/>
              <w:left w:val="nil"/>
              <w:bottom w:val="nil"/>
              <w:right w:val="nil"/>
            </w:tcBorders>
            <w:vAlign w:val="center"/>
          </w:tcPr>
          <w:p w14:paraId="11D448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0.202</w:t>
            </w:r>
          </w:p>
        </w:tc>
        <w:tc>
          <w:tcPr>
            <w:tcW w:w="1369" w:type="dxa"/>
            <w:tcBorders>
              <w:top w:val="nil"/>
              <w:left w:val="nil"/>
              <w:bottom w:val="nil"/>
              <w:right w:val="nil"/>
            </w:tcBorders>
            <w:vAlign w:val="center"/>
          </w:tcPr>
          <w:p w14:paraId="17EF7E2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-0.140</w:t>
            </w:r>
          </w:p>
        </w:tc>
        <w:tc>
          <w:tcPr>
            <w:tcW w:w="1369" w:type="dxa"/>
            <w:tcBorders>
              <w:top w:val="nil"/>
              <w:left w:val="nil"/>
              <w:bottom w:val="nil"/>
              <w:right w:val="nil"/>
            </w:tcBorders>
            <w:vAlign w:val="center"/>
          </w:tcPr>
          <w:p w14:paraId="59C72B2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-0.951</w:t>
            </w:r>
          </w:p>
        </w:tc>
        <w:tc>
          <w:tcPr>
            <w:tcW w:w="1369" w:type="dxa"/>
            <w:tcBorders>
              <w:top w:val="nil"/>
              <w:left w:val="nil"/>
              <w:bottom w:val="nil"/>
              <w:right w:val="nil"/>
            </w:tcBorders>
            <w:vAlign w:val="center"/>
          </w:tcPr>
          <w:p w14:paraId="48CE7B1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-1.091</w:t>
            </w:r>
          </w:p>
        </w:tc>
      </w:tr>
      <w:tr w:rsidR="002743A7" w:rsidRPr="00F14751" w14:paraId="4FE5CDB3" w14:textId="77777777" w:rsidTr="008738C3">
        <w:trPr>
          <w:jc w:val="center"/>
        </w:trPr>
        <w:tc>
          <w:tcPr>
            <w:tcW w:w="1954" w:type="dxa"/>
            <w:tcBorders>
              <w:top w:val="nil"/>
              <w:left w:val="nil"/>
              <w:bottom w:val="nil"/>
              <w:right w:val="nil"/>
            </w:tcBorders>
            <w:vAlign w:val="center"/>
          </w:tcPr>
          <w:p w14:paraId="36A0B39A"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4E16EDB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(1.229)</w:t>
            </w:r>
          </w:p>
        </w:tc>
        <w:tc>
          <w:tcPr>
            <w:tcW w:w="1369" w:type="dxa"/>
            <w:tcBorders>
              <w:top w:val="nil"/>
              <w:left w:val="nil"/>
              <w:bottom w:val="nil"/>
              <w:right w:val="nil"/>
            </w:tcBorders>
            <w:vAlign w:val="center"/>
          </w:tcPr>
          <w:p w14:paraId="60AB60D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(0.117)</w:t>
            </w:r>
          </w:p>
        </w:tc>
        <w:tc>
          <w:tcPr>
            <w:tcW w:w="1369" w:type="dxa"/>
            <w:tcBorders>
              <w:top w:val="nil"/>
              <w:left w:val="nil"/>
              <w:bottom w:val="nil"/>
              <w:right w:val="nil"/>
            </w:tcBorders>
            <w:vAlign w:val="center"/>
          </w:tcPr>
          <w:p w14:paraId="29AF41F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(0.134)</w:t>
            </w:r>
          </w:p>
        </w:tc>
        <w:tc>
          <w:tcPr>
            <w:tcW w:w="1369" w:type="dxa"/>
            <w:tcBorders>
              <w:top w:val="nil"/>
              <w:left w:val="nil"/>
              <w:bottom w:val="nil"/>
              <w:right w:val="nil"/>
            </w:tcBorders>
            <w:vAlign w:val="center"/>
          </w:tcPr>
          <w:p w14:paraId="4382987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(0.237)</w:t>
            </w:r>
          </w:p>
        </w:tc>
        <w:tc>
          <w:tcPr>
            <w:tcW w:w="1369" w:type="dxa"/>
            <w:tcBorders>
              <w:top w:val="nil"/>
              <w:left w:val="nil"/>
              <w:bottom w:val="nil"/>
              <w:right w:val="nil"/>
            </w:tcBorders>
            <w:vAlign w:val="center"/>
          </w:tcPr>
          <w:p w14:paraId="041FF11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(0.311)</w:t>
            </w:r>
          </w:p>
        </w:tc>
        <w:tc>
          <w:tcPr>
            <w:tcW w:w="1369" w:type="dxa"/>
            <w:tcBorders>
              <w:top w:val="nil"/>
              <w:left w:val="nil"/>
              <w:bottom w:val="nil"/>
              <w:right w:val="nil"/>
            </w:tcBorders>
            <w:vAlign w:val="center"/>
          </w:tcPr>
          <w:p w14:paraId="58719DE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(0.333)</w:t>
            </w:r>
          </w:p>
        </w:tc>
        <w:tc>
          <w:tcPr>
            <w:tcW w:w="1369" w:type="dxa"/>
            <w:tcBorders>
              <w:top w:val="nil"/>
              <w:left w:val="nil"/>
              <w:bottom w:val="nil"/>
              <w:right w:val="nil"/>
            </w:tcBorders>
            <w:vAlign w:val="center"/>
          </w:tcPr>
          <w:p w14:paraId="19C2B15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(0.251)</w:t>
            </w:r>
          </w:p>
        </w:tc>
        <w:tc>
          <w:tcPr>
            <w:tcW w:w="1369" w:type="dxa"/>
            <w:tcBorders>
              <w:top w:val="nil"/>
              <w:left w:val="nil"/>
              <w:bottom w:val="nil"/>
              <w:right w:val="nil"/>
            </w:tcBorders>
            <w:vAlign w:val="center"/>
          </w:tcPr>
          <w:p w14:paraId="5D1ACA1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(0.138)</w:t>
            </w:r>
          </w:p>
        </w:tc>
        <w:tc>
          <w:tcPr>
            <w:tcW w:w="1369" w:type="dxa"/>
            <w:tcBorders>
              <w:top w:val="nil"/>
              <w:left w:val="nil"/>
              <w:bottom w:val="nil"/>
              <w:right w:val="nil"/>
            </w:tcBorders>
            <w:vAlign w:val="center"/>
          </w:tcPr>
          <w:p w14:paraId="67C8EDD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(0.910)</w:t>
            </w:r>
          </w:p>
        </w:tc>
        <w:tc>
          <w:tcPr>
            <w:tcW w:w="1369" w:type="dxa"/>
            <w:tcBorders>
              <w:top w:val="nil"/>
              <w:left w:val="nil"/>
              <w:bottom w:val="nil"/>
              <w:right w:val="nil"/>
            </w:tcBorders>
            <w:vAlign w:val="center"/>
          </w:tcPr>
          <w:p w14:paraId="22591E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(0.982)</w:t>
            </w:r>
          </w:p>
        </w:tc>
      </w:tr>
      <w:tr w:rsidR="002743A7" w:rsidRPr="00F14751" w14:paraId="4C5227AD" w14:textId="77777777" w:rsidTr="008738C3">
        <w:trPr>
          <w:jc w:val="center"/>
        </w:trPr>
        <w:tc>
          <w:tcPr>
            <w:tcW w:w="1954" w:type="dxa"/>
            <w:tcBorders>
              <w:top w:val="nil"/>
              <w:left w:val="nil"/>
              <w:bottom w:val="nil"/>
              <w:right w:val="nil"/>
            </w:tcBorders>
            <w:vAlign w:val="center"/>
          </w:tcPr>
          <w:p w14:paraId="3E113394"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Death</w:t>
            </w:r>
          </w:p>
        </w:tc>
        <w:tc>
          <w:tcPr>
            <w:tcW w:w="1368" w:type="dxa"/>
            <w:tcBorders>
              <w:top w:val="nil"/>
              <w:left w:val="nil"/>
              <w:bottom w:val="nil"/>
              <w:right w:val="nil"/>
            </w:tcBorders>
            <w:vAlign w:val="center"/>
          </w:tcPr>
          <w:p w14:paraId="34F48FA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-0.838</w:t>
            </w:r>
          </w:p>
        </w:tc>
        <w:tc>
          <w:tcPr>
            <w:tcW w:w="1369" w:type="dxa"/>
            <w:tcBorders>
              <w:top w:val="nil"/>
              <w:left w:val="nil"/>
              <w:bottom w:val="nil"/>
              <w:right w:val="nil"/>
            </w:tcBorders>
            <w:vAlign w:val="center"/>
          </w:tcPr>
          <w:p w14:paraId="2537E02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0.320***</w:t>
            </w:r>
          </w:p>
        </w:tc>
        <w:tc>
          <w:tcPr>
            <w:tcW w:w="1369" w:type="dxa"/>
            <w:tcBorders>
              <w:top w:val="nil"/>
              <w:left w:val="nil"/>
              <w:bottom w:val="nil"/>
              <w:right w:val="nil"/>
            </w:tcBorders>
            <w:vAlign w:val="center"/>
          </w:tcPr>
          <w:p w14:paraId="6B9FBE0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0.228**</w:t>
            </w:r>
          </w:p>
        </w:tc>
        <w:tc>
          <w:tcPr>
            <w:tcW w:w="1369" w:type="dxa"/>
            <w:tcBorders>
              <w:top w:val="nil"/>
              <w:left w:val="nil"/>
              <w:bottom w:val="nil"/>
              <w:right w:val="nil"/>
            </w:tcBorders>
            <w:vAlign w:val="center"/>
          </w:tcPr>
          <w:p w14:paraId="6A4A7F7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0.549***</w:t>
            </w:r>
          </w:p>
        </w:tc>
        <w:tc>
          <w:tcPr>
            <w:tcW w:w="1369" w:type="dxa"/>
            <w:tcBorders>
              <w:top w:val="nil"/>
              <w:left w:val="nil"/>
              <w:bottom w:val="nil"/>
              <w:right w:val="nil"/>
            </w:tcBorders>
            <w:vAlign w:val="center"/>
          </w:tcPr>
          <w:p w14:paraId="4708DF8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0.195</w:t>
            </w:r>
          </w:p>
        </w:tc>
        <w:tc>
          <w:tcPr>
            <w:tcW w:w="1369" w:type="dxa"/>
            <w:tcBorders>
              <w:top w:val="nil"/>
              <w:left w:val="nil"/>
              <w:bottom w:val="nil"/>
              <w:right w:val="nil"/>
            </w:tcBorders>
            <w:vAlign w:val="center"/>
          </w:tcPr>
          <w:p w14:paraId="3A7536E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-0.0395</w:t>
            </w:r>
          </w:p>
        </w:tc>
        <w:tc>
          <w:tcPr>
            <w:tcW w:w="1369" w:type="dxa"/>
            <w:tcBorders>
              <w:top w:val="nil"/>
              <w:left w:val="nil"/>
              <w:bottom w:val="nil"/>
              <w:right w:val="nil"/>
            </w:tcBorders>
            <w:vAlign w:val="center"/>
          </w:tcPr>
          <w:p w14:paraId="3DC93B5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-0.289</w:t>
            </w:r>
          </w:p>
        </w:tc>
        <w:tc>
          <w:tcPr>
            <w:tcW w:w="1369" w:type="dxa"/>
            <w:tcBorders>
              <w:top w:val="nil"/>
              <w:left w:val="nil"/>
              <w:bottom w:val="nil"/>
              <w:right w:val="nil"/>
            </w:tcBorders>
            <w:vAlign w:val="center"/>
          </w:tcPr>
          <w:p w14:paraId="6BF5CA7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-0.219</w:t>
            </w:r>
          </w:p>
        </w:tc>
        <w:tc>
          <w:tcPr>
            <w:tcW w:w="1369" w:type="dxa"/>
            <w:tcBorders>
              <w:top w:val="nil"/>
              <w:left w:val="nil"/>
              <w:bottom w:val="nil"/>
              <w:right w:val="nil"/>
            </w:tcBorders>
            <w:vAlign w:val="center"/>
          </w:tcPr>
          <w:p w14:paraId="4F647BD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-0.197</w:t>
            </w:r>
          </w:p>
        </w:tc>
        <w:tc>
          <w:tcPr>
            <w:tcW w:w="1369" w:type="dxa"/>
            <w:tcBorders>
              <w:top w:val="nil"/>
              <w:left w:val="nil"/>
              <w:bottom w:val="nil"/>
              <w:right w:val="nil"/>
            </w:tcBorders>
            <w:vAlign w:val="center"/>
          </w:tcPr>
          <w:p w14:paraId="5CEEB2E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-0.416</w:t>
            </w:r>
          </w:p>
        </w:tc>
      </w:tr>
      <w:tr w:rsidR="002743A7" w:rsidRPr="00F14751" w14:paraId="74A3794D" w14:textId="77777777" w:rsidTr="008738C3">
        <w:trPr>
          <w:jc w:val="center"/>
        </w:trPr>
        <w:tc>
          <w:tcPr>
            <w:tcW w:w="1954" w:type="dxa"/>
            <w:tcBorders>
              <w:top w:val="nil"/>
              <w:left w:val="nil"/>
              <w:bottom w:val="nil"/>
              <w:right w:val="nil"/>
            </w:tcBorders>
            <w:vAlign w:val="center"/>
          </w:tcPr>
          <w:p w14:paraId="06C8F6EF"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66B5F58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(0.959)</w:t>
            </w:r>
          </w:p>
        </w:tc>
        <w:tc>
          <w:tcPr>
            <w:tcW w:w="1369" w:type="dxa"/>
            <w:tcBorders>
              <w:top w:val="nil"/>
              <w:left w:val="nil"/>
              <w:bottom w:val="nil"/>
              <w:right w:val="nil"/>
            </w:tcBorders>
            <w:vAlign w:val="center"/>
          </w:tcPr>
          <w:p w14:paraId="6D9A346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(0.0949)</w:t>
            </w:r>
          </w:p>
        </w:tc>
        <w:tc>
          <w:tcPr>
            <w:tcW w:w="1369" w:type="dxa"/>
            <w:tcBorders>
              <w:top w:val="nil"/>
              <w:left w:val="nil"/>
              <w:bottom w:val="nil"/>
              <w:right w:val="nil"/>
            </w:tcBorders>
            <w:vAlign w:val="center"/>
          </w:tcPr>
          <w:p w14:paraId="4FD9623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(0.0986)</w:t>
            </w:r>
          </w:p>
        </w:tc>
        <w:tc>
          <w:tcPr>
            <w:tcW w:w="1369" w:type="dxa"/>
            <w:tcBorders>
              <w:top w:val="nil"/>
              <w:left w:val="nil"/>
              <w:bottom w:val="nil"/>
              <w:right w:val="nil"/>
            </w:tcBorders>
            <w:vAlign w:val="center"/>
          </w:tcPr>
          <w:p w14:paraId="619A535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(0.176)</w:t>
            </w:r>
          </w:p>
        </w:tc>
        <w:tc>
          <w:tcPr>
            <w:tcW w:w="1369" w:type="dxa"/>
            <w:tcBorders>
              <w:top w:val="nil"/>
              <w:left w:val="nil"/>
              <w:bottom w:val="nil"/>
              <w:right w:val="nil"/>
            </w:tcBorders>
            <w:vAlign w:val="center"/>
          </w:tcPr>
          <w:p w14:paraId="787D00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(0.250)</w:t>
            </w:r>
          </w:p>
        </w:tc>
        <w:tc>
          <w:tcPr>
            <w:tcW w:w="1369" w:type="dxa"/>
            <w:tcBorders>
              <w:top w:val="nil"/>
              <w:left w:val="nil"/>
              <w:bottom w:val="nil"/>
              <w:right w:val="nil"/>
            </w:tcBorders>
            <w:vAlign w:val="center"/>
          </w:tcPr>
          <w:p w14:paraId="6E7B010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(0.284)</w:t>
            </w:r>
          </w:p>
        </w:tc>
        <w:tc>
          <w:tcPr>
            <w:tcW w:w="1369" w:type="dxa"/>
            <w:tcBorders>
              <w:top w:val="nil"/>
              <w:left w:val="nil"/>
              <w:bottom w:val="nil"/>
              <w:right w:val="nil"/>
            </w:tcBorders>
            <w:vAlign w:val="center"/>
          </w:tcPr>
          <w:p w14:paraId="7FE339F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(0.270)</w:t>
            </w:r>
          </w:p>
        </w:tc>
        <w:tc>
          <w:tcPr>
            <w:tcW w:w="1369" w:type="dxa"/>
            <w:tcBorders>
              <w:top w:val="nil"/>
              <w:left w:val="nil"/>
              <w:bottom w:val="nil"/>
              <w:right w:val="nil"/>
            </w:tcBorders>
            <w:vAlign w:val="center"/>
          </w:tcPr>
          <w:p w14:paraId="4B32A8A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(0.193)</w:t>
            </w:r>
          </w:p>
        </w:tc>
        <w:tc>
          <w:tcPr>
            <w:tcW w:w="1369" w:type="dxa"/>
            <w:tcBorders>
              <w:top w:val="nil"/>
              <w:left w:val="nil"/>
              <w:bottom w:val="nil"/>
              <w:right w:val="nil"/>
            </w:tcBorders>
            <w:vAlign w:val="center"/>
          </w:tcPr>
          <w:p w14:paraId="717C90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(0.876)</w:t>
            </w:r>
          </w:p>
        </w:tc>
        <w:tc>
          <w:tcPr>
            <w:tcW w:w="1369" w:type="dxa"/>
            <w:tcBorders>
              <w:top w:val="nil"/>
              <w:left w:val="nil"/>
              <w:bottom w:val="nil"/>
              <w:right w:val="nil"/>
            </w:tcBorders>
            <w:vAlign w:val="center"/>
          </w:tcPr>
          <w:p w14:paraId="52C1ECB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(0.860)</w:t>
            </w:r>
          </w:p>
        </w:tc>
      </w:tr>
      <w:tr w:rsidR="002743A7" w:rsidRPr="00F14751" w14:paraId="2F0EFAA0" w14:textId="77777777" w:rsidTr="008738C3">
        <w:trPr>
          <w:jc w:val="center"/>
        </w:trPr>
        <w:tc>
          <w:tcPr>
            <w:tcW w:w="1954" w:type="dxa"/>
            <w:tcBorders>
              <w:top w:val="nil"/>
              <w:left w:val="nil"/>
              <w:bottom w:val="nil"/>
              <w:right w:val="nil"/>
            </w:tcBorders>
            <w:vAlign w:val="center"/>
          </w:tcPr>
          <w:p w14:paraId="3E71881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roofErr w:type="spellStart"/>
            <w:r w:rsidRPr="00F14751">
              <w:rPr>
                <w:rFonts w:ascii="Times New Roman" w:hAnsi="Times New Roman" w:cs="Times New Roman"/>
                <w:sz w:val="20"/>
                <w:szCs w:val="20"/>
              </w:rPr>
              <w:t>UrbanPopgrowth</w:t>
            </w:r>
            <w:proofErr w:type="spellEnd"/>
          </w:p>
        </w:tc>
        <w:tc>
          <w:tcPr>
            <w:tcW w:w="1368" w:type="dxa"/>
            <w:tcBorders>
              <w:top w:val="nil"/>
              <w:left w:val="nil"/>
              <w:bottom w:val="nil"/>
              <w:right w:val="nil"/>
            </w:tcBorders>
            <w:vAlign w:val="center"/>
          </w:tcPr>
          <w:p w14:paraId="247EC3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0.612</w:t>
            </w:r>
          </w:p>
        </w:tc>
        <w:tc>
          <w:tcPr>
            <w:tcW w:w="1369" w:type="dxa"/>
            <w:tcBorders>
              <w:top w:val="nil"/>
              <w:left w:val="nil"/>
              <w:bottom w:val="nil"/>
              <w:right w:val="nil"/>
            </w:tcBorders>
            <w:vAlign w:val="center"/>
          </w:tcPr>
          <w:p w14:paraId="2E2998F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-0.00897</w:t>
            </w:r>
          </w:p>
        </w:tc>
        <w:tc>
          <w:tcPr>
            <w:tcW w:w="1369" w:type="dxa"/>
            <w:tcBorders>
              <w:top w:val="nil"/>
              <w:left w:val="nil"/>
              <w:bottom w:val="nil"/>
              <w:right w:val="nil"/>
            </w:tcBorders>
            <w:vAlign w:val="center"/>
          </w:tcPr>
          <w:p w14:paraId="0CDCFB6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-0.0735</w:t>
            </w:r>
          </w:p>
        </w:tc>
        <w:tc>
          <w:tcPr>
            <w:tcW w:w="1369" w:type="dxa"/>
            <w:tcBorders>
              <w:top w:val="nil"/>
              <w:left w:val="nil"/>
              <w:bottom w:val="nil"/>
              <w:right w:val="nil"/>
            </w:tcBorders>
            <w:vAlign w:val="center"/>
          </w:tcPr>
          <w:p w14:paraId="14A4FA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-0.0825</w:t>
            </w:r>
          </w:p>
        </w:tc>
        <w:tc>
          <w:tcPr>
            <w:tcW w:w="1369" w:type="dxa"/>
            <w:tcBorders>
              <w:top w:val="nil"/>
              <w:left w:val="nil"/>
              <w:bottom w:val="nil"/>
              <w:right w:val="nil"/>
            </w:tcBorders>
            <w:vAlign w:val="center"/>
          </w:tcPr>
          <w:p w14:paraId="1834864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-0.195</w:t>
            </w:r>
          </w:p>
        </w:tc>
        <w:tc>
          <w:tcPr>
            <w:tcW w:w="1369" w:type="dxa"/>
            <w:tcBorders>
              <w:top w:val="nil"/>
              <w:left w:val="nil"/>
              <w:bottom w:val="nil"/>
              <w:right w:val="nil"/>
            </w:tcBorders>
            <w:vAlign w:val="center"/>
          </w:tcPr>
          <w:p w14:paraId="320FDBD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-0.179</w:t>
            </w:r>
          </w:p>
        </w:tc>
        <w:tc>
          <w:tcPr>
            <w:tcW w:w="1369" w:type="dxa"/>
            <w:tcBorders>
              <w:top w:val="nil"/>
              <w:left w:val="nil"/>
              <w:bottom w:val="nil"/>
              <w:right w:val="nil"/>
            </w:tcBorders>
            <w:vAlign w:val="center"/>
          </w:tcPr>
          <w:p w14:paraId="2571614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-0.167</w:t>
            </w:r>
          </w:p>
        </w:tc>
        <w:tc>
          <w:tcPr>
            <w:tcW w:w="1369" w:type="dxa"/>
            <w:tcBorders>
              <w:top w:val="nil"/>
              <w:left w:val="nil"/>
              <w:bottom w:val="nil"/>
              <w:right w:val="nil"/>
            </w:tcBorders>
            <w:vAlign w:val="center"/>
          </w:tcPr>
          <w:p w14:paraId="09ACE38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0.0345</w:t>
            </w:r>
          </w:p>
        </w:tc>
        <w:tc>
          <w:tcPr>
            <w:tcW w:w="1369" w:type="dxa"/>
            <w:tcBorders>
              <w:top w:val="nil"/>
              <w:left w:val="nil"/>
              <w:bottom w:val="nil"/>
              <w:right w:val="nil"/>
            </w:tcBorders>
            <w:vAlign w:val="center"/>
          </w:tcPr>
          <w:p w14:paraId="48A0FDD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0.589</w:t>
            </w:r>
          </w:p>
        </w:tc>
        <w:tc>
          <w:tcPr>
            <w:tcW w:w="1369" w:type="dxa"/>
            <w:tcBorders>
              <w:top w:val="nil"/>
              <w:left w:val="nil"/>
              <w:bottom w:val="nil"/>
              <w:right w:val="nil"/>
            </w:tcBorders>
            <w:vAlign w:val="center"/>
          </w:tcPr>
          <w:p w14:paraId="633623F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0.623</w:t>
            </w:r>
          </w:p>
        </w:tc>
      </w:tr>
      <w:tr w:rsidR="002743A7" w:rsidRPr="00F14751" w14:paraId="291C13AE" w14:textId="77777777" w:rsidTr="008738C3">
        <w:trPr>
          <w:jc w:val="center"/>
        </w:trPr>
        <w:tc>
          <w:tcPr>
            <w:tcW w:w="1954" w:type="dxa"/>
            <w:tcBorders>
              <w:top w:val="nil"/>
              <w:left w:val="nil"/>
              <w:bottom w:val="nil"/>
              <w:right w:val="nil"/>
            </w:tcBorders>
            <w:vAlign w:val="center"/>
          </w:tcPr>
          <w:p w14:paraId="6CB18691"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71845C9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(0.544)</w:t>
            </w:r>
          </w:p>
        </w:tc>
        <w:tc>
          <w:tcPr>
            <w:tcW w:w="1369" w:type="dxa"/>
            <w:tcBorders>
              <w:top w:val="nil"/>
              <w:left w:val="nil"/>
              <w:bottom w:val="nil"/>
              <w:right w:val="nil"/>
            </w:tcBorders>
            <w:vAlign w:val="center"/>
          </w:tcPr>
          <w:p w14:paraId="7DE0E6B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(0.0792)</w:t>
            </w:r>
          </w:p>
        </w:tc>
        <w:tc>
          <w:tcPr>
            <w:tcW w:w="1369" w:type="dxa"/>
            <w:tcBorders>
              <w:top w:val="nil"/>
              <w:left w:val="nil"/>
              <w:bottom w:val="nil"/>
              <w:right w:val="nil"/>
            </w:tcBorders>
            <w:vAlign w:val="center"/>
          </w:tcPr>
          <w:p w14:paraId="37FF0C6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(0.0750)</w:t>
            </w:r>
          </w:p>
        </w:tc>
        <w:tc>
          <w:tcPr>
            <w:tcW w:w="1369" w:type="dxa"/>
            <w:tcBorders>
              <w:top w:val="nil"/>
              <w:left w:val="nil"/>
              <w:bottom w:val="nil"/>
              <w:right w:val="nil"/>
            </w:tcBorders>
            <w:vAlign w:val="center"/>
          </w:tcPr>
          <w:p w14:paraId="4E8BF8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(0.147)</w:t>
            </w:r>
          </w:p>
        </w:tc>
        <w:tc>
          <w:tcPr>
            <w:tcW w:w="1369" w:type="dxa"/>
            <w:tcBorders>
              <w:top w:val="nil"/>
              <w:left w:val="nil"/>
              <w:bottom w:val="nil"/>
              <w:right w:val="nil"/>
            </w:tcBorders>
            <w:vAlign w:val="center"/>
          </w:tcPr>
          <w:p w14:paraId="6ACC16D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(0.153)</w:t>
            </w:r>
          </w:p>
        </w:tc>
        <w:tc>
          <w:tcPr>
            <w:tcW w:w="1369" w:type="dxa"/>
            <w:tcBorders>
              <w:top w:val="nil"/>
              <w:left w:val="nil"/>
              <w:bottom w:val="nil"/>
              <w:right w:val="nil"/>
            </w:tcBorders>
            <w:vAlign w:val="center"/>
          </w:tcPr>
          <w:p w14:paraId="3294FE1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(0.161)</w:t>
            </w:r>
          </w:p>
        </w:tc>
        <w:tc>
          <w:tcPr>
            <w:tcW w:w="1369" w:type="dxa"/>
            <w:tcBorders>
              <w:top w:val="nil"/>
              <w:left w:val="nil"/>
              <w:bottom w:val="nil"/>
              <w:right w:val="nil"/>
            </w:tcBorders>
            <w:vAlign w:val="center"/>
          </w:tcPr>
          <w:p w14:paraId="18E5677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(0.228)</w:t>
            </w:r>
          </w:p>
        </w:tc>
        <w:tc>
          <w:tcPr>
            <w:tcW w:w="1369" w:type="dxa"/>
            <w:tcBorders>
              <w:top w:val="nil"/>
              <w:left w:val="nil"/>
              <w:bottom w:val="nil"/>
              <w:right w:val="nil"/>
            </w:tcBorders>
            <w:vAlign w:val="center"/>
          </w:tcPr>
          <w:p w14:paraId="33BE29C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(0.255)</w:t>
            </w:r>
          </w:p>
        </w:tc>
        <w:tc>
          <w:tcPr>
            <w:tcW w:w="1369" w:type="dxa"/>
            <w:tcBorders>
              <w:top w:val="nil"/>
              <w:left w:val="nil"/>
              <w:bottom w:val="nil"/>
              <w:right w:val="nil"/>
            </w:tcBorders>
            <w:vAlign w:val="center"/>
          </w:tcPr>
          <w:p w14:paraId="215574F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(0.542)</w:t>
            </w:r>
          </w:p>
        </w:tc>
        <w:tc>
          <w:tcPr>
            <w:tcW w:w="1369" w:type="dxa"/>
            <w:tcBorders>
              <w:top w:val="nil"/>
              <w:left w:val="nil"/>
              <w:bottom w:val="nil"/>
              <w:right w:val="nil"/>
            </w:tcBorders>
            <w:vAlign w:val="center"/>
          </w:tcPr>
          <w:p w14:paraId="6674C7A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(0.473)</w:t>
            </w:r>
          </w:p>
        </w:tc>
      </w:tr>
      <w:tr w:rsidR="002743A7" w:rsidRPr="00F14751" w14:paraId="2A75261D" w14:textId="77777777" w:rsidTr="008738C3">
        <w:trPr>
          <w:jc w:val="center"/>
        </w:trPr>
        <w:tc>
          <w:tcPr>
            <w:tcW w:w="1954" w:type="dxa"/>
            <w:tcBorders>
              <w:top w:val="nil"/>
              <w:left w:val="nil"/>
              <w:bottom w:val="nil"/>
              <w:right w:val="nil"/>
            </w:tcBorders>
            <w:vAlign w:val="center"/>
          </w:tcPr>
          <w:p w14:paraId="352BD506"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Mercosur</w:t>
            </w:r>
          </w:p>
        </w:tc>
        <w:tc>
          <w:tcPr>
            <w:tcW w:w="1368" w:type="dxa"/>
            <w:tcBorders>
              <w:top w:val="nil"/>
              <w:left w:val="nil"/>
              <w:bottom w:val="nil"/>
              <w:right w:val="nil"/>
            </w:tcBorders>
            <w:vAlign w:val="center"/>
          </w:tcPr>
          <w:p w14:paraId="6D9826B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0.0124</w:t>
            </w:r>
          </w:p>
        </w:tc>
        <w:tc>
          <w:tcPr>
            <w:tcW w:w="1369" w:type="dxa"/>
            <w:tcBorders>
              <w:top w:val="nil"/>
              <w:left w:val="nil"/>
              <w:bottom w:val="nil"/>
              <w:right w:val="nil"/>
            </w:tcBorders>
            <w:vAlign w:val="center"/>
          </w:tcPr>
          <w:p w14:paraId="011204A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-0.113</w:t>
            </w:r>
          </w:p>
        </w:tc>
        <w:tc>
          <w:tcPr>
            <w:tcW w:w="1369" w:type="dxa"/>
            <w:tcBorders>
              <w:top w:val="nil"/>
              <w:left w:val="nil"/>
              <w:bottom w:val="nil"/>
              <w:right w:val="nil"/>
            </w:tcBorders>
            <w:vAlign w:val="center"/>
          </w:tcPr>
          <w:p w14:paraId="2B499AA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-0.195</w:t>
            </w:r>
          </w:p>
        </w:tc>
        <w:tc>
          <w:tcPr>
            <w:tcW w:w="1369" w:type="dxa"/>
            <w:tcBorders>
              <w:top w:val="nil"/>
              <w:left w:val="nil"/>
              <w:bottom w:val="nil"/>
              <w:right w:val="nil"/>
            </w:tcBorders>
            <w:vAlign w:val="center"/>
          </w:tcPr>
          <w:p w14:paraId="41BE57D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-0.308</w:t>
            </w:r>
          </w:p>
        </w:tc>
        <w:tc>
          <w:tcPr>
            <w:tcW w:w="1369" w:type="dxa"/>
            <w:tcBorders>
              <w:top w:val="nil"/>
              <w:left w:val="nil"/>
              <w:bottom w:val="nil"/>
              <w:right w:val="nil"/>
            </w:tcBorders>
            <w:vAlign w:val="center"/>
          </w:tcPr>
          <w:p w14:paraId="3E3D161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-0.104</w:t>
            </w:r>
          </w:p>
        </w:tc>
        <w:tc>
          <w:tcPr>
            <w:tcW w:w="1369" w:type="dxa"/>
            <w:tcBorders>
              <w:top w:val="nil"/>
              <w:left w:val="nil"/>
              <w:bottom w:val="nil"/>
              <w:right w:val="nil"/>
            </w:tcBorders>
            <w:vAlign w:val="center"/>
          </w:tcPr>
          <w:p w14:paraId="4885EC1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0.491</w:t>
            </w:r>
          </w:p>
        </w:tc>
        <w:tc>
          <w:tcPr>
            <w:tcW w:w="1369" w:type="dxa"/>
            <w:tcBorders>
              <w:top w:val="nil"/>
              <w:left w:val="nil"/>
              <w:bottom w:val="nil"/>
              <w:right w:val="nil"/>
            </w:tcBorders>
            <w:vAlign w:val="center"/>
          </w:tcPr>
          <w:p w14:paraId="54BFFA5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0.718</w:t>
            </w:r>
          </w:p>
        </w:tc>
        <w:tc>
          <w:tcPr>
            <w:tcW w:w="1369" w:type="dxa"/>
            <w:tcBorders>
              <w:top w:val="nil"/>
              <w:left w:val="nil"/>
              <w:bottom w:val="nil"/>
              <w:right w:val="nil"/>
            </w:tcBorders>
            <w:vAlign w:val="center"/>
          </w:tcPr>
          <w:p w14:paraId="63F495D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0.285</w:t>
            </w:r>
          </w:p>
        </w:tc>
        <w:tc>
          <w:tcPr>
            <w:tcW w:w="1369" w:type="dxa"/>
            <w:tcBorders>
              <w:top w:val="nil"/>
              <w:left w:val="nil"/>
              <w:bottom w:val="nil"/>
              <w:right w:val="nil"/>
            </w:tcBorders>
            <w:vAlign w:val="center"/>
          </w:tcPr>
          <w:p w14:paraId="3925C4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-1.083</w:t>
            </w:r>
          </w:p>
        </w:tc>
        <w:tc>
          <w:tcPr>
            <w:tcW w:w="1369" w:type="dxa"/>
            <w:tcBorders>
              <w:top w:val="nil"/>
              <w:left w:val="nil"/>
              <w:bottom w:val="nil"/>
              <w:right w:val="nil"/>
            </w:tcBorders>
            <w:vAlign w:val="center"/>
          </w:tcPr>
          <w:p w14:paraId="78FA03E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-0.797</w:t>
            </w:r>
          </w:p>
        </w:tc>
      </w:tr>
      <w:tr w:rsidR="002743A7" w:rsidRPr="00F14751" w14:paraId="0958ABE0" w14:textId="77777777" w:rsidTr="008738C3">
        <w:trPr>
          <w:jc w:val="center"/>
        </w:trPr>
        <w:tc>
          <w:tcPr>
            <w:tcW w:w="1954" w:type="dxa"/>
            <w:tcBorders>
              <w:top w:val="nil"/>
              <w:left w:val="nil"/>
              <w:bottom w:val="nil"/>
              <w:right w:val="nil"/>
            </w:tcBorders>
            <w:vAlign w:val="center"/>
          </w:tcPr>
          <w:p w14:paraId="6B43F4FC"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291A483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(2.196)</w:t>
            </w:r>
          </w:p>
        </w:tc>
        <w:tc>
          <w:tcPr>
            <w:tcW w:w="1369" w:type="dxa"/>
            <w:tcBorders>
              <w:top w:val="nil"/>
              <w:left w:val="nil"/>
              <w:bottom w:val="nil"/>
              <w:right w:val="nil"/>
            </w:tcBorders>
            <w:vAlign w:val="center"/>
          </w:tcPr>
          <w:p w14:paraId="7050D90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(0.214)</w:t>
            </w:r>
          </w:p>
        </w:tc>
        <w:tc>
          <w:tcPr>
            <w:tcW w:w="1369" w:type="dxa"/>
            <w:tcBorders>
              <w:top w:val="nil"/>
              <w:left w:val="nil"/>
              <w:bottom w:val="nil"/>
              <w:right w:val="nil"/>
            </w:tcBorders>
            <w:vAlign w:val="center"/>
          </w:tcPr>
          <w:p w14:paraId="68A25E6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(0.204)</w:t>
            </w:r>
          </w:p>
        </w:tc>
        <w:tc>
          <w:tcPr>
            <w:tcW w:w="1369" w:type="dxa"/>
            <w:tcBorders>
              <w:top w:val="nil"/>
              <w:left w:val="nil"/>
              <w:bottom w:val="nil"/>
              <w:right w:val="nil"/>
            </w:tcBorders>
            <w:vAlign w:val="center"/>
          </w:tcPr>
          <w:p w14:paraId="380C30E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(0.388)</w:t>
            </w:r>
          </w:p>
        </w:tc>
        <w:tc>
          <w:tcPr>
            <w:tcW w:w="1369" w:type="dxa"/>
            <w:tcBorders>
              <w:top w:val="nil"/>
              <w:left w:val="nil"/>
              <w:bottom w:val="nil"/>
              <w:right w:val="nil"/>
            </w:tcBorders>
            <w:vAlign w:val="center"/>
          </w:tcPr>
          <w:p w14:paraId="46BD743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(0.514)</w:t>
            </w:r>
          </w:p>
        </w:tc>
        <w:tc>
          <w:tcPr>
            <w:tcW w:w="1369" w:type="dxa"/>
            <w:tcBorders>
              <w:top w:val="nil"/>
              <w:left w:val="nil"/>
              <w:bottom w:val="nil"/>
              <w:right w:val="nil"/>
            </w:tcBorders>
            <w:vAlign w:val="center"/>
          </w:tcPr>
          <w:p w14:paraId="6D217CA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(0.600)</w:t>
            </w:r>
          </w:p>
        </w:tc>
        <w:tc>
          <w:tcPr>
            <w:tcW w:w="1369" w:type="dxa"/>
            <w:tcBorders>
              <w:top w:val="nil"/>
              <w:left w:val="nil"/>
              <w:bottom w:val="nil"/>
              <w:right w:val="nil"/>
            </w:tcBorders>
            <w:vAlign w:val="center"/>
          </w:tcPr>
          <w:p w14:paraId="38B84F3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(0.617)</w:t>
            </w:r>
          </w:p>
        </w:tc>
        <w:tc>
          <w:tcPr>
            <w:tcW w:w="1369" w:type="dxa"/>
            <w:tcBorders>
              <w:top w:val="nil"/>
              <w:left w:val="nil"/>
              <w:bottom w:val="nil"/>
              <w:right w:val="nil"/>
            </w:tcBorders>
            <w:vAlign w:val="center"/>
          </w:tcPr>
          <w:p w14:paraId="11C2BE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(0.283)</w:t>
            </w:r>
          </w:p>
        </w:tc>
        <w:tc>
          <w:tcPr>
            <w:tcW w:w="1369" w:type="dxa"/>
            <w:tcBorders>
              <w:top w:val="nil"/>
              <w:left w:val="nil"/>
              <w:bottom w:val="nil"/>
              <w:right w:val="nil"/>
            </w:tcBorders>
            <w:vAlign w:val="center"/>
          </w:tcPr>
          <w:p w14:paraId="7715FAF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(2.113)</w:t>
            </w:r>
          </w:p>
        </w:tc>
        <w:tc>
          <w:tcPr>
            <w:tcW w:w="1369" w:type="dxa"/>
            <w:tcBorders>
              <w:top w:val="nil"/>
              <w:left w:val="nil"/>
              <w:bottom w:val="nil"/>
              <w:right w:val="nil"/>
            </w:tcBorders>
            <w:vAlign w:val="center"/>
          </w:tcPr>
          <w:p w14:paraId="2149052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(2.017)</w:t>
            </w:r>
          </w:p>
        </w:tc>
      </w:tr>
      <w:tr w:rsidR="002743A7" w:rsidRPr="00F14751" w14:paraId="2941068C" w14:textId="77777777" w:rsidTr="008738C3">
        <w:trPr>
          <w:jc w:val="center"/>
        </w:trPr>
        <w:tc>
          <w:tcPr>
            <w:tcW w:w="1954" w:type="dxa"/>
            <w:tcBorders>
              <w:top w:val="nil"/>
              <w:left w:val="nil"/>
              <w:bottom w:val="nil"/>
              <w:right w:val="nil"/>
            </w:tcBorders>
            <w:vAlign w:val="center"/>
          </w:tcPr>
          <w:p w14:paraId="29C67503"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roofErr w:type="spellStart"/>
            <w:r w:rsidRPr="00F14751">
              <w:rPr>
                <w:rFonts w:ascii="Times New Roman" w:hAnsi="Times New Roman" w:cs="Times New Roman"/>
                <w:sz w:val="20"/>
                <w:szCs w:val="20"/>
              </w:rPr>
              <w:t>Unasur</w:t>
            </w:r>
            <w:proofErr w:type="spellEnd"/>
          </w:p>
        </w:tc>
        <w:tc>
          <w:tcPr>
            <w:tcW w:w="1368" w:type="dxa"/>
            <w:tcBorders>
              <w:top w:val="nil"/>
              <w:left w:val="nil"/>
              <w:bottom w:val="nil"/>
              <w:right w:val="nil"/>
            </w:tcBorders>
            <w:vAlign w:val="center"/>
          </w:tcPr>
          <w:p w14:paraId="3D83B64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-0.815</w:t>
            </w:r>
          </w:p>
        </w:tc>
        <w:tc>
          <w:tcPr>
            <w:tcW w:w="1369" w:type="dxa"/>
            <w:tcBorders>
              <w:top w:val="nil"/>
              <w:left w:val="nil"/>
              <w:bottom w:val="nil"/>
              <w:right w:val="nil"/>
            </w:tcBorders>
            <w:vAlign w:val="center"/>
          </w:tcPr>
          <w:p w14:paraId="00F39E0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-0.197*</w:t>
            </w:r>
          </w:p>
        </w:tc>
        <w:tc>
          <w:tcPr>
            <w:tcW w:w="1369" w:type="dxa"/>
            <w:tcBorders>
              <w:top w:val="nil"/>
              <w:left w:val="nil"/>
              <w:bottom w:val="nil"/>
              <w:right w:val="nil"/>
            </w:tcBorders>
            <w:vAlign w:val="center"/>
          </w:tcPr>
          <w:p w14:paraId="1D013D4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-0.0438</w:t>
            </w:r>
          </w:p>
        </w:tc>
        <w:tc>
          <w:tcPr>
            <w:tcW w:w="1369" w:type="dxa"/>
            <w:tcBorders>
              <w:top w:val="nil"/>
              <w:left w:val="nil"/>
              <w:bottom w:val="nil"/>
              <w:right w:val="nil"/>
            </w:tcBorders>
            <w:vAlign w:val="center"/>
          </w:tcPr>
          <w:p w14:paraId="5399312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-0.241</w:t>
            </w:r>
          </w:p>
        </w:tc>
        <w:tc>
          <w:tcPr>
            <w:tcW w:w="1369" w:type="dxa"/>
            <w:tcBorders>
              <w:top w:val="nil"/>
              <w:left w:val="nil"/>
              <w:bottom w:val="nil"/>
              <w:right w:val="nil"/>
            </w:tcBorders>
            <w:vAlign w:val="center"/>
          </w:tcPr>
          <w:p w14:paraId="370062E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0.230</w:t>
            </w:r>
          </w:p>
        </w:tc>
        <w:tc>
          <w:tcPr>
            <w:tcW w:w="1369" w:type="dxa"/>
            <w:tcBorders>
              <w:top w:val="nil"/>
              <w:left w:val="nil"/>
              <w:bottom w:val="nil"/>
              <w:right w:val="nil"/>
            </w:tcBorders>
            <w:vAlign w:val="center"/>
          </w:tcPr>
          <w:p w14:paraId="24DF081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0.563*</w:t>
            </w:r>
          </w:p>
        </w:tc>
        <w:tc>
          <w:tcPr>
            <w:tcW w:w="1369" w:type="dxa"/>
            <w:tcBorders>
              <w:top w:val="nil"/>
              <w:left w:val="nil"/>
              <w:bottom w:val="nil"/>
              <w:right w:val="nil"/>
            </w:tcBorders>
            <w:vAlign w:val="center"/>
          </w:tcPr>
          <w:p w14:paraId="1B4641D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0.763***</w:t>
            </w:r>
          </w:p>
        </w:tc>
        <w:tc>
          <w:tcPr>
            <w:tcW w:w="1369" w:type="dxa"/>
            <w:tcBorders>
              <w:top w:val="nil"/>
              <w:left w:val="nil"/>
              <w:bottom w:val="nil"/>
              <w:right w:val="nil"/>
            </w:tcBorders>
            <w:vAlign w:val="center"/>
          </w:tcPr>
          <w:p w14:paraId="71585C4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0.211</w:t>
            </w:r>
          </w:p>
        </w:tc>
        <w:tc>
          <w:tcPr>
            <w:tcW w:w="1369" w:type="dxa"/>
            <w:tcBorders>
              <w:top w:val="nil"/>
              <w:left w:val="nil"/>
              <w:bottom w:val="nil"/>
              <w:right w:val="nil"/>
            </w:tcBorders>
            <w:vAlign w:val="center"/>
          </w:tcPr>
          <w:p w14:paraId="65D9BA3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-1.527*</w:t>
            </w:r>
          </w:p>
        </w:tc>
        <w:tc>
          <w:tcPr>
            <w:tcW w:w="1369" w:type="dxa"/>
            <w:tcBorders>
              <w:top w:val="nil"/>
              <w:left w:val="nil"/>
              <w:bottom w:val="nil"/>
              <w:right w:val="nil"/>
            </w:tcBorders>
            <w:vAlign w:val="center"/>
          </w:tcPr>
          <w:p w14:paraId="6CCA558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-1.316</w:t>
            </w:r>
          </w:p>
        </w:tc>
      </w:tr>
      <w:tr w:rsidR="002743A7" w:rsidRPr="00F14751" w14:paraId="0DE2D3AF" w14:textId="77777777" w:rsidTr="008738C3">
        <w:trPr>
          <w:jc w:val="center"/>
        </w:trPr>
        <w:tc>
          <w:tcPr>
            <w:tcW w:w="1954" w:type="dxa"/>
            <w:tcBorders>
              <w:top w:val="nil"/>
              <w:left w:val="nil"/>
              <w:bottom w:val="nil"/>
              <w:right w:val="nil"/>
            </w:tcBorders>
            <w:vAlign w:val="center"/>
          </w:tcPr>
          <w:p w14:paraId="3EA4FA4F"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5A236D2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(1.035)</w:t>
            </w:r>
          </w:p>
        </w:tc>
        <w:tc>
          <w:tcPr>
            <w:tcW w:w="1369" w:type="dxa"/>
            <w:tcBorders>
              <w:top w:val="nil"/>
              <w:left w:val="nil"/>
              <w:bottom w:val="nil"/>
              <w:right w:val="nil"/>
            </w:tcBorders>
            <w:vAlign w:val="center"/>
          </w:tcPr>
          <w:p w14:paraId="1C207EA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(0.102)</w:t>
            </w:r>
          </w:p>
        </w:tc>
        <w:tc>
          <w:tcPr>
            <w:tcW w:w="1369" w:type="dxa"/>
            <w:tcBorders>
              <w:top w:val="nil"/>
              <w:left w:val="nil"/>
              <w:bottom w:val="nil"/>
              <w:right w:val="nil"/>
            </w:tcBorders>
            <w:vAlign w:val="center"/>
          </w:tcPr>
          <w:p w14:paraId="25A80A6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(0.114)</w:t>
            </w:r>
          </w:p>
        </w:tc>
        <w:tc>
          <w:tcPr>
            <w:tcW w:w="1369" w:type="dxa"/>
            <w:tcBorders>
              <w:top w:val="nil"/>
              <w:left w:val="nil"/>
              <w:bottom w:val="nil"/>
              <w:right w:val="nil"/>
            </w:tcBorders>
            <w:vAlign w:val="center"/>
          </w:tcPr>
          <w:p w14:paraId="3AA34E8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(0.208)</w:t>
            </w:r>
          </w:p>
        </w:tc>
        <w:tc>
          <w:tcPr>
            <w:tcW w:w="1369" w:type="dxa"/>
            <w:tcBorders>
              <w:top w:val="nil"/>
              <w:left w:val="nil"/>
              <w:bottom w:val="nil"/>
              <w:right w:val="nil"/>
            </w:tcBorders>
            <w:vAlign w:val="center"/>
          </w:tcPr>
          <w:p w14:paraId="2607A33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(0.279)</w:t>
            </w:r>
          </w:p>
        </w:tc>
        <w:tc>
          <w:tcPr>
            <w:tcW w:w="1369" w:type="dxa"/>
            <w:tcBorders>
              <w:top w:val="nil"/>
              <w:left w:val="nil"/>
              <w:bottom w:val="nil"/>
              <w:right w:val="nil"/>
            </w:tcBorders>
            <w:vAlign w:val="center"/>
          </w:tcPr>
          <w:p w14:paraId="0E0CAA6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(0.310)</w:t>
            </w:r>
          </w:p>
        </w:tc>
        <w:tc>
          <w:tcPr>
            <w:tcW w:w="1369" w:type="dxa"/>
            <w:tcBorders>
              <w:top w:val="nil"/>
              <w:left w:val="nil"/>
              <w:bottom w:val="nil"/>
              <w:right w:val="nil"/>
            </w:tcBorders>
            <w:vAlign w:val="center"/>
          </w:tcPr>
          <w:p w14:paraId="16F2FBB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(0.227)</w:t>
            </w:r>
          </w:p>
        </w:tc>
        <w:tc>
          <w:tcPr>
            <w:tcW w:w="1369" w:type="dxa"/>
            <w:tcBorders>
              <w:top w:val="nil"/>
              <w:left w:val="nil"/>
              <w:bottom w:val="nil"/>
              <w:right w:val="nil"/>
            </w:tcBorders>
            <w:vAlign w:val="center"/>
          </w:tcPr>
          <w:p w14:paraId="02AEF5A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(0.152)</w:t>
            </w:r>
          </w:p>
        </w:tc>
        <w:tc>
          <w:tcPr>
            <w:tcW w:w="1369" w:type="dxa"/>
            <w:tcBorders>
              <w:top w:val="nil"/>
              <w:left w:val="nil"/>
              <w:bottom w:val="nil"/>
              <w:right w:val="nil"/>
            </w:tcBorders>
            <w:vAlign w:val="center"/>
          </w:tcPr>
          <w:p w14:paraId="0D1278D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(0.852)</w:t>
            </w:r>
          </w:p>
        </w:tc>
        <w:tc>
          <w:tcPr>
            <w:tcW w:w="1369" w:type="dxa"/>
            <w:tcBorders>
              <w:top w:val="nil"/>
              <w:left w:val="nil"/>
              <w:bottom w:val="nil"/>
              <w:right w:val="nil"/>
            </w:tcBorders>
            <w:vAlign w:val="center"/>
          </w:tcPr>
          <w:p w14:paraId="18B25E9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(0.921)</w:t>
            </w:r>
          </w:p>
        </w:tc>
      </w:tr>
      <w:tr w:rsidR="002743A7" w:rsidRPr="00F14751" w14:paraId="09B421A6" w14:textId="77777777" w:rsidTr="008738C3">
        <w:trPr>
          <w:jc w:val="center"/>
        </w:trPr>
        <w:tc>
          <w:tcPr>
            <w:tcW w:w="1954" w:type="dxa"/>
            <w:tcBorders>
              <w:top w:val="nil"/>
              <w:left w:val="nil"/>
              <w:bottom w:val="nil"/>
              <w:right w:val="nil"/>
            </w:tcBorders>
            <w:vAlign w:val="center"/>
          </w:tcPr>
          <w:p w14:paraId="51DFA432"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roofErr w:type="spellStart"/>
            <w:r w:rsidRPr="00F14751">
              <w:rPr>
                <w:rFonts w:ascii="Times New Roman" w:hAnsi="Times New Roman" w:cs="Times New Roman"/>
                <w:sz w:val="20"/>
                <w:szCs w:val="20"/>
              </w:rPr>
              <w:t>DoP</w:t>
            </w:r>
            <w:proofErr w:type="spellEnd"/>
            <w:r w:rsidRPr="00F14751">
              <w:rPr>
                <w:rFonts w:ascii="Times New Roman" w:hAnsi="Times New Roman" w:cs="Times New Roman"/>
                <w:sz w:val="20"/>
                <w:szCs w:val="20"/>
              </w:rPr>
              <w:t xml:space="preserve"> ($2)</w:t>
            </w:r>
          </w:p>
        </w:tc>
        <w:tc>
          <w:tcPr>
            <w:tcW w:w="1368" w:type="dxa"/>
            <w:tcBorders>
              <w:top w:val="nil"/>
              <w:left w:val="nil"/>
              <w:bottom w:val="nil"/>
              <w:right w:val="nil"/>
            </w:tcBorders>
            <w:vAlign w:val="center"/>
          </w:tcPr>
          <w:p w14:paraId="0BAAFC8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0.0125***</w:t>
            </w:r>
          </w:p>
        </w:tc>
        <w:tc>
          <w:tcPr>
            <w:tcW w:w="1369" w:type="dxa"/>
            <w:tcBorders>
              <w:top w:val="nil"/>
              <w:left w:val="nil"/>
              <w:bottom w:val="nil"/>
              <w:right w:val="nil"/>
            </w:tcBorders>
            <w:vAlign w:val="center"/>
          </w:tcPr>
          <w:p w14:paraId="39A6877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-0.00132***</w:t>
            </w:r>
          </w:p>
        </w:tc>
        <w:tc>
          <w:tcPr>
            <w:tcW w:w="1369" w:type="dxa"/>
            <w:tcBorders>
              <w:top w:val="nil"/>
              <w:left w:val="nil"/>
              <w:bottom w:val="nil"/>
              <w:right w:val="nil"/>
            </w:tcBorders>
            <w:vAlign w:val="center"/>
          </w:tcPr>
          <w:p w14:paraId="44A85B9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-0.00160***</w:t>
            </w:r>
          </w:p>
        </w:tc>
        <w:tc>
          <w:tcPr>
            <w:tcW w:w="1369" w:type="dxa"/>
            <w:tcBorders>
              <w:top w:val="nil"/>
              <w:left w:val="nil"/>
              <w:bottom w:val="nil"/>
              <w:right w:val="nil"/>
            </w:tcBorders>
            <w:vAlign w:val="center"/>
          </w:tcPr>
          <w:p w14:paraId="09CF7F6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-0.00292***</w:t>
            </w:r>
          </w:p>
        </w:tc>
        <w:tc>
          <w:tcPr>
            <w:tcW w:w="1369" w:type="dxa"/>
            <w:tcBorders>
              <w:top w:val="nil"/>
              <w:left w:val="nil"/>
              <w:bottom w:val="nil"/>
              <w:right w:val="nil"/>
            </w:tcBorders>
            <w:vAlign w:val="center"/>
          </w:tcPr>
          <w:p w14:paraId="7856BB4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-0.00290***</w:t>
            </w:r>
          </w:p>
        </w:tc>
        <w:tc>
          <w:tcPr>
            <w:tcW w:w="1369" w:type="dxa"/>
            <w:tcBorders>
              <w:top w:val="nil"/>
              <w:left w:val="nil"/>
              <w:bottom w:val="nil"/>
              <w:right w:val="nil"/>
            </w:tcBorders>
            <w:vAlign w:val="center"/>
          </w:tcPr>
          <w:p w14:paraId="325B631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-0.00249***</w:t>
            </w:r>
          </w:p>
        </w:tc>
        <w:tc>
          <w:tcPr>
            <w:tcW w:w="1369" w:type="dxa"/>
            <w:tcBorders>
              <w:top w:val="nil"/>
              <w:left w:val="nil"/>
              <w:bottom w:val="nil"/>
              <w:right w:val="nil"/>
            </w:tcBorders>
            <w:vAlign w:val="center"/>
          </w:tcPr>
          <w:p w14:paraId="76F644F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-0.00173***</w:t>
            </w:r>
          </w:p>
        </w:tc>
        <w:tc>
          <w:tcPr>
            <w:tcW w:w="1369" w:type="dxa"/>
            <w:tcBorders>
              <w:top w:val="nil"/>
              <w:left w:val="nil"/>
              <w:bottom w:val="nil"/>
              <w:right w:val="nil"/>
            </w:tcBorders>
            <w:vAlign w:val="center"/>
          </w:tcPr>
          <w:p w14:paraId="60BFE9F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1.75e-05</w:t>
            </w:r>
          </w:p>
        </w:tc>
        <w:tc>
          <w:tcPr>
            <w:tcW w:w="1369" w:type="dxa"/>
            <w:tcBorders>
              <w:top w:val="nil"/>
              <w:left w:val="nil"/>
              <w:bottom w:val="nil"/>
              <w:right w:val="nil"/>
            </w:tcBorders>
            <w:vAlign w:val="center"/>
          </w:tcPr>
          <w:p w14:paraId="3D7F212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0.0100***</w:t>
            </w:r>
          </w:p>
        </w:tc>
        <w:tc>
          <w:tcPr>
            <w:tcW w:w="1369" w:type="dxa"/>
            <w:tcBorders>
              <w:top w:val="nil"/>
              <w:left w:val="nil"/>
              <w:bottom w:val="nil"/>
              <w:right w:val="nil"/>
            </w:tcBorders>
            <w:vAlign w:val="center"/>
          </w:tcPr>
          <w:p w14:paraId="512814D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0.0100***</w:t>
            </w:r>
          </w:p>
        </w:tc>
      </w:tr>
      <w:tr w:rsidR="002743A7" w:rsidRPr="00F14751" w14:paraId="51F6A993" w14:textId="77777777" w:rsidTr="008738C3">
        <w:trPr>
          <w:jc w:val="center"/>
        </w:trPr>
        <w:tc>
          <w:tcPr>
            <w:tcW w:w="1954" w:type="dxa"/>
            <w:tcBorders>
              <w:top w:val="nil"/>
              <w:left w:val="nil"/>
              <w:bottom w:val="nil"/>
              <w:right w:val="nil"/>
            </w:tcBorders>
            <w:vAlign w:val="center"/>
          </w:tcPr>
          <w:p w14:paraId="5E7B90DB"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4570FA3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(0.00298)</w:t>
            </w:r>
          </w:p>
        </w:tc>
        <w:tc>
          <w:tcPr>
            <w:tcW w:w="1369" w:type="dxa"/>
            <w:tcBorders>
              <w:top w:val="nil"/>
              <w:left w:val="nil"/>
              <w:bottom w:val="nil"/>
              <w:right w:val="nil"/>
            </w:tcBorders>
            <w:vAlign w:val="center"/>
          </w:tcPr>
          <w:p w14:paraId="1A3B4BC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(0.000348)</w:t>
            </w:r>
          </w:p>
        </w:tc>
        <w:tc>
          <w:tcPr>
            <w:tcW w:w="1369" w:type="dxa"/>
            <w:tcBorders>
              <w:top w:val="nil"/>
              <w:left w:val="nil"/>
              <w:bottom w:val="nil"/>
              <w:right w:val="nil"/>
            </w:tcBorders>
            <w:vAlign w:val="center"/>
          </w:tcPr>
          <w:p w14:paraId="6FD79FB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(0.000393)</w:t>
            </w:r>
          </w:p>
        </w:tc>
        <w:tc>
          <w:tcPr>
            <w:tcW w:w="1369" w:type="dxa"/>
            <w:tcBorders>
              <w:top w:val="nil"/>
              <w:left w:val="nil"/>
              <w:bottom w:val="nil"/>
              <w:right w:val="nil"/>
            </w:tcBorders>
            <w:vAlign w:val="center"/>
          </w:tcPr>
          <w:p w14:paraId="3E16D15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(0.000712)</w:t>
            </w:r>
          </w:p>
        </w:tc>
        <w:tc>
          <w:tcPr>
            <w:tcW w:w="1369" w:type="dxa"/>
            <w:tcBorders>
              <w:top w:val="nil"/>
              <w:left w:val="nil"/>
              <w:bottom w:val="nil"/>
              <w:right w:val="nil"/>
            </w:tcBorders>
            <w:vAlign w:val="center"/>
          </w:tcPr>
          <w:p w14:paraId="0C6A211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(0.000709)</w:t>
            </w:r>
          </w:p>
        </w:tc>
        <w:tc>
          <w:tcPr>
            <w:tcW w:w="1369" w:type="dxa"/>
            <w:tcBorders>
              <w:top w:val="nil"/>
              <w:left w:val="nil"/>
              <w:bottom w:val="nil"/>
              <w:right w:val="nil"/>
            </w:tcBorders>
            <w:vAlign w:val="center"/>
          </w:tcPr>
          <w:p w14:paraId="5E836BE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(0.000606)</w:t>
            </w:r>
          </w:p>
        </w:tc>
        <w:tc>
          <w:tcPr>
            <w:tcW w:w="1369" w:type="dxa"/>
            <w:tcBorders>
              <w:top w:val="nil"/>
              <w:left w:val="nil"/>
              <w:bottom w:val="nil"/>
              <w:right w:val="nil"/>
            </w:tcBorders>
            <w:vAlign w:val="center"/>
          </w:tcPr>
          <w:p w14:paraId="72D072B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(0.000558)</w:t>
            </w:r>
          </w:p>
        </w:tc>
        <w:tc>
          <w:tcPr>
            <w:tcW w:w="1369" w:type="dxa"/>
            <w:tcBorders>
              <w:top w:val="nil"/>
              <w:left w:val="nil"/>
              <w:bottom w:val="nil"/>
              <w:right w:val="nil"/>
            </w:tcBorders>
            <w:vAlign w:val="center"/>
          </w:tcPr>
          <w:p w14:paraId="41CE780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(0.000447)</w:t>
            </w:r>
          </w:p>
        </w:tc>
        <w:tc>
          <w:tcPr>
            <w:tcW w:w="1369" w:type="dxa"/>
            <w:tcBorders>
              <w:top w:val="nil"/>
              <w:left w:val="nil"/>
              <w:bottom w:val="nil"/>
              <w:right w:val="nil"/>
            </w:tcBorders>
            <w:vAlign w:val="center"/>
          </w:tcPr>
          <w:p w14:paraId="28DE92C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(0.00238)</w:t>
            </w:r>
          </w:p>
        </w:tc>
        <w:tc>
          <w:tcPr>
            <w:tcW w:w="1369" w:type="dxa"/>
            <w:tcBorders>
              <w:top w:val="nil"/>
              <w:left w:val="nil"/>
              <w:bottom w:val="nil"/>
              <w:right w:val="nil"/>
            </w:tcBorders>
            <w:vAlign w:val="center"/>
          </w:tcPr>
          <w:p w14:paraId="7DB2DDD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(0.00236)</w:t>
            </w:r>
          </w:p>
        </w:tc>
      </w:tr>
      <w:tr w:rsidR="002743A7" w:rsidRPr="00F14751" w14:paraId="20BDA209" w14:textId="77777777" w:rsidTr="008738C3">
        <w:trPr>
          <w:jc w:val="center"/>
        </w:trPr>
        <w:tc>
          <w:tcPr>
            <w:tcW w:w="1954" w:type="dxa"/>
            <w:tcBorders>
              <w:top w:val="nil"/>
              <w:left w:val="nil"/>
              <w:bottom w:val="nil"/>
              <w:right w:val="nil"/>
            </w:tcBorders>
            <w:vAlign w:val="center"/>
          </w:tcPr>
          <w:p w14:paraId="7ED44617"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Constant</w:t>
            </w:r>
          </w:p>
        </w:tc>
        <w:tc>
          <w:tcPr>
            <w:tcW w:w="1368" w:type="dxa"/>
            <w:tcBorders>
              <w:top w:val="nil"/>
              <w:left w:val="nil"/>
              <w:bottom w:val="nil"/>
              <w:right w:val="nil"/>
            </w:tcBorders>
            <w:vAlign w:val="center"/>
          </w:tcPr>
          <w:p w14:paraId="3091CA7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63.98***</w:t>
            </w:r>
          </w:p>
        </w:tc>
        <w:tc>
          <w:tcPr>
            <w:tcW w:w="1369" w:type="dxa"/>
            <w:tcBorders>
              <w:top w:val="nil"/>
              <w:left w:val="nil"/>
              <w:bottom w:val="nil"/>
              <w:right w:val="nil"/>
            </w:tcBorders>
            <w:vAlign w:val="center"/>
          </w:tcPr>
          <w:p w14:paraId="6410A5C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-1.110</w:t>
            </w:r>
          </w:p>
        </w:tc>
        <w:tc>
          <w:tcPr>
            <w:tcW w:w="1369" w:type="dxa"/>
            <w:tcBorders>
              <w:top w:val="nil"/>
              <w:left w:val="nil"/>
              <w:bottom w:val="nil"/>
              <w:right w:val="nil"/>
            </w:tcBorders>
            <w:vAlign w:val="center"/>
          </w:tcPr>
          <w:p w14:paraId="6DB46A6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0.383</w:t>
            </w:r>
          </w:p>
        </w:tc>
        <w:tc>
          <w:tcPr>
            <w:tcW w:w="1369" w:type="dxa"/>
            <w:tcBorders>
              <w:top w:val="nil"/>
              <w:left w:val="nil"/>
              <w:bottom w:val="nil"/>
              <w:right w:val="nil"/>
            </w:tcBorders>
            <w:vAlign w:val="center"/>
          </w:tcPr>
          <w:p w14:paraId="3D62EA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-0.726</w:t>
            </w:r>
          </w:p>
        </w:tc>
        <w:tc>
          <w:tcPr>
            <w:tcW w:w="1369" w:type="dxa"/>
            <w:tcBorders>
              <w:top w:val="nil"/>
              <w:left w:val="nil"/>
              <w:bottom w:val="nil"/>
              <w:right w:val="nil"/>
            </w:tcBorders>
            <w:vAlign w:val="center"/>
          </w:tcPr>
          <w:p w14:paraId="16CDFEA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4.849**</w:t>
            </w:r>
          </w:p>
        </w:tc>
        <w:tc>
          <w:tcPr>
            <w:tcW w:w="1369" w:type="dxa"/>
            <w:tcBorders>
              <w:top w:val="nil"/>
              <w:left w:val="nil"/>
              <w:bottom w:val="nil"/>
              <w:right w:val="nil"/>
            </w:tcBorders>
            <w:vAlign w:val="center"/>
          </w:tcPr>
          <w:p w14:paraId="77AFA3D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10.61***</w:t>
            </w:r>
          </w:p>
        </w:tc>
        <w:tc>
          <w:tcPr>
            <w:tcW w:w="1369" w:type="dxa"/>
            <w:tcBorders>
              <w:top w:val="nil"/>
              <w:left w:val="nil"/>
              <w:bottom w:val="nil"/>
              <w:right w:val="nil"/>
            </w:tcBorders>
            <w:vAlign w:val="center"/>
          </w:tcPr>
          <w:p w14:paraId="282E22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20.80***</w:t>
            </w:r>
          </w:p>
        </w:tc>
        <w:tc>
          <w:tcPr>
            <w:tcW w:w="1369" w:type="dxa"/>
            <w:tcBorders>
              <w:top w:val="nil"/>
              <w:left w:val="nil"/>
              <w:bottom w:val="nil"/>
              <w:right w:val="nil"/>
            </w:tcBorders>
            <w:vAlign w:val="center"/>
          </w:tcPr>
          <w:p w14:paraId="0CEFC61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18.50***</w:t>
            </w:r>
          </w:p>
        </w:tc>
        <w:tc>
          <w:tcPr>
            <w:tcW w:w="1369" w:type="dxa"/>
            <w:tcBorders>
              <w:top w:val="nil"/>
              <w:left w:val="nil"/>
              <w:bottom w:val="nil"/>
              <w:right w:val="nil"/>
            </w:tcBorders>
            <w:vAlign w:val="center"/>
          </w:tcPr>
          <w:p w14:paraId="658F8F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45.97***</w:t>
            </w:r>
          </w:p>
        </w:tc>
        <w:tc>
          <w:tcPr>
            <w:tcW w:w="1369" w:type="dxa"/>
            <w:tcBorders>
              <w:top w:val="nil"/>
              <w:left w:val="nil"/>
              <w:bottom w:val="nil"/>
              <w:right w:val="nil"/>
            </w:tcBorders>
            <w:vAlign w:val="center"/>
          </w:tcPr>
          <w:p w14:paraId="4F76EF0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64.47***</w:t>
            </w:r>
          </w:p>
        </w:tc>
      </w:tr>
      <w:tr w:rsidR="002743A7" w:rsidRPr="00F14751" w14:paraId="2286302E" w14:textId="77777777" w:rsidTr="008738C3">
        <w:trPr>
          <w:jc w:val="center"/>
        </w:trPr>
        <w:tc>
          <w:tcPr>
            <w:tcW w:w="1954" w:type="dxa"/>
            <w:tcBorders>
              <w:top w:val="nil"/>
              <w:left w:val="nil"/>
              <w:bottom w:val="nil"/>
              <w:right w:val="nil"/>
            </w:tcBorders>
            <w:vAlign w:val="center"/>
          </w:tcPr>
          <w:p w14:paraId="25FE04B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bottom w:val="nil"/>
              <w:right w:val="nil"/>
            </w:tcBorders>
            <w:vAlign w:val="center"/>
          </w:tcPr>
          <w:p w14:paraId="1D07CB5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(7.227)</w:t>
            </w:r>
          </w:p>
        </w:tc>
        <w:tc>
          <w:tcPr>
            <w:tcW w:w="1369" w:type="dxa"/>
            <w:tcBorders>
              <w:top w:val="nil"/>
              <w:left w:val="nil"/>
              <w:bottom w:val="nil"/>
              <w:right w:val="nil"/>
            </w:tcBorders>
            <w:vAlign w:val="center"/>
          </w:tcPr>
          <w:p w14:paraId="4F10301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(1.009)</w:t>
            </w:r>
          </w:p>
        </w:tc>
        <w:tc>
          <w:tcPr>
            <w:tcW w:w="1369" w:type="dxa"/>
            <w:tcBorders>
              <w:top w:val="nil"/>
              <w:left w:val="nil"/>
              <w:bottom w:val="nil"/>
              <w:right w:val="nil"/>
            </w:tcBorders>
            <w:vAlign w:val="center"/>
          </w:tcPr>
          <w:p w14:paraId="3B12467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(0.875)</w:t>
            </w:r>
          </w:p>
        </w:tc>
        <w:tc>
          <w:tcPr>
            <w:tcW w:w="1369" w:type="dxa"/>
            <w:tcBorders>
              <w:top w:val="nil"/>
              <w:left w:val="nil"/>
              <w:bottom w:val="nil"/>
              <w:right w:val="nil"/>
            </w:tcBorders>
            <w:vAlign w:val="center"/>
          </w:tcPr>
          <w:p w14:paraId="47250D3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(1.763)</w:t>
            </w:r>
          </w:p>
        </w:tc>
        <w:tc>
          <w:tcPr>
            <w:tcW w:w="1369" w:type="dxa"/>
            <w:tcBorders>
              <w:top w:val="nil"/>
              <w:left w:val="nil"/>
              <w:bottom w:val="nil"/>
              <w:right w:val="nil"/>
            </w:tcBorders>
            <w:vAlign w:val="center"/>
          </w:tcPr>
          <w:p w14:paraId="7379626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(2.015)</w:t>
            </w:r>
          </w:p>
        </w:tc>
        <w:tc>
          <w:tcPr>
            <w:tcW w:w="1369" w:type="dxa"/>
            <w:tcBorders>
              <w:top w:val="nil"/>
              <w:left w:val="nil"/>
              <w:bottom w:val="nil"/>
              <w:right w:val="nil"/>
            </w:tcBorders>
            <w:vAlign w:val="center"/>
          </w:tcPr>
          <w:p w14:paraId="12C0FEA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(2.147)</w:t>
            </w:r>
          </w:p>
        </w:tc>
        <w:tc>
          <w:tcPr>
            <w:tcW w:w="1369" w:type="dxa"/>
            <w:tcBorders>
              <w:top w:val="nil"/>
              <w:left w:val="nil"/>
              <w:bottom w:val="nil"/>
              <w:right w:val="nil"/>
            </w:tcBorders>
            <w:vAlign w:val="center"/>
          </w:tcPr>
          <w:p w14:paraId="10F73D6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(1.849)</w:t>
            </w:r>
          </w:p>
        </w:tc>
        <w:tc>
          <w:tcPr>
            <w:tcW w:w="1369" w:type="dxa"/>
            <w:tcBorders>
              <w:top w:val="nil"/>
              <w:left w:val="nil"/>
              <w:bottom w:val="nil"/>
              <w:right w:val="nil"/>
            </w:tcBorders>
            <w:vAlign w:val="center"/>
          </w:tcPr>
          <w:p w14:paraId="77FAF98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(1.711)</w:t>
            </w:r>
          </w:p>
        </w:tc>
        <w:tc>
          <w:tcPr>
            <w:tcW w:w="1369" w:type="dxa"/>
            <w:tcBorders>
              <w:top w:val="nil"/>
              <w:left w:val="nil"/>
              <w:bottom w:val="nil"/>
              <w:right w:val="nil"/>
            </w:tcBorders>
            <w:vAlign w:val="center"/>
          </w:tcPr>
          <w:p w14:paraId="72444FF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(6.280)</w:t>
            </w:r>
          </w:p>
        </w:tc>
        <w:tc>
          <w:tcPr>
            <w:tcW w:w="1369" w:type="dxa"/>
            <w:tcBorders>
              <w:top w:val="nil"/>
              <w:left w:val="nil"/>
              <w:bottom w:val="nil"/>
              <w:right w:val="nil"/>
            </w:tcBorders>
            <w:vAlign w:val="center"/>
          </w:tcPr>
          <w:p w14:paraId="41BD9EE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(6.543)</w:t>
            </w:r>
          </w:p>
        </w:tc>
      </w:tr>
      <w:tr w:rsidR="002743A7" w:rsidRPr="00F14751" w14:paraId="0E0A10AC" w14:textId="77777777" w:rsidTr="008738C3">
        <w:trPr>
          <w:jc w:val="center"/>
        </w:trPr>
        <w:tc>
          <w:tcPr>
            <w:tcW w:w="1954" w:type="dxa"/>
            <w:tcBorders>
              <w:top w:val="nil"/>
              <w:left w:val="nil"/>
              <w:right w:val="nil"/>
            </w:tcBorders>
            <w:vAlign w:val="center"/>
          </w:tcPr>
          <w:p w14:paraId="10F31EE5"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p>
        </w:tc>
        <w:tc>
          <w:tcPr>
            <w:tcW w:w="1368" w:type="dxa"/>
            <w:tcBorders>
              <w:top w:val="nil"/>
              <w:left w:val="nil"/>
              <w:right w:val="nil"/>
            </w:tcBorders>
            <w:vAlign w:val="center"/>
          </w:tcPr>
          <w:p w14:paraId="59F4E3E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22D8BF6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7034D1F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356836B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7A06FA3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78BB037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398128F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2B0DC7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4AAE3A8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c>
          <w:tcPr>
            <w:tcW w:w="1369" w:type="dxa"/>
            <w:tcBorders>
              <w:top w:val="nil"/>
              <w:left w:val="nil"/>
              <w:right w:val="nil"/>
            </w:tcBorders>
            <w:vAlign w:val="center"/>
          </w:tcPr>
          <w:p w14:paraId="19091F7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p>
        </w:tc>
      </w:tr>
      <w:tr w:rsidR="002743A7" w:rsidRPr="00F14751" w14:paraId="60F9B8A5" w14:textId="77777777" w:rsidTr="008738C3">
        <w:trPr>
          <w:jc w:val="center"/>
        </w:trPr>
        <w:tc>
          <w:tcPr>
            <w:tcW w:w="1954" w:type="dxa"/>
            <w:tcBorders>
              <w:top w:val="nil"/>
              <w:left w:val="nil"/>
              <w:bottom w:val="nil"/>
              <w:right w:val="nil"/>
            </w:tcBorders>
            <w:vAlign w:val="center"/>
          </w:tcPr>
          <w:p w14:paraId="332E5F8A"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Observations</w:t>
            </w:r>
          </w:p>
        </w:tc>
        <w:tc>
          <w:tcPr>
            <w:tcW w:w="1368" w:type="dxa"/>
            <w:tcBorders>
              <w:top w:val="nil"/>
              <w:left w:val="nil"/>
              <w:bottom w:val="nil"/>
              <w:right w:val="nil"/>
            </w:tcBorders>
            <w:vAlign w:val="center"/>
          </w:tcPr>
          <w:p w14:paraId="15140EC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193</w:t>
            </w:r>
          </w:p>
        </w:tc>
        <w:tc>
          <w:tcPr>
            <w:tcW w:w="1369" w:type="dxa"/>
            <w:tcBorders>
              <w:top w:val="nil"/>
              <w:left w:val="nil"/>
              <w:bottom w:val="nil"/>
              <w:right w:val="nil"/>
            </w:tcBorders>
            <w:vAlign w:val="center"/>
          </w:tcPr>
          <w:p w14:paraId="3D885D8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337917C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4792F4C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6BC65AC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33964D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2831B28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159A3DC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5940F49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c>
          <w:tcPr>
            <w:tcW w:w="1369" w:type="dxa"/>
            <w:tcBorders>
              <w:top w:val="nil"/>
              <w:left w:val="nil"/>
              <w:bottom w:val="nil"/>
              <w:right w:val="nil"/>
            </w:tcBorders>
            <w:vAlign w:val="center"/>
          </w:tcPr>
          <w:p w14:paraId="2BF494B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194</w:t>
            </w:r>
          </w:p>
        </w:tc>
      </w:tr>
      <w:tr w:rsidR="002743A7" w:rsidRPr="00F14751" w14:paraId="7D9D98C1" w14:textId="77777777" w:rsidTr="008738C3">
        <w:tblPrEx>
          <w:tblBorders>
            <w:bottom w:val="single" w:sz="6" w:space="0" w:color="auto"/>
          </w:tblBorders>
        </w:tblPrEx>
        <w:trPr>
          <w:jc w:val="center"/>
        </w:trPr>
        <w:tc>
          <w:tcPr>
            <w:tcW w:w="1954" w:type="dxa"/>
            <w:tcBorders>
              <w:top w:val="nil"/>
              <w:left w:val="nil"/>
              <w:bottom w:val="nil"/>
              <w:right w:val="nil"/>
            </w:tcBorders>
            <w:vAlign w:val="center"/>
          </w:tcPr>
          <w:p w14:paraId="672D8A6D"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R-squared</w:t>
            </w:r>
          </w:p>
        </w:tc>
        <w:tc>
          <w:tcPr>
            <w:tcW w:w="1368" w:type="dxa"/>
            <w:tcBorders>
              <w:top w:val="nil"/>
              <w:left w:val="nil"/>
              <w:bottom w:val="nil"/>
              <w:right w:val="nil"/>
            </w:tcBorders>
            <w:vAlign w:val="center"/>
          </w:tcPr>
          <w:p w14:paraId="5924546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0.555</w:t>
            </w:r>
          </w:p>
        </w:tc>
        <w:tc>
          <w:tcPr>
            <w:tcW w:w="1369" w:type="dxa"/>
            <w:tcBorders>
              <w:top w:val="nil"/>
              <w:left w:val="nil"/>
              <w:bottom w:val="nil"/>
              <w:right w:val="nil"/>
            </w:tcBorders>
            <w:vAlign w:val="center"/>
          </w:tcPr>
          <w:p w14:paraId="61C8022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0.566</w:t>
            </w:r>
          </w:p>
        </w:tc>
        <w:tc>
          <w:tcPr>
            <w:tcW w:w="1369" w:type="dxa"/>
            <w:tcBorders>
              <w:top w:val="nil"/>
              <w:left w:val="nil"/>
              <w:bottom w:val="nil"/>
              <w:right w:val="nil"/>
            </w:tcBorders>
            <w:vAlign w:val="center"/>
          </w:tcPr>
          <w:p w14:paraId="5108B97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0.600</w:t>
            </w:r>
          </w:p>
        </w:tc>
        <w:tc>
          <w:tcPr>
            <w:tcW w:w="1369" w:type="dxa"/>
            <w:tcBorders>
              <w:top w:val="nil"/>
              <w:left w:val="nil"/>
              <w:bottom w:val="nil"/>
              <w:right w:val="nil"/>
            </w:tcBorders>
            <w:vAlign w:val="center"/>
          </w:tcPr>
          <w:p w14:paraId="56BEDAE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0.598</w:t>
            </w:r>
          </w:p>
        </w:tc>
        <w:tc>
          <w:tcPr>
            <w:tcW w:w="1369" w:type="dxa"/>
            <w:tcBorders>
              <w:top w:val="nil"/>
              <w:left w:val="nil"/>
              <w:bottom w:val="nil"/>
              <w:right w:val="nil"/>
            </w:tcBorders>
            <w:vAlign w:val="center"/>
          </w:tcPr>
          <w:p w14:paraId="72E081E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0.532</w:t>
            </w:r>
          </w:p>
        </w:tc>
        <w:tc>
          <w:tcPr>
            <w:tcW w:w="1369" w:type="dxa"/>
            <w:tcBorders>
              <w:top w:val="nil"/>
              <w:left w:val="nil"/>
              <w:bottom w:val="nil"/>
              <w:right w:val="nil"/>
            </w:tcBorders>
            <w:vAlign w:val="center"/>
          </w:tcPr>
          <w:p w14:paraId="29E40DF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0.481</w:t>
            </w:r>
          </w:p>
        </w:tc>
        <w:tc>
          <w:tcPr>
            <w:tcW w:w="1369" w:type="dxa"/>
            <w:tcBorders>
              <w:top w:val="nil"/>
              <w:left w:val="nil"/>
              <w:bottom w:val="nil"/>
              <w:right w:val="nil"/>
            </w:tcBorders>
            <w:vAlign w:val="center"/>
          </w:tcPr>
          <w:p w14:paraId="2CF8028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0.385</w:t>
            </w:r>
          </w:p>
        </w:tc>
        <w:tc>
          <w:tcPr>
            <w:tcW w:w="1369" w:type="dxa"/>
            <w:tcBorders>
              <w:top w:val="nil"/>
              <w:left w:val="nil"/>
              <w:bottom w:val="nil"/>
              <w:right w:val="nil"/>
            </w:tcBorders>
            <w:vAlign w:val="center"/>
          </w:tcPr>
          <w:p w14:paraId="4185304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0.142</w:t>
            </w:r>
          </w:p>
        </w:tc>
        <w:tc>
          <w:tcPr>
            <w:tcW w:w="1369" w:type="dxa"/>
            <w:tcBorders>
              <w:top w:val="nil"/>
              <w:left w:val="nil"/>
              <w:bottom w:val="nil"/>
              <w:right w:val="nil"/>
            </w:tcBorders>
            <w:vAlign w:val="center"/>
          </w:tcPr>
          <w:p w14:paraId="2D99378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0.496</w:t>
            </w:r>
          </w:p>
        </w:tc>
        <w:tc>
          <w:tcPr>
            <w:tcW w:w="1369" w:type="dxa"/>
            <w:tcBorders>
              <w:top w:val="nil"/>
              <w:left w:val="nil"/>
              <w:bottom w:val="nil"/>
              <w:right w:val="nil"/>
            </w:tcBorders>
            <w:vAlign w:val="center"/>
          </w:tcPr>
          <w:p w14:paraId="69F52B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0.526</w:t>
            </w:r>
          </w:p>
        </w:tc>
      </w:tr>
      <w:tr w:rsidR="002743A7" w:rsidRPr="00F14751" w14:paraId="6A17B83B" w14:textId="77777777" w:rsidTr="008738C3">
        <w:tblPrEx>
          <w:tblBorders>
            <w:bottom w:val="single" w:sz="6" w:space="0" w:color="auto"/>
          </w:tblBorders>
        </w:tblPrEx>
        <w:trPr>
          <w:jc w:val="center"/>
        </w:trPr>
        <w:tc>
          <w:tcPr>
            <w:tcW w:w="1954" w:type="dxa"/>
            <w:tcBorders>
              <w:top w:val="nil"/>
              <w:left w:val="nil"/>
              <w:bottom w:val="nil"/>
              <w:right w:val="nil"/>
            </w:tcBorders>
            <w:vAlign w:val="center"/>
          </w:tcPr>
          <w:p w14:paraId="21FA230B" w14:textId="77777777" w:rsidR="002743A7" w:rsidRPr="00F14751" w:rsidRDefault="00D3672E"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Number of C</w:t>
            </w:r>
            <w:r w:rsidR="002743A7" w:rsidRPr="00F14751">
              <w:rPr>
                <w:rFonts w:ascii="Times New Roman" w:hAnsi="Times New Roman" w:cs="Times New Roman"/>
                <w:sz w:val="20"/>
                <w:szCs w:val="20"/>
              </w:rPr>
              <w:t>ountries</w:t>
            </w:r>
          </w:p>
        </w:tc>
        <w:tc>
          <w:tcPr>
            <w:tcW w:w="1368" w:type="dxa"/>
            <w:tcBorders>
              <w:top w:val="nil"/>
              <w:left w:val="nil"/>
              <w:bottom w:val="nil"/>
              <w:right w:val="nil"/>
            </w:tcBorders>
            <w:vAlign w:val="center"/>
          </w:tcPr>
          <w:p w14:paraId="141F2B7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0AD2951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4BADB98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62B2DEF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03204D5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0943275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70492BA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421D21A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72A07C1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c>
          <w:tcPr>
            <w:tcW w:w="1369" w:type="dxa"/>
            <w:tcBorders>
              <w:top w:val="nil"/>
              <w:left w:val="nil"/>
              <w:bottom w:val="nil"/>
              <w:right w:val="nil"/>
            </w:tcBorders>
            <w:vAlign w:val="center"/>
          </w:tcPr>
          <w:p w14:paraId="11C5BE0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13</w:t>
            </w:r>
          </w:p>
        </w:tc>
      </w:tr>
      <w:tr w:rsidR="002743A7" w:rsidRPr="00F14751" w14:paraId="6E2182AA" w14:textId="77777777" w:rsidTr="008738C3">
        <w:tblPrEx>
          <w:tblBorders>
            <w:bottom w:val="single" w:sz="6" w:space="0" w:color="auto"/>
          </w:tblBorders>
        </w:tblPrEx>
        <w:trPr>
          <w:jc w:val="center"/>
        </w:trPr>
        <w:tc>
          <w:tcPr>
            <w:tcW w:w="1954" w:type="dxa"/>
            <w:tcBorders>
              <w:top w:val="nil"/>
              <w:left w:val="nil"/>
              <w:bottom w:val="single" w:sz="4" w:space="0" w:color="auto"/>
              <w:right w:val="nil"/>
            </w:tcBorders>
            <w:vAlign w:val="center"/>
          </w:tcPr>
          <w:p w14:paraId="2B039749"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Robust SE</w:t>
            </w:r>
          </w:p>
        </w:tc>
        <w:tc>
          <w:tcPr>
            <w:tcW w:w="1368" w:type="dxa"/>
            <w:tcBorders>
              <w:top w:val="nil"/>
              <w:left w:val="nil"/>
              <w:bottom w:val="single" w:sz="4" w:space="0" w:color="auto"/>
              <w:right w:val="nil"/>
            </w:tcBorders>
            <w:vAlign w:val="center"/>
          </w:tcPr>
          <w:p w14:paraId="43CF9BE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0E9D5C6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45EE2FE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5DAFDCD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3EB8525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403AACF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260A5AC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764905A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6A6A48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c>
          <w:tcPr>
            <w:tcW w:w="1369" w:type="dxa"/>
            <w:tcBorders>
              <w:top w:val="nil"/>
              <w:left w:val="nil"/>
              <w:bottom w:val="single" w:sz="4" w:space="0" w:color="auto"/>
              <w:right w:val="nil"/>
            </w:tcBorders>
            <w:vAlign w:val="center"/>
          </w:tcPr>
          <w:p w14:paraId="0A760EC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Yes</w:t>
            </w:r>
          </w:p>
        </w:tc>
      </w:tr>
    </w:tbl>
    <w:p w14:paraId="169EB19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Robust standard errors in parentheses</w:t>
      </w:r>
    </w:p>
    <w:p w14:paraId="610EBA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 p&lt;0.01, ** p&lt;0.05, * p&lt;0.1</w:t>
      </w:r>
    </w:p>
    <w:p w14:paraId="0D0C1A65" w14:textId="77777777" w:rsidR="002743A7" w:rsidRPr="00F14751" w:rsidRDefault="002743A7" w:rsidP="00C8508E">
      <w:pPr>
        <w:widowControl w:val="0"/>
        <w:autoSpaceDE w:val="0"/>
        <w:autoSpaceDN w:val="0"/>
        <w:adjustRightInd w:val="0"/>
        <w:spacing w:after="0" w:line="240" w:lineRule="auto"/>
        <w:jc w:val="both"/>
        <w:rPr>
          <w:rFonts w:ascii="Times New Roman" w:hAnsi="Times New Roman" w:cs="Times New Roman"/>
          <w:szCs w:val="24"/>
        </w:rPr>
        <w:sectPr w:rsidR="002743A7" w:rsidRPr="00F14751" w:rsidSect="00DE1107">
          <w:pgSz w:w="16838" w:h="11906" w:orient="landscape"/>
          <w:pgMar w:top="1417" w:right="1417" w:bottom="1417" w:left="1417" w:header="708" w:footer="708" w:gutter="0"/>
          <w:cols w:space="708"/>
          <w:docGrid w:linePitch="360"/>
        </w:sectPr>
      </w:pPr>
    </w:p>
    <w:p w14:paraId="245D52CF" w14:textId="77777777" w:rsidR="002743A7" w:rsidRPr="00F14751" w:rsidRDefault="00DE1107" w:rsidP="00C8508E">
      <w:pPr>
        <w:pStyle w:val="NoSpacing"/>
        <w:spacing w:line="360" w:lineRule="auto"/>
        <w:jc w:val="both"/>
        <w:rPr>
          <w:rFonts w:asciiTheme="majorHAnsi" w:hAnsiTheme="majorHAnsi"/>
          <w:sz w:val="24"/>
        </w:rPr>
      </w:pPr>
      <w:r w:rsidRPr="00F14751">
        <w:rPr>
          <w:rFonts w:asciiTheme="majorHAnsi" w:hAnsiTheme="majorHAnsi"/>
          <w:sz w:val="24"/>
        </w:rPr>
        <w:t>Table 7: Estimation results of the FE model using the whole sample with the measures of inequality as dependent variables. The model includes c</w:t>
      </w:r>
      <w:r w:rsidR="002743A7" w:rsidRPr="00F14751">
        <w:rPr>
          <w:rFonts w:asciiTheme="majorHAnsi" w:hAnsiTheme="majorHAnsi"/>
          <w:sz w:val="24"/>
        </w:rPr>
        <w:t>ountry and time fixed effects.</w:t>
      </w:r>
    </w:p>
    <w:tbl>
      <w:tblPr>
        <w:tblW w:w="15643" w:type="dxa"/>
        <w:jc w:val="center"/>
        <w:tblLayout w:type="fixed"/>
        <w:tblCellMar>
          <w:left w:w="75" w:type="dxa"/>
          <w:right w:w="75" w:type="dxa"/>
        </w:tblCellMar>
        <w:tblLook w:val="0000" w:firstRow="0" w:lastRow="0" w:firstColumn="0" w:lastColumn="0" w:noHBand="0" w:noVBand="0"/>
      </w:tblPr>
      <w:tblGrid>
        <w:gridCol w:w="1768"/>
        <w:gridCol w:w="1387"/>
        <w:gridCol w:w="1388"/>
        <w:gridCol w:w="1387"/>
        <w:gridCol w:w="1388"/>
        <w:gridCol w:w="1387"/>
        <w:gridCol w:w="1388"/>
        <w:gridCol w:w="1387"/>
        <w:gridCol w:w="1388"/>
        <w:gridCol w:w="1387"/>
        <w:gridCol w:w="1388"/>
      </w:tblGrid>
      <w:tr w:rsidR="002743A7" w:rsidRPr="00F14751" w14:paraId="02635496" w14:textId="77777777" w:rsidTr="008738C3">
        <w:trPr>
          <w:jc w:val="center"/>
        </w:trPr>
        <w:tc>
          <w:tcPr>
            <w:tcW w:w="1768" w:type="dxa"/>
            <w:tcBorders>
              <w:top w:val="single" w:sz="6" w:space="0" w:color="auto"/>
              <w:left w:val="nil"/>
              <w:bottom w:val="nil"/>
              <w:right w:val="nil"/>
            </w:tcBorders>
            <w:vAlign w:val="center"/>
          </w:tcPr>
          <w:p w14:paraId="2B3E98EE"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single" w:sz="6" w:space="0" w:color="auto"/>
              <w:left w:val="nil"/>
              <w:bottom w:val="nil"/>
              <w:right w:val="nil"/>
            </w:tcBorders>
            <w:vAlign w:val="center"/>
          </w:tcPr>
          <w:p w14:paraId="1B7DB21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w:t>
            </w:r>
          </w:p>
        </w:tc>
        <w:tc>
          <w:tcPr>
            <w:tcW w:w="1388" w:type="dxa"/>
            <w:tcBorders>
              <w:top w:val="single" w:sz="6" w:space="0" w:color="auto"/>
              <w:left w:val="nil"/>
              <w:bottom w:val="nil"/>
              <w:right w:val="nil"/>
            </w:tcBorders>
            <w:vAlign w:val="center"/>
          </w:tcPr>
          <w:p w14:paraId="4026B9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w:t>
            </w:r>
          </w:p>
        </w:tc>
        <w:tc>
          <w:tcPr>
            <w:tcW w:w="1387" w:type="dxa"/>
            <w:tcBorders>
              <w:top w:val="single" w:sz="6" w:space="0" w:color="auto"/>
              <w:left w:val="nil"/>
              <w:bottom w:val="nil"/>
              <w:right w:val="nil"/>
            </w:tcBorders>
            <w:vAlign w:val="center"/>
          </w:tcPr>
          <w:p w14:paraId="289CFD3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(3)</w:t>
            </w:r>
          </w:p>
        </w:tc>
        <w:tc>
          <w:tcPr>
            <w:tcW w:w="1388" w:type="dxa"/>
            <w:tcBorders>
              <w:top w:val="single" w:sz="6" w:space="0" w:color="auto"/>
              <w:left w:val="nil"/>
              <w:bottom w:val="nil"/>
              <w:right w:val="nil"/>
            </w:tcBorders>
            <w:vAlign w:val="center"/>
          </w:tcPr>
          <w:p w14:paraId="29AA758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(4)</w:t>
            </w:r>
          </w:p>
        </w:tc>
        <w:tc>
          <w:tcPr>
            <w:tcW w:w="1387" w:type="dxa"/>
            <w:tcBorders>
              <w:top w:val="single" w:sz="6" w:space="0" w:color="auto"/>
              <w:left w:val="nil"/>
              <w:bottom w:val="nil"/>
              <w:right w:val="nil"/>
            </w:tcBorders>
            <w:vAlign w:val="center"/>
          </w:tcPr>
          <w:p w14:paraId="0B6B9A6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(5)</w:t>
            </w:r>
          </w:p>
        </w:tc>
        <w:tc>
          <w:tcPr>
            <w:tcW w:w="1388" w:type="dxa"/>
            <w:tcBorders>
              <w:top w:val="single" w:sz="6" w:space="0" w:color="auto"/>
              <w:left w:val="nil"/>
              <w:bottom w:val="nil"/>
              <w:right w:val="nil"/>
            </w:tcBorders>
            <w:vAlign w:val="center"/>
          </w:tcPr>
          <w:p w14:paraId="3A0E490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(6)</w:t>
            </w:r>
          </w:p>
        </w:tc>
        <w:tc>
          <w:tcPr>
            <w:tcW w:w="1387" w:type="dxa"/>
            <w:tcBorders>
              <w:top w:val="single" w:sz="6" w:space="0" w:color="auto"/>
              <w:left w:val="nil"/>
              <w:bottom w:val="nil"/>
              <w:right w:val="nil"/>
            </w:tcBorders>
            <w:vAlign w:val="center"/>
          </w:tcPr>
          <w:p w14:paraId="5113E6C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(7)</w:t>
            </w:r>
          </w:p>
        </w:tc>
        <w:tc>
          <w:tcPr>
            <w:tcW w:w="1388" w:type="dxa"/>
            <w:tcBorders>
              <w:top w:val="single" w:sz="6" w:space="0" w:color="auto"/>
              <w:left w:val="nil"/>
              <w:bottom w:val="nil"/>
              <w:right w:val="nil"/>
            </w:tcBorders>
            <w:vAlign w:val="center"/>
          </w:tcPr>
          <w:p w14:paraId="0388852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(8)</w:t>
            </w:r>
          </w:p>
        </w:tc>
        <w:tc>
          <w:tcPr>
            <w:tcW w:w="1387" w:type="dxa"/>
            <w:tcBorders>
              <w:top w:val="single" w:sz="6" w:space="0" w:color="auto"/>
              <w:left w:val="nil"/>
              <w:bottom w:val="nil"/>
              <w:right w:val="nil"/>
            </w:tcBorders>
            <w:vAlign w:val="center"/>
          </w:tcPr>
          <w:p w14:paraId="276A145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(9)</w:t>
            </w:r>
          </w:p>
        </w:tc>
        <w:tc>
          <w:tcPr>
            <w:tcW w:w="1388" w:type="dxa"/>
            <w:tcBorders>
              <w:top w:val="single" w:sz="6" w:space="0" w:color="auto"/>
              <w:left w:val="nil"/>
              <w:bottom w:val="nil"/>
              <w:right w:val="nil"/>
            </w:tcBorders>
            <w:vAlign w:val="center"/>
          </w:tcPr>
          <w:p w14:paraId="2B9B5D9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(10)</w:t>
            </w:r>
          </w:p>
        </w:tc>
      </w:tr>
      <w:tr w:rsidR="002743A7" w:rsidRPr="00F14751" w14:paraId="07EF5380" w14:textId="77777777" w:rsidTr="008738C3">
        <w:trPr>
          <w:jc w:val="center"/>
        </w:trPr>
        <w:tc>
          <w:tcPr>
            <w:tcW w:w="1768" w:type="dxa"/>
            <w:tcBorders>
              <w:top w:val="nil"/>
              <w:left w:val="nil"/>
              <w:bottom w:val="single" w:sz="6" w:space="0" w:color="auto"/>
              <w:right w:val="nil"/>
            </w:tcBorders>
            <w:vAlign w:val="center"/>
          </w:tcPr>
          <w:p w14:paraId="37B0BE55"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VARIABLES</w:t>
            </w:r>
          </w:p>
        </w:tc>
        <w:tc>
          <w:tcPr>
            <w:tcW w:w="1387" w:type="dxa"/>
            <w:tcBorders>
              <w:top w:val="nil"/>
              <w:left w:val="nil"/>
              <w:bottom w:val="single" w:sz="6" w:space="0" w:color="auto"/>
              <w:right w:val="nil"/>
            </w:tcBorders>
            <w:vAlign w:val="center"/>
          </w:tcPr>
          <w:p w14:paraId="1282936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Gini</w:t>
            </w:r>
          </w:p>
        </w:tc>
        <w:tc>
          <w:tcPr>
            <w:tcW w:w="1388" w:type="dxa"/>
            <w:tcBorders>
              <w:top w:val="nil"/>
              <w:left w:val="nil"/>
              <w:bottom w:val="single" w:sz="6" w:space="0" w:color="auto"/>
              <w:right w:val="nil"/>
            </w:tcBorders>
            <w:vAlign w:val="center"/>
          </w:tcPr>
          <w:p w14:paraId="365EB78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D1</w:t>
            </w:r>
          </w:p>
        </w:tc>
        <w:tc>
          <w:tcPr>
            <w:tcW w:w="1387" w:type="dxa"/>
            <w:tcBorders>
              <w:top w:val="nil"/>
              <w:left w:val="nil"/>
              <w:bottom w:val="single" w:sz="6" w:space="0" w:color="auto"/>
              <w:right w:val="nil"/>
            </w:tcBorders>
            <w:vAlign w:val="center"/>
          </w:tcPr>
          <w:p w14:paraId="6AB49F3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D2</w:t>
            </w:r>
          </w:p>
        </w:tc>
        <w:tc>
          <w:tcPr>
            <w:tcW w:w="1388" w:type="dxa"/>
            <w:tcBorders>
              <w:top w:val="nil"/>
              <w:left w:val="nil"/>
              <w:bottom w:val="single" w:sz="6" w:space="0" w:color="auto"/>
              <w:right w:val="nil"/>
            </w:tcBorders>
            <w:vAlign w:val="center"/>
          </w:tcPr>
          <w:p w14:paraId="2E4C2E7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Q1</w:t>
            </w:r>
          </w:p>
        </w:tc>
        <w:tc>
          <w:tcPr>
            <w:tcW w:w="1387" w:type="dxa"/>
            <w:tcBorders>
              <w:top w:val="nil"/>
              <w:left w:val="nil"/>
              <w:bottom w:val="single" w:sz="6" w:space="0" w:color="auto"/>
              <w:right w:val="nil"/>
            </w:tcBorders>
            <w:vAlign w:val="center"/>
          </w:tcPr>
          <w:p w14:paraId="3BA0256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Q2</w:t>
            </w:r>
          </w:p>
        </w:tc>
        <w:tc>
          <w:tcPr>
            <w:tcW w:w="1388" w:type="dxa"/>
            <w:tcBorders>
              <w:top w:val="nil"/>
              <w:left w:val="nil"/>
              <w:bottom w:val="single" w:sz="6" w:space="0" w:color="auto"/>
              <w:right w:val="nil"/>
            </w:tcBorders>
            <w:vAlign w:val="center"/>
          </w:tcPr>
          <w:p w14:paraId="09C809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Q3</w:t>
            </w:r>
          </w:p>
        </w:tc>
        <w:tc>
          <w:tcPr>
            <w:tcW w:w="1387" w:type="dxa"/>
            <w:tcBorders>
              <w:top w:val="nil"/>
              <w:left w:val="nil"/>
              <w:bottom w:val="single" w:sz="6" w:space="0" w:color="auto"/>
              <w:right w:val="nil"/>
            </w:tcBorders>
            <w:vAlign w:val="center"/>
          </w:tcPr>
          <w:p w14:paraId="5A16FF5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Q4</w:t>
            </w:r>
          </w:p>
        </w:tc>
        <w:tc>
          <w:tcPr>
            <w:tcW w:w="1388" w:type="dxa"/>
            <w:tcBorders>
              <w:top w:val="nil"/>
              <w:left w:val="nil"/>
              <w:bottom w:val="single" w:sz="6" w:space="0" w:color="auto"/>
              <w:right w:val="nil"/>
            </w:tcBorders>
            <w:vAlign w:val="center"/>
          </w:tcPr>
          <w:p w14:paraId="3F4E7D7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D9</w:t>
            </w:r>
          </w:p>
        </w:tc>
        <w:tc>
          <w:tcPr>
            <w:tcW w:w="1387" w:type="dxa"/>
            <w:tcBorders>
              <w:top w:val="nil"/>
              <w:left w:val="nil"/>
              <w:bottom w:val="single" w:sz="6" w:space="0" w:color="auto"/>
              <w:right w:val="nil"/>
            </w:tcBorders>
            <w:vAlign w:val="center"/>
          </w:tcPr>
          <w:p w14:paraId="412FA49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D10</w:t>
            </w:r>
          </w:p>
        </w:tc>
        <w:tc>
          <w:tcPr>
            <w:tcW w:w="1388" w:type="dxa"/>
            <w:tcBorders>
              <w:top w:val="nil"/>
              <w:left w:val="nil"/>
              <w:bottom w:val="single" w:sz="6" w:space="0" w:color="auto"/>
              <w:right w:val="nil"/>
            </w:tcBorders>
            <w:vAlign w:val="center"/>
          </w:tcPr>
          <w:p w14:paraId="5BCAA38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Q5</w:t>
            </w:r>
          </w:p>
        </w:tc>
      </w:tr>
      <w:tr w:rsidR="002743A7" w:rsidRPr="00F14751" w14:paraId="22364A45" w14:textId="77777777" w:rsidTr="008738C3">
        <w:trPr>
          <w:jc w:val="center"/>
        </w:trPr>
        <w:tc>
          <w:tcPr>
            <w:tcW w:w="1768" w:type="dxa"/>
            <w:tcBorders>
              <w:top w:val="nil"/>
              <w:left w:val="nil"/>
              <w:bottom w:val="nil"/>
              <w:right w:val="nil"/>
            </w:tcBorders>
            <w:vAlign w:val="center"/>
          </w:tcPr>
          <w:p w14:paraId="0362FB7E"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0756C7C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273AB6D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128553F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1FF3CA6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66A7D14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4F14ECD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70CF79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627EC60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348061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3C1F922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r>
      <w:tr w:rsidR="002743A7" w:rsidRPr="00F14751" w14:paraId="40BAC961" w14:textId="77777777" w:rsidTr="008738C3">
        <w:trPr>
          <w:jc w:val="center"/>
        </w:trPr>
        <w:tc>
          <w:tcPr>
            <w:tcW w:w="1768" w:type="dxa"/>
            <w:tcBorders>
              <w:top w:val="nil"/>
              <w:left w:val="nil"/>
              <w:bottom w:val="nil"/>
              <w:right w:val="nil"/>
            </w:tcBorders>
            <w:vAlign w:val="center"/>
          </w:tcPr>
          <w:p w14:paraId="17CBEEB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Trade</w:t>
            </w:r>
          </w:p>
        </w:tc>
        <w:tc>
          <w:tcPr>
            <w:tcW w:w="1387" w:type="dxa"/>
            <w:tcBorders>
              <w:top w:val="nil"/>
              <w:left w:val="nil"/>
              <w:bottom w:val="nil"/>
              <w:right w:val="nil"/>
            </w:tcBorders>
            <w:vAlign w:val="center"/>
          </w:tcPr>
          <w:p w14:paraId="0591BE6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0.0478</w:t>
            </w:r>
          </w:p>
        </w:tc>
        <w:tc>
          <w:tcPr>
            <w:tcW w:w="1388" w:type="dxa"/>
            <w:tcBorders>
              <w:top w:val="nil"/>
              <w:left w:val="nil"/>
              <w:bottom w:val="nil"/>
              <w:right w:val="nil"/>
            </w:tcBorders>
            <w:vAlign w:val="center"/>
          </w:tcPr>
          <w:p w14:paraId="4342E3D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-0.00864**</w:t>
            </w:r>
          </w:p>
        </w:tc>
        <w:tc>
          <w:tcPr>
            <w:tcW w:w="1387" w:type="dxa"/>
            <w:tcBorders>
              <w:top w:val="nil"/>
              <w:left w:val="nil"/>
              <w:bottom w:val="nil"/>
              <w:right w:val="nil"/>
            </w:tcBorders>
            <w:vAlign w:val="center"/>
          </w:tcPr>
          <w:p w14:paraId="782B883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-0.00204</w:t>
            </w:r>
          </w:p>
        </w:tc>
        <w:tc>
          <w:tcPr>
            <w:tcW w:w="1388" w:type="dxa"/>
            <w:tcBorders>
              <w:top w:val="nil"/>
              <w:left w:val="nil"/>
              <w:bottom w:val="nil"/>
              <w:right w:val="nil"/>
            </w:tcBorders>
            <w:vAlign w:val="center"/>
          </w:tcPr>
          <w:p w14:paraId="3914BEE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-0.0107</w:t>
            </w:r>
          </w:p>
        </w:tc>
        <w:tc>
          <w:tcPr>
            <w:tcW w:w="1387" w:type="dxa"/>
            <w:tcBorders>
              <w:top w:val="nil"/>
              <w:left w:val="nil"/>
              <w:bottom w:val="nil"/>
              <w:right w:val="nil"/>
            </w:tcBorders>
            <w:vAlign w:val="center"/>
          </w:tcPr>
          <w:p w14:paraId="6BEB99F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-0.00332</w:t>
            </w:r>
          </w:p>
        </w:tc>
        <w:tc>
          <w:tcPr>
            <w:tcW w:w="1388" w:type="dxa"/>
            <w:tcBorders>
              <w:top w:val="nil"/>
              <w:left w:val="nil"/>
              <w:bottom w:val="nil"/>
              <w:right w:val="nil"/>
            </w:tcBorders>
            <w:vAlign w:val="center"/>
          </w:tcPr>
          <w:p w14:paraId="487ED64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-0.00755</w:t>
            </w:r>
          </w:p>
        </w:tc>
        <w:tc>
          <w:tcPr>
            <w:tcW w:w="1387" w:type="dxa"/>
            <w:tcBorders>
              <w:top w:val="nil"/>
              <w:left w:val="nil"/>
              <w:bottom w:val="nil"/>
              <w:right w:val="nil"/>
            </w:tcBorders>
            <w:vAlign w:val="center"/>
          </w:tcPr>
          <w:p w14:paraId="44F010B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-0.0121</w:t>
            </w:r>
          </w:p>
        </w:tc>
        <w:tc>
          <w:tcPr>
            <w:tcW w:w="1388" w:type="dxa"/>
            <w:tcBorders>
              <w:top w:val="nil"/>
              <w:left w:val="nil"/>
              <w:bottom w:val="nil"/>
              <w:right w:val="nil"/>
            </w:tcBorders>
            <w:vAlign w:val="center"/>
          </w:tcPr>
          <w:p w14:paraId="48BE97B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-0.00696</w:t>
            </w:r>
          </w:p>
        </w:tc>
        <w:tc>
          <w:tcPr>
            <w:tcW w:w="1387" w:type="dxa"/>
            <w:tcBorders>
              <w:top w:val="nil"/>
              <w:left w:val="nil"/>
              <w:bottom w:val="nil"/>
              <w:right w:val="nil"/>
            </w:tcBorders>
            <w:vAlign w:val="center"/>
          </w:tcPr>
          <w:p w14:paraId="52CF5A1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0.0406</w:t>
            </w:r>
          </w:p>
        </w:tc>
        <w:tc>
          <w:tcPr>
            <w:tcW w:w="1388" w:type="dxa"/>
            <w:tcBorders>
              <w:top w:val="nil"/>
              <w:left w:val="nil"/>
              <w:bottom w:val="nil"/>
              <w:right w:val="nil"/>
            </w:tcBorders>
            <w:vAlign w:val="center"/>
          </w:tcPr>
          <w:p w14:paraId="77C0F66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0.0336</w:t>
            </w:r>
          </w:p>
        </w:tc>
      </w:tr>
      <w:tr w:rsidR="002743A7" w:rsidRPr="00F14751" w14:paraId="6D279EBD" w14:textId="77777777" w:rsidTr="008738C3">
        <w:trPr>
          <w:jc w:val="center"/>
        </w:trPr>
        <w:tc>
          <w:tcPr>
            <w:tcW w:w="1768" w:type="dxa"/>
            <w:tcBorders>
              <w:top w:val="nil"/>
              <w:left w:val="nil"/>
              <w:bottom w:val="nil"/>
              <w:right w:val="nil"/>
            </w:tcBorders>
            <w:vAlign w:val="center"/>
          </w:tcPr>
          <w:p w14:paraId="58CC6BF9"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3557123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(0.0410)</w:t>
            </w:r>
          </w:p>
        </w:tc>
        <w:tc>
          <w:tcPr>
            <w:tcW w:w="1388" w:type="dxa"/>
            <w:tcBorders>
              <w:top w:val="nil"/>
              <w:left w:val="nil"/>
              <w:bottom w:val="nil"/>
              <w:right w:val="nil"/>
            </w:tcBorders>
            <w:vAlign w:val="center"/>
          </w:tcPr>
          <w:p w14:paraId="68628AE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(0.00358)</w:t>
            </w:r>
          </w:p>
        </w:tc>
        <w:tc>
          <w:tcPr>
            <w:tcW w:w="1387" w:type="dxa"/>
            <w:tcBorders>
              <w:top w:val="nil"/>
              <w:left w:val="nil"/>
              <w:bottom w:val="nil"/>
              <w:right w:val="nil"/>
            </w:tcBorders>
            <w:vAlign w:val="center"/>
          </w:tcPr>
          <w:p w14:paraId="27772E8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(0.00428)</w:t>
            </w:r>
          </w:p>
        </w:tc>
        <w:tc>
          <w:tcPr>
            <w:tcW w:w="1388" w:type="dxa"/>
            <w:tcBorders>
              <w:top w:val="nil"/>
              <w:left w:val="nil"/>
              <w:bottom w:val="nil"/>
              <w:right w:val="nil"/>
            </w:tcBorders>
            <w:vAlign w:val="center"/>
          </w:tcPr>
          <w:p w14:paraId="2241123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(0.00664)</w:t>
            </w:r>
          </w:p>
        </w:tc>
        <w:tc>
          <w:tcPr>
            <w:tcW w:w="1387" w:type="dxa"/>
            <w:tcBorders>
              <w:top w:val="nil"/>
              <w:left w:val="nil"/>
              <w:bottom w:val="nil"/>
              <w:right w:val="nil"/>
            </w:tcBorders>
            <w:vAlign w:val="center"/>
          </w:tcPr>
          <w:p w14:paraId="356496A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(0.00989)</w:t>
            </w:r>
          </w:p>
        </w:tc>
        <w:tc>
          <w:tcPr>
            <w:tcW w:w="1388" w:type="dxa"/>
            <w:tcBorders>
              <w:top w:val="nil"/>
              <w:left w:val="nil"/>
              <w:bottom w:val="nil"/>
              <w:right w:val="nil"/>
            </w:tcBorders>
            <w:vAlign w:val="center"/>
          </w:tcPr>
          <w:p w14:paraId="6EF47A3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(0.0107)</w:t>
            </w:r>
          </w:p>
        </w:tc>
        <w:tc>
          <w:tcPr>
            <w:tcW w:w="1387" w:type="dxa"/>
            <w:tcBorders>
              <w:top w:val="nil"/>
              <w:left w:val="nil"/>
              <w:bottom w:val="nil"/>
              <w:right w:val="nil"/>
            </w:tcBorders>
            <w:vAlign w:val="center"/>
          </w:tcPr>
          <w:p w14:paraId="3402030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(0.0126)</w:t>
            </w:r>
          </w:p>
        </w:tc>
        <w:tc>
          <w:tcPr>
            <w:tcW w:w="1388" w:type="dxa"/>
            <w:tcBorders>
              <w:top w:val="nil"/>
              <w:left w:val="nil"/>
              <w:bottom w:val="nil"/>
              <w:right w:val="nil"/>
            </w:tcBorders>
            <w:vAlign w:val="center"/>
          </w:tcPr>
          <w:p w14:paraId="4C3BC67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(0.00872)</w:t>
            </w:r>
          </w:p>
        </w:tc>
        <w:tc>
          <w:tcPr>
            <w:tcW w:w="1387" w:type="dxa"/>
            <w:tcBorders>
              <w:top w:val="nil"/>
              <w:left w:val="nil"/>
              <w:bottom w:val="nil"/>
              <w:right w:val="nil"/>
            </w:tcBorders>
            <w:vAlign w:val="center"/>
          </w:tcPr>
          <w:p w14:paraId="2C3A8F2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(0.0394)</w:t>
            </w:r>
          </w:p>
        </w:tc>
        <w:tc>
          <w:tcPr>
            <w:tcW w:w="1388" w:type="dxa"/>
            <w:tcBorders>
              <w:top w:val="nil"/>
              <w:left w:val="nil"/>
              <w:bottom w:val="nil"/>
              <w:right w:val="nil"/>
            </w:tcBorders>
            <w:vAlign w:val="center"/>
          </w:tcPr>
          <w:p w14:paraId="5D930B5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(0.0343)</w:t>
            </w:r>
          </w:p>
        </w:tc>
      </w:tr>
      <w:tr w:rsidR="002743A7" w:rsidRPr="00F14751" w14:paraId="5F6E9D44" w14:textId="77777777" w:rsidTr="008738C3">
        <w:trPr>
          <w:jc w:val="center"/>
        </w:trPr>
        <w:tc>
          <w:tcPr>
            <w:tcW w:w="1768" w:type="dxa"/>
            <w:tcBorders>
              <w:top w:val="nil"/>
              <w:left w:val="nil"/>
              <w:bottom w:val="nil"/>
              <w:right w:val="nil"/>
            </w:tcBorders>
            <w:vAlign w:val="center"/>
          </w:tcPr>
          <w:p w14:paraId="24019C1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Financial</w:t>
            </w:r>
          </w:p>
        </w:tc>
        <w:tc>
          <w:tcPr>
            <w:tcW w:w="1387" w:type="dxa"/>
            <w:tcBorders>
              <w:top w:val="nil"/>
              <w:left w:val="nil"/>
              <w:bottom w:val="nil"/>
              <w:right w:val="nil"/>
            </w:tcBorders>
            <w:vAlign w:val="center"/>
          </w:tcPr>
          <w:p w14:paraId="6CCDF9B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0.0346*</w:t>
            </w:r>
          </w:p>
        </w:tc>
        <w:tc>
          <w:tcPr>
            <w:tcW w:w="1388" w:type="dxa"/>
            <w:tcBorders>
              <w:top w:val="nil"/>
              <w:left w:val="nil"/>
              <w:bottom w:val="nil"/>
              <w:right w:val="nil"/>
            </w:tcBorders>
            <w:vAlign w:val="center"/>
          </w:tcPr>
          <w:p w14:paraId="34F0E5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-0.00464***</w:t>
            </w:r>
          </w:p>
        </w:tc>
        <w:tc>
          <w:tcPr>
            <w:tcW w:w="1387" w:type="dxa"/>
            <w:tcBorders>
              <w:top w:val="nil"/>
              <w:left w:val="nil"/>
              <w:bottom w:val="nil"/>
              <w:right w:val="nil"/>
            </w:tcBorders>
            <w:vAlign w:val="center"/>
          </w:tcPr>
          <w:p w14:paraId="18979C1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-0.00523**</w:t>
            </w:r>
          </w:p>
        </w:tc>
        <w:tc>
          <w:tcPr>
            <w:tcW w:w="1388" w:type="dxa"/>
            <w:tcBorders>
              <w:top w:val="nil"/>
              <w:left w:val="nil"/>
              <w:bottom w:val="nil"/>
              <w:right w:val="nil"/>
            </w:tcBorders>
            <w:vAlign w:val="center"/>
          </w:tcPr>
          <w:p w14:paraId="0B4C286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-0.00987***</w:t>
            </w:r>
          </w:p>
        </w:tc>
        <w:tc>
          <w:tcPr>
            <w:tcW w:w="1387" w:type="dxa"/>
            <w:tcBorders>
              <w:top w:val="nil"/>
              <w:left w:val="nil"/>
              <w:bottom w:val="nil"/>
              <w:right w:val="nil"/>
            </w:tcBorders>
            <w:vAlign w:val="center"/>
          </w:tcPr>
          <w:p w14:paraId="03B5B4A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-0.00745*</w:t>
            </w:r>
          </w:p>
        </w:tc>
        <w:tc>
          <w:tcPr>
            <w:tcW w:w="1388" w:type="dxa"/>
            <w:tcBorders>
              <w:top w:val="nil"/>
              <w:left w:val="nil"/>
              <w:bottom w:val="nil"/>
              <w:right w:val="nil"/>
            </w:tcBorders>
            <w:vAlign w:val="center"/>
          </w:tcPr>
          <w:p w14:paraId="6CE14DD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-0.00437</w:t>
            </w:r>
          </w:p>
        </w:tc>
        <w:tc>
          <w:tcPr>
            <w:tcW w:w="1387" w:type="dxa"/>
            <w:tcBorders>
              <w:top w:val="nil"/>
              <w:left w:val="nil"/>
              <w:bottom w:val="nil"/>
              <w:right w:val="nil"/>
            </w:tcBorders>
            <w:vAlign w:val="center"/>
          </w:tcPr>
          <w:p w14:paraId="1A7396F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-0.00522</w:t>
            </w:r>
          </w:p>
        </w:tc>
        <w:tc>
          <w:tcPr>
            <w:tcW w:w="1388" w:type="dxa"/>
            <w:tcBorders>
              <w:top w:val="nil"/>
              <w:left w:val="nil"/>
              <w:bottom w:val="nil"/>
              <w:right w:val="nil"/>
            </w:tcBorders>
            <w:vAlign w:val="center"/>
          </w:tcPr>
          <w:p w14:paraId="5F72FFD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-0.00110</w:t>
            </w:r>
          </w:p>
        </w:tc>
        <w:tc>
          <w:tcPr>
            <w:tcW w:w="1387" w:type="dxa"/>
            <w:tcBorders>
              <w:top w:val="nil"/>
              <w:left w:val="nil"/>
              <w:bottom w:val="nil"/>
              <w:right w:val="nil"/>
            </w:tcBorders>
            <w:vAlign w:val="center"/>
          </w:tcPr>
          <w:p w14:paraId="59CE600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0.0280</w:t>
            </w:r>
          </w:p>
        </w:tc>
        <w:tc>
          <w:tcPr>
            <w:tcW w:w="1388" w:type="dxa"/>
            <w:tcBorders>
              <w:top w:val="nil"/>
              <w:left w:val="nil"/>
              <w:bottom w:val="nil"/>
              <w:right w:val="nil"/>
            </w:tcBorders>
            <w:vAlign w:val="center"/>
          </w:tcPr>
          <w:p w14:paraId="5D45F25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0.0269</w:t>
            </w:r>
          </w:p>
        </w:tc>
      </w:tr>
      <w:tr w:rsidR="002743A7" w:rsidRPr="00F14751" w14:paraId="71ECD98A" w14:textId="77777777" w:rsidTr="008738C3">
        <w:trPr>
          <w:jc w:val="center"/>
        </w:trPr>
        <w:tc>
          <w:tcPr>
            <w:tcW w:w="1768" w:type="dxa"/>
            <w:tcBorders>
              <w:top w:val="nil"/>
              <w:left w:val="nil"/>
              <w:bottom w:val="nil"/>
              <w:right w:val="nil"/>
            </w:tcBorders>
            <w:vAlign w:val="center"/>
          </w:tcPr>
          <w:p w14:paraId="3194133E"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18B30DB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(0.0166)</w:t>
            </w:r>
          </w:p>
        </w:tc>
        <w:tc>
          <w:tcPr>
            <w:tcW w:w="1388" w:type="dxa"/>
            <w:tcBorders>
              <w:top w:val="nil"/>
              <w:left w:val="nil"/>
              <w:bottom w:val="nil"/>
              <w:right w:val="nil"/>
            </w:tcBorders>
            <w:vAlign w:val="center"/>
          </w:tcPr>
          <w:p w14:paraId="2820DC7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(0.00138)</w:t>
            </w:r>
          </w:p>
        </w:tc>
        <w:tc>
          <w:tcPr>
            <w:tcW w:w="1387" w:type="dxa"/>
            <w:tcBorders>
              <w:top w:val="nil"/>
              <w:left w:val="nil"/>
              <w:bottom w:val="nil"/>
              <w:right w:val="nil"/>
            </w:tcBorders>
            <w:vAlign w:val="center"/>
          </w:tcPr>
          <w:p w14:paraId="0FB5F48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(0.00186)</w:t>
            </w:r>
          </w:p>
        </w:tc>
        <w:tc>
          <w:tcPr>
            <w:tcW w:w="1388" w:type="dxa"/>
            <w:tcBorders>
              <w:top w:val="nil"/>
              <w:left w:val="nil"/>
              <w:bottom w:val="nil"/>
              <w:right w:val="nil"/>
            </w:tcBorders>
            <w:vAlign w:val="center"/>
          </w:tcPr>
          <w:p w14:paraId="5271D2B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(0.00293)</w:t>
            </w:r>
          </w:p>
        </w:tc>
        <w:tc>
          <w:tcPr>
            <w:tcW w:w="1387" w:type="dxa"/>
            <w:tcBorders>
              <w:top w:val="nil"/>
              <w:left w:val="nil"/>
              <w:bottom w:val="nil"/>
              <w:right w:val="nil"/>
            </w:tcBorders>
            <w:vAlign w:val="center"/>
          </w:tcPr>
          <w:p w14:paraId="73AD150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(0.00412)</w:t>
            </w:r>
          </w:p>
        </w:tc>
        <w:tc>
          <w:tcPr>
            <w:tcW w:w="1388" w:type="dxa"/>
            <w:tcBorders>
              <w:top w:val="nil"/>
              <w:left w:val="nil"/>
              <w:bottom w:val="nil"/>
              <w:right w:val="nil"/>
            </w:tcBorders>
            <w:vAlign w:val="center"/>
          </w:tcPr>
          <w:p w14:paraId="520DE03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(0.00528)</w:t>
            </w:r>
          </w:p>
        </w:tc>
        <w:tc>
          <w:tcPr>
            <w:tcW w:w="1387" w:type="dxa"/>
            <w:tcBorders>
              <w:top w:val="nil"/>
              <w:left w:val="nil"/>
              <w:bottom w:val="nil"/>
              <w:right w:val="nil"/>
            </w:tcBorders>
            <w:vAlign w:val="center"/>
          </w:tcPr>
          <w:p w14:paraId="795EF93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(0.00752)</w:t>
            </w:r>
          </w:p>
        </w:tc>
        <w:tc>
          <w:tcPr>
            <w:tcW w:w="1388" w:type="dxa"/>
            <w:tcBorders>
              <w:top w:val="nil"/>
              <w:left w:val="nil"/>
              <w:bottom w:val="nil"/>
              <w:right w:val="nil"/>
            </w:tcBorders>
            <w:vAlign w:val="center"/>
          </w:tcPr>
          <w:p w14:paraId="4B8A9F8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(0.00584)</w:t>
            </w:r>
          </w:p>
        </w:tc>
        <w:tc>
          <w:tcPr>
            <w:tcW w:w="1387" w:type="dxa"/>
            <w:tcBorders>
              <w:top w:val="nil"/>
              <w:left w:val="nil"/>
              <w:bottom w:val="nil"/>
              <w:right w:val="nil"/>
            </w:tcBorders>
            <w:vAlign w:val="center"/>
          </w:tcPr>
          <w:p w14:paraId="20169F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(0.0200)</w:t>
            </w:r>
          </w:p>
        </w:tc>
        <w:tc>
          <w:tcPr>
            <w:tcW w:w="1388" w:type="dxa"/>
            <w:tcBorders>
              <w:top w:val="nil"/>
              <w:left w:val="nil"/>
              <w:bottom w:val="nil"/>
              <w:right w:val="nil"/>
            </w:tcBorders>
            <w:vAlign w:val="center"/>
          </w:tcPr>
          <w:p w14:paraId="1EF32C0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(0.0163)</w:t>
            </w:r>
          </w:p>
        </w:tc>
      </w:tr>
      <w:tr w:rsidR="002743A7" w:rsidRPr="00F14751" w14:paraId="3692ECC4" w14:textId="77777777" w:rsidTr="008738C3">
        <w:trPr>
          <w:jc w:val="center"/>
        </w:trPr>
        <w:tc>
          <w:tcPr>
            <w:tcW w:w="1768" w:type="dxa"/>
            <w:tcBorders>
              <w:top w:val="nil"/>
              <w:left w:val="nil"/>
              <w:bottom w:val="nil"/>
              <w:right w:val="nil"/>
            </w:tcBorders>
            <w:vAlign w:val="center"/>
          </w:tcPr>
          <w:p w14:paraId="26626A89"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Tax</w:t>
            </w:r>
          </w:p>
        </w:tc>
        <w:tc>
          <w:tcPr>
            <w:tcW w:w="1387" w:type="dxa"/>
            <w:tcBorders>
              <w:top w:val="nil"/>
              <w:left w:val="nil"/>
              <w:bottom w:val="nil"/>
              <w:right w:val="nil"/>
            </w:tcBorders>
            <w:vAlign w:val="center"/>
          </w:tcPr>
          <w:p w14:paraId="289DD6B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-0.0746*</w:t>
            </w:r>
          </w:p>
        </w:tc>
        <w:tc>
          <w:tcPr>
            <w:tcW w:w="1388" w:type="dxa"/>
            <w:tcBorders>
              <w:top w:val="nil"/>
              <w:left w:val="nil"/>
              <w:bottom w:val="nil"/>
              <w:right w:val="nil"/>
            </w:tcBorders>
            <w:vAlign w:val="center"/>
          </w:tcPr>
          <w:p w14:paraId="4A433F9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0.0102**</w:t>
            </w:r>
          </w:p>
        </w:tc>
        <w:tc>
          <w:tcPr>
            <w:tcW w:w="1387" w:type="dxa"/>
            <w:tcBorders>
              <w:top w:val="nil"/>
              <w:left w:val="nil"/>
              <w:bottom w:val="nil"/>
              <w:right w:val="nil"/>
            </w:tcBorders>
            <w:vAlign w:val="center"/>
          </w:tcPr>
          <w:p w14:paraId="10EB492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0.00765*</w:t>
            </w:r>
          </w:p>
        </w:tc>
        <w:tc>
          <w:tcPr>
            <w:tcW w:w="1388" w:type="dxa"/>
            <w:tcBorders>
              <w:top w:val="nil"/>
              <w:left w:val="nil"/>
              <w:bottom w:val="nil"/>
              <w:right w:val="nil"/>
            </w:tcBorders>
            <w:vAlign w:val="center"/>
          </w:tcPr>
          <w:p w14:paraId="2D62AAC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0.0178**</w:t>
            </w:r>
          </w:p>
        </w:tc>
        <w:tc>
          <w:tcPr>
            <w:tcW w:w="1387" w:type="dxa"/>
            <w:tcBorders>
              <w:top w:val="nil"/>
              <w:left w:val="nil"/>
              <w:bottom w:val="nil"/>
              <w:right w:val="nil"/>
            </w:tcBorders>
            <w:vAlign w:val="center"/>
          </w:tcPr>
          <w:p w14:paraId="3D3E319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0.0112</w:t>
            </w:r>
          </w:p>
        </w:tc>
        <w:tc>
          <w:tcPr>
            <w:tcW w:w="1388" w:type="dxa"/>
            <w:tcBorders>
              <w:top w:val="nil"/>
              <w:left w:val="nil"/>
              <w:bottom w:val="nil"/>
              <w:right w:val="nil"/>
            </w:tcBorders>
            <w:vAlign w:val="center"/>
          </w:tcPr>
          <w:p w14:paraId="1601488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0.00886</w:t>
            </w:r>
          </w:p>
        </w:tc>
        <w:tc>
          <w:tcPr>
            <w:tcW w:w="1387" w:type="dxa"/>
            <w:tcBorders>
              <w:top w:val="nil"/>
              <w:left w:val="nil"/>
              <w:bottom w:val="nil"/>
              <w:right w:val="nil"/>
            </w:tcBorders>
            <w:vAlign w:val="center"/>
          </w:tcPr>
          <w:p w14:paraId="4A47E7E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0.00570</w:t>
            </w:r>
          </w:p>
        </w:tc>
        <w:tc>
          <w:tcPr>
            <w:tcW w:w="1388" w:type="dxa"/>
            <w:tcBorders>
              <w:top w:val="nil"/>
              <w:left w:val="nil"/>
              <w:bottom w:val="nil"/>
              <w:right w:val="nil"/>
            </w:tcBorders>
            <w:vAlign w:val="center"/>
          </w:tcPr>
          <w:p w14:paraId="4398CE6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-0.000187</w:t>
            </w:r>
          </w:p>
        </w:tc>
        <w:tc>
          <w:tcPr>
            <w:tcW w:w="1387" w:type="dxa"/>
            <w:tcBorders>
              <w:top w:val="nil"/>
              <w:left w:val="nil"/>
              <w:bottom w:val="nil"/>
              <w:right w:val="nil"/>
            </w:tcBorders>
            <w:vAlign w:val="center"/>
          </w:tcPr>
          <w:p w14:paraId="5834244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-0.0434</w:t>
            </w:r>
          </w:p>
        </w:tc>
        <w:tc>
          <w:tcPr>
            <w:tcW w:w="1388" w:type="dxa"/>
            <w:tcBorders>
              <w:top w:val="nil"/>
              <w:left w:val="nil"/>
              <w:bottom w:val="nil"/>
              <w:right w:val="nil"/>
            </w:tcBorders>
            <w:vAlign w:val="center"/>
          </w:tcPr>
          <w:p w14:paraId="6361B61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-0.0436</w:t>
            </w:r>
          </w:p>
        </w:tc>
      </w:tr>
      <w:tr w:rsidR="002743A7" w:rsidRPr="00F14751" w14:paraId="0C95E150" w14:textId="77777777" w:rsidTr="008738C3">
        <w:trPr>
          <w:jc w:val="center"/>
        </w:trPr>
        <w:tc>
          <w:tcPr>
            <w:tcW w:w="1768" w:type="dxa"/>
            <w:tcBorders>
              <w:top w:val="nil"/>
              <w:left w:val="nil"/>
              <w:bottom w:val="nil"/>
              <w:right w:val="nil"/>
            </w:tcBorders>
            <w:vAlign w:val="center"/>
          </w:tcPr>
          <w:p w14:paraId="3D91EA54"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21D76B2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(0.0411)</w:t>
            </w:r>
          </w:p>
        </w:tc>
        <w:tc>
          <w:tcPr>
            <w:tcW w:w="1388" w:type="dxa"/>
            <w:tcBorders>
              <w:top w:val="nil"/>
              <w:left w:val="nil"/>
              <w:bottom w:val="nil"/>
              <w:right w:val="nil"/>
            </w:tcBorders>
            <w:vAlign w:val="center"/>
          </w:tcPr>
          <w:p w14:paraId="6036EB2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(0.00378)</w:t>
            </w:r>
          </w:p>
        </w:tc>
        <w:tc>
          <w:tcPr>
            <w:tcW w:w="1387" w:type="dxa"/>
            <w:tcBorders>
              <w:top w:val="nil"/>
              <w:left w:val="nil"/>
              <w:bottom w:val="nil"/>
              <w:right w:val="nil"/>
            </w:tcBorders>
            <w:vAlign w:val="center"/>
          </w:tcPr>
          <w:p w14:paraId="35E7CF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(0.00383)</w:t>
            </w:r>
          </w:p>
        </w:tc>
        <w:tc>
          <w:tcPr>
            <w:tcW w:w="1388" w:type="dxa"/>
            <w:tcBorders>
              <w:top w:val="nil"/>
              <w:left w:val="nil"/>
              <w:bottom w:val="nil"/>
              <w:right w:val="nil"/>
            </w:tcBorders>
            <w:vAlign w:val="center"/>
          </w:tcPr>
          <w:p w14:paraId="191C7BE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(0.00699)</w:t>
            </w:r>
          </w:p>
        </w:tc>
        <w:tc>
          <w:tcPr>
            <w:tcW w:w="1387" w:type="dxa"/>
            <w:tcBorders>
              <w:top w:val="nil"/>
              <w:left w:val="nil"/>
              <w:bottom w:val="nil"/>
              <w:right w:val="nil"/>
            </w:tcBorders>
            <w:vAlign w:val="center"/>
          </w:tcPr>
          <w:p w14:paraId="74CA849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(0.00833)</w:t>
            </w:r>
          </w:p>
        </w:tc>
        <w:tc>
          <w:tcPr>
            <w:tcW w:w="1388" w:type="dxa"/>
            <w:tcBorders>
              <w:top w:val="nil"/>
              <w:left w:val="nil"/>
              <w:bottom w:val="nil"/>
              <w:right w:val="nil"/>
            </w:tcBorders>
            <w:vAlign w:val="center"/>
          </w:tcPr>
          <w:p w14:paraId="184C90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(0.0106)</w:t>
            </w:r>
          </w:p>
        </w:tc>
        <w:tc>
          <w:tcPr>
            <w:tcW w:w="1387" w:type="dxa"/>
            <w:tcBorders>
              <w:top w:val="nil"/>
              <w:left w:val="nil"/>
              <w:bottom w:val="nil"/>
              <w:right w:val="nil"/>
            </w:tcBorders>
            <w:vAlign w:val="center"/>
          </w:tcPr>
          <w:p w14:paraId="4C46147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(0.0147)</w:t>
            </w:r>
          </w:p>
        </w:tc>
        <w:tc>
          <w:tcPr>
            <w:tcW w:w="1388" w:type="dxa"/>
            <w:tcBorders>
              <w:top w:val="nil"/>
              <w:left w:val="nil"/>
              <w:bottom w:val="nil"/>
              <w:right w:val="nil"/>
            </w:tcBorders>
            <w:vAlign w:val="center"/>
          </w:tcPr>
          <w:p w14:paraId="378B8AF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(0.00829)</w:t>
            </w:r>
          </w:p>
        </w:tc>
        <w:tc>
          <w:tcPr>
            <w:tcW w:w="1387" w:type="dxa"/>
            <w:tcBorders>
              <w:top w:val="nil"/>
              <w:left w:val="nil"/>
              <w:bottom w:val="nil"/>
              <w:right w:val="nil"/>
            </w:tcBorders>
            <w:vAlign w:val="center"/>
          </w:tcPr>
          <w:p w14:paraId="7F601ED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(0.0399)</w:t>
            </w:r>
          </w:p>
        </w:tc>
        <w:tc>
          <w:tcPr>
            <w:tcW w:w="1388" w:type="dxa"/>
            <w:tcBorders>
              <w:top w:val="nil"/>
              <w:left w:val="nil"/>
              <w:bottom w:val="nil"/>
              <w:right w:val="nil"/>
            </w:tcBorders>
            <w:vAlign w:val="center"/>
          </w:tcPr>
          <w:p w14:paraId="258C25E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(0.0348)</w:t>
            </w:r>
          </w:p>
        </w:tc>
      </w:tr>
      <w:tr w:rsidR="002743A7" w:rsidRPr="00F14751" w14:paraId="5C5C5CBB" w14:textId="77777777" w:rsidTr="008738C3">
        <w:trPr>
          <w:jc w:val="center"/>
        </w:trPr>
        <w:tc>
          <w:tcPr>
            <w:tcW w:w="1768" w:type="dxa"/>
            <w:tcBorders>
              <w:top w:val="nil"/>
              <w:left w:val="nil"/>
              <w:bottom w:val="nil"/>
              <w:right w:val="nil"/>
            </w:tcBorders>
            <w:vAlign w:val="center"/>
          </w:tcPr>
          <w:p w14:paraId="6CF172DB"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Privatizations</w:t>
            </w:r>
          </w:p>
        </w:tc>
        <w:tc>
          <w:tcPr>
            <w:tcW w:w="1387" w:type="dxa"/>
            <w:tcBorders>
              <w:top w:val="nil"/>
              <w:left w:val="nil"/>
              <w:bottom w:val="nil"/>
              <w:right w:val="nil"/>
            </w:tcBorders>
            <w:vAlign w:val="center"/>
          </w:tcPr>
          <w:p w14:paraId="05D02FA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-0.0548**</w:t>
            </w:r>
          </w:p>
        </w:tc>
        <w:tc>
          <w:tcPr>
            <w:tcW w:w="1388" w:type="dxa"/>
            <w:tcBorders>
              <w:top w:val="nil"/>
              <w:left w:val="nil"/>
              <w:bottom w:val="nil"/>
              <w:right w:val="nil"/>
            </w:tcBorders>
            <w:vAlign w:val="center"/>
          </w:tcPr>
          <w:p w14:paraId="1EBFCE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0.00323</w:t>
            </w:r>
          </w:p>
        </w:tc>
        <w:tc>
          <w:tcPr>
            <w:tcW w:w="1387" w:type="dxa"/>
            <w:tcBorders>
              <w:top w:val="nil"/>
              <w:left w:val="nil"/>
              <w:bottom w:val="nil"/>
              <w:right w:val="nil"/>
            </w:tcBorders>
            <w:vAlign w:val="center"/>
          </w:tcPr>
          <w:p w14:paraId="3F634D9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0.00698**</w:t>
            </w:r>
          </w:p>
        </w:tc>
        <w:tc>
          <w:tcPr>
            <w:tcW w:w="1388" w:type="dxa"/>
            <w:tcBorders>
              <w:top w:val="nil"/>
              <w:left w:val="nil"/>
              <w:bottom w:val="nil"/>
              <w:right w:val="nil"/>
            </w:tcBorders>
            <w:vAlign w:val="center"/>
          </w:tcPr>
          <w:p w14:paraId="5FA3677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0.0102*</w:t>
            </w:r>
          </w:p>
        </w:tc>
        <w:tc>
          <w:tcPr>
            <w:tcW w:w="1387" w:type="dxa"/>
            <w:tcBorders>
              <w:top w:val="nil"/>
              <w:left w:val="nil"/>
              <w:bottom w:val="nil"/>
              <w:right w:val="nil"/>
            </w:tcBorders>
            <w:vAlign w:val="center"/>
          </w:tcPr>
          <w:p w14:paraId="1AC4945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0.0150**</w:t>
            </w:r>
          </w:p>
        </w:tc>
        <w:tc>
          <w:tcPr>
            <w:tcW w:w="1388" w:type="dxa"/>
            <w:tcBorders>
              <w:top w:val="nil"/>
              <w:left w:val="nil"/>
              <w:bottom w:val="nil"/>
              <w:right w:val="nil"/>
            </w:tcBorders>
            <w:vAlign w:val="center"/>
          </w:tcPr>
          <w:p w14:paraId="027AFD1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0.0156*</w:t>
            </w:r>
          </w:p>
        </w:tc>
        <w:tc>
          <w:tcPr>
            <w:tcW w:w="1387" w:type="dxa"/>
            <w:tcBorders>
              <w:top w:val="nil"/>
              <w:left w:val="nil"/>
              <w:bottom w:val="nil"/>
              <w:right w:val="nil"/>
            </w:tcBorders>
            <w:vAlign w:val="center"/>
          </w:tcPr>
          <w:p w14:paraId="434AF82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0.00880</w:t>
            </w:r>
          </w:p>
        </w:tc>
        <w:tc>
          <w:tcPr>
            <w:tcW w:w="1388" w:type="dxa"/>
            <w:tcBorders>
              <w:top w:val="nil"/>
              <w:left w:val="nil"/>
              <w:bottom w:val="nil"/>
              <w:right w:val="nil"/>
            </w:tcBorders>
            <w:vAlign w:val="center"/>
          </w:tcPr>
          <w:p w14:paraId="2E1F940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-0.00558</w:t>
            </w:r>
          </w:p>
        </w:tc>
        <w:tc>
          <w:tcPr>
            <w:tcW w:w="1387" w:type="dxa"/>
            <w:tcBorders>
              <w:top w:val="nil"/>
              <w:left w:val="nil"/>
              <w:bottom w:val="nil"/>
              <w:right w:val="nil"/>
            </w:tcBorders>
            <w:vAlign w:val="center"/>
          </w:tcPr>
          <w:p w14:paraId="0C7E3AB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-0.0440*</w:t>
            </w:r>
          </w:p>
        </w:tc>
        <w:tc>
          <w:tcPr>
            <w:tcW w:w="1388" w:type="dxa"/>
            <w:tcBorders>
              <w:top w:val="nil"/>
              <w:left w:val="nil"/>
              <w:bottom w:val="nil"/>
              <w:right w:val="nil"/>
            </w:tcBorders>
            <w:vAlign w:val="center"/>
          </w:tcPr>
          <w:p w14:paraId="61A043F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-0.0496**</w:t>
            </w:r>
          </w:p>
        </w:tc>
      </w:tr>
      <w:tr w:rsidR="002743A7" w:rsidRPr="00F14751" w14:paraId="559BC60A" w14:textId="77777777" w:rsidTr="008738C3">
        <w:trPr>
          <w:jc w:val="center"/>
        </w:trPr>
        <w:tc>
          <w:tcPr>
            <w:tcW w:w="1768" w:type="dxa"/>
            <w:tcBorders>
              <w:top w:val="nil"/>
              <w:left w:val="nil"/>
              <w:bottom w:val="nil"/>
              <w:right w:val="nil"/>
            </w:tcBorders>
            <w:vAlign w:val="center"/>
          </w:tcPr>
          <w:p w14:paraId="5E5E5164"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636552E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(0.0227)</w:t>
            </w:r>
          </w:p>
        </w:tc>
        <w:tc>
          <w:tcPr>
            <w:tcW w:w="1388" w:type="dxa"/>
            <w:tcBorders>
              <w:top w:val="nil"/>
              <w:left w:val="nil"/>
              <w:bottom w:val="nil"/>
              <w:right w:val="nil"/>
            </w:tcBorders>
            <w:vAlign w:val="center"/>
          </w:tcPr>
          <w:p w14:paraId="412A3F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(0.00257)</w:t>
            </w:r>
          </w:p>
        </w:tc>
        <w:tc>
          <w:tcPr>
            <w:tcW w:w="1387" w:type="dxa"/>
            <w:tcBorders>
              <w:top w:val="nil"/>
              <w:left w:val="nil"/>
              <w:bottom w:val="nil"/>
              <w:right w:val="nil"/>
            </w:tcBorders>
            <w:vAlign w:val="center"/>
          </w:tcPr>
          <w:p w14:paraId="0CC4E5A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(0.00290)</w:t>
            </w:r>
          </w:p>
        </w:tc>
        <w:tc>
          <w:tcPr>
            <w:tcW w:w="1388" w:type="dxa"/>
            <w:tcBorders>
              <w:top w:val="nil"/>
              <w:left w:val="nil"/>
              <w:bottom w:val="nil"/>
              <w:right w:val="nil"/>
            </w:tcBorders>
            <w:vAlign w:val="center"/>
          </w:tcPr>
          <w:p w14:paraId="78ABEE0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(0.00509)</w:t>
            </w:r>
          </w:p>
        </w:tc>
        <w:tc>
          <w:tcPr>
            <w:tcW w:w="1387" w:type="dxa"/>
            <w:tcBorders>
              <w:top w:val="nil"/>
              <w:left w:val="nil"/>
              <w:bottom w:val="nil"/>
              <w:right w:val="nil"/>
            </w:tcBorders>
            <w:vAlign w:val="center"/>
          </w:tcPr>
          <w:p w14:paraId="76D71D4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(0.00629)</w:t>
            </w:r>
          </w:p>
        </w:tc>
        <w:tc>
          <w:tcPr>
            <w:tcW w:w="1388" w:type="dxa"/>
            <w:tcBorders>
              <w:top w:val="nil"/>
              <w:left w:val="nil"/>
              <w:bottom w:val="nil"/>
              <w:right w:val="nil"/>
            </w:tcBorders>
            <w:vAlign w:val="center"/>
          </w:tcPr>
          <w:p w14:paraId="358B9A3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(0.00758)</w:t>
            </w:r>
          </w:p>
        </w:tc>
        <w:tc>
          <w:tcPr>
            <w:tcW w:w="1387" w:type="dxa"/>
            <w:tcBorders>
              <w:top w:val="nil"/>
              <w:left w:val="nil"/>
              <w:bottom w:val="nil"/>
              <w:right w:val="nil"/>
            </w:tcBorders>
            <w:vAlign w:val="center"/>
          </w:tcPr>
          <w:p w14:paraId="47A907D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(0.00756)</w:t>
            </w:r>
          </w:p>
        </w:tc>
        <w:tc>
          <w:tcPr>
            <w:tcW w:w="1388" w:type="dxa"/>
            <w:tcBorders>
              <w:top w:val="nil"/>
              <w:left w:val="nil"/>
              <w:bottom w:val="nil"/>
              <w:right w:val="nil"/>
            </w:tcBorders>
            <w:vAlign w:val="center"/>
          </w:tcPr>
          <w:p w14:paraId="3A9E188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(0.00633)</w:t>
            </w:r>
          </w:p>
        </w:tc>
        <w:tc>
          <w:tcPr>
            <w:tcW w:w="1387" w:type="dxa"/>
            <w:tcBorders>
              <w:top w:val="nil"/>
              <w:left w:val="nil"/>
              <w:bottom w:val="nil"/>
              <w:right w:val="nil"/>
            </w:tcBorders>
            <w:vAlign w:val="center"/>
          </w:tcPr>
          <w:p w14:paraId="5E20861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(0.0219)</w:t>
            </w:r>
          </w:p>
        </w:tc>
        <w:tc>
          <w:tcPr>
            <w:tcW w:w="1388" w:type="dxa"/>
            <w:tcBorders>
              <w:top w:val="nil"/>
              <w:left w:val="nil"/>
              <w:bottom w:val="nil"/>
              <w:right w:val="nil"/>
            </w:tcBorders>
            <w:vAlign w:val="center"/>
          </w:tcPr>
          <w:p w14:paraId="20C58C1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(0.0208)</w:t>
            </w:r>
          </w:p>
        </w:tc>
      </w:tr>
      <w:tr w:rsidR="002743A7" w:rsidRPr="00F14751" w14:paraId="10C0D4E7" w14:textId="77777777" w:rsidTr="008738C3">
        <w:trPr>
          <w:jc w:val="center"/>
        </w:trPr>
        <w:tc>
          <w:tcPr>
            <w:tcW w:w="1768" w:type="dxa"/>
            <w:tcBorders>
              <w:top w:val="nil"/>
              <w:left w:val="nil"/>
              <w:bottom w:val="nil"/>
              <w:right w:val="nil"/>
            </w:tcBorders>
            <w:vAlign w:val="center"/>
          </w:tcPr>
          <w:p w14:paraId="54094140"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Labor</w:t>
            </w:r>
          </w:p>
        </w:tc>
        <w:tc>
          <w:tcPr>
            <w:tcW w:w="1387" w:type="dxa"/>
            <w:tcBorders>
              <w:top w:val="nil"/>
              <w:left w:val="nil"/>
              <w:bottom w:val="nil"/>
              <w:right w:val="nil"/>
            </w:tcBorders>
            <w:vAlign w:val="center"/>
          </w:tcPr>
          <w:p w14:paraId="0219295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0.388**</w:t>
            </w:r>
          </w:p>
        </w:tc>
        <w:tc>
          <w:tcPr>
            <w:tcW w:w="1388" w:type="dxa"/>
            <w:tcBorders>
              <w:top w:val="nil"/>
              <w:left w:val="nil"/>
              <w:bottom w:val="nil"/>
              <w:right w:val="nil"/>
            </w:tcBorders>
            <w:vAlign w:val="center"/>
          </w:tcPr>
          <w:p w14:paraId="1A54AAF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-0.0240**</w:t>
            </w:r>
          </w:p>
        </w:tc>
        <w:tc>
          <w:tcPr>
            <w:tcW w:w="1387" w:type="dxa"/>
            <w:tcBorders>
              <w:top w:val="nil"/>
              <w:left w:val="nil"/>
              <w:bottom w:val="nil"/>
              <w:right w:val="nil"/>
            </w:tcBorders>
            <w:vAlign w:val="center"/>
          </w:tcPr>
          <w:p w14:paraId="3D2F282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-0.0411**</w:t>
            </w:r>
          </w:p>
        </w:tc>
        <w:tc>
          <w:tcPr>
            <w:tcW w:w="1388" w:type="dxa"/>
            <w:tcBorders>
              <w:top w:val="nil"/>
              <w:left w:val="nil"/>
              <w:bottom w:val="nil"/>
              <w:right w:val="nil"/>
            </w:tcBorders>
            <w:vAlign w:val="center"/>
          </w:tcPr>
          <w:p w14:paraId="55239AD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-0.0651**</w:t>
            </w:r>
          </w:p>
        </w:tc>
        <w:tc>
          <w:tcPr>
            <w:tcW w:w="1387" w:type="dxa"/>
            <w:tcBorders>
              <w:top w:val="nil"/>
              <w:left w:val="nil"/>
              <w:bottom w:val="nil"/>
              <w:right w:val="nil"/>
            </w:tcBorders>
            <w:vAlign w:val="center"/>
          </w:tcPr>
          <w:p w14:paraId="51F8C31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-0.111**</w:t>
            </w:r>
          </w:p>
        </w:tc>
        <w:tc>
          <w:tcPr>
            <w:tcW w:w="1388" w:type="dxa"/>
            <w:tcBorders>
              <w:top w:val="nil"/>
              <w:left w:val="nil"/>
              <w:bottom w:val="nil"/>
              <w:right w:val="nil"/>
            </w:tcBorders>
            <w:vAlign w:val="center"/>
          </w:tcPr>
          <w:p w14:paraId="4F6102A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-0.109**</w:t>
            </w:r>
          </w:p>
        </w:tc>
        <w:tc>
          <w:tcPr>
            <w:tcW w:w="1387" w:type="dxa"/>
            <w:tcBorders>
              <w:top w:val="nil"/>
              <w:left w:val="nil"/>
              <w:bottom w:val="nil"/>
              <w:right w:val="nil"/>
            </w:tcBorders>
            <w:vAlign w:val="center"/>
          </w:tcPr>
          <w:p w14:paraId="57B07EF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-0.0679</w:t>
            </w:r>
          </w:p>
        </w:tc>
        <w:tc>
          <w:tcPr>
            <w:tcW w:w="1388" w:type="dxa"/>
            <w:tcBorders>
              <w:top w:val="nil"/>
              <w:left w:val="nil"/>
              <w:bottom w:val="nil"/>
              <w:right w:val="nil"/>
            </w:tcBorders>
            <w:vAlign w:val="center"/>
          </w:tcPr>
          <w:p w14:paraId="2903949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0.0257</w:t>
            </w:r>
          </w:p>
        </w:tc>
        <w:tc>
          <w:tcPr>
            <w:tcW w:w="1387" w:type="dxa"/>
            <w:tcBorders>
              <w:top w:val="nil"/>
              <w:left w:val="nil"/>
              <w:bottom w:val="nil"/>
              <w:right w:val="nil"/>
            </w:tcBorders>
            <w:vAlign w:val="center"/>
          </w:tcPr>
          <w:p w14:paraId="096803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0.327*</w:t>
            </w:r>
          </w:p>
        </w:tc>
        <w:tc>
          <w:tcPr>
            <w:tcW w:w="1388" w:type="dxa"/>
            <w:tcBorders>
              <w:top w:val="nil"/>
              <w:left w:val="nil"/>
              <w:bottom w:val="nil"/>
              <w:right w:val="nil"/>
            </w:tcBorders>
            <w:vAlign w:val="center"/>
          </w:tcPr>
          <w:p w14:paraId="765E0A5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0.352**</w:t>
            </w:r>
          </w:p>
        </w:tc>
      </w:tr>
      <w:tr w:rsidR="002743A7" w:rsidRPr="00F14751" w14:paraId="714F14AD" w14:textId="77777777" w:rsidTr="008738C3">
        <w:trPr>
          <w:jc w:val="center"/>
        </w:trPr>
        <w:tc>
          <w:tcPr>
            <w:tcW w:w="1768" w:type="dxa"/>
            <w:tcBorders>
              <w:top w:val="nil"/>
              <w:left w:val="nil"/>
              <w:bottom w:val="nil"/>
              <w:right w:val="nil"/>
            </w:tcBorders>
            <w:vAlign w:val="center"/>
          </w:tcPr>
          <w:p w14:paraId="50B4551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313155E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(0.158)</w:t>
            </w:r>
          </w:p>
        </w:tc>
        <w:tc>
          <w:tcPr>
            <w:tcW w:w="1388" w:type="dxa"/>
            <w:tcBorders>
              <w:top w:val="nil"/>
              <w:left w:val="nil"/>
              <w:bottom w:val="nil"/>
              <w:right w:val="nil"/>
            </w:tcBorders>
            <w:vAlign w:val="center"/>
          </w:tcPr>
          <w:p w14:paraId="4CB8829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(0.0108)</w:t>
            </w:r>
          </w:p>
        </w:tc>
        <w:tc>
          <w:tcPr>
            <w:tcW w:w="1387" w:type="dxa"/>
            <w:tcBorders>
              <w:top w:val="nil"/>
              <w:left w:val="nil"/>
              <w:bottom w:val="nil"/>
              <w:right w:val="nil"/>
            </w:tcBorders>
            <w:vAlign w:val="center"/>
          </w:tcPr>
          <w:p w14:paraId="5D778DC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(0.0157)</w:t>
            </w:r>
          </w:p>
        </w:tc>
        <w:tc>
          <w:tcPr>
            <w:tcW w:w="1388" w:type="dxa"/>
            <w:tcBorders>
              <w:top w:val="nil"/>
              <w:left w:val="nil"/>
              <w:bottom w:val="nil"/>
              <w:right w:val="nil"/>
            </w:tcBorders>
            <w:vAlign w:val="center"/>
          </w:tcPr>
          <w:p w14:paraId="4E864BA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(0.0245)</w:t>
            </w:r>
          </w:p>
        </w:tc>
        <w:tc>
          <w:tcPr>
            <w:tcW w:w="1387" w:type="dxa"/>
            <w:tcBorders>
              <w:top w:val="nil"/>
              <w:left w:val="nil"/>
              <w:bottom w:val="nil"/>
              <w:right w:val="nil"/>
            </w:tcBorders>
            <w:vAlign w:val="center"/>
          </w:tcPr>
          <w:p w14:paraId="111223E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(0.0385)</w:t>
            </w:r>
          </w:p>
        </w:tc>
        <w:tc>
          <w:tcPr>
            <w:tcW w:w="1388" w:type="dxa"/>
            <w:tcBorders>
              <w:top w:val="nil"/>
              <w:left w:val="nil"/>
              <w:bottom w:val="nil"/>
              <w:right w:val="nil"/>
            </w:tcBorders>
            <w:vAlign w:val="center"/>
          </w:tcPr>
          <w:p w14:paraId="7FF76E7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(0.0452)</w:t>
            </w:r>
          </w:p>
        </w:tc>
        <w:tc>
          <w:tcPr>
            <w:tcW w:w="1387" w:type="dxa"/>
            <w:tcBorders>
              <w:top w:val="nil"/>
              <w:left w:val="nil"/>
              <w:bottom w:val="nil"/>
              <w:right w:val="nil"/>
            </w:tcBorders>
            <w:vAlign w:val="center"/>
          </w:tcPr>
          <w:p w14:paraId="5256A5F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(0.0570)</w:t>
            </w:r>
          </w:p>
        </w:tc>
        <w:tc>
          <w:tcPr>
            <w:tcW w:w="1388" w:type="dxa"/>
            <w:tcBorders>
              <w:top w:val="nil"/>
              <w:left w:val="nil"/>
              <w:bottom w:val="nil"/>
              <w:right w:val="nil"/>
            </w:tcBorders>
            <w:vAlign w:val="center"/>
          </w:tcPr>
          <w:p w14:paraId="612B19C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(0.0307)</w:t>
            </w:r>
          </w:p>
        </w:tc>
        <w:tc>
          <w:tcPr>
            <w:tcW w:w="1387" w:type="dxa"/>
            <w:tcBorders>
              <w:top w:val="nil"/>
              <w:left w:val="nil"/>
              <w:bottom w:val="nil"/>
              <w:right w:val="nil"/>
            </w:tcBorders>
            <w:vAlign w:val="center"/>
          </w:tcPr>
          <w:p w14:paraId="4D87CD1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(0.172)</w:t>
            </w:r>
          </w:p>
        </w:tc>
        <w:tc>
          <w:tcPr>
            <w:tcW w:w="1388" w:type="dxa"/>
            <w:tcBorders>
              <w:top w:val="nil"/>
              <w:left w:val="nil"/>
              <w:bottom w:val="nil"/>
              <w:right w:val="nil"/>
            </w:tcBorders>
            <w:vAlign w:val="center"/>
          </w:tcPr>
          <w:p w14:paraId="6DD3CC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(0.152)</w:t>
            </w:r>
          </w:p>
        </w:tc>
      </w:tr>
      <w:tr w:rsidR="002743A7" w:rsidRPr="00F14751" w14:paraId="5D09A7BA" w14:textId="77777777" w:rsidTr="008738C3">
        <w:trPr>
          <w:jc w:val="center"/>
        </w:trPr>
        <w:tc>
          <w:tcPr>
            <w:tcW w:w="1768" w:type="dxa"/>
            <w:tcBorders>
              <w:top w:val="nil"/>
              <w:left w:val="nil"/>
              <w:bottom w:val="nil"/>
              <w:right w:val="nil"/>
            </w:tcBorders>
            <w:vAlign w:val="center"/>
          </w:tcPr>
          <w:p w14:paraId="01D92CDC"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Polity</w:t>
            </w:r>
          </w:p>
        </w:tc>
        <w:tc>
          <w:tcPr>
            <w:tcW w:w="1387" w:type="dxa"/>
            <w:tcBorders>
              <w:top w:val="nil"/>
              <w:left w:val="nil"/>
              <w:bottom w:val="nil"/>
              <w:right w:val="nil"/>
            </w:tcBorders>
            <w:vAlign w:val="center"/>
          </w:tcPr>
          <w:p w14:paraId="039A98B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-0.0679</w:t>
            </w:r>
          </w:p>
        </w:tc>
        <w:tc>
          <w:tcPr>
            <w:tcW w:w="1388" w:type="dxa"/>
            <w:tcBorders>
              <w:top w:val="nil"/>
              <w:left w:val="nil"/>
              <w:bottom w:val="nil"/>
              <w:right w:val="nil"/>
            </w:tcBorders>
            <w:vAlign w:val="center"/>
          </w:tcPr>
          <w:p w14:paraId="5CE15F1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-0.0183</w:t>
            </w:r>
          </w:p>
        </w:tc>
        <w:tc>
          <w:tcPr>
            <w:tcW w:w="1387" w:type="dxa"/>
            <w:tcBorders>
              <w:top w:val="nil"/>
              <w:left w:val="nil"/>
              <w:bottom w:val="nil"/>
              <w:right w:val="nil"/>
            </w:tcBorders>
            <w:vAlign w:val="center"/>
          </w:tcPr>
          <w:p w14:paraId="4D094E6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0.00488</w:t>
            </w:r>
          </w:p>
        </w:tc>
        <w:tc>
          <w:tcPr>
            <w:tcW w:w="1388" w:type="dxa"/>
            <w:tcBorders>
              <w:top w:val="nil"/>
              <w:left w:val="nil"/>
              <w:bottom w:val="nil"/>
              <w:right w:val="nil"/>
            </w:tcBorders>
            <w:vAlign w:val="center"/>
          </w:tcPr>
          <w:p w14:paraId="7910E5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-0.0135</w:t>
            </w:r>
          </w:p>
        </w:tc>
        <w:tc>
          <w:tcPr>
            <w:tcW w:w="1387" w:type="dxa"/>
            <w:tcBorders>
              <w:top w:val="nil"/>
              <w:left w:val="nil"/>
              <w:bottom w:val="nil"/>
              <w:right w:val="nil"/>
            </w:tcBorders>
            <w:vAlign w:val="center"/>
          </w:tcPr>
          <w:p w14:paraId="183339E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0.0452</w:t>
            </w:r>
          </w:p>
        </w:tc>
        <w:tc>
          <w:tcPr>
            <w:tcW w:w="1388" w:type="dxa"/>
            <w:tcBorders>
              <w:top w:val="nil"/>
              <w:left w:val="nil"/>
              <w:bottom w:val="nil"/>
              <w:right w:val="nil"/>
            </w:tcBorders>
            <w:vAlign w:val="center"/>
          </w:tcPr>
          <w:p w14:paraId="0040D97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0.0711**</w:t>
            </w:r>
          </w:p>
        </w:tc>
        <w:tc>
          <w:tcPr>
            <w:tcW w:w="1387" w:type="dxa"/>
            <w:tcBorders>
              <w:top w:val="nil"/>
              <w:left w:val="nil"/>
              <w:bottom w:val="nil"/>
              <w:right w:val="nil"/>
            </w:tcBorders>
            <w:vAlign w:val="center"/>
          </w:tcPr>
          <w:p w14:paraId="52E26FF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0.0458</w:t>
            </w:r>
          </w:p>
        </w:tc>
        <w:tc>
          <w:tcPr>
            <w:tcW w:w="1388" w:type="dxa"/>
            <w:tcBorders>
              <w:top w:val="nil"/>
              <w:left w:val="nil"/>
              <w:bottom w:val="nil"/>
              <w:right w:val="nil"/>
            </w:tcBorders>
            <w:vAlign w:val="center"/>
          </w:tcPr>
          <w:p w14:paraId="53EDF4C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-0.0300</w:t>
            </w:r>
          </w:p>
        </w:tc>
        <w:tc>
          <w:tcPr>
            <w:tcW w:w="1387" w:type="dxa"/>
            <w:tcBorders>
              <w:top w:val="nil"/>
              <w:left w:val="nil"/>
              <w:bottom w:val="nil"/>
              <w:right w:val="nil"/>
            </w:tcBorders>
            <w:vAlign w:val="center"/>
          </w:tcPr>
          <w:p w14:paraId="6AD4584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-0.119</w:t>
            </w:r>
          </w:p>
        </w:tc>
        <w:tc>
          <w:tcPr>
            <w:tcW w:w="1388" w:type="dxa"/>
            <w:tcBorders>
              <w:top w:val="nil"/>
              <w:left w:val="nil"/>
              <w:bottom w:val="nil"/>
              <w:right w:val="nil"/>
            </w:tcBorders>
            <w:vAlign w:val="center"/>
          </w:tcPr>
          <w:p w14:paraId="6F4C4BE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-0.149</w:t>
            </w:r>
          </w:p>
        </w:tc>
      </w:tr>
      <w:tr w:rsidR="002743A7" w:rsidRPr="00F14751" w14:paraId="5A466C62" w14:textId="77777777" w:rsidTr="008738C3">
        <w:trPr>
          <w:jc w:val="center"/>
        </w:trPr>
        <w:tc>
          <w:tcPr>
            <w:tcW w:w="1768" w:type="dxa"/>
            <w:tcBorders>
              <w:top w:val="nil"/>
              <w:left w:val="nil"/>
              <w:bottom w:val="nil"/>
              <w:right w:val="nil"/>
            </w:tcBorders>
            <w:vAlign w:val="center"/>
          </w:tcPr>
          <w:p w14:paraId="5674624F"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49EC657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(0.116)</w:t>
            </w:r>
          </w:p>
        </w:tc>
        <w:tc>
          <w:tcPr>
            <w:tcW w:w="1388" w:type="dxa"/>
            <w:tcBorders>
              <w:top w:val="nil"/>
              <w:left w:val="nil"/>
              <w:bottom w:val="nil"/>
              <w:right w:val="nil"/>
            </w:tcBorders>
            <w:vAlign w:val="center"/>
          </w:tcPr>
          <w:p w14:paraId="0CFC536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(0.0116)</w:t>
            </w:r>
          </w:p>
        </w:tc>
        <w:tc>
          <w:tcPr>
            <w:tcW w:w="1387" w:type="dxa"/>
            <w:tcBorders>
              <w:top w:val="nil"/>
              <w:left w:val="nil"/>
              <w:bottom w:val="nil"/>
              <w:right w:val="nil"/>
            </w:tcBorders>
            <w:vAlign w:val="center"/>
          </w:tcPr>
          <w:p w14:paraId="471773F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(0.0133)</w:t>
            </w:r>
          </w:p>
        </w:tc>
        <w:tc>
          <w:tcPr>
            <w:tcW w:w="1388" w:type="dxa"/>
            <w:tcBorders>
              <w:top w:val="nil"/>
              <w:left w:val="nil"/>
              <w:bottom w:val="nil"/>
              <w:right w:val="nil"/>
            </w:tcBorders>
            <w:vAlign w:val="center"/>
          </w:tcPr>
          <w:p w14:paraId="69C8F91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(0.0227)</w:t>
            </w:r>
          </w:p>
        </w:tc>
        <w:tc>
          <w:tcPr>
            <w:tcW w:w="1387" w:type="dxa"/>
            <w:tcBorders>
              <w:top w:val="nil"/>
              <w:left w:val="nil"/>
              <w:bottom w:val="nil"/>
              <w:right w:val="nil"/>
            </w:tcBorders>
            <w:vAlign w:val="center"/>
          </w:tcPr>
          <w:p w14:paraId="5E08B4D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(0.0290)</w:t>
            </w:r>
          </w:p>
        </w:tc>
        <w:tc>
          <w:tcPr>
            <w:tcW w:w="1388" w:type="dxa"/>
            <w:tcBorders>
              <w:top w:val="nil"/>
              <w:left w:val="nil"/>
              <w:bottom w:val="nil"/>
              <w:right w:val="nil"/>
            </w:tcBorders>
            <w:vAlign w:val="center"/>
          </w:tcPr>
          <w:p w14:paraId="0F0E222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(0.0307)</w:t>
            </w:r>
          </w:p>
        </w:tc>
        <w:tc>
          <w:tcPr>
            <w:tcW w:w="1387" w:type="dxa"/>
            <w:tcBorders>
              <w:top w:val="nil"/>
              <w:left w:val="nil"/>
              <w:bottom w:val="nil"/>
              <w:right w:val="nil"/>
            </w:tcBorders>
            <w:vAlign w:val="center"/>
          </w:tcPr>
          <w:p w14:paraId="2C41E72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(0.0269)</w:t>
            </w:r>
          </w:p>
        </w:tc>
        <w:tc>
          <w:tcPr>
            <w:tcW w:w="1388" w:type="dxa"/>
            <w:tcBorders>
              <w:top w:val="nil"/>
              <w:left w:val="nil"/>
              <w:bottom w:val="nil"/>
              <w:right w:val="nil"/>
            </w:tcBorders>
            <w:vAlign w:val="center"/>
          </w:tcPr>
          <w:p w14:paraId="774E601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(0.0271)</w:t>
            </w:r>
          </w:p>
        </w:tc>
        <w:tc>
          <w:tcPr>
            <w:tcW w:w="1387" w:type="dxa"/>
            <w:tcBorders>
              <w:top w:val="nil"/>
              <w:left w:val="nil"/>
              <w:bottom w:val="nil"/>
              <w:right w:val="nil"/>
            </w:tcBorders>
            <w:vAlign w:val="center"/>
          </w:tcPr>
          <w:p w14:paraId="14CA56A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(0.0851)</w:t>
            </w:r>
          </w:p>
        </w:tc>
        <w:tc>
          <w:tcPr>
            <w:tcW w:w="1388" w:type="dxa"/>
            <w:tcBorders>
              <w:top w:val="nil"/>
              <w:left w:val="nil"/>
              <w:bottom w:val="nil"/>
              <w:right w:val="nil"/>
            </w:tcBorders>
            <w:vAlign w:val="center"/>
          </w:tcPr>
          <w:p w14:paraId="316A68E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(0.0864)</w:t>
            </w:r>
          </w:p>
        </w:tc>
      </w:tr>
      <w:tr w:rsidR="002743A7" w:rsidRPr="00F14751" w14:paraId="03831537" w14:textId="77777777" w:rsidTr="008738C3">
        <w:trPr>
          <w:jc w:val="center"/>
        </w:trPr>
        <w:tc>
          <w:tcPr>
            <w:tcW w:w="1768" w:type="dxa"/>
            <w:tcBorders>
              <w:top w:val="nil"/>
              <w:left w:val="nil"/>
              <w:bottom w:val="nil"/>
              <w:right w:val="nil"/>
            </w:tcBorders>
            <w:vAlign w:val="center"/>
          </w:tcPr>
          <w:p w14:paraId="5AB8D3FA"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GDP</w:t>
            </w:r>
          </w:p>
        </w:tc>
        <w:tc>
          <w:tcPr>
            <w:tcW w:w="1387" w:type="dxa"/>
            <w:tcBorders>
              <w:top w:val="nil"/>
              <w:left w:val="nil"/>
              <w:bottom w:val="nil"/>
              <w:right w:val="nil"/>
            </w:tcBorders>
            <w:vAlign w:val="center"/>
          </w:tcPr>
          <w:p w14:paraId="7FA8F8A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-0.0453</w:t>
            </w:r>
          </w:p>
        </w:tc>
        <w:tc>
          <w:tcPr>
            <w:tcW w:w="1388" w:type="dxa"/>
            <w:tcBorders>
              <w:top w:val="nil"/>
              <w:left w:val="nil"/>
              <w:bottom w:val="nil"/>
              <w:right w:val="nil"/>
            </w:tcBorders>
            <w:vAlign w:val="center"/>
          </w:tcPr>
          <w:p w14:paraId="10573E6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-0.000571</w:t>
            </w:r>
          </w:p>
        </w:tc>
        <w:tc>
          <w:tcPr>
            <w:tcW w:w="1387" w:type="dxa"/>
            <w:tcBorders>
              <w:top w:val="nil"/>
              <w:left w:val="nil"/>
              <w:bottom w:val="nil"/>
              <w:right w:val="nil"/>
            </w:tcBorders>
            <w:vAlign w:val="center"/>
          </w:tcPr>
          <w:p w14:paraId="7E01263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0.00104</w:t>
            </w:r>
          </w:p>
        </w:tc>
        <w:tc>
          <w:tcPr>
            <w:tcW w:w="1388" w:type="dxa"/>
            <w:tcBorders>
              <w:top w:val="nil"/>
              <w:left w:val="nil"/>
              <w:bottom w:val="nil"/>
              <w:right w:val="nil"/>
            </w:tcBorders>
            <w:vAlign w:val="center"/>
          </w:tcPr>
          <w:p w14:paraId="0D240C6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0.000466</w:t>
            </w:r>
          </w:p>
        </w:tc>
        <w:tc>
          <w:tcPr>
            <w:tcW w:w="1387" w:type="dxa"/>
            <w:tcBorders>
              <w:top w:val="nil"/>
              <w:left w:val="nil"/>
              <w:bottom w:val="nil"/>
              <w:right w:val="nil"/>
            </w:tcBorders>
            <w:vAlign w:val="center"/>
          </w:tcPr>
          <w:p w14:paraId="3AFCD88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0.00966</w:t>
            </w:r>
          </w:p>
        </w:tc>
        <w:tc>
          <w:tcPr>
            <w:tcW w:w="1388" w:type="dxa"/>
            <w:tcBorders>
              <w:top w:val="nil"/>
              <w:left w:val="nil"/>
              <w:bottom w:val="nil"/>
              <w:right w:val="nil"/>
            </w:tcBorders>
            <w:vAlign w:val="center"/>
          </w:tcPr>
          <w:p w14:paraId="110ACE3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0.0129</w:t>
            </w:r>
          </w:p>
        </w:tc>
        <w:tc>
          <w:tcPr>
            <w:tcW w:w="1387" w:type="dxa"/>
            <w:tcBorders>
              <w:top w:val="nil"/>
              <w:left w:val="nil"/>
              <w:bottom w:val="nil"/>
              <w:right w:val="nil"/>
            </w:tcBorders>
            <w:vAlign w:val="center"/>
          </w:tcPr>
          <w:p w14:paraId="6694F4E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0.0219*</w:t>
            </w:r>
          </w:p>
        </w:tc>
        <w:tc>
          <w:tcPr>
            <w:tcW w:w="1388" w:type="dxa"/>
            <w:tcBorders>
              <w:top w:val="nil"/>
              <w:left w:val="nil"/>
              <w:bottom w:val="nil"/>
              <w:right w:val="nil"/>
            </w:tcBorders>
            <w:vAlign w:val="center"/>
          </w:tcPr>
          <w:p w14:paraId="7B8450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0.0113</w:t>
            </w:r>
          </w:p>
        </w:tc>
        <w:tc>
          <w:tcPr>
            <w:tcW w:w="1387" w:type="dxa"/>
            <w:tcBorders>
              <w:top w:val="nil"/>
              <w:left w:val="nil"/>
              <w:bottom w:val="nil"/>
              <w:right w:val="nil"/>
            </w:tcBorders>
            <w:vAlign w:val="center"/>
          </w:tcPr>
          <w:p w14:paraId="1E1437F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-0.0563</w:t>
            </w:r>
          </w:p>
        </w:tc>
        <w:tc>
          <w:tcPr>
            <w:tcW w:w="1388" w:type="dxa"/>
            <w:tcBorders>
              <w:top w:val="nil"/>
              <w:left w:val="nil"/>
              <w:bottom w:val="nil"/>
              <w:right w:val="nil"/>
            </w:tcBorders>
            <w:vAlign w:val="center"/>
          </w:tcPr>
          <w:p w14:paraId="08B42F3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-0.0450</w:t>
            </w:r>
          </w:p>
        </w:tc>
      </w:tr>
      <w:tr w:rsidR="002743A7" w:rsidRPr="00F14751" w14:paraId="6704BC3E" w14:textId="77777777" w:rsidTr="008738C3">
        <w:trPr>
          <w:jc w:val="center"/>
        </w:trPr>
        <w:tc>
          <w:tcPr>
            <w:tcW w:w="1768" w:type="dxa"/>
            <w:tcBorders>
              <w:top w:val="nil"/>
              <w:left w:val="nil"/>
              <w:bottom w:val="nil"/>
              <w:right w:val="nil"/>
            </w:tcBorders>
            <w:vAlign w:val="center"/>
          </w:tcPr>
          <w:p w14:paraId="56D18B1D"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3FD2B0D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(0.0357)</w:t>
            </w:r>
          </w:p>
        </w:tc>
        <w:tc>
          <w:tcPr>
            <w:tcW w:w="1388" w:type="dxa"/>
            <w:tcBorders>
              <w:top w:val="nil"/>
              <w:left w:val="nil"/>
              <w:bottom w:val="nil"/>
              <w:right w:val="nil"/>
            </w:tcBorders>
            <w:vAlign w:val="center"/>
          </w:tcPr>
          <w:p w14:paraId="10D7627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(0.00342)</w:t>
            </w:r>
          </w:p>
        </w:tc>
        <w:tc>
          <w:tcPr>
            <w:tcW w:w="1387" w:type="dxa"/>
            <w:tcBorders>
              <w:top w:val="nil"/>
              <w:left w:val="nil"/>
              <w:bottom w:val="nil"/>
              <w:right w:val="nil"/>
            </w:tcBorders>
            <w:vAlign w:val="center"/>
          </w:tcPr>
          <w:p w14:paraId="31E8CC0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(0.00386)</w:t>
            </w:r>
          </w:p>
        </w:tc>
        <w:tc>
          <w:tcPr>
            <w:tcW w:w="1388" w:type="dxa"/>
            <w:tcBorders>
              <w:top w:val="nil"/>
              <w:left w:val="nil"/>
              <w:bottom w:val="nil"/>
              <w:right w:val="nil"/>
            </w:tcBorders>
            <w:vAlign w:val="center"/>
          </w:tcPr>
          <w:p w14:paraId="4AE7810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(0.00686)</w:t>
            </w:r>
          </w:p>
        </w:tc>
        <w:tc>
          <w:tcPr>
            <w:tcW w:w="1387" w:type="dxa"/>
            <w:tcBorders>
              <w:top w:val="nil"/>
              <w:left w:val="nil"/>
              <w:bottom w:val="nil"/>
              <w:right w:val="nil"/>
            </w:tcBorders>
            <w:vAlign w:val="center"/>
          </w:tcPr>
          <w:p w14:paraId="2E4EDA7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(0.00947)</w:t>
            </w:r>
          </w:p>
        </w:tc>
        <w:tc>
          <w:tcPr>
            <w:tcW w:w="1388" w:type="dxa"/>
            <w:tcBorders>
              <w:top w:val="nil"/>
              <w:left w:val="nil"/>
              <w:bottom w:val="nil"/>
              <w:right w:val="nil"/>
            </w:tcBorders>
            <w:vAlign w:val="center"/>
          </w:tcPr>
          <w:p w14:paraId="2220D68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(0.0110)</w:t>
            </w:r>
          </w:p>
        </w:tc>
        <w:tc>
          <w:tcPr>
            <w:tcW w:w="1387" w:type="dxa"/>
            <w:tcBorders>
              <w:top w:val="nil"/>
              <w:left w:val="nil"/>
              <w:bottom w:val="nil"/>
              <w:right w:val="nil"/>
            </w:tcBorders>
            <w:vAlign w:val="center"/>
          </w:tcPr>
          <w:p w14:paraId="60D319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(0.0111)</w:t>
            </w:r>
          </w:p>
        </w:tc>
        <w:tc>
          <w:tcPr>
            <w:tcW w:w="1388" w:type="dxa"/>
            <w:tcBorders>
              <w:top w:val="nil"/>
              <w:left w:val="nil"/>
              <w:bottom w:val="nil"/>
              <w:right w:val="nil"/>
            </w:tcBorders>
            <w:vAlign w:val="center"/>
          </w:tcPr>
          <w:p w14:paraId="1D879F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(0.00753)</w:t>
            </w:r>
          </w:p>
        </w:tc>
        <w:tc>
          <w:tcPr>
            <w:tcW w:w="1387" w:type="dxa"/>
            <w:tcBorders>
              <w:top w:val="nil"/>
              <w:left w:val="nil"/>
              <w:bottom w:val="nil"/>
              <w:right w:val="nil"/>
            </w:tcBorders>
            <w:vAlign w:val="center"/>
          </w:tcPr>
          <w:p w14:paraId="770B093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(0.0348)</w:t>
            </w:r>
          </w:p>
        </w:tc>
        <w:tc>
          <w:tcPr>
            <w:tcW w:w="1388" w:type="dxa"/>
            <w:tcBorders>
              <w:top w:val="nil"/>
              <w:left w:val="nil"/>
              <w:bottom w:val="nil"/>
              <w:right w:val="nil"/>
            </w:tcBorders>
            <w:vAlign w:val="center"/>
          </w:tcPr>
          <w:p w14:paraId="7D6D593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(0.0326)</w:t>
            </w:r>
          </w:p>
        </w:tc>
      </w:tr>
      <w:tr w:rsidR="002743A7" w:rsidRPr="00F14751" w14:paraId="643B852B" w14:textId="77777777" w:rsidTr="008738C3">
        <w:trPr>
          <w:jc w:val="center"/>
        </w:trPr>
        <w:tc>
          <w:tcPr>
            <w:tcW w:w="1768" w:type="dxa"/>
            <w:tcBorders>
              <w:top w:val="nil"/>
              <w:left w:val="nil"/>
              <w:bottom w:val="nil"/>
              <w:right w:val="nil"/>
            </w:tcBorders>
            <w:vAlign w:val="center"/>
          </w:tcPr>
          <w:p w14:paraId="3BB67CF3"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roofErr w:type="spellStart"/>
            <w:r w:rsidRPr="00F14751">
              <w:rPr>
                <w:rFonts w:ascii="Times New Roman" w:hAnsi="Times New Roman" w:cs="Times New Roman"/>
                <w:sz w:val="18"/>
                <w:szCs w:val="18"/>
              </w:rPr>
              <w:t>GDPgrowth</w:t>
            </w:r>
            <w:proofErr w:type="spellEnd"/>
          </w:p>
        </w:tc>
        <w:tc>
          <w:tcPr>
            <w:tcW w:w="1387" w:type="dxa"/>
            <w:tcBorders>
              <w:top w:val="nil"/>
              <w:left w:val="nil"/>
              <w:bottom w:val="nil"/>
              <w:right w:val="nil"/>
            </w:tcBorders>
            <w:vAlign w:val="center"/>
          </w:tcPr>
          <w:p w14:paraId="62E45BB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-0.0247</w:t>
            </w:r>
          </w:p>
        </w:tc>
        <w:tc>
          <w:tcPr>
            <w:tcW w:w="1388" w:type="dxa"/>
            <w:tcBorders>
              <w:top w:val="nil"/>
              <w:left w:val="nil"/>
              <w:bottom w:val="nil"/>
              <w:right w:val="nil"/>
            </w:tcBorders>
            <w:vAlign w:val="center"/>
          </w:tcPr>
          <w:p w14:paraId="6D9FEC8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0.00742</w:t>
            </w:r>
          </w:p>
        </w:tc>
        <w:tc>
          <w:tcPr>
            <w:tcW w:w="1387" w:type="dxa"/>
            <w:tcBorders>
              <w:top w:val="nil"/>
              <w:left w:val="nil"/>
              <w:bottom w:val="nil"/>
              <w:right w:val="nil"/>
            </w:tcBorders>
            <w:vAlign w:val="center"/>
          </w:tcPr>
          <w:p w14:paraId="2B41B77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0.00397</w:t>
            </w:r>
          </w:p>
        </w:tc>
        <w:tc>
          <w:tcPr>
            <w:tcW w:w="1388" w:type="dxa"/>
            <w:tcBorders>
              <w:top w:val="nil"/>
              <w:left w:val="nil"/>
              <w:bottom w:val="nil"/>
              <w:right w:val="nil"/>
            </w:tcBorders>
            <w:vAlign w:val="center"/>
          </w:tcPr>
          <w:p w14:paraId="1328CB9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0.0114</w:t>
            </w:r>
          </w:p>
        </w:tc>
        <w:tc>
          <w:tcPr>
            <w:tcW w:w="1387" w:type="dxa"/>
            <w:tcBorders>
              <w:top w:val="nil"/>
              <w:left w:val="nil"/>
              <w:bottom w:val="nil"/>
              <w:right w:val="nil"/>
            </w:tcBorders>
            <w:vAlign w:val="center"/>
          </w:tcPr>
          <w:p w14:paraId="1F182F6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0.00296</w:t>
            </w:r>
          </w:p>
        </w:tc>
        <w:tc>
          <w:tcPr>
            <w:tcW w:w="1388" w:type="dxa"/>
            <w:tcBorders>
              <w:top w:val="nil"/>
              <w:left w:val="nil"/>
              <w:bottom w:val="nil"/>
              <w:right w:val="nil"/>
            </w:tcBorders>
            <w:vAlign w:val="center"/>
          </w:tcPr>
          <w:p w14:paraId="7DDEAB4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0.00208</w:t>
            </w:r>
          </w:p>
        </w:tc>
        <w:tc>
          <w:tcPr>
            <w:tcW w:w="1387" w:type="dxa"/>
            <w:tcBorders>
              <w:top w:val="nil"/>
              <w:left w:val="nil"/>
              <w:bottom w:val="nil"/>
              <w:right w:val="nil"/>
            </w:tcBorders>
            <w:vAlign w:val="center"/>
          </w:tcPr>
          <w:p w14:paraId="625D931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-0.00616</w:t>
            </w:r>
          </w:p>
        </w:tc>
        <w:tc>
          <w:tcPr>
            <w:tcW w:w="1388" w:type="dxa"/>
            <w:tcBorders>
              <w:top w:val="nil"/>
              <w:left w:val="nil"/>
              <w:bottom w:val="nil"/>
              <w:right w:val="nil"/>
            </w:tcBorders>
            <w:vAlign w:val="center"/>
          </w:tcPr>
          <w:p w14:paraId="3AE1B4F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-0.00918</w:t>
            </w:r>
          </w:p>
        </w:tc>
        <w:tc>
          <w:tcPr>
            <w:tcW w:w="1387" w:type="dxa"/>
            <w:tcBorders>
              <w:top w:val="nil"/>
              <w:left w:val="nil"/>
              <w:bottom w:val="nil"/>
              <w:right w:val="nil"/>
            </w:tcBorders>
            <w:vAlign w:val="center"/>
          </w:tcPr>
          <w:p w14:paraId="7FE799F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-0.00110</w:t>
            </w:r>
          </w:p>
        </w:tc>
        <w:tc>
          <w:tcPr>
            <w:tcW w:w="1388" w:type="dxa"/>
            <w:tcBorders>
              <w:top w:val="nil"/>
              <w:left w:val="nil"/>
              <w:bottom w:val="nil"/>
              <w:right w:val="nil"/>
            </w:tcBorders>
            <w:vAlign w:val="center"/>
          </w:tcPr>
          <w:p w14:paraId="730A110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-0.0103</w:t>
            </w:r>
          </w:p>
        </w:tc>
      </w:tr>
      <w:tr w:rsidR="002743A7" w:rsidRPr="00F14751" w14:paraId="2E16146A" w14:textId="77777777" w:rsidTr="008738C3">
        <w:trPr>
          <w:jc w:val="center"/>
        </w:trPr>
        <w:tc>
          <w:tcPr>
            <w:tcW w:w="1768" w:type="dxa"/>
            <w:tcBorders>
              <w:top w:val="nil"/>
              <w:left w:val="nil"/>
              <w:bottom w:val="nil"/>
              <w:right w:val="nil"/>
            </w:tcBorders>
            <w:vAlign w:val="center"/>
          </w:tcPr>
          <w:p w14:paraId="5A709DCF"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2D62EA3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(0.0566)</w:t>
            </w:r>
          </w:p>
        </w:tc>
        <w:tc>
          <w:tcPr>
            <w:tcW w:w="1388" w:type="dxa"/>
            <w:tcBorders>
              <w:top w:val="nil"/>
              <w:left w:val="nil"/>
              <w:bottom w:val="nil"/>
              <w:right w:val="nil"/>
            </w:tcBorders>
            <w:vAlign w:val="center"/>
          </w:tcPr>
          <w:p w14:paraId="46BFF58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(0.00491)</w:t>
            </w:r>
          </w:p>
        </w:tc>
        <w:tc>
          <w:tcPr>
            <w:tcW w:w="1387" w:type="dxa"/>
            <w:tcBorders>
              <w:top w:val="nil"/>
              <w:left w:val="nil"/>
              <w:bottom w:val="nil"/>
              <w:right w:val="nil"/>
            </w:tcBorders>
            <w:vAlign w:val="center"/>
          </w:tcPr>
          <w:p w14:paraId="4D3C1D8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(0.00615)</w:t>
            </w:r>
          </w:p>
        </w:tc>
        <w:tc>
          <w:tcPr>
            <w:tcW w:w="1388" w:type="dxa"/>
            <w:tcBorders>
              <w:top w:val="nil"/>
              <w:left w:val="nil"/>
              <w:bottom w:val="nil"/>
              <w:right w:val="nil"/>
            </w:tcBorders>
            <w:vAlign w:val="center"/>
          </w:tcPr>
          <w:p w14:paraId="1646A9A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(0.0109)</w:t>
            </w:r>
          </w:p>
        </w:tc>
        <w:tc>
          <w:tcPr>
            <w:tcW w:w="1387" w:type="dxa"/>
            <w:tcBorders>
              <w:top w:val="nil"/>
              <w:left w:val="nil"/>
              <w:bottom w:val="nil"/>
              <w:right w:val="nil"/>
            </w:tcBorders>
            <w:vAlign w:val="center"/>
          </w:tcPr>
          <w:p w14:paraId="2FE82A9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(0.0136)</w:t>
            </w:r>
          </w:p>
        </w:tc>
        <w:tc>
          <w:tcPr>
            <w:tcW w:w="1388" w:type="dxa"/>
            <w:tcBorders>
              <w:top w:val="nil"/>
              <w:left w:val="nil"/>
              <w:bottom w:val="nil"/>
              <w:right w:val="nil"/>
            </w:tcBorders>
            <w:vAlign w:val="center"/>
          </w:tcPr>
          <w:p w14:paraId="78B5B28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(0.0148)</w:t>
            </w:r>
          </w:p>
        </w:tc>
        <w:tc>
          <w:tcPr>
            <w:tcW w:w="1387" w:type="dxa"/>
            <w:tcBorders>
              <w:top w:val="nil"/>
              <w:left w:val="nil"/>
              <w:bottom w:val="nil"/>
              <w:right w:val="nil"/>
            </w:tcBorders>
            <w:vAlign w:val="center"/>
          </w:tcPr>
          <w:p w14:paraId="6D8F95B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(0.0140)</w:t>
            </w:r>
          </w:p>
        </w:tc>
        <w:tc>
          <w:tcPr>
            <w:tcW w:w="1388" w:type="dxa"/>
            <w:tcBorders>
              <w:top w:val="nil"/>
              <w:left w:val="nil"/>
              <w:bottom w:val="nil"/>
              <w:right w:val="nil"/>
            </w:tcBorders>
            <w:vAlign w:val="center"/>
          </w:tcPr>
          <w:p w14:paraId="386EE32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(0.00727)</w:t>
            </w:r>
          </w:p>
        </w:tc>
        <w:tc>
          <w:tcPr>
            <w:tcW w:w="1387" w:type="dxa"/>
            <w:tcBorders>
              <w:top w:val="nil"/>
              <w:left w:val="nil"/>
              <w:bottom w:val="nil"/>
              <w:right w:val="nil"/>
            </w:tcBorders>
            <w:vAlign w:val="center"/>
          </w:tcPr>
          <w:p w14:paraId="110CEAA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(0.0520)</w:t>
            </w:r>
          </w:p>
        </w:tc>
        <w:tc>
          <w:tcPr>
            <w:tcW w:w="1388" w:type="dxa"/>
            <w:tcBorders>
              <w:top w:val="nil"/>
              <w:left w:val="nil"/>
              <w:bottom w:val="nil"/>
              <w:right w:val="nil"/>
            </w:tcBorders>
            <w:vAlign w:val="center"/>
          </w:tcPr>
          <w:p w14:paraId="37936F0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(0.0509)</w:t>
            </w:r>
          </w:p>
        </w:tc>
      </w:tr>
      <w:tr w:rsidR="002743A7" w:rsidRPr="00F14751" w14:paraId="33949ABC" w14:textId="77777777" w:rsidTr="008738C3">
        <w:trPr>
          <w:jc w:val="center"/>
        </w:trPr>
        <w:tc>
          <w:tcPr>
            <w:tcW w:w="1768" w:type="dxa"/>
            <w:tcBorders>
              <w:top w:val="nil"/>
              <w:left w:val="nil"/>
              <w:bottom w:val="nil"/>
              <w:right w:val="nil"/>
            </w:tcBorders>
            <w:vAlign w:val="center"/>
          </w:tcPr>
          <w:p w14:paraId="2019EFF1"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School</w:t>
            </w:r>
          </w:p>
        </w:tc>
        <w:tc>
          <w:tcPr>
            <w:tcW w:w="1387" w:type="dxa"/>
            <w:tcBorders>
              <w:top w:val="nil"/>
              <w:left w:val="nil"/>
              <w:bottom w:val="nil"/>
              <w:right w:val="nil"/>
            </w:tcBorders>
            <w:vAlign w:val="center"/>
          </w:tcPr>
          <w:p w14:paraId="1E16A45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-1.075</w:t>
            </w:r>
          </w:p>
        </w:tc>
        <w:tc>
          <w:tcPr>
            <w:tcW w:w="1388" w:type="dxa"/>
            <w:tcBorders>
              <w:top w:val="nil"/>
              <w:left w:val="nil"/>
              <w:bottom w:val="nil"/>
              <w:right w:val="nil"/>
            </w:tcBorders>
            <w:vAlign w:val="center"/>
          </w:tcPr>
          <w:p w14:paraId="65AAF1B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0.119</w:t>
            </w:r>
          </w:p>
        </w:tc>
        <w:tc>
          <w:tcPr>
            <w:tcW w:w="1387" w:type="dxa"/>
            <w:tcBorders>
              <w:top w:val="nil"/>
              <w:left w:val="nil"/>
              <w:bottom w:val="nil"/>
              <w:right w:val="nil"/>
            </w:tcBorders>
            <w:vAlign w:val="center"/>
          </w:tcPr>
          <w:p w14:paraId="6A0728E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0.0841</w:t>
            </w:r>
          </w:p>
        </w:tc>
        <w:tc>
          <w:tcPr>
            <w:tcW w:w="1388" w:type="dxa"/>
            <w:tcBorders>
              <w:top w:val="nil"/>
              <w:left w:val="nil"/>
              <w:bottom w:val="nil"/>
              <w:right w:val="nil"/>
            </w:tcBorders>
            <w:vAlign w:val="center"/>
          </w:tcPr>
          <w:p w14:paraId="2FBA288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0.203</w:t>
            </w:r>
          </w:p>
        </w:tc>
        <w:tc>
          <w:tcPr>
            <w:tcW w:w="1387" w:type="dxa"/>
            <w:tcBorders>
              <w:top w:val="nil"/>
              <w:left w:val="nil"/>
              <w:bottom w:val="nil"/>
              <w:right w:val="nil"/>
            </w:tcBorders>
            <w:vAlign w:val="center"/>
          </w:tcPr>
          <w:p w14:paraId="13B266E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0.156</w:t>
            </w:r>
          </w:p>
        </w:tc>
        <w:tc>
          <w:tcPr>
            <w:tcW w:w="1388" w:type="dxa"/>
            <w:tcBorders>
              <w:top w:val="nil"/>
              <w:left w:val="nil"/>
              <w:bottom w:val="nil"/>
              <w:right w:val="nil"/>
            </w:tcBorders>
            <w:vAlign w:val="center"/>
          </w:tcPr>
          <w:p w14:paraId="3E21FF1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0.205</w:t>
            </w:r>
          </w:p>
        </w:tc>
        <w:tc>
          <w:tcPr>
            <w:tcW w:w="1387" w:type="dxa"/>
            <w:tcBorders>
              <w:top w:val="nil"/>
              <w:left w:val="nil"/>
              <w:bottom w:val="nil"/>
              <w:right w:val="nil"/>
            </w:tcBorders>
            <w:vAlign w:val="center"/>
          </w:tcPr>
          <w:p w14:paraId="3944BD8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0.164</w:t>
            </w:r>
          </w:p>
        </w:tc>
        <w:tc>
          <w:tcPr>
            <w:tcW w:w="1388" w:type="dxa"/>
            <w:tcBorders>
              <w:top w:val="nil"/>
              <w:left w:val="nil"/>
              <w:bottom w:val="nil"/>
              <w:right w:val="nil"/>
            </w:tcBorders>
            <w:vAlign w:val="center"/>
          </w:tcPr>
          <w:p w14:paraId="1D287EA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-0.0655</w:t>
            </w:r>
          </w:p>
        </w:tc>
        <w:tc>
          <w:tcPr>
            <w:tcW w:w="1387" w:type="dxa"/>
            <w:tcBorders>
              <w:top w:val="nil"/>
              <w:left w:val="nil"/>
              <w:bottom w:val="nil"/>
              <w:right w:val="nil"/>
            </w:tcBorders>
            <w:vAlign w:val="center"/>
          </w:tcPr>
          <w:p w14:paraId="35906C0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-0.662</w:t>
            </w:r>
          </w:p>
        </w:tc>
        <w:tc>
          <w:tcPr>
            <w:tcW w:w="1388" w:type="dxa"/>
            <w:tcBorders>
              <w:top w:val="nil"/>
              <w:left w:val="nil"/>
              <w:bottom w:val="nil"/>
              <w:right w:val="nil"/>
            </w:tcBorders>
            <w:vAlign w:val="center"/>
          </w:tcPr>
          <w:p w14:paraId="008CC60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-0.728</w:t>
            </w:r>
          </w:p>
        </w:tc>
      </w:tr>
      <w:tr w:rsidR="002743A7" w:rsidRPr="00F14751" w14:paraId="5F153703" w14:textId="77777777" w:rsidTr="008738C3">
        <w:trPr>
          <w:jc w:val="center"/>
        </w:trPr>
        <w:tc>
          <w:tcPr>
            <w:tcW w:w="1768" w:type="dxa"/>
            <w:tcBorders>
              <w:top w:val="nil"/>
              <w:left w:val="nil"/>
              <w:bottom w:val="nil"/>
              <w:right w:val="nil"/>
            </w:tcBorders>
            <w:vAlign w:val="center"/>
          </w:tcPr>
          <w:p w14:paraId="6700E2A1"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2803390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(1.166)</w:t>
            </w:r>
          </w:p>
        </w:tc>
        <w:tc>
          <w:tcPr>
            <w:tcW w:w="1388" w:type="dxa"/>
            <w:tcBorders>
              <w:top w:val="nil"/>
              <w:left w:val="nil"/>
              <w:bottom w:val="nil"/>
              <w:right w:val="nil"/>
            </w:tcBorders>
            <w:vAlign w:val="center"/>
          </w:tcPr>
          <w:p w14:paraId="1EAEBCE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(0.102)</w:t>
            </w:r>
          </w:p>
        </w:tc>
        <w:tc>
          <w:tcPr>
            <w:tcW w:w="1387" w:type="dxa"/>
            <w:tcBorders>
              <w:top w:val="nil"/>
              <w:left w:val="nil"/>
              <w:bottom w:val="nil"/>
              <w:right w:val="nil"/>
            </w:tcBorders>
            <w:vAlign w:val="center"/>
          </w:tcPr>
          <w:p w14:paraId="3092703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(0.126)</w:t>
            </w:r>
          </w:p>
        </w:tc>
        <w:tc>
          <w:tcPr>
            <w:tcW w:w="1388" w:type="dxa"/>
            <w:tcBorders>
              <w:top w:val="nil"/>
              <w:left w:val="nil"/>
              <w:bottom w:val="nil"/>
              <w:right w:val="nil"/>
            </w:tcBorders>
            <w:vAlign w:val="center"/>
          </w:tcPr>
          <w:p w14:paraId="7CE8D17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(0.217)</w:t>
            </w:r>
          </w:p>
        </w:tc>
        <w:tc>
          <w:tcPr>
            <w:tcW w:w="1387" w:type="dxa"/>
            <w:tcBorders>
              <w:top w:val="nil"/>
              <w:left w:val="nil"/>
              <w:bottom w:val="nil"/>
              <w:right w:val="nil"/>
            </w:tcBorders>
            <w:vAlign w:val="center"/>
          </w:tcPr>
          <w:p w14:paraId="0AB7AA8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(0.286)</w:t>
            </w:r>
          </w:p>
        </w:tc>
        <w:tc>
          <w:tcPr>
            <w:tcW w:w="1388" w:type="dxa"/>
            <w:tcBorders>
              <w:top w:val="nil"/>
              <w:left w:val="nil"/>
              <w:bottom w:val="nil"/>
              <w:right w:val="nil"/>
            </w:tcBorders>
            <w:vAlign w:val="center"/>
          </w:tcPr>
          <w:p w14:paraId="4314D13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(0.289)</w:t>
            </w:r>
          </w:p>
        </w:tc>
        <w:tc>
          <w:tcPr>
            <w:tcW w:w="1387" w:type="dxa"/>
            <w:tcBorders>
              <w:top w:val="nil"/>
              <w:left w:val="nil"/>
              <w:bottom w:val="nil"/>
              <w:right w:val="nil"/>
            </w:tcBorders>
            <w:vAlign w:val="center"/>
          </w:tcPr>
          <w:p w14:paraId="10ABB16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(0.213)</w:t>
            </w:r>
          </w:p>
        </w:tc>
        <w:tc>
          <w:tcPr>
            <w:tcW w:w="1388" w:type="dxa"/>
            <w:tcBorders>
              <w:top w:val="nil"/>
              <w:left w:val="nil"/>
              <w:bottom w:val="nil"/>
              <w:right w:val="nil"/>
            </w:tcBorders>
            <w:vAlign w:val="center"/>
          </w:tcPr>
          <w:p w14:paraId="25C0B42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(0.155)</w:t>
            </w:r>
          </w:p>
        </w:tc>
        <w:tc>
          <w:tcPr>
            <w:tcW w:w="1387" w:type="dxa"/>
            <w:tcBorders>
              <w:top w:val="nil"/>
              <w:left w:val="nil"/>
              <w:bottom w:val="nil"/>
              <w:right w:val="nil"/>
            </w:tcBorders>
            <w:vAlign w:val="center"/>
          </w:tcPr>
          <w:p w14:paraId="6CCAF9F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(0.772)</w:t>
            </w:r>
          </w:p>
        </w:tc>
        <w:tc>
          <w:tcPr>
            <w:tcW w:w="1388" w:type="dxa"/>
            <w:tcBorders>
              <w:top w:val="nil"/>
              <w:left w:val="nil"/>
              <w:bottom w:val="nil"/>
              <w:right w:val="nil"/>
            </w:tcBorders>
            <w:vAlign w:val="center"/>
          </w:tcPr>
          <w:p w14:paraId="41E3E6A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(0.845)</w:t>
            </w:r>
          </w:p>
        </w:tc>
      </w:tr>
      <w:tr w:rsidR="002743A7" w:rsidRPr="00F14751" w14:paraId="278B714F" w14:textId="77777777" w:rsidTr="008738C3">
        <w:trPr>
          <w:jc w:val="center"/>
        </w:trPr>
        <w:tc>
          <w:tcPr>
            <w:tcW w:w="1768" w:type="dxa"/>
            <w:tcBorders>
              <w:top w:val="nil"/>
              <w:left w:val="nil"/>
              <w:bottom w:val="nil"/>
              <w:right w:val="nil"/>
            </w:tcBorders>
            <w:vAlign w:val="center"/>
          </w:tcPr>
          <w:p w14:paraId="4BEC68D2"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Death</w:t>
            </w:r>
          </w:p>
        </w:tc>
        <w:tc>
          <w:tcPr>
            <w:tcW w:w="1387" w:type="dxa"/>
            <w:tcBorders>
              <w:top w:val="nil"/>
              <w:left w:val="nil"/>
              <w:bottom w:val="nil"/>
              <w:right w:val="nil"/>
            </w:tcBorders>
            <w:vAlign w:val="center"/>
          </w:tcPr>
          <w:p w14:paraId="477E2E5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-1.586</w:t>
            </w:r>
          </w:p>
        </w:tc>
        <w:tc>
          <w:tcPr>
            <w:tcW w:w="1388" w:type="dxa"/>
            <w:tcBorders>
              <w:top w:val="nil"/>
              <w:left w:val="nil"/>
              <w:bottom w:val="nil"/>
              <w:right w:val="nil"/>
            </w:tcBorders>
            <w:vAlign w:val="center"/>
          </w:tcPr>
          <w:p w14:paraId="4EC552B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0.417***</w:t>
            </w:r>
          </w:p>
        </w:tc>
        <w:tc>
          <w:tcPr>
            <w:tcW w:w="1387" w:type="dxa"/>
            <w:tcBorders>
              <w:top w:val="nil"/>
              <w:left w:val="nil"/>
              <w:bottom w:val="nil"/>
              <w:right w:val="nil"/>
            </w:tcBorders>
            <w:vAlign w:val="center"/>
          </w:tcPr>
          <w:p w14:paraId="03041C4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0.341***</w:t>
            </w:r>
          </w:p>
        </w:tc>
        <w:tc>
          <w:tcPr>
            <w:tcW w:w="1388" w:type="dxa"/>
            <w:tcBorders>
              <w:top w:val="nil"/>
              <w:left w:val="nil"/>
              <w:bottom w:val="nil"/>
              <w:right w:val="nil"/>
            </w:tcBorders>
            <w:vAlign w:val="center"/>
          </w:tcPr>
          <w:p w14:paraId="4FBD1CF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0.758***</w:t>
            </w:r>
          </w:p>
        </w:tc>
        <w:tc>
          <w:tcPr>
            <w:tcW w:w="1387" w:type="dxa"/>
            <w:tcBorders>
              <w:top w:val="nil"/>
              <w:left w:val="nil"/>
              <w:bottom w:val="nil"/>
              <w:right w:val="nil"/>
            </w:tcBorders>
            <w:vAlign w:val="center"/>
          </w:tcPr>
          <w:p w14:paraId="250E104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0.391</w:t>
            </w:r>
          </w:p>
        </w:tc>
        <w:tc>
          <w:tcPr>
            <w:tcW w:w="1388" w:type="dxa"/>
            <w:tcBorders>
              <w:top w:val="nil"/>
              <w:left w:val="nil"/>
              <w:bottom w:val="nil"/>
              <w:right w:val="nil"/>
            </w:tcBorders>
            <w:vAlign w:val="center"/>
          </w:tcPr>
          <w:p w14:paraId="2793094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0.120</w:t>
            </w:r>
          </w:p>
        </w:tc>
        <w:tc>
          <w:tcPr>
            <w:tcW w:w="1387" w:type="dxa"/>
            <w:tcBorders>
              <w:top w:val="nil"/>
              <w:left w:val="nil"/>
              <w:bottom w:val="nil"/>
              <w:right w:val="nil"/>
            </w:tcBorders>
            <w:vAlign w:val="center"/>
          </w:tcPr>
          <w:p w14:paraId="4ED8877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-0.242</w:t>
            </w:r>
          </w:p>
        </w:tc>
        <w:tc>
          <w:tcPr>
            <w:tcW w:w="1388" w:type="dxa"/>
            <w:tcBorders>
              <w:top w:val="nil"/>
              <w:left w:val="nil"/>
              <w:bottom w:val="nil"/>
              <w:right w:val="nil"/>
            </w:tcBorders>
            <w:vAlign w:val="center"/>
          </w:tcPr>
          <w:p w14:paraId="63D1DE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-0.329</w:t>
            </w:r>
          </w:p>
        </w:tc>
        <w:tc>
          <w:tcPr>
            <w:tcW w:w="1387" w:type="dxa"/>
            <w:tcBorders>
              <w:top w:val="nil"/>
              <w:left w:val="nil"/>
              <w:bottom w:val="nil"/>
              <w:right w:val="nil"/>
            </w:tcBorders>
            <w:vAlign w:val="center"/>
          </w:tcPr>
          <w:p w14:paraId="055C96D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-0.697</w:t>
            </w:r>
          </w:p>
        </w:tc>
        <w:tc>
          <w:tcPr>
            <w:tcW w:w="1388" w:type="dxa"/>
            <w:tcBorders>
              <w:top w:val="nil"/>
              <w:left w:val="nil"/>
              <w:bottom w:val="nil"/>
              <w:right w:val="nil"/>
            </w:tcBorders>
            <w:vAlign w:val="center"/>
          </w:tcPr>
          <w:p w14:paraId="4C139D6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-1.027</w:t>
            </w:r>
          </w:p>
        </w:tc>
      </w:tr>
      <w:tr w:rsidR="002743A7" w:rsidRPr="00F14751" w14:paraId="283125AC" w14:textId="77777777" w:rsidTr="008738C3">
        <w:trPr>
          <w:jc w:val="center"/>
        </w:trPr>
        <w:tc>
          <w:tcPr>
            <w:tcW w:w="1768" w:type="dxa"/>
            <w:tcBorders>
              <w:top w:val="nil"/>
              <w:left w:val="nil"/>
              <w:bottom w:val="nil"/>
              <w:right w:val="nil"/>
            </w:tcBorders>
            <w:vAlign w:val="center"/>
          </w:tcPr>
          <w:p w14:paraId="2B86B034"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69227FD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(0.985)</w:t>
            </w:r>
          </w:p>
        </w:tc>
        <w:tc>
          <w:tcPr>
            <w:tcW w:w="1388" w:type="dxa"/>
            <w:tcBorders>
              <w:top w:val="nil"/>
              <w:left w:val="nil"/>
              <w:bottom w:val="nil"/>
              <w:right w:val="nil"/>
            </w:tcBorders>
            <w:vAlign w:val="center"/>
          </w:tcPr>
          <w:p w14:paraId="6B8E9FA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(0.0936)</w:t>
            </w:r>
          </w:p>
        </w:tc>
        <w:tc>
          <w:tcPr>
            <w:tcW w:w="1387" w:type="dxa"/>
            <w:tcBorders>
              <w:top w:val="nil"/>
              <w:left w:val="nil"/>
              <w:bottom w:val="nil"/>
              <w:right w:val="nil"/>
            </w:tcBorders>
            <w:vAlign w:val="center"/>
          </w:tcPr>
          <w:p w14:paraId="5990FB3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(0.105)</w:t>
            </w:r>
          </w:p>
        </w:tc>
        <w:tc>
          <w:tcPr>
            <w:tcW w:w="1388" w:type="dxa"/>
            <w:tcBorders>
              <w:top w:val="nil"/>
              <w:left w:val="nil"/>
              <w:bottom w:val="nil"/>
              <w:right w:val="nil"/>
            </w:tcBorders>
            <w:vAlign w:val="center"/>
          </w:tcPr>
          <w:p w14:paraId="2A01D2D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(0.179)</w:t>
            </w:r>
          </w:p>
        </w:tc>
        <w:tc>
          <w:tcPr>
            <w:tcW w:w="1387" w:type="dxa"/>
            <w:tcBorders>
              <w:top w:val="nil"/>
              <w:left w:val="nil"/>
              <w:bottom w:val="nil"/>
              <w:right w:val="nil"/>
            </w:tcBorders>
            <w:vAlign w:val="center"/>
          </w:tcPr>
          <w:p w14:paraId="2302002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(0.248)</w:t>
            </w:r>
          </w:p>
        </w:tc>
        <w:tc>
          <w:tcPr>
            <w:tcW w:w="1388" w:type="dxa"/>
            <w:tcBorders>
              <w:top w:val="nil"/>
              <w:left w:val="nil"/>
              <w:bottom w:val="nil"/>
              <w:right w:val="nil"/>
            </w:tcBorders>
            <w:vAlign w:val="center"/>
          </w:tcPr>
          <w:p w14:paraId="1ECCE30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(0.276)</w:t>
            </w:r>
          </w:p>
        </w:tc>
        <w:tc>
          <w:tcPr>
            <w:tcW w:w="1387" w:type="dxa"/>
            <w:tcBorders>
              <w:top w:val="nil"/>
              <w:left w:val="nil"/>
              <w:bottom w:val="nil"/>
              <w:right w:val="nil"/>
            </w:tcBorders>
            <w:vAlign w:val="center"/>
          </w:tcPr>
          <w:p w14:paraId="352DB3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(0.286)</w:t>
            </w:r>
          </w:p>
        </w:tc>
        <w:tc>
          <w:tcPr>
            <w:tcW w:w="1388" w:type="dxa"/>
            <w:tcBorders>
              <w:top w:val="nil"/>
              <w:left w:val="nil"/>
              <w:bottom w:val="nil"/>
              <w:right w:val="nil"/>
            </w:tcBorders>
            <w:vAlign w:val="center"/>
          </w:tcPr>
          <w:p w14:paraId="35584EF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(0.245)</w:t>
            </w:r>
          </w:p>
        </w:tc>
        <w:tc>
          <w:tcPr>
            <w:tcW w:w="1387" w:type="dxa"/>
            <w:tcBorders>
              <w:top w:val="nil"/>
              <w:left w:val="nil"/>
              <w:bottom w:val="nil"/>
              <w:right w:val="nil"/>
            </w:tcBorders>
            <w:vAlign w:val="center"/>
          </w:tcPr>
          <w:p w14:paraId="17D92A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(0.911)</w:t>
            </w:r>
          </w:p>
        </w:tc>
        <w:tc>
          <w:tcPr>
            <w:tcW w:w="1388" w:type="dxa"/>
            <w:tcBorders>
              <w:top w:val="nil"/>
              <w:left w:val="nil"/>
              <w:bottom w:val="nil"/>
              <w:right w:val="nil"/>
            </w:tcBorders>
            <w:vAlign w:val="center"/>
          </w:tcPr>
          <w:p w14:paraId="0136A3A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(0.853)</w:t>
            </w:r>
          </w:p>
        </w:tc>
      </w:tr>
      <w:tr w:rsidR="002743A7" w:rsidRPr="00F14751" w14:paraId="55D7B28D" w14:textId="77777777" w:rsidTr="008738C3">
        <w:trPr>
          <w:jc w:val="center"/>
        </w:trPr>
        <w:tc>
          <w:tcPr>
            <w:tcW w:w="1768" w:type="dxa"/>
            <w:tcBorders>
              <w:top w:val="nil"/>
              <w:left w:val="nil"/>
              <w:bottom w:val="nil"/>
              <w:right w:val="nil"/>
            </w:tcBorders>
            <w:vAlign w:val="center"/>
          </w:tcPr>
          <w:p w14:paraId="007EEF76"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roofErr w:type="spellStart"/>
            <w:r w:rsidRPr="00F14751">
              <w:rPr>
                <w:rFonts w:ascii="Times New Roman" w:hAnsi="Times New Roman" w:cs="Times New Roman"/>
                <w:sz w:val="18"/>
                <w:szCs w:val="18"/>
              </w:rPr>
              <w:t>UrbanPopgrowth</w:t>
            </w:r>
            <w:proofErr w:type="spellEnd"/>
          </w:p>
        </w:tc>
        <w:tc>
          <w:tcPr>
            <w:tcW w:w="1387" w:type="dxa"/>
            <w:tcBorders>
              <w:top w:val="nil"/>
              <w:left w:val="nil"/>
              <w:bottom w:val="nil"/>
              <w:right w:val="nil"/>
            </w:tcBorders>
            <w:vAlign w:val="center"/>
          </w:tcPr>
          <w:p w14:paraId="20B534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0.454</w:t>
            </w:r>
          </w:p>
        </w:tc>
        <w:tc>
          <w:tcPr>
            <w:tcW w:w="1388" w:type="dxa"/>
            <w:tcBorders>
              <w:top w:val="nil"/>
              <w:left w:val="nil"/>
              <w:bottom w:val="nil"/>
              <w:right w:val="nil"/>
            </w:tcBorders>
            <w:vAlign w:val="center"/>
          </w:tcPr>
          <w:p w14:paraId="62B6B39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0.0542</w:t>
            </w:r>
          </w:p>
        </w:tc>
        <w:tc>
          <w:tcPr>
            <w:tcW w:w="1387" w:type="dxa"/>
            <w:tcBorders>
              <w:top w:val="nil"/>
              <w:left w:val="nil"/>
              <w:bottom w:val="nil"/>
              <w:right w:val="nil"/>
            </w:tcBorders>
            <w:vAlign w:val="center"/>
          </w:tcPr>
          <w:p w14:paraId="1615584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-0.0525</w:t>
            </w:r>
          </w:p>
        </w:tc>
        <w:tc>
          <w:tcPr>
            <w:tcW w:w="1388" w:type="dxa"/>
            <w:tcBorders>
              <w:top w:val="nil"/>
              <w:left w:val="nil"/>
              <w:bottom w:val="nil"/>
              <w:right w:val="nil"/>
            </w:tcBorders>
            <w:vAlign w:val="center"/>
          </w:tcPr>
          <w:p w14:paraId="4BE8E8F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0.00168</w:t>
            </w:r>
          </w:p>
        </w:tc>
        <w:tc>
          <w:tcPr>
            <w:tcW w:w="1387" w:type="dxa"/>
            <w:tcBorders>
              <w:top w:val="nil"/>
              <w:left w:val="nil"/>
              <w:bottom w:val="nil"/>
              <w:right w:val="nil"/>
            </w:tcBorders>
            <w:vAlign w:val="center"/>
          </w:tcPr>
          <w:p w14:paraId="413D727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-0.205</w:t>
            </w:r>
          </w:p>
        </w:tc>
        <w:tc>
          <w:tcPr>
            <w:tcW w:w="1388" w:type="dxa"/>
            <w:tcBorders>
              <w:top w:val="nil"/>
              <w:left w:val="nil"/>
              <w:bottom w:val="nil"/>
              <w:right w:val="nil"/>
            </w:tcBorders>
            <w:vAlign w:val="center"/>
          </w:tcPr>
          <w:p w14:paraId="6D5E18C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-0.202</w:t>
            </w:r>
          </w:p>
        </w:tc>
        <w:tc>
          <w:tcPr>
            <w:tcW w:w="1387" w:type="dxa"/>
            <w:tcBorders>
              <w:top w:val="nil"/>
              <w:left w:val="nil"/>
              <w:bottom w:val="nil"/>
              <w:right w:val="nil"/>
            </w:tcBorders>
            <w:vAlign w:val="center"/>
          </w:tcPr>
          <w:p w14:paraId="4DEA3F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-0.195</w:t>
            </w:r>
          </w:p>
        </w:tc>
        <w:tc>
          <w:tcPr>
            <w:tcW w:w="1388" w:type="dxa"/>
            <w:tcBorders>
              <w:top w:val="nil"/>
              <w:left w:val="nil"/>
              <w:bottom w:val="nil"/>
              <w:right w:val="nil"/>
            </w:tcBorders>
            <w:vAlign w:val="center"/>
          </w:tcPr>
          <w:p w14:paraId="2E9F42E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0.0274</w:t>
            </w:r>
          </w:p>
        </w:tc>
        <w:tc>
          <w:tcPr>
            <w:tcW w:w="1387" w:type="dxa"/>
            <w:tcBorders>
              <w:top w:val="nil"/>
              <w:left w:val="nil"/>
              <w:bottom w:val="nil"/>
              <w:right w:val="nil"/>
            </w:tcBorders>
            <w:vAlign w:val="center"/>
          </w:tcPr>
          <w:p w14:paraId="2ED6ECD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0.574</w:t>
            </w:r>
          </w:p>
        </w:tc>
        <w:tc>
          <w:tcPr>
            <w:tcW w:w="1388" w:type="dxa"/>
            <w:tcBorders>
              <w:top w:val="nil"/>
              <w:left w:val="nil"/>
              <w:bottom w:val="nil"/>
              <w:right w:val="nil"/>
            </w:tcBorders>
            <w:vAlign w:val="center"/>
          </w:tcPr>
          <w:p w14:paraId="0649BCA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0.601</w:t>
            </w:r>
          </w:p>
        </w:tc>
      </w:tr>
      <w:tr w:rsidR="002743A7" w:rsidRPr="00F14751" w14:paraId="73E86FB4" w14:textId="77777777" w:rsidTr="008738C3">
        <w:trPr>
          <w:jc w:val="center"/>
        </w:trPr>
        <w:tc>
          <w:tcPr>
            <w:tcW w:w="1768" w:type="dxa"/>
            <w:tcBorders>
              <w:top w:val="nil"/>
              <w:left w:val="nil"/>
              <w:bottom w:val="nil"/>
              <w:right w:val="nil"/>
            </w:tcBorders>
            <w:vAlign w:val="center"/>
          </w:tcPr>
          <w:p w14:paraId="4EE9C189"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78B2775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(0.604)</w:t>
            </w:r>
          </w:p>
        </w:tc>
        <w:tc>
          <w:tcPr>
            <w:tcW w:w="1388" w:type="dxa"/>
            <w:tcBorders>
              <w:top w:val="nil"/>
              <w:left w:val="nil"/>
              <w:bottom w:val="nil"/>
              <w:right w:val="nil"/>
            </w:tcBorders>
            <w:vAlign w:val="center"/>
          </w:tcPr>
          <w:p w14:paraId="719924E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(0.0743)</w:t>
            </w:r>
          </w:p>
        </w:tc>
        <w:tc>
          <w:tcPr>
            <w:tcW w:w="1387" w:type="dxa"/>
            <w:tcBorders>
              <w:top w:val="nil"/>
              <w:left w:val="nil"/>
              <w:bottom w:val="nil"/>
              <w:right w:val="nil"/>
            </w:tcBorders>
            <w:vAlign w:val="center"/>
          </w:tcPr>
          <w:p w14:paraId="1B29020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(0.0826)</w:t>
            </w:r>
          </w:p>
        </w:tc>
        <w:tc>
          <w:tcPr>
            <w:tcW w:w="1388" w:type="dxa"/>
            <w:tcBorders>
              <w:top w:val="nil"/>
              <w:left w:val="nil"/>
              <w:bottom w:val="nil"/>
              <w:right w:val="nil"/>
            </w:tcBorders>
            <w:vAlign w:val="center"/>
          </w:tcPr>
          <w:p w14:paraId="0F4010E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(0.150)</w:t>
            </w:r>
          </w:p>
        </w:tc>
        <w:tc>
          <w:tcPr>
            <w:tcW w:w="1387" w:type="dxa"/>
            <w:tcBorders>
              <w:top w:val="nil"/>
              <w:left w:val="nil"/>
              <w:bottom w:val="nil"/>
              <w:right w:val="nil"/>
            </w:tcBorders>
            <w:vAlign w:val="center"/>
          </w:tcPr>
          <w:p w14:paraId="27D61F0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(0.175)</w:t>
            </w:r>
          </w:p>
        </w:tc>
        <w:tc>
          <w:tcPr>
            <w:tcW w:w="1388" w:type="dxa"/>
            <w:tcBorders>
              <w:top w:val="nil"/>
              <w:left w:val="nil"/>
              <w:bottom w:val="nil"/>
              <w:right w:val="nil"/>
            </w:tcBorders>
            <w:vAlign w:val="center"/>
          </w:tcPr>
          <w:p w14:paraId="5C711B9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(0.163)</w:t>
            </w:r>
          </w:p>
        </w:tc>
        <w:tc>
          <w:tcPr>
            <w:tcW w:w="1387" w:type="dxa"/>
            <w:tcBorders>
              <w:top w:val="nil"/>
              <w:left w:val="nil"/>
              <w:bottom w:val="nil"/>
              <w:right w:val="nil"/>
            </w:tcBorders>
            <w:vAlign w:val="center"/>
          </w:tcPr>
          <w:p w14:paraId="7A3C7E1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(0.241)</w:t>
            </w:r>
          </w:p>
        </w:tc>
        <w:tc>
          <w:tcPr>
            <w:tcW w:w="1388" w:type="dxa"/>
            <w:tcBorders>
              <w:top w:val="nil"/>
              <w:left w:val="nil"/>
              <w:bottom w:val="nil"/>
              <w:right w:val="nil"/>
            </w:tcBorders>
            <w:vAlign w:val="center"/>
          </w:tcPr>
          <w:p w14:paraId="7DBD48E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(0.281)</w:t>
            </w:r>
          </w:p>
        </w:tc>
        <w:tc>
          <w:tcPr>
            <w:tcW w:w="1387" w:type="dxa"/>
            <w:tcBorders>
              <w:top w:val="nil"/>
              <w:left w:val="nil"/>
              <w:bottom w:val="nil"/>
              <w:right w:val="nil"/>
            </w:tcBorders>
            <w:vAlign w:val="center"/>
          </w:tcPr>
          <w:p w14:paraId="61A3F54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(0.579)</w:t>
            </w:r>
          </w:p>
        </w:tc>
        <w:tc>
          <w:tcPr>
            <w:tcW w:w="1388" w:type="dxa"/>
            <w:tcBorders>
              <w:top w:val="nil"/>
              <w:left w:val="nil"/>
              <w:bottom w:val="nil"/>
              <w:right w:val="nil"/>
            </w:tcBorders>
            <w:vAlign w:val="center"/>
          </w:tcPr>
          <w:p w14:paraId="6A0599C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(0.493)</w:t>
            </w:r>
          </w:p>
        </w:tc>
      </w:tr>
      <w:tr w:rsidR="002743A7" w:rsidRPr="00F14751" w14:paraId="4A50CDBB" w14:textId="77777777" w:rsidTr="008738C3">
        <w:trPr>
          <w:jc w:val="center"/>
        </w:trPr>
        <w:tc>
          <w:tcPr>
            <w:tcW w:w="1768" w:type="dxa"/>
            <w:tcBorders>
              <w:top w:val="nil"/>
              <w:left w:val="nil"/>
              <w:right w:val="nil"/>
            </w:tcBorders>
            <w:vAlign w:val="center"/>
          </w:tcPr>
          <w:p w14:paraId="3712507D"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Mercosur</w:t>
            </w:r>
          </w:p>
        </w:tc>
        <w:tc>
          <w:tcPr>
            <w:tcW w:w="1387" w:type="dxa"/>
            <w:tcBorders>
              <w:top w:val="nil"/>
              <w:left w:val="nil"/>
              <w:right w:val="nil"/>
            </w:tcBorders>
            <w:vAlign w:val="center"/>
          </w:tcPr>
          <w:p w14:paraId="54A6AE3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2.069</w:t>
            </w:r>
          </w:p>
        </w:tc>
        <w:tc>
          <w:tcPr>
            <w:tcW w:w="1388" w:type="dxa"/>
            <w:tcBorders>
              <w:top w:val="nil"/>
              <w:left w:val="nil"/>
              <w:right w:val="nil"/>
            </w:tcBorders>
            <w:vAlign w:val="center"/>
          </w:tcPr>
          <w:p w14:paraId="19774A6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-0.289</w:t>
            </w:r>
          </w:p>
        </w:tc>
        <w:tc>
          <w:tcPr>
            <w:tcW w:w="1387" w:type="dxa"/>
            <w:tcBorders>
              <w:top w:val="nil"/>
              <w:left w:val="nil"/>
              <w:right w:val="nil"/>
            </w:tcBorders>
            <w:vAlign w:val="center"/>
          </w:tcPr>
          <w:p w14:paraId="106E2F0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-0.478*</w:t>
            </w:r>
          </w:p>
        </w:tc>
        <w:tc>
          <w:tcPr>
            <w:tcW w:w="1388" w:type="dxa"/>
            <w:tcBorders>
              <w:top w:val="nil"/>
              <w:left w:val="nil"/>
              <w:right w:val="nil"/>
            </w:tcBorders>
            <w:vAlign w:val="center"/>
          </w:tcPr>
          <w:p w14:paraId="6E0E0E2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-0.767*</w:t>
            </w:r>
          </w:p>
        </w:tc>
        <w:tc>
          <w:tcPr>
            <w:tcW w:w="1387" w:type="dxa"/>
            <w:tcBorders>
              <w:top w:val="nil"/>
              <w:left w:val="nil"/>
              <w:right w:val="nil"/>
            </w:tcBorders>
            <w:vAlign w:val="center"/>
          </w:tcPr>
          <w:p w14:paraId="2C42EC3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-0.738</w:t>
            </w:r>
          </w:p>
        </w:tc>
        <w:tc>
          <w:tcPr>
            <w:tcW w:w="1388" w:type="dxa"/>
            <w:tcBorders>
              <w:top w:val="nil"/>
              <w:left w:val="nil"/>
              <w:right w:val="nil"/>
            </w:tcBorders>
            <w:vAlign w:val="center"/>
          </w:tcPr>
          <w:p w14:paraId="1E6D4E1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0.0594</w:t>
            </w:r>
          </w:p>
        </w:tc>
        <w:tc>
          <w:tcPr>
            <w:tcW w:w="1387" w:type="dxa"/>
            <w:tcBorders>
              <w:top w:val="nil"/>
              <w:left w:val="nil"/>
              <w:right w:val="nil"/>
            </w:tcBorders>
            <w:vAlign w:val="center"/>
          </w:tcPr>
          <w:p w14:paraId="625A1DE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0.641</w:t>
            </w:r>
          </w:p>
        </w:tc>
        <w:tc>
          <w:tcPr>
            <w:tcW w:w="1388" w:type="dxa"/>
            <w:tcBorders>
              <w:top w:val="nil"/>
              <w:left w:val="nil"/>
              <w:right w:val="nil"/>
            </w:tcBorders>
            <w:vAlign w:val="center"/>
          </w:tcPr>
          <w:p w14:paraId="3639F45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0.579</w:t>
            </w:r>
          </w:p>
        </w:tc>
        <w:tc>
          <w:tcPr>
            <w:tcW w:w="1387" w:type="dxa"/>
            <w:tcBorders>
              <w:top w:val="nil"/>
              <w:left w:val="nil"/>
              <w:right w:val="nil"/>
            </w:tcBorders>
            <w:vAlign w:val="center"/>
          </w:tcPr>
          <w:p w14:paraId="685EB99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0.225</w:t>
            </w:r>
          </w:p>
        </w:tc>
        <w:tc>
          <w:tcPr>
            <w:tcW w:w="1388" w:type="dxa"/>
            <w:tcBorders>
              <w:top w:val="nil"/>
              <w:left w:val="nil"/>
              <w:right w:val="nil"/>
            </w:tcBorders>
            <w:vAlign w:val="center"/>
          </w:tcPr>
          <w:p w14:paraId="1503B55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0.805</w:t>
            </w:r>
          </w:p>
        </w:tc>
      </w:tr>
      <w:tr w:rsidR="002743A7" w:rsidRPr="00F14751" w14:paraId="75524879" w14:textId="77777777" w:rsidTr="008738C3">
        <w:trPr>
          <w:jc w:val="center"/>
        </w:trPr>
        <w:tc>
          <w:tcPr>
            <w:tcW w:w="1768" w:type="dxa"/>
            <w:tcBorders>
              <w:top w:val="nil"/>
              <w:left w:val="nil"/>
              <w:bottom w:val="nil"/>
              <w:right w:val="nil"/>
            </w:tcBorders>
            <w:vAlign w:val="center"/>
          </w:tcPr>
          <w:p w14:paraId="18F153D4"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7D29BE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(2.233)</w:t>
            </w:r>
          </w:p>
        </w:tc>
        <w:tc>
          <w:tcPr>
            <w:tcW w:w="1388" w:type="dxa"/>
            <w:tcBorders>
              <w:top w:val="nil"/>
              <w:left w:val="nil"/>
              <w:bottom w:val="nil"/>
              <w:right w:val="nil"/>
            </w:tcBorders>
            <w:vAlign w:val="center"/>
          </w:tcPr>
          <w:p w14:paraId="4570218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(0.236)</w:t>
            </w:r>
          </w:p>
        </w:tc>
        <w:tc>
          <w:tcPr>
            <w:tcW w:w="1387" w:type="dxa"/>
            <w:tcBorders>
              <w:top w:val="nil"/>
              <w:left w:val="nil"/>
              <w:bottom w:val="nil"/>
              <w:right w:val="nil"/>
            </w:tcBorders>
            <w:vAlign w:val="center"/>
          </w:tcPr>
          <w:p w14:paraId="79C3FA2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(0.225)</w:t>
            </w:r>
          </w:p>
        </w:tc>
        <w:tc>
          <w:tcPr>
            <w:tcW w:w="1388" w:type="dxa"/>
            <w:tcBorders>
              <w:top w:val="nil"/>
              <w:left w:val="nil"/>
              <w:bottom w:val="nil"/>
              <w:right w:val="nil"/>
            </w:tcBorders>
            <w:vAlign w:val="center"/>
          </w:tcPr>
          <w:p w14:paraId="6E60CBD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(0.389)</w:t>
            </w:r>
          </w:p>
        </w:tc>
        <w:tc>
          <w:tcPr>
            <w:tcW w:w="1387" w:type="dxa"/>
            <w:tcBorders>
              <w:top w:val="nil"/>
              <w:left w:val="nil"/>
              <w:bottom w:val="nil"/>
              <w:right w:val="nil"/>
            </w:tcBorders>
            <w:vAlign w:val="center"/>
          </w:tcPr>
          <w:p w14:paraId="1279B68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(0.549)</w:t>
            </w:r>
          </w:p>
        </w:tc>
        <w:tc>
          <w:tcPr>
            <w:tcW w:w="1388" w:type="dxa"/>
            <w:tcBorders>
              <w:top w:val="nil"/>
              <w:left w:val="nil"/>
              <w:bottom w:val="nil"/>
              <w:right w:val="nil"/>
            </w:tcBorders>
            <w:vAlign w:val="center"/>
          </w:tcPr>
          <w:p w14:paraId="625C196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(0.576)</w:t>
            </w:r>
          </w:p>
        </w:tc>
        <w:tc>
          <w:tcPr>
            <w:tcW w:w="1387" w:type="dxa"/>
            <w:tcBorders>
              <w:top w:val="nil"/>
              <w:left w:val="nil"/>
              <w:bottom w:val="nil"/>
              <w:right w:val="nil"/>
            </w:tcBorders>
            <w:vAlign w:val="center"/>
          </w:tcPr>
          <w:p w14:paraId="024785C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(0.638)</w:t>
            </w:r>
          </w:p>
        </w:tc>
        <w:tc>
          <w:tcPr>
            <w:tcW w:w="1388" w:type="dxa"/>
            <w:tcBorders>
              <w:top w:val="nil"/>
              <w:left w:val="nil"/>
              <w:bottom w:val="nil"/>
              <w:right w:val="nil"/>
            </w:tcBorders>
            <w:vAlign w:val="center"/>
          </w:tcPr>
          <w:p w14:paraId="0CE2B77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(0.338)</w:t>
            </w:r>
          </w:p>
        </w:tc>
        <w:tc>
          <w:tcPr>
            <w:tcW w:w="1387" w:type="dxa"/>
            <w:tcBorders>
              <w:top w:val="nil"/>
              <w:left w:val="nil"/>
              <w:bottom w:val="nil"/>
              <w:right w:val="nil"/>
            </w:tcBorders>
            <w:vAlign w:val="center"/>
          </w:tcPr>
          <w:p w14:paraId="70A6451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(2.233)</w:t>
            </w:r>
          </w:p>
        </w:tc>
        <w:tc>
          <w:tcPr>
            <w:tcW w:w="1388" w:type="dxa"/>
            <w:tcBorders>
              <w:top w:val="nil"/>
              <w:left w:val="nil"/>
              <w:bottom w:val="nil"/>
              <w:right w:val="nil"/>
            </w:tcBorders>
            <w:vAlign w:val="center"/>
          </w:tcPr>
          <w:p w14:paraId="35B4D4B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(2.007)</w:t>
            </w:r>
          </w:p>
        </w:tc>
      </w:tr>
      <w:tr w:rsidR="002743A7" w:rsidRPr="00F14751" w14:paraId="7A49137C"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70B346C9"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roofErr w:type="spellStart"/>
            <w:r w:rsidRPr="00F14751">
              <w:rPr>
                <w:rFonts w:ascii="Times New Roman" w:hAnsi="Times New Roman" w:cs="Times New Roman"/>
                <w:sz w:val="18"/>
                <w:szCs w:val="18"/>
              </w:rPr>
              <w:t>Unasur</w:t>
            </w:r>
            <w:proofErr w:type="spellEnd"/>
          </w:p>
        </w:tc>
        <w:tc>
          <w:tcPr>
            <w:tcW w:w="1387" w:type="dxa"/>
            <w:tcBorders>
              <w:top w:val="nil"/>
              <w:left w:val="nil"/>
              <w:bottom w:val="nil"/>
              <w:right w:val="nil"/>
            </w:tcBorders>
            <w:vAlign w:val="center"/>
          </w:tcPr>
          <w:p w14:paraId="28AF7E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-1.163</w:t>
            </w:r>
          </w:p>
        </w:tc>
        <w:tc>
          <w:tcPr>
            <w:tcW w:w="1388" w:type="dxa"/>
            <w:tcBorders>
              <w:top w:val="nil"/>
              <w:left w:val="nil"/>
              <w:bottom w:val="nil"/>
              <w:right w:val="nil"/>
            </w:tcBorders>
            <w:vAlign w:val="center"/>
          </w:tcPr>
          <w:p w14:paraId="6F962EC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-0.217*</w:t>
            </w:r>
          </w:p>
        </w:tc>
        <w:tc>
          <w:tcPr>
            <w:tcW w:w="1387" w:type="dxa"/>
            <w:tcBorders>
              <w:top w:val="nil"/>
              <w:left w:val="nil"/>
              <w:bottom w:val="nil"/>
              <w:right w:val="nil"/>
            </w:tcBorders>
            <w:vAlign w:val="center"/>
          </w:tcPr>
          <w:p w14:paraId="6F8E50E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-0.0112</w:t>
            </w:r>
          </w:p>
        </w:tc>
        <w:tc>
          <w:tcPr>
            <w:tcW w:w="1388" w:type="dxa"/>
            <w:tcBorders>
              <w:top w:val="nil"/>
              <w:left w:val="nil"/>
              <w:bottom w:val="nil"/>
              <w:right w:val="nil"/>
            </w:tcBorders>
            <w:vAlign w:val="center"/>
          </w:tcPr>
          <w:p w14:paraId="41C3880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-0.228</w:t>
            </w:r>
          </w:p>
        </w:tc>
        <w:tc>
          <w:tcPr>
            <w:tcW w:w="1387" w:type="dxa"/>
            <w:tcBorders>
              <w:top w:val="nil"/>
              <w:left w:val="nil"/>
              <w:bottom w:val="nil"/>
              <w:right w:val="nil"/>
            </w:tcBorders>
            <w:vAlign w:val="center"/>
          </w:tcPr>
          <w:p w14:paraId="0545B4E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0.377</w:t>
            </w:r>
          </w:p>
        </w:tc>
        <w:tc>
          <w:tcPr>
            <w:tcW w:w="1388" w:type="dxa"/>
            <w:tcBorders>
              <w:top w:val="nil"/>
              <w:left w:val="nil"/>
              <w:bottom w:val="nil"/>
              <w:right w:val="nil"/>
            </w:tcBorders>
            <w:vAlign w:val="center"/>
          </w:tcPr>
          <w:p w14:paraId="5E3AE02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0.721**</w:t>
            </w:r>
          </w:p>
        </w:tc>
        <w:tc>
          <w:tcPr>
            <w:tcW w:w="1387" w:type="dxa"/>
            <w:tcBorders>
              <w:top w:val="nil"/>
              <w:left w:val="nil"/>
              <w:bottom w:val="nil"/>
              <w:right w:val="nil"/>
            </w:tcBorders>
            <w:vAlign w:val="center"/>
          </w:tcPr>
          <w:p w14:paraId="13B551B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0.863***</w:t>
            </w:r>
          </w:p>
        </w:tc>
        <w:tc>
          <w:tcPr>
            <w:tcW w:w="1388" w:type="dxa"/>
            <w:tcBorders>
              <w:top w:val="nil"/>
              <w:left w:val="nil"/>
              <w:bottom w:val="nil"/>
              <w:right w:val="nil"/>
            </w:tcBorders>
            <w:vAlign w:val="center"/>
          </w:tcPr>
          <w:p w14:paraId="2E0DB4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0.172</w:t>
            </w:r>
          </w:p>
        </w:tc>
        <w:tc>
          <w:tcPr>
            <w:tcW w:w="1387" w:type="dxa"/>
            <w:tcBorders>
              <w:top w:val="nil"/>
              <w:left w:val="nil"/>
              <w:bottom w:val="nil"/>
              <w:right w:val="nil"/>
            </w:tcBorders>
            <w:vAlign w:val="center"/>
          </w:tcPr>
          <w:p w14:paraId="5EC8C70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-1.905*</w:t>
            </w:r>
          </w:p>
        </w:tc>
        <w:tc>
          <w:tcPr>
            <w:tcW w:w="1388" w:type="dxa"/>
            <w:tcBorders>
              <w:top w:val="nil"/>
              <w:left w:val="nil"/>
              <w:bottom w:val="nil"/>
              <w:right w:val="nil"/>
            </w:tcBorders>
            <w:vAlign w:val="center"/>
          </w:tcPr>
          <w:p w14:paraId="57873D5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-1.733*</w:t>
            </w:r>
          </w:p>
        </w:tc>
      </w:tr>
      <w:tr w:rsidR="002743A7" w:rsidRPr="00F14751" w14:paraId="1DAD3A18"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607D76ED"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48485E1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(1.049)</w:t>
            </w:r>
          </w:p>
        </w:tc>
        <w:tc>
          <w:tcPr>
            <w:tcW w:w="1388" w:type="dxa"/>
            <w:tcBorders>
              <w:top w:val="nil"/>
              <w:left w:val="nil"/>
              <w:bottom w:val="nil"/>
              <w:right w:val="nil"/>
            </w:tcBorders>
            <w:vAlign w:val="center"/>
          </w:tcPr>
          <w:p w14:paraId="1B4EFCE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(0.106)</w:t>
            </w:r>
          </w:p>
        </w:tc>
        <w:tc>
          <w:tcPr>
            <w:tcW w:w="1387" w:type="dxa"/>
            <w:tcBorders>
              <w:top w:val="nil"/>
              <w:left w:val="nil"/>
              <w:bottom w:val="nil"/>
              <w:right w:val="nil"/>
            </w:tcBorders>
            <w:vAlign w:val="center"/>
          </w:tcPr>
          <w:p w14:paraId="40486A7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(0.114)</w:t>
            </w:r>
          </w:p>
        </w:tc>
        <w:tc>
          <w:tcPr>
            <w:tcW w:w="1388" w:type="dxa"/>
            <w:tcBorders>
              <w:top w:val="nil"/>
              <w:left w:val="nil"/>
              <w:bottom w:val="nil"/>
              <w:right w:val="nil"/>
            </w:tcBorders>
            <w:vAlign w:val="center"/>
          </w:tcPr>
          <w:p w14:paraId="3528C3C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(0.215)</w:t>
            </w:r>
          </w:p>
        </w:tc>
        <w:tc>
          <w:tcPr>
            <w:tcW w:w="1387" w:type="dxa"/>
            <w:tcBorders>
              <w:top w:val="nil"/>
              <w:left w:val="nil"/>
              <w:bottom w:val="nil"/>
              <w:right w:val="nil"/>
            </w:tcBorders>
            <w:vAlign w:val="center"/>
          </w:tcPr>
          <w:p w14:paraId="77EA6DE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(0.281)</w:t>
            </w:r>
          </w:p>
        </w:tc>
        <w:tc>
          <w:tcPr>
            <w:tcW w:w="1388" w:type="dxa"/>
            <w:tcBorders>
              <w:top w:val="nil"/>
              <w:left w:val="nil"/>
              <w:bottom w:val="nil"/>
              <w:right w:val="nil"/>
            </w:tcBorders>
            <w:vAlign w:val="center"/>
          </w:tcPr>
          <w:p w14:paraId="7786DF8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(0.317)</w:t>
            </w:r>
          </w:p>
        </w:tc>
        <w:tc>
          <w:tcPr>
            <w:tcW w:w="1387" w:type="dxa"/>
            <w:tcBorders>
              <w:top w:val="nil"/>
              <w:left w:val="nil"/>
              <w:bottom w:val="nil"/>
              <w:right w:val="nil"/>
            </w:tcBorders>
            <w:vAlign w:val="center"/>
          </w:tcPr>
          <w:p w14:paraId="0C3A294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(0.263)</w:t>
            </w:r>
          </w:p>
        </w:tc>
        <w:tc>
          <w:tcPr>
            <w:tcW w:w="1388" w:type="dxa"/>
            <w:tcBorders>
              <w:top w:val="nil"/>
              <w:left w:val="nil"/>
              <w:bottom w:val="nil"/>
              <w:right w:val="nil"/>
            </w:tcBorders>
            <w:vAlign w:val="center"/>
          </w:tcPr>
          <w:p w14:paraId="2E4DECD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(0.164)</w:t>
            </w:r>
          </w:p>
        </w:tc>
        <w:tc>
          <w:tcPr>
            <w:tcW w:w="1387" w:type="dxa"/>
            <w:tcBorders>
              <w:top w:val="nil"/>
              <w:left w:val="nil"/>
              <w:bottom w:val="nil"/>
              <w:right w:val="nil"/>
            </w:tcBorders>
            <w:vAlign w:val="center"/>
          </w:tcPr>
          <w:p w14:paraId="7E83FDD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(0.914)</w:t>
            </w:r>
          </w:p>
        </w:tc>
        <w:tc>
          <w:tcPr>
            <w:tcW w:w="1388" w:type="dxa"/>
            <w:tcBorders>
              <w:top w:val="nil"/>
              <w:left w:val="nil"/>
              <w:bottom w:val="nil"/>
              <w:right w:val="nil"/>
            </w:tcBorders>
            <w:vAlign w:val="center"/>
          </w:tcPr>
          <w:p w14:paraId="28AD5BF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(0.957)</w:t>
            </w:r>
          </w:p>
        </w:tc>
      </w:tr>
      <w:tr w:rsidR="002743A7" w:rsidRPr="00F14751" w14:paraId="588453ED"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199A62C5"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roofErr w:type="spellStart"/>
            <w:r w:rsidRPr="00F14751">
              <w:rPr>
                <w:rFonts w:ascii="Times New Roman" w:hAnsi="Times New Roman" w:cs="Times New Roman"/>
                <w:sz w:val="18"/>
                <w:szCs w:val="18"/>
              </w:rPr>
              <w:t>DoP</w:t>
            </w:r>
            <w:proofErr w:type="spellEnd"/>
            <w:r w:rsidRPr="00F14751">
              <w:rPr>
                <w:rFonts w:ascii="Times New Roman" w:hAnsi="Times New Roman" w:cs="Times New Roman"/>
                <w:sz w:val="18"/>
                <w:szCs w:val="18"/>
              </w:rPr>
              <w:t xml:space="preserve"> ($2)</w:t>
            </w:r>
          </w:p>
        </w:tc>
        <w:tc>
          <w:tcPr>
            <w:tcW w:w="1387" w:type="dxa"/>
            <w:tcBorders>
              <w:top w:val="nil"/>
              <w:left w:val="nil"/>
              <w:bottom w:val="nil"/>
              <w:right w:val="nil"/>
            </w:tcBorders>
            <w:vAlign w:val="center"/>
          </w:tcPr>
          <w:p w14:paraId="52CBCDF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0.0127***</w:t>
            </w:r>
          </w:p>
        </w:tc>
        <w:tc>
          <w:tcPr>
            <w:tcW w:w="1388" w:type="dxa"/>
            <w:tcBorders>
              <w:top w:val="nil"/>
              <w:left w:val="nil"/>
              <w:bottom w:val="nil"/>
              <w:right w:val="nil"/>
            </w:tcBorders>
            <w:vAlign w:val="center"/>
          </w:tcPr>
          <w:p w14:paraId="6FA8A77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-0.00131***</w:t>
            </w:r>
          </w:p>
        </w:tc>
        <w:tc>
          <w:tcPr>
            <w:tcW w:w="1387" w:type="dxa"/>
            <w:tcBorders>
              <w:top w:val="nil"/>
              <w:left w:val="nil"/>
              <w:bottom w:val="nil"/>
              <w:right w:val="nil"/>
            </w:tcBorders>
            <w:vAlign w:val="center"/>
          </w:tcPr>
          <w:p w14:paraId="342D3EF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-0.00166***</w:t>
            </w:r>
          </w:p>
        </w:tc>
        <w:tc>
          <w:tcPr>
            <w:tcW w:w="1388" w:type="dxa"/>
            <w:tcBorders>
              <w:top w:val="nil"/>
              <w:left w:val="nil"/>
              <w:bottom w:val="nil"/>
              <w:right w:val="nil"/>
            </w:tcBorders>
            <w:vAlign w:val="center"/>
          </w:tcPr>
          <w:p w14:paraId="46D4A51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-0.00297***</w:t>
            </w:r>
          </w:p>
        </w:tc>
        <w:tc>
          <w:tcPr>
            <w:tcW w:w="1387" w:type="dxa"/>
            <w:tcBorders>
              <w:top w:val="nil"/>
              <w:left w:val="nil"/>
              <w:bottom w:val="nil"/>
              <w:right w:val="nil"/>
            </w:tcBorders>
            <w:vAlign w:val="center"/>
          </w:tcPr>
          <w:p w14:paraId="66CEB27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-0.00307***</w:t>
            </w:r>
          </w:p>
        </w:tc>
        <w:tc>
          <w:tcPr>
            <w:tcW w:w="1388" w:type="dxa"/>
            <w:tcBorders>
              <w:top w:val="nil"/>
              <w:left w:val="nil"/>
              <w:bottom w:val="nil"/>
              <w:right w:val="nil"/>
            </w:tcBorders>
            <w:vAlign w:val="center"/>
          </w:tcPr>
          <w:p w14:paraId="22A10E7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-0.00265***</w:t>
            </w:r>
          </w:p>
        </w:tc>
        <w:tc>
          <w:tcPr>
            <w:tcW w:w="1387" w:type="dxa"/>
            <w:tcBorders>
              <w:top w:val="nil"/>
              <w:left w:val="nil"/>
              <w:bottom w:val="nil"/>
              <w:right w:val="nil"/>
            </w:tcBorders>
            <w:vAlign w:val="center"/>
          </w:tcPr>
          <w:p w14:paraId="17B3DA0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-0.00175**</w:t>
            </w:r>
          </w:p>
        </w:tc>
        <w:tc>
          <w:tcPr>
            <w:tcW w:w="1388" w:type="dxa"/>
            <w:tcBorders>
              <w:top w:val="nil"/>
              <w:left w:val="nil"/>
              <w:bottom w:val="nil"/>
              <w:right w:val="nil"/>
            </w:tcBorders>
            <w:vAlign w:val="center"/>
          </w:tcPr>
          <w:p w14:paraId="69BFCAE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0.000179</w:t>
            </w:r>
          </w:p>
        </w:tc>
        <w:tc>
          <w:tcPr>
            <w:tcW w:w="1387" w:type="dxa"/>
            <w:tcBorders>
              <w:top w:val="nil"/>
              <w:left w:val="nil"/>
              <w:bottom w:val="nil"/>
              <w:right w:val="nil"/>
            </w:tcBorders>
            <w:vAlign w:val="center"/>
          </w:tcPr>
          <w:p w14:paraId="7DD7FEF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0.0103***</w:t>
            </w:r>
          </w:p>
        </w:tc>
        <w:tc>
          <w:tcPr>
            <w:tcW w:w="1388" w:type="dxa"/>
            <w:tcBorders>
              <w:top w:val="nil"/>
              <w:left w:val="nil"/>
              <w:bottom w:val="nil"/>
              <w:right w:val="nil"/>
            </w:tcBorders>
            <w:vAlign w:val="center"/>
          </w:tcPr>
          <w:p w14:paraId="625E58D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0.0104***</w:t>
            </w:r>
          </w:p>
        </w:tc>
      </w:tr>
      <w:tr w:rsidR="002743A7" w:rsidRPr="00F14751" w14:paraId="4CF0B803"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6794A108"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4BF2AC5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(0.00327)</w:t>
            </w:r>
          </w:p>
        </w:tc>
        <w:tc>
          <w:tcPr>
            <w:tcW w:w="1388" w:type="dxa"/>
            <w:tcBorders>
              <w:top w:val="nil"/>
              <w:left w:val="nil"/>
              <w:bottom w:val="nil"/>
              <w:right w:val="nil"/>
            </w:tcBorders>
            <w:vAlign w:val="center"/>
          </w:tcPr>
          <w:p w14:paraId="37CB3A5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(0.000349)</w:t>
            </w:r>
          </w:p>
        </w:tc>
        <w:tc>
          <w:tcPr>
            <w:tcW w:w="1387" w:type="dxa"/>
            <w:tcBorders>
              <w:top w:val="nil"/>
              <w:left w:val="nil"/>
              <w:bottom w:val="nil"/>
              <w:right w:val="nil"/>
            </w:tcBorders>
            <w:vAlign w:val="center"/>
          </w:tcPr>
          <w:p w14:paraId="0A88D05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(0.000412)</w:t>
            </w:r>
          </w:p>
        </w:tc>
        <w:tc>
          <w:tcPr>
            <w:tcW w:w="1388" w:type="dxa"/>
            <w:tcBorders>
              <w:top w:val="nil"/>
              <w:left w:val="nil"/>
              <w:bottom w:val="nil"/>
              <w:right w:val="nil"/>
            </w:tcBorders>
            <w:vAlign w:val="center"/>
          </w:tcPr>
          <w:p w14:paraId="3DACE20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(0.000736)</w:t>
            </w:r>
          </w:p>
        </w:tc>
        <w:tc>
          <w:tcPr>
            <w:tcW w:w="1387" w:type="dxa"/>
            <w:tcBorders>
              <w:top w:val="nil"/>
              <w:left w:val="nil"/>
              <w:bottom w:val="nil"/>
              <w:right w:val="nil"/>
            </w:tcBorders>
            <w:vAlign w:val="center"/>
          </w:tcPr>
          <w:p w14:paraId="2C67491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(0.000776)</w:t>
            </w:r>
          </w:p>
        </w:tc>
        <w:tc>
          <w:tcPr>
            <w:tcW w:w="1388" w:type="dxa"/>
            <w:tcBorders>
              <w:top w:val="nil"/>
              <w:left w:val="nil"/>
              <w:bottom w:val="nil"/>
              <w:right w:val="nil"/>
            </w:tcBorders>
            <w:vAlign w:val="center"/>
          </w:tcPr>
          <w:p w14:paraId="116C7D9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(0.000683)</w:t>
            </w:r>
          </w:p>
        </w:tc>
        <w:tc>
          <w:tcPr>
            <w:tcW w:w="1387" w:type="dxa"/>
            <w:tcBorders>
              <w:top w:val="nil"/>
              <w:left w:val="nil"/>
              <w:bottom w:val="nil"/>
              <w:right w:val="nil"/>
            </w:tcBorders>
            <w:vAlign w:val="center"/>
          </w:tcPr>
          <w:p w14:paraId="0A1B734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(0.000632)</w:t>
            </w:r>
          </w:p>
        </w:tc>
        <w:tc>
          <w:tcPr>
            <w:tcW w:w="1388" w:type="dxa"/>
            <w:tcBorders>
              <w:top w:val="nil"/>
              <w:left w:val="nil"/>
              <w:bottom w:val="nil"/>
              <w:right w:val="nil"/>
            </w:tcBorders>
            <w:vAlign w:val="center"/>
          </w:tcPr>
          <w:p w14:paraId="5A217D8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(0.000518)</w:t>
            </w:r>
          </w:p>
        </w:tc>
        <w:tc>
          <w:tcPr>
            <w:tcW w:w="1387" w:type="dxa"/>
            <w:tcBorders>
              <w:top w:val="nil"/>
              <w:left w:val="nil"/>
              <w:bottom w:val="nil"/>
              <w:right w:val="nil"/>
            </w:tcBorders>
            <w:vAlign w:val="center"/>
          </w:tcPr>
          <w:p w14:paraId="51DA442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(0.00265)</w:t>
            </w:r>
          </w:p>
        </w:tc>
        <w:tc>
          <w:tcPr>
            <w:tcW w:w="1388" w:type="dxa"/>
            <w:tcBorders>
              <w:top w:val="nil"/>
              <w:left w:val="nil"/>
              <w:bottom w:val="nil"/>
              <w:right w:val="nil"/>
            </w:tcBorders>
            <w:vAlign w:val="center"/>
          </w:tcPr>
          <w:p w14:paraId="3D75029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(0.00262)</w:t>
            </w:r>
          </w:p>
        </w:tc>
      </w:tr>
      <w:tr w:rsidR="002743A7" w:rsidRPr="00F14751" w14:paraId="5E7E0DFF"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49D03989"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Constant</w:t>
            </w:r>
          </w:p>
        </w:tc>
        <w:tc>
          <w:tcPr>
            <w:tcW w:w="1387" w:type="dxa"/>
            <w:tcBorders>
              <w:top w:val="nil"/>
              <w:left w:val="nil"/>
              <w:bottom w:val="nil"/>
              <w:right w:val="nil"/>
            </w:tcBorders>
            <w:vAlign w:val="center"/>
          </w:tcPr>
          <w:p w14:paraId="543C0C9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40.12**</w:t>
            </w:r>
          </w:p>
        </w:tc>
        <w:tc>
          <w:tcPr>
            <w:tcW w:w="1388" w:type="dxa"/>
            <w:tcBorders>
              <w:top w:val="nil"/>
              <w:left w:val="nil"/>
              <w:bottom w:val="nil"/>
              <w:right w:val="nil"/>
            </w:tcBorders>
            <w:vAlign w:val="center"/>
          </w:tcPr>
          <w:p w14:paraId="1EBB01A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-0.473</w:t>
            </w:r>
          </w:p>
        </w:tc>
        <w:tc>
          <w:tcPr>
            <w:tcW w:w="1387" w:type="dxa"/>
            <w:tcBorders>
              <w:top w:val="nil"/>
              <w:left w:val="nil"/>
              <w:bottom w:val="nil"/>
              <w:right w:val="nil"/>
            </w:tcBorders>
            <w:vAlign w:val="center"/>
          </w:tcPr>
          <w:p w14:paraId="073C0C0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2.684</w:t>
            </w:r>
          </w:p>
        </w:tc>
        <w:tc>
          <w:tcPr>
            <w:tcW w:w="1388" w:type="dxa"/>
            <w:tcBorders>
              <w:top w:val="nil"/>
              <w:left w:val="nil"/>
              <w:bottom w:val="nil"/>
              <w:right w:val="nil"/>
            </w:tcBorders>
            <w:vAlign w:val="center"/>
          </w:tcPr>
          <w:p w14:paraId="25A5917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2.212</w:t>
            </w:r>
          </w:p>
        </w:tc>
        <w:tc>
          <w:tcPr>
            <w:tcW w:w="1387" w:type="dxa"/>
            <w:tcBorders>
              <w:top w:val="nil"/>
              <w:left w:val="nil"/>
              <w:bottom w:val="nil"/>
              <w:right w:val="nil"/>
            </w:tcBorders>
            <w:vAlign w:val="center"/>
          </w:tcPr>
          <w:p w14:paraId="5BCACC9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12.25***</w:t>
            </w:r>
          </w:p>
        </w:tc>
        <w:tc>
          <w:tcPr>
            <w:tcW w:w="1388" w:type="dxa"/>
            <w:tcBorders>
              <w:top w:val="nil"/>
              <w:left w:val="nil"/>
              <w:bottom w:val="nil"/>
              <w:right w:val="nil"/>
            </w:tcBorders>
            <w:vAlign w:val="center"/>
          </w:tcPr>
          <w:p w14:paraId="0E186DF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18.37***</w:t>
            </w:r>
          </w:p>
        </w:tc>
        <w:tc>
          <w:tcPr>
            <w:tcW w:w="1387" w:type="dxa"/>
            <w:tcBorders>
              <w:top w:val="nil"/>
              <w:left w:val="nil"/>
              <w:bottom w:val="nil"/>
              <w:right w:val="nil"/>
            </w:tcBorders>
            <w:vAlign w:val="center"/>
          </w:tcPr>
          <w:p w14:paraId="5A3F68C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26.07***</w:t>
            </w:r>
          </w:p>
        </w:tc>
        <w:tc>
          <w:tcPr>
            <w:tcW w:w="1388" w:type="dxa"/>
            <w:tcBorders>
              <w:top w:val="nil"/>
              <w:left w:val="nil"/>
              <w:bottom w:val="nil"/>
              <w:right w:val="nil"/>
            </w:tcBorders>
            <w:vAlign w:val="center"/>
          </w:tcPr>
          <w:p w14:paraId="4DA3A88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17.13***</w:t>
            </w:r>
          </w:p>
        </w:tc>
        <w:tc>
          <w:tcPr>
            <w:tcW w:w="1387" w:type="dxa"/>
            <w:tcBorders>
              <w:top w:val="nil"/>
              <w:left w:val="nil"/>
              <w:bottom w:val="nil"/>
              <w:right w:val="nil"/>
            </w:tcBorders>
            <w:vAlign w:val="center"/>
          </w:tcPr>
          <w:p w14:paraId="1A8453A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23.97</w:t>
            </w:r>
          </w:p>
        </w:tc>
        <w:tc>
          <w:tcPr>
            <w:tcW w:w="1388" w:type="dxa"/>
            <w:tcBorders>
              <w:top w:val="nil"/>
              <w:left w:val="nil"/>
              <w:bottom w:val="nil"/>
              <w:right w:val="nil"/>
            </w:tcBorders>
            <w:vAlign w:val="center"/>
          </w:tcPr>
          <w:p w14:paraId="6188F72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41.10***</w:t>
            </w:r>
          </w:p>
        </w:tc>
      </w:tr>
      <w:tr w:rsidR="002743A7" w:rsidRPr="00F14751" w14:paraId="5B26DE97"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24EBDB63"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074C201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(14.78)</w:t>
            </w:r>
          </w:p>
        </w:tc>
        <w:tc>
          <w:tcPr>
            <w:tcW w:w="1388" w:type="dxa"/>
            <w:tcBorders>
              <w:top w:val="nil"/>
              <w:left w:val="nil"/>
              <w:bottom w:val="nil"/>
              <w:right w:val="nil"/>
            </w:tcBorders>
            <w:vAlign w:val="center"/>
          </w:tcPr>
          <w:p w14:paraId="0E77AB89"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(1.521)</w:t>
            </w:r>
          </w:p>
        </w:tc>
        <w:tc>
          <w:tcPr>
            <w:tcW w:w="1387" w:type="dxa"/>
            <w:tcBorders>
              <w:top w:val="nil"/>
              <w:left w:val="nil"/>
              <w:bottom w:val="nil"/>
              <w:right w:val="nil"/>
            </w:tcBorders>
            <w:vAlign w:val="center"/>
          </w:tcPr>
          <w:p w14:paraId="1FFC5B7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(1.812)</w:t>
            </w:r>
          </w:p>
        </w:tc>
        <w:tc>
          <w:tcPr>
            <w:tcW w:w="1388" w:type="dxa"/>
            <w:tcBorders>
              <w:top w:val="nil"/>
              <w:left w:val="nil"/>
              <w:bottom w:val="nil"/>
              <w:right w:val="nil"/>
            </w:tcBorders>
            <w:vAlign w:val="center"/>
          </w:tcPr>
          <w:p w14:paraId="2F4CF27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(3.165)</w:t>
            </w:r>
          </w:p>
        </w:tc>
        <w:tc>
          <w:tcPr>
            <w:tcW w:w="1387" w:type="dxa"/>
            <w:tcBorders>
              <w:top w:val="nil"/>
              <w:left w:val="nil"/>
              <w:bottom w:val="nil"/>
              <w:right w:val="nil"/>
            </w:tcBorders>
            <w:vAlign w:val="center"/>
          </w:tcPr>
          <w:p w14:paraId="35FF899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(3.854)</w:t>
            </w:r>
          </w:p>
        </w:tc>
        <w:tc>
          <w:tcPr>
            <w:tcW w:w="1388" w:type="dxa"/>
            <w:tcBorders>
              <w:top w:val="nil"/>
              <w:left w:val="nil"/>
              <w:bottom w:val="nil"/>
              <w:right w:val="nil"/>
            </w:tcBorders>
            <w:vAlign w:val="center"/>
          </w:tcPr>
          <w:p w14:paraId="274E3A1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(3.761)</w:t>
            </w:r>
          </w:p>
        </w:tc>
        <w:tc>
          <w:tcPr>
            <w:tcW w:w="1387" w:type="dxa"/>
            <w:tcBorders>
              <w:top w:val="nil"/>
              <w:left w:val="nil"/>
              <w:bottom w:val="nil"/>
              <w:right w:val="nil"/>
            </w:tcBorders>
            <w:vAlign w:val="center"/>
          </w:tcPr>
          <w:p w14:paraId="7F16CB0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(4.284)</w:t>
            </w:r>
          </w:p>
        </w:tc>
        <w:tc>
          <w:tcPr>
            <w:tcW w:w="1388" w:type="dxa"/>
            <w:tcBorders>
              <w:top w:val="nil"/>
              <w:left w:val="nil"/>
              <w:bottom w:val="nil"/>
              <w:right w:val="nil"/>
            </w:tcBorders>
            <w:vAlign w:val="center"/>
          </w:tcPr>
          <w:p w14:paraId="2877F3D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(3.059)</w:t>
            </w:r>
          </w:p>
        </w:tc>
        <w:tc>
          <w:tcPr>
            <w:tcW w:w="1387" w:type="dxa"/>
            <w:tcBorders>
              <w:top w:val="nil"/>
              <w:left w:val="nil"/>
              <w:bottom w:val="nil"/>
              <w:right w:val="nil"/>
            </w:tcBorders>
            <w:vAlign w:val="center"/>
          </w:tcPr>
          <w:p w14:paraId="1CD20B0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(13.84)</w:t>
            </w:r>
          </w:p>
        </w:tc>
        <w:tc>
          <w:tcPr>
            <w:tcW w:w="1388" w:type="dxa"/>
            <w:tcBorders>
              <w:top w:val="nil"/>
              <w:left w:val="nil"/>
              <w:bottom w:val="nil"/>
              <w:right w:val="nil"/>
            </w:tcBorders>
            <w:vAlign w:val="center"/>
          </w:tcPr>
          <w:p w14:paraId="40FD941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(12.99)</w:t>
            </w:r>
          </w:p>
        </w:tc>
      </w:tr>
      <w:tr w:rsidR="002743A7" w:rsidRPr="00F14751" w14:paraId="7D226C96"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7D363572"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p>
        </w:tc>
        <w:tc>
          <w:tcPr>
            <w:tcW w:w="1387" w:type="dxa"/>
            <w:tcBorders>
              <w:top w:val="nil"/>
              <w:left w:val="nil"/>
              <w:bottom w:val="nil"/>
              <w:right w:val="nil"/>
            </w:tcBorders>
            <w:vAlign w:val="center"/>
          </w:tcPr>
          <w:p w14:paraId="23AD5A8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4C76366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6E12971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5A3C111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4D69A728"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693E7BA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1D1A928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1F733AB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7" w:type="dxa"/>
            <w:tcBorders>
              <w:top w:val="nil"/>
              <w:left w:val="nil"/>
              <w:bottom w:val="nil"/>
              <w:right w:val="nil"/>
            </w:tcBorders>
            <w:vAlign w:val="center"/>
          </w:tcPr>
          <w:p w14:paraId="22A0BF9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c>
          <w:tcPr>
            <w:tcW w:w="1388" w:type="dxa"/>
            <w:tcBorders>
              <w:top w:val="nil"/>
              <w:left w:val="nil"/>
              <w:bottom w:val="nil"/>
              <w:right w:val="nil"/>
            </w:tcBorders>
            <w:vAlign w:val="center"/>
          </w:tcPr>
          <w:p w14:paraId="0BE2214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p>
        </w:tc>
      </w:tr>
      <w:tr w:rsidR="002743A7" w:rsidRPr="00F14751" w14:paraId="0C032710"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2CACBC9E"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Observations</w:t>
            </w:r>
          </w:p>
        </w:tc>
        <w:tc>
          <w:tcPr>
            <w:tcW w:w="1387" w:type="dxa"/>
            <w:tcBorders>
              <w:top w:val="nil"/>
              <w:left w:val="nil"/>
              <w:bottom w:val="nil"/>
              <w:right w:val="nil"/>
            </w:tcBorders>
            <w:vAlign w:val="center"/>
          </w:tcPr>
          <w:p w14:paraId="79CCB244"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192</w:t>
            </w:r>
          </w:p>
        </w:tc>
        <w:tc>
          <w:tcPr>
            <w:tcW w:w="1388" w:type="dxa"/>
            <w:tcBorders>
              <w:top w:val="nil"/>
              <w:left w:val="nil"/>
              <w:bottom w:val="nil"/>
              <w:right w:val="nil"/>
            </w:tcBorders>
            <w:vAlign w:val="center"/>
          </w:tcPr>
          <w:p w14:paraId="3CDFD5B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7" w:type="dxa"/>
            <w:tcBorders>
              <w:top w:val="nil"/>
              <w:left w:val="nil"/>
              <w:bottom w:val="nil"/>
              <w:right w:val="nil"/>
            </w:tcBorders>
            <w:vAlign w:val="center"/>
          </w:tcPr>
          <w:p w14:paraId="7217710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8" w:type="dxa"/>
            <w:tcBorders>
              <w:top w:val="nil"/>
              <w:left w:val="nil"/>
              <w:bottom w:val="nil"/>
              <w:right w:val="nil"/>
            </w:tcBorders>
            <w:vAlign w:val="center"/>
          </w:tcPr>
          <w:p w14:paraId="0857EA5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7" w:type="dxa"/>
            <w:tcBorders>
              <w:top w:val="nil"/>
              <w:left w:val="nil"/>
              <w:bottom w:val="nil"/>
              <w:right w:val="nil"/>
            </w:tcBorders>
            <w:vAlign w:val="center"/>
          </w:tcPr>
          <w:p w14:paraId="2FC4F81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8" w:type="dxa"/>
            <w:tcBorders>
              <w:top w:val="nil"/>
              <w:left w:val="nil"/>
              <w:bottom w:val="nil"/>
              <w:right w:val="nil"/>
            </w:tcBorders>
            <w:vAlign w:val="center"/>
          </w:tcPr>
          <w:p w14:paraId="326DB1C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7" w:type="dxa"/>
            <w:tcBorders>
              <w:top w:val="nil"/>
              <w:left w:val="nil"/>
              <w:bottom w:val="nil"/>
              <w:right w:val="nil"/>
            </w:tcBorders>
            <w:vAlign w:val="center"/>
          </w:tcPr>
          <w:p w14:paraId="354A77C3"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8" w:type="dxa"/>
            <w:tcBorders>
              <w:top w:val="nil"/>
              <w:left w:val="nil"/>
              <w:bottom w:val="nil"/>
              <w:right w:val="nil"/>
            </w:tcBorders>
            <w:vAlign w:val="center"/>
          </w:tcPr>
          <w:p w14:paraId="04E1447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7" w:type="dxa"/>
            <w:tcBorders>
              <w:top w:val="nil"/>
              <w:left w:val="nil"/>
              <w:bottom w:val="nil"/>
              <w:right w:val="nil"/>
            </w:tcBorders>
            <w:vAlign w:val="center"/>
          </w:tcPr>
          <w:p w14:paraId="510C4DC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c>
          <w:tcPr>
            <w:tcW w:w="1388" w:type="dxa"/>
            <w:tcBorders>
              <w:top w:val="nil"/>
              <w:left w:val="nil"/>
              <w:bottom w:val="nil"/>
              <w:right w:val="nil"/>
            </w:tcBorders>
            <w:vAlign w:val="center"/>
          </w:tcPr>
          <w:p w14:paraId="60111FF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193</w:t>
            </w:r>
          </w:p>
        </w:tc>
      </w:tr>
      <w:tr w:rsidR="002743A7" w:rsidRPr="00F14751" w14:paraId="1DF74982"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6FFE415D"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R-squared</w:t>
            </w:r>
          </w:p>
        </w:tc>
        <w:tc>
          <w:tcPr>
            <w:tcW w:w="1387" w:type="dxa"/>
            <w:tcBorders>
              <w:top w:val="nil"/>
              <w:left w:val="nil"/>
              <w:bottom w:val="nil"/>
              <w:right w:val="nil"/>
            </w:tcBorders>
            <w:vAlign w:val="center"/>
          </w:tcPr>
          <w:p w14:paraId="081E819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0.616</w:t>
            </w:r>
          </w:p>
        </w:tc>
        <w:tc>
          <w:tcPr>
            <w:tcW w:w="1388" w:type="dxa"/>
            <w:tcBorders>
              <w:top w:val="nil"/>
              <w:left w:val="nil"/>
              <w:bottom w:val="nil"/>
              <w:right w:val="nil"/>
            </w:tcBorders>
            <w:vAlign w:val="center"/>
          </w:tcPr>
          <w:p w14:paraId="155EAB5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0.628</w:t>
            </w:r>
          </w:p>
        </w:tc>
        <w:tc>
          <w:tcPr>
            <w:tcW w:w="1387" w:type="dxa"/>
            <w:tcBorders>
              <w:top w:val="nil"/>
              <w:left w:val="nil"/>
              <w:bottom w:val="nil"/>
              <w:right w:val="nil"/>
            </w:tcBorders>
            <w:vAlign w:val="center"/>
          </w:tcPr>
          <w:p w14:paraId="6BDF090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0.662</w:t>
            </w:r>
          </w:p>
        </w:tc>
        <w:tc>
          <w:tcPr>
            <w:tcW w:w="1388" w:type="dxa"/>
            <w:tcBorders>
              <w:top w:val="nil"/>
              <w:left w:val="nil"/>
              <w:bottom w:val="nil"/>
              <w:right w:val="nil"/>
            </w:tcBorders>
            <w:vAlign w:val="center"/>
          </w:tcPr>
          <w:p w14:paraId="66696F9C"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0.658</w:t>
            </w:r>
          </w:p>
        </w:tc>
        <w:tc>
          <w:tcPr>
            <w:tcW w:w="1387" w:type="dxa"/>
            <w:tcBorders>
              <w:top w:val="nil"/>
              <w:left w:val="nil"/>
              <w:bottom w:val="nil"/>
              <w:right w:val="nil"/>
            </w:tcBorders>
            <w:vAlign w:val="center"/>
          </w:tcPr>
          <w:p w14:paraId="75EBA47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0.608</w:t>
            </w:r>
          </w:p>
        </w:tc>
        <w:tc>
          <w:tcPr>
            <w:tcW w:w="1388" w:type="dxa"/>
            <w:tcBorders>
              <w:top w:val="nil"/>
              <w:left w:val="nil"/>
              <w:bottom w:val="nil"/>
              <w:right w:val="nil"/>
            </w:tcBorders>
            <w:vAlign w:val="center"/>
          </w:tcPr>
          <w:p w14:paraId="6C1044B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0.547</w:t>
            </w:r>
          </w:p>
        </w:tc>
        <w:tc>
          <w:tcPr>
            <w:tcW w:w="1387" w:type="dxa"/>
            <w:tcBorders>
              <w:top w:val="nil"/>
              <w:left w:val="nil"/>
              <w:bottom w:val="nil"/>
              <w:right w:val="nil"/>
            </w:tcBorders>
            <w:vAlign w:val="center"/>
          </w:tcPr>
          <w:p w14:paraId="4727F246"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0.417</w:t>
            </w:r>
          </w:p>
        </w:tc>
        <w:tc>
          <w:tcPr>
            <w:tcW w:w="1388" w:type="dxa"/>
            <w:tcBorders>
              <w:top w:val="nil"/>
              <w:left w:val="nil"/>
              <w:bottom w:val="nil"/>
              <w:right w:val="nil"/>
            </w:tcBorders>
            <w:vAlign w:val="center"/>
          </w:tcPr>
          <w:p w14:paraId="6286354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0.165</w:t>
            </w:r>
          </w:p>
        </w:tc>
        <w:tc>
          <w:tcPr>
            <w:tcW w:w="1387" w:type="dxa"/>
            <w:tcBorders>
              <w:top w:val="nil"/>
              <w:left w:val="nil"/>
              <w:bottom w:val="nil"/>
              <w:right w:val="nil"/>
            </w:tcBorders>
            <w:vAlign w:val="center"/>
          </w:tcPr>
          <w:p w14:paraId="51B6DA6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0.547</w:t>
            </w:r>
          </w:p>
        </w:tc>
        <w:tc>
          <w:tcPr>
            <w:tcW w:w="1388" w:type="dxa"/>
            <w:tcBorders>
              <w:top w:val="nil"/>
              <w:left w:val="nil"/>
              <w:bottom w:val="nil"/>
              <w:right w:val="nil"/>
            </w:tcBorders>
            <w:vAlign w:val="center"/>
          </w:tcPr>
          <w:p w14:paraId="6EE68E8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0.588</w:t>
            </w:r>
          </w:p>
        </w:tc>
      </w:tr>
      <w:tr w:rsidR="002743A7" w:rsidRPr="00F14751" w14:paraId="73EC8636" w14:textId="77777777" w:rsidTr="008738C3">
        <w:tblPrEx>
          <w:tblBorders>
            <w:bottom w:val="single" w:sz="6" w:space="0" w:color="auto"/>
          </w:tblBorders>
        </w:tblPrEx>
        <w:trPr>
          <w:jc w:val="center"/>
        </w:trPr>
        <w:tc>
          <w:tcPr>
            <w:tcW w:w="1768" w:type="dxa"/>
            <w:tcBorders>
              <w:top w:val="nil"/>
              <w:left w:val="nil"/>
              <w:bottom w:val="nil"/>
              <w:right w:val="nil"/>
            </w:tcBorders>
            <w:vAlign w:val="center"/>
          </w:tcPr>
          <w:p w14:paraId="32CBBFFE" w14:textId="77777777" w:rsidR="002743A7" w:rsidRPr="00F14751" w:rsidRDefault="00D3672E"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Number of C</w:t>
            </w:r>
            <w:r w:rsidR="002743A7" w:rsidRPr="00F14751">
              <w:rPr>
                <w:rFonts w:ascii="Times New Roman" w:hAnsi="Times New Roman" w:cs="Times New Roman"/>
                <w:sz w:val="18"/>
                <w:szCs w:val="18"/>
              </w:rPr>
              <w:t>ountries</w:t>
            </w:r>
          </w:p>
        </w:tc>
        <w:tc>
          <w:tcPr>
            <w:tcW w:w="1387" w:type="dxa"/>
            <w:tcBorders>
              <w:top w:val="nil"/>
              <w:left w:val="nil"/>
              <w:bottom w:val="nil"/>
              <w:right w:val="nil"/>
            </w:tcBorders>
            <w:vAlign w:val="center"/>
          </w:tcPr>
          <w:p w14:paraId="4D913CD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8" w:type="dxa"/>
            <w:tcBorders>
              <w:top w:val="nil"/>
              <w:left w:val="nil"/>
              <w:bottom w:val="nil"/>
              <w:right w:val="nil"/>
            </w:tcBorders>
            <w:vAlign w:val="center"/>
          </w:tcPr>
          <w:p w14:paraId="57D85F4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7" w:type="dxa"/>
            <w:tcBorders>
              <w:top w:val="nil"/>
              <w:left w:val="nil"/>
              <w:bottom w:val="nil"/>
              <w:right w:val="nil"/>
            </w:tcBorders>
            <w:vAlign w:val="center"/>
          </w:tcPr>
          <w:p w14:paraId="22CBBF5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8" w:type="dxa"/>
            <w:tcBorders>
              <w:top w:val="nil"/>
              <w:left w:val="nil"/>
              <w:bottom w:val="nil"/>
              <w:right w:val="nil"/>
            </w:tcBorders>
            <w:vAlign w:val="center"/>
          </w:tcPr>
          <w:p w14:paraId="7D79692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7" w:type="dxa"/>
            <w:tcBorders>
              <w:top w:val="nil"/>
              <w:left w:val="nil"/>
              <w:bottom w:val="nil"/>
              <w:right w:val="nil"/>
            </w:tcBorders>
            <w:vAlign w:val="center"/>
          </w:tcPr>
          <w:p w14:paraId="35C45F4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8" w:type="dxa"/>
            <w:tcBorders>
              <w:top w:val="nil"/>
              <w:left w:val="nil"/>
              <w:bottom w:val="nil"/>
              <w:right w:val="nil"/>
            </w:tcBorders>
            <w:vAlign w:val="center"/>
          </w:tcPr>
          <w:p w14:paraId="4988EE4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7" w:type="dxa"/>
            <w:tcBorders>
              <w:top w:val="nil"/>
              <w:left w:val="nil"/>
              <w:bottom w:val="nil"/>
              <w:right w:val="nil"/>
            </w:tcBorders>
            <w:vAlign w:val="center"/>
          </w:tcPr>
          <w:p w14:paraId="252AFE4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8" w:type="dxa"/>
            <w:tcBorders>
              <w:top w:val="nil"/>
              <w:left w:val="nil"/>
              <w:bottom w:val="nil"/>
              <w:right w:val="nil"/>
            </w:tcBorders>
            <w:vAlign w:val="center"/>
          </w:tcPr>
          <w:p w14:paraId="7D6AB340"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7" w:type="dxa"/>
            <w:tcBorders>
              <w:top w:val="nil"/>
              <w:left w:val="nil"/>
              <w:bottom w:val="nil"/>
              <w:right w:val="nil"/>
            </w:tcBorders>
            <w:vAlign w:val="center"/>
          </w:tcPr>
          <w:p w14:paraId="016B91F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c>
          <w:tcPr>
            <w:tcW w:w="1388" w:type="dxa"/>
            <w:tcBorders>
              <w:top w:val="nil"/>
              <w:left w:val="nil"/>
              <w:bottom w:val="nil"/>
              <w:right w:val="nil"/>
            </w:tcBorders>
            <w:vAlign w:val="center"/>
          </w:tcPr>
          <w:p w14:paraId="16CA8F6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13</w:t>
            </w:r>
          </w:p>
        </w:tc>
      </w:tr>
      <w:tr w:rsidR="002743A7" w:rsidRPr="00F14751" w14:paraId="506AAB0E" w14:textId="77777777" w:rsidTr="008738C3">
        <w:tblPrEx>
          <w:tblBorders>
            <w:bottom w:val="single" w:sz="6" w:space="0" w:color="auto"/>
          </w:tblBorders>
        </w:tblPrEx>
        <w:trPr>
          <w:jc w:val="center"/>
        </w:trPr>
        <w:tc>
          <w:tcPr>
            <w:tcW w:w="1768" w:type="dxa"/>
            <w:tcBorders>
              <w:top w:val="nil"/>
              <w:left w:val="nil"/>
              <w:bottom w:val="single" w:sz="4" w:space="0" w:color="auto"/>
              <w:right w:val="nil"/>
            </w:tcBorders>
            <w:vAlign w:val="center"/>
          </w:tcPr>
          <w:p w14:paraId="53E5AD81" w14:textId="77777777" w:rsidR="002743A7" w:rsidRPr="00F14751" w:rsidRDefault="002743A7" w:rsidP="008738C3">
            <w:pPr>
              <w:widowControl w:val="0"/>
              <w:autoSpaceDE w:val="0"/>
              <w:autoSpaceDN w:val="0"/>
              <w:adjustRightInd w:val="0"/>
              <w:spacing w:after="0" w:line="240" w:lineRule="auto"/>
              <w:rPr>
                <w:rFonts w:ascii="Times New Roman" w:hAnsi="Times New Roman" w:cs="Times New Roman"/>
                <w:sz w:val="18"/>
                <w:szCs w:val="18"/>
              </w:rPr>
            </w:pPr>
            <w:r w:rsidRPr="00F14751">
              <w:rPr>
                <w:rFonts w:ascii="Times New Roman" w:hAnsi="Times New Roman" w:cs="Times New Roman"/>
                <w:sz w:val="18"/>
                <w:szCs w:val="18"/>
              </w:rPr>
              <w:t>Robust SE</w:t>
            </w:r>
          </w:p>
        </w:tc>
        <w:tc>
          <w:tcPr>
            <w:tcW w:w="1387" w:type="dxa"/>
            <w:tcBorders>
              <w:top w:val="nil"/>
              <w:left w:val="nil"/>
              <w:bottom w:val="single" w:sz="4" w:space="0" w:color="auto"/>
              <w:right w:val="nil"/>
            </w:tcBorders>
            <w:vAlign w:val="center"/>
          </w:tcPr>
          <w:p w14:paraId="2D3E150A"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8" w:type="dxa"/>
            <w:tcBorders>
              <w:top w:val="nil"/>
              <w:left w:val="nil"/>
              <w:bottom w:val="single" w:sz="4" w:space="0" w:color="auto"/>
              <w:right w:val="nil"/>
            </w:tcBorders>
            <w:vAlign w:val="center"/>
          </w:tcPr>
          <w:p w14:paraId="41B9FF0B"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7" w:type="dxa"/>
            <w:tcBorders>
              <w:top w:val="nil"/>
              <w:left w:val="nil"/>
              <w:bottom w:val="single" w:sz="4" w:space="0" w:color="auto"/>
              <w:right w:val="nil"/>
            </w:tcBorders>
            <w:vAlign w:val="center"/>
          </w:tcPr>
          <w:p w14:paraId="177A1DBE"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8" w:type="dxa"/>
            <w:tcBorders>
              <w:top w:val="nil"/>
              <w:left w:val="nil"/>
              <w:bottom w:val="single" w:sz="4" w:space="0" w:color="auto"/>
              <w:right w:val="nil"/>
            </w:tcBorders>
            <w:vAlign w:val="center"/>
          </w:tcPr>
          <w:p w14:paraId="42D3C63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7" w:type="dxa"/>
            <w:tcBorders>
              <w:top w:val="nil"/>
              <w:left w:val="nil"/>
              <w:bottom w:val="single" w:sz="4" w:space="0" w:color="auto"/>
              <w:right w:val="nil"/>
            </w:tcBorders>
            <w:vAlign w:val="center"/>
          </w:tcPr>
          <w:p w14:paraId="5167C45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8" w:type="dxa"/>
            <w:tcBorders>
              <w:top w:val="nil"/>
              <w:left w:val="nil"/>
              <w:bottom w:val="single" w:sz="4" w:space="0" w:color="auto"/>
              <w:right w:val="nil"/>
            </w:tcBorders>
            <w:vAlign w:val="center"/>
          </w:tcPr>
          <w:p w14:paraId="14E3CBFF"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7" w:type="dxa"/>
            <w:tcBorders>
              <w:top w:val="nil"/>
              <w:left w:val="nil"/>
              <w:bottom w:val="single" w:sz="4" w:space="0" w:color="auto"/>
              <w:right w:val="nil"/>
            </w:tcBorders>
            <w:vAlign w:val="center"/>
          </w:tcPr>
          <w:p w14:paraId="0215A452"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8" w:type="dxa"/>
            <w:tcBorders>
              <w:top w:val="nil"/>
              <w:left w:val="nil"/>
              <w:bottom w:val="single" w:sz="4" w:space="0" w:color="auto"/>
              <w:right w:val="nil"/>
            </w:tcBorders>
            <w:vAlign w:val="center"/>
          </w:tcPr>
          <w:p w14:paraId="134D977D"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7" w:type="dxa"/>
            <w:tcBorders>
              <w:top w:val="nil"/>
              <w:left w:val="nil"/>
              <w:bottom w:val="single" w:sz="4" w:space="0" w:color="auto"/>
              <w:right w:val="nil"/>
            </w:tcBorders>
            <w:vAlign w:val="center"/>
          </w:tcPr>
          <w:p w14:paraId="22B944A5"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c>
          <w:tcPr>
            <w:tcW w:w="1388" w:type="dxa"/>
            <w:tcBorders>
              <w:top w:val="nil"/>
              <w:left w:val="nil"/>
              <w:bottom w:val="single" w:sz="4" w:space="0" w:color="auto"/>
              <w:right w:val="nil"/>
            </w:tcBorders>
            <w:vAlign w:val="center"/>
          </w:tcPr>
          <w:p w14:paraId="388B3B31"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Yes</w:t>
            </w:r>
          </w:p>
        </w:tc>
      </w:tr>
    </w:tbl>
    <w:p w14:paraId="27311347" w14:textId="77777777" w:rsidR="002743A7" w:rsidRPr="00F14751" w:rsidRDefault="002743A7" w:rsidP="008738C3">
      <w:pPr>
        <w:widowControl w:val="0"/>
        <w:autoSpaceDE w:val="0"/>
        <w:autoSpaceDN w:val="0"/>
        <w:adjustRightInd w:val="0"/>
        <w:spacing w:after="0" w:line="240" w:lineRule="auto"/>
        <w:jc w:val="center"/>
        <w:rPr>
          <w:rFonts w:ascii="Times New Roman" w:hAnsi="Times New Roman" w:cs="Times New Roman"/>
          <w:sz w:val="18"/>
          <w:szCs w:val="18"/>
        </w:rPr>
      </w:pPr>
      <w:r w:rsidRPr="00F14751">
        <w:rPr>
          <w:rFonts w:ascii="Times New Roman" w:hAnsi="Times New Roman" w:cs="Times New Roman"/>
          <w:sz w:val="18"/>
          <w:szCs w:val="18"/>
        </w:rPr>
        <w:t>Robust standard errors in parentheses</w:t>
      </w:r>
    </w:p>
    <w:p w14:paraId="20BD4072" w14:textId="77777777" w:rsidR="00F543CB" w:rsidRPr="00F14751" w:rsidRDefault="00045082" w:rsidP="008738C3">
      <w:pPr>
        <w:widowControl w:val="0"/>
        <w:autoSpaceDE w:val="0"/>
        <w:autoSpaceDN w:val="0"/>
        <w:adjustRightInd w:val="0"/>
        <w:spacing w:after="0" w:line="240" w:lineRule="auto"/>
        <w:jc w:val="center"/>
        <w:rPr>
          <w:rFonts w:ascii="Times New Roman" w:hAnsi="Times New Roman" w:cs="Times New Roman"/>
          <w:sz w:val="18"/>
          <w:szCs w:val="18"/>
        </w:rPr>
        <w:sectPr w:rsidR="00F543CB" w:rsidRPr="00F14751" w:rsidSect="00767935">
          <w:pgSz w:w="15840" w:h="12240" w:orient="landscape"/>
          <w:pgMar w:top="1440" w:right="1440" w:bottom="1440" w:left="1440" w:header="720" w:footer="720" w:gutter="0"/>
          <w:cols w:space="720"/>
          <w:noEndnote/>
          <w:docGrid w:linePitch="299"/>
        </w:sectPr>
      </w:pPr>
      <w:r w:rsidRPr="00F14751">
        <w:rPr>
          <w:rFonts w:ascii="Times New Roman" w:hAnsi="Times New Roman" w:cs="Times New Roman"/>
          <w:sz w:val="18"/>
          <w:szCs w:val="18"/>
        </w:rPr>
        <w:t>*** p&lt;0.01, ** p&lt;0.05, * p&lt;0.</w:t>
      </w:r>
      <w:r w:rsidR="00F543CB" w:rsidRPr="00F14751">
        <w:rPr>
          <w:rFonts w:ascii="Times New Roman" w:hAnsi="Times New Roman" w:cs="Times New Roman"/>
          <w:sz w:val="18"/>
          <w:szCs w:val="18"/>
        </w:rPr>
        <w:t>1</w:t>
      </w:r>
    </w:p>
    <w:p w14:paraId="50D5F0E2" w14:textId="31E02FB6" w:rsidR="008B72EB" w:rsidRDefault="008B72EB" w:rsidP="008B72EB">
      <w:pPr>
        <w:pStyle w:val="NoSpacing"/>
        <w:spacing w:line="360" w:lineRule="auto"/>
        <w:jc w:val="both"/>
        <w:rPr>
          <w:rFonts w:asciiTheme="majorHAnsi" w:hAnsiTheme="majorHAnsi"/>
          <w:sz w:val="24"/>
          <w:szCs w:val="24"/>
        </w:rPr>
      </w:pPr>
      <w:r>
        <w:rPr>
          <w:rFonts w:asciiTheme="majorHAnsi" w:hAnsiTheme="majorHAnsi"/>
          <w:sz w:val="24"/>
          <w:szCs w:val="24"/>
        </w:rPr>
        <w:t>Combining the results, we notice that financial reforms increase both the extent and depth of poverty, reduce the share of income held by the poor and increase inequality. Clearly, financial reforms are bad news for the poor. Privatizations also increase poverty. However, this increase in poverty is not reflected in the share of income held by the poorest 10 percent of the population. Actually, privatizations decrease inequality by shifting income from the rich to the poor. Although tax and labor reforms do not have a significant effect on poverty, both have a significant effect on inequality. Tax reforms decrease inequality by raising the share of income held by the poor. Labor reforms have the opposite effect</w:t>
      </w:r>
      <w:r w:rsidR="00397E46">
        <w:rPr>
          <w:rFonts w:asciiTheme="majorHAnsi" w:hAnsiTheme="majorHAnsi"/>
          <w:sz w:val="24"/>
          <w:szCs w:val="24"/>
        </w:rPr>
        <w:t xml:space="preserve"> and</w:t>
      </w:r>
      <w:r>
        <w:rPr>
          <w:rFonts w:asciiTheme="majorHAnsi" w:hAnsiTheme="majorHAnsi"/>
          <w:sz w:val="24"/>
          <w:szCs w:val="24"/>
        </w:rPr>
        <w:t xml:space="preserve"> increase inequality by shifting income from the poor to the rich. Trad</w:t>
      </w:r>
      <w:r w:rsidR="001D053C">
        <w:rPr>
          <w:rFonts w:asciiTheme="majorHAnsi" w:hAnsiTheme="majorHAnsi"/>
          <w:sz w:val="24"/>
          <w:szCs w:val="24"/>
        </w:rPr>
        <w:t xml:space="preserve">e reforms do not seem to have a </w:t>
      </w:r>
      <w:r>
        <w:rPr>
          <w:rFonts w:asciiTheme="majorHAnsi" w:hAnsiTheme="majorHAnsi"/>
          <w:sz w:val="24"/>
          <w:szCs w:val="24"/>
        </w:rPr>
        <w:t>significant effect on</w:t>
      </w:r>
      <w:r w:rsidR="00397E46">
        <w:rPr>
          <w:rFonts w:asciiTheme="majorHAnsi" w:hAnsiTheme="majorHAnsi"/>
          <w:sz w:val="24"/>
          <w:szCs w:val="24"/>
        </w:rPr>
        <w:t xml:space="preserve"> both</w:t>
      </w:r>
      <w:r>
        <w:rPr>
          <w:rFonts w:asciiTheme="majorHAnsi" w:hAnsiTheme="majorHAnsi"/>
          <w:sz w:val="24"/>
          <w:szCs w:val="24"/>
        </w:rPr>
        <w:t xml:space="preserve"> poverty and inequality. </w:t>
      </w:r>
    </w:p>
    <w:p w14:paraId="20E9D154" w14:textId="77777777" w:rsidR="008B72EB" w:rsidRDefault="008B72EB" w:rsidP="00C8508E">
      <w:pPr>
        <w:pStyle w:val="NoSpacing"/>
        <w:spacing w:line="360" w:lineRule="auto"/>
        <w:jc w:val="both"/>
        <w:rPr>
          <w:rFonts w:asciiTheme="majorHAnsi" w:hAnsiTheme="majorHAnsi"/>
          <w:b/>
          <w:sz w:val="24"/>
        </w:rPr>
      </w:pPr>
    </w:p>
    <w:p w14:paraId="175E0AFE" w14:textId="77777777" w:rsidR="0064611C" w:rsidRPr="00F14751" w:rsidRDefault="0064611C" w:rsidP="00C8508E">
      <w:pPr>
        <w:pStyle w:val="NoSpacing"/>
        <w:spacing w:line="360" w:lineRule="auto"/>
        <w:jc w:val="both"/>
        <w:rPr>
          <w:rFonts w:asciiTheme="majorHAnsi" w:hAnsiTheme="majorHAnsi"/>
          <w:b/>
          <w:sz w:val="24"/>
        </w:rPr>
      </w:pPr>
      <w:r w:rsidRPr="00F14751">
        <w:rPr>
          <w:rFonts w:asciiTheme="majorHAnsi" w:hAnsiTheme="majorHAnsi"/>
          <w:b/>
          <w:sz w:val="24"/>
        </w:rPr>
        <w:t>6</w:t>
      </w:r>
      <w:r w:rsidRPr="00154D4B">
        <w:rPr>
          <w:rFonts w:asciiTheme="majorHAnsi" w:hAnsiTheme="majorHAnsi"/>
          <w:b/>
          <w:sz w:val="24"/>
        </w:rPr>
        <w:t xml:space="preserve">.2 </w:t>
      </w:r>
      <w:r w:rsidR="00154D4B">
        <w:rPr>
          <w:rFonts w:asciiTheme="majorHAnsi" w:hAnsiTheme="majorHAnsi" w:cs="Times New Roman"/>
          <w:b/>
          <w:sz w:val="24"/>
        </w:rPr>
        <w:t xml:space="preserve">Results </w:t>
      </w:r>
      <w:r w:rsidR="00154D4B" w:rsidRPr="00154D4B">
        <w:rPr>
          <w:rFonts w:asciiTheme="majorHAnsi" w:hAnsiTheme="majorHAnsi" w:cs="Times New Roman"/>
          <w:b/>
          <w:sz w:val="24"/>
        </w:rPr>
        <w:t>for High Poverty and High Inequality Countries</w:t>
      </w:r>
    </w:p>
    <w:p w14:paraId="410970D4" w14:textId="43F585C3"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rPr>
        <w:t xml:space="preserve">This section presents the results for the first group that consists of countries </w:t>
      </w:r>
      <w:r w:rsidR="003523A7" w:rsidRPr="00F14751">
        <w:rPr>
          <w:rFonts w:asciiTheme="majorHAnsi" w:hAnsiTheme="majorHAnsi"/>
          <w:sz w:val="24"/>
        </w:rPr>
        <w:t>which have both</w:t>
      </w:r>
      <w:r w:rsidRPr="00F14751">
        <w:rPr>
          <w:rFonts w:asciiTheme="majorHAnsi" w:hAnsiTheme="majorHAnsi"/>
          <w:sz w:val="24"/>
        </w:rPr>
        <w:t xml:space="preserve"> </w:t>
      </w:r>
      <w:r w:rsidR="003523A7" w:rsidRPr="00F14751">
        <w:rPr>
          <w:rFonts w:asciiTheme="majorHAnsi" w:hAnsiTheme="majorHAnsi"/>
          <w:sz w:val="24"/>
        </w:rPr>
        <w:t xml:space="preserve">high </w:t>
      </w:r>
      <w:r w:rsidRPr="00F14751">
        <w:rPr>
          <w:rFonts w:asciiTheme="majorHAnsi" w:hAnsiTheme="majorHAnsi"/>
          <w:sz w:val="24"/>
        </w:rPr>
        <w:t>poverty and</w:t>
      </w:r>
      <w:r w:rsidR="003523A7" w:rsidRPr="00F14751">
        <w:rPr>
          <w:rFonts w:asciiTheme="majorHAnsi" w:hAnsiTheme="majorHAnsi"/>
          <w:sz w:val="24"/>
        </w:rPr>
        <w:t xml:space="preserve"> high</w:t>
      </w:r>
      <w:r w:rsidRPr="00F14751">
        <w:rPr>
          <w:rFonts w:asciiTheme="majorHAnsi" w:hAnsiTheme="majorHAnsi"/>
          <w:sz w:val="24"/>
        </w:rPr>
        <w:t xml:space="preserve"> inequality. </w:t>
      </w:r>
      <w:r w:rsidR="008B72EB">
        <w:rPr>
          <w:rFonts w:asciiTheme="majorHAnsi" w:hAnsiTheme="majorHAnsi"/>
          <w:sz w:val="24"/>
        </w:rPr>
        <w:t>This</w:t>
      </w:r>
      <w:r w:rsidRPr="00F14751">
        <w:rPr>
          <w:rFonts w:asciiTheme="majorHAnsi" w:hAnsiTheme="majorHAnsi"/>
          <w:sz w:val="24"/>
        </w:rPr>
        <w:t xml:space="preserve"> group comprises Guatemala, Bolivia, Brazil, Colombia and Ecuador. </w:t>
      </w:r>
    </w:p>
    <w:p w14:paraId="223A4DBC" w14:textId="77777777" w:rsidR="0064611C" w:rsidRDefault="0064611C" w:rsidP="00C8508E">
      <w:pPr>
        <w:pStyle w:val="NoSpacing"/>
        <w:spacing w:line="360" w:lineRule="auto"/>
        <w:jc w:val="both"/>
        <w:rPr>
          <w:rFonts w:asciiTheme="majorHAnsi" w:hAnsiTheme="majorHAnsi"/>
          <w:b/>
          <w:sz w:val="24"/>
        </w:rPr>
      </w:pPr>
    </w:p>
    <w:p w14:paraId="5985CBCB" w14:textId="0093313D" w:rsidR="007E2C37" w:rsidRDefault="001E5A71" w:rsidP="007E2C37">
      <w:pPr>
        <w:pStyle w:val="NoSpacing"/>
        <w:spacing w:line="360" w:lineRule="auto"/>
        <w:jc w:val="both"/>
        <w:rPr>
          <w:rFonts w:asciiTheme="majorHAnsi" w:hAnsiTheme="majorHAnsi"/>
          <w:sz w:val="24"/>
        </w:rPr>
      </w:pPr>
      <w:r>
        <w:rPr>
          <w:rFonts w:asciiTheme="majorHAnsi" w:hAnsiTheme="majorHAnsi"/>
          <w:sz w:val="24"/>
        </w:rPr>
        <w:t>Tables 8 show that structural reforms have no significant effect on poverty. This is because none of the reforms areas has a significant effect on poverty in countries were poverty and inequality is high</w:t>
      </w:r>
      <w:r w:rsidR="00A80DD3">
        <w:rPr>
          <w:rFonts w:asciiTheme="majorHAnsi" w:hAnsiTheme="majorHAnsi"/>
          <w:sz w:val="24"/>
        </w:rPr>
        <w:t xml:space="preserve"> (see table 9)</w:t>
      </w:r>
      <w:r>
        <w:rPr>
          <w:rFonts w:asciiTheme="majorHAnsi" w:hAnsiTheme="majorHAnsi"/>
          <w:sz w:val="24"/>
        </w:rPr>
        <w:t xml:space="preserve">. </w:t>
      </w:r>
      <w:r w:rsidR="007E2C37">
        <w:rPr>
          <w:rFonts w:asciiTheme="majorHAnsi" w:hAnsiTheme="majorHAnsi"/>
          <w:sz w:val="24"/>
        </w:rPr>
        <w:t xml:space="preserve">An increase in the average level of income seems to decrease poverty. Again, inequality has a significant positive effect on poverty. </w:t>
      </w:r>
    </w:p>
    <w:p w14:paraId="16F81640" w14:textId="77777777" w:rsidR="0006279B" w:rsidRDefault="0006279B" w:rsidP="007E2C37">
      <w:pPr>
        <w:pStyle w:val="NoSpacing"/>
        <w:spacing w:line="360" w:lineRule="auto"/>
        <w:jc w:val="both"/>
        <w:rPr>
          <w:rFonts w:asciiTheme="majorHAnsi" w:hAnsiTheme="majorHAnsi"/>
          <w:sz w:val="24"/>
        </w:rPr>
      </w:pPr>
    </w:p>
    <w:p w14:paraId="1609126C" w14:textId="6A3D46D3" w:rsidR="0006279B" w:rsidRDefault="0006279B" w:rsidP="0006279B">
      <w:pPr>
        <w:pStyle w:val="NoSpacing"/>
        <w:spacing w:line="360" w:lineRule="auto"/>
        <w:jc w:val="both"/>
        <w:rPr>
          <w:rFonts w:asciiTheme="majorHAnsi" w:hAnsiTheme="majorHAnsi"/>
          <w:sz w:val="24"/>
        </w:rPr>
      </w:pPr>
      <w:r>
        <w:rPr>
          <w:rFonts w:asciiTheme="majorHAnsi" w:hAnsiTheme="majorHAnsi"/>
          <w:sz w:val="24"/>
        </w:rPr>
        <w:t xml:space="preserve">The results in table 10 show that structural reforms, in general, increase D2 and Q1. Despite that, structural reforms do not have any significance effect on the Gini coefficient. The estimation results in table 11 show that only tax reforms have a significant negative effect on inequality, as measured by the Gini coefficient. This is because tax reforms increase the share of income held by the poor of society. </w:t>
      </w:r>
      <w:r w:rsidRPr="00F14751">
        <w:rPr>
          <w:rFonts w:asciiTheme="majorHAnsi" w:hAnsiTheme="majorHAnsi"/>
          <w:sz w:val="24"/>
        </w:rPr>
        <w:t xml:space="preserve">In addition, tax reform decrease the share of income held by the richest 10 percent of the population. </w:t>
      </w:r>
      <w:r>
        <w:rPr>
          <w:rFonts w:asciiTheme="majorHAnsi" w:hAnsiTheme="majorHAnsi"/>
          <w:sz w:val="24"/>
        </w:rPr>
        <w:t>Therefore, tax r</w:t>
      </w:r>
      <w:r w:rsidRPr="00F14751">
        <w:rPr>
          <w:rFonts w:asciiTheme="majorHAnsi" w:hAnsiTheme="majorHAnsi"/>
          <w:sz w:val="24"/>
        </w:rPr>
        <w:t xml:space="preserve">eforms distribute income more equally among the population. </w:t>
      </w:r>
      <w:r w:rsidR="007C7EA9">
        <w:rPr>
          <w:rFonts w:asciiTheme="majorHAnsi" w:hAnsiTheme="majorHAnsi"/>
          <w:sz w:val="24"/>
        </w:rPr>
        <w:t xml:space="preserve">The other reforms </w:t>
      </w:r>
      <w:r>
        <w:rPr>
          <w:rFonts w:asciiTheme="majorHAnsi" w:hAnsiTheme="majorHAnsi"/>
          <w:sz w:val="24"/>
        </w:rPr>
        <w:t xml:space="preserve">have no significant </w:t>
      </w:r>
      <w:r w:rsidR="007C7EA9">
        <w:rPr>
          <w:rFonts w:asciiTheme="majorHAnsi" w:hAnsiTheme="majorHAnsi"/>
          <w:sz w:val="24"/>
        </w:rPr>
        <w:t>distributional effects.</w:t>
      </w:r>
      <w:r>
        <w:rPr>
          <w:rFonts w:asciiTheme="majorHAnsi" w:hAnsiTheme="majorHAnsi"/>
          <w:sz w:val="24"/>
        </w:rPr>
        <w:t xml:space="preserve"> </w:t>
      </w:r>
    </w:p>
    <w:p w14:paraId="7B390246" w14:textId="77777777" w:rsidR="00EC62E8" w:rsidRDefault="00EC62E8" w:rsidP="0006279B">
      <w:pPr>
        <w:pStyle w:val="NoSpacing"/>
        <w:spacing w:line="360" w:lineRule="auto"/>
        <w:jc w:val="both"/>
        <w:rPr>
          <w:rFonts w:asciiTheme="majorHAnsi" w:hAnsiTheme="majorHAnsi"/>
          <w:sz w:val="24"/>
        </w:rPr>
      </w:pPr>
    </w:p>
    <w:p w14:paraId="453650F1" w14:textId="06241A9C" w:rsidR="00C336F8" w:rsidRDefault="00584569" w:rsidP="0006279B">
      <w:pPr>
        <w:pStyle w:val="NoSpacing"/>
        <w:spacing w:line="360" w:lineRule="auto"/>
        <w:jc w:val="both"/>
        <w:rPr>
          <w:rFonts w:asciiTheme="majorHAnsi" w:hAnsiTheme="majorHAnsi"/>
          <w:sz w:val="24"/>
        </w:rPr>
      </w:pPr>
      <w:r>
        <w:rPr>
          <w:rFonts w:asciiTheme="majorHAnsi" w:hAnsiTheme="majorHAnsi"/>
          <w:sz w:val="24"/>
        </w:rPr>
        <w:t xml:space="preserve">It is interesting to see that in countries with both high poverty and high inequality only tax reforms have a significant effect on the distribution of income. </w:t>
      </w:r>
      <w:r w:rsidR="00C336F8">
        <w:rPr>
          <w:rFonts w:asciiTheme="majorHAnsi" w:hAnsiTheme="majorHAnsi"/>
          <w:sz w:val="24"/>
        </w:rPr>
        <w:t>Privatizations, which had a significant</w:t>
      </w:r>
      <w:r w:rsidR="00EC62E8">
        <w:rPr>
          <w:rFonts w:asciiTheme="majorHAnsi" w:hAnsiTheme="majorHAnsi"/>
          <w:sz w:val="24"/>
        </w:rPr>
        <w:t xml:space="preserve"> negative</w:t>
      </w:r>
      <w:r w:rsidR="00C336F8">
        <w:rPr>
          <w:rFonts w:asciiTheme="majorHAnsi" w:hAnsiTheme="majorHAnsi"/>
          <w:sz w:val="24"/>
        </w:rPr>
        <w:t xml:space="preserve"> effect on inequality </w:t>
      </w:r>
      <w:r w:rsidR="00353D0B">
        <w:rPr>
          <w:rFonts w:asciiTheme="majorHAnsi" w:hAnsiTheme="majorHAnsi"/>
          <w:sz w:val="24"/>
        </w:rPr>
        <w:t>in the previous section where</w:t>
      </w:r>
      <w:r w:rsidR="00C336F8">
        <w:rPr>
          <w:rFonts w:asciiTheme="majorHAnsi" w:hAnsiTheme="majorHAnsi"/>
          <w:sz w:val="24"/>
        </w:rPr>
        <w:t xml:space="preserve"> we used the complete sample, </w:t>
      </w:r>
      <w:r w:rsidR="00EC62E8">
        <w:rPr>
          <w:rFonts w:asciiTheme="majorHAnsi" w:hAnsiTheme="majorHAnsi"/>
          <w:sz w:val="24"/>
        </w:rPr>
        <w:t xml:space="preserve">here </w:t>
      </w:r>
      <w:r w:rsidR="00C336F8">
        <w:rPr>
          <w:rFonts w:asciiTheme="majorHAnsi" w:hAnsiTheme="majorHAnsi"/>
          <w:sz w:val="24"/>
        </w:rPr>
        <w:t xml:space="preserve">seem to have no </w:t>
      </w:r>
      <w:r w:rsidR="00EC62E8">
        <w:rPr>
          <w:rFonts w:asciiTheme="majorHAnsi" w:hAnsiTheme="majorHAnsi"/>
          <w:sz w:val="24"/>
        </w:rPr>
        <w:t xml:space="preserve">distributional effects at all. </w:t>
      </w:r>
    </w:p>
    <w:p w14:paraId="144C0EC8" w14:textId="77777777" w:rsidR="007577A0" w:rsidRPr="00F14751" w:rsidRDefault="007577A0" w:rsidP="00C8508E">
      <w:pPr>
        <w:pStyle w:val="NoSpacing"/>
        <w:spacing w:line="360" w:lineRule="auto"/>
        <w:jc w:val="both"/>
        <w:rPr>
          <w:rFonts w:asciiTheme="majorHAnsi" w:hAnsiTheme="majorHAnsi"/>
          <w:sz w:val="24"/>
        </w:rPr>
      </w:pPr>
    </w:p>
    <w:p w14:paraId="0B3D4340" w14:textId="0F461C17"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rPr>
        <w:t>Table 8: Estimation results of the FE model for the first group with the measures of poverty as dependent variables. The model includes country and time fixed effects.</w:t>
      </w:r>
    </w:p>
    <w:tbl>
      <w:tblPr>
        <w:tblW w:w="10587" w:type="dxa"/>
        <w:jc w:val="center"/>
        <w:tblLayout w:type="fixed"/>
        <w:tblCellMar>
          <w:left w:w="75" w:type="dxa"/>
          <w:right w:w="75" w:type="dxa"/>
        </w:tblCellMar>
        <w:tblLook w:val="0000" w:firstRow="0" w:lastRow="0" w:firstColumn="0" w:lastColumn="0" w:noHBand="0" w:noVBand="0"/>
      </w:tblPr>
      <w:tblGrid>
        <w:gridCol w:w="2315"/>
        <w:gridCol w:w="1261"/>
        <w:gridCol w:w="1402"/>
        <w:gridCol w:w="1402"/>
        <w:gridCol w:w="1402"/>
        <w:gridCol w:w="1402"/>
        <w:gridCol w:w="1403"/>
      </w:tblGrid>
      <w:tr w:rsidR="0064611C" w:rsidRPr="00F14751" w14:paraId="232C7C54" w14:textId="77777777" w:rsidTr="008738C3">
        <w:trPr>
          <w:jc w:val="center"/>
        </w:trPr>
        <w:tc>
          <w:tcPr>
            <w:tcW w:w="2315" w:type="dxa"/>
            <w:tcBorders>
              <w:top w:val="single" w:sz="6" w:space="0" w:color="auto"/>
              <w:left w:val="nil"/>
              <w:bottom w:val="nil"/>
              <w:right w:val="nil"/>
            </w:tcBorders>
            <w:vAlign w:val="center"/>
          </w:tcPr>
          <w:p w14:paraId="4849A0D4"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single" w:sz="6" w:space="0" w:color="auto"/>
              <w:left w:val="nil"/>
              <w:bottom w:val="nil"/>
              <w:right w:val="nil"/>
            </w:tcBorders>
            <w:vAlign w:val="center"/>
          </w:tcPr>
          <w:p w14:paraId="4BABAFC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w:t>
            </w:r>
          </w:p>
        </w:tc>
        <w:tc>
          <w:tcPr>
            <w:tcW w:w="1402" w:type="dxa"/>
            <w:tcBorders>
              <w:top w:val="single" w:sz="6" w:space="0" w:color="auto"/>
              <w:left w:val="nil"/>
              <w:bottom w:val="nil"/>
              <w:right w:val="nil"/>
            </w:tcBorders>
            <w:vAlign w:val="center"/>
          </w:tcPr>
          <w:p w14:paraId="1483E33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w:t>
            </w:r>
          </w:p>
        </w:tc>
        <w:tc>
          <w:tcPr>
            <w:tcW w:w="1402" w:type="dxa"/>
            <w:tcBorders>
              <w:top w:val="single" w:sz="6" w:space="0" w:color="auto"/>
              <w:left w:val="nil"/>
              <w:bottom w:val="nil"/>
              <w:right w:val="nil"/>
            </w:tcBorders>
            <w:vAlign w:val="center"/>
          </w:tcPr>
          <w:p w14:paraId="22B0F1C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w:t>
            </w:r>
          </w:p>
        </w:tc>
        <w:tc>
          <w:tcPr>
            <w:tcW w:w="1402" w:type="dxa"/>
            <w:tcBorders>
              <w:top w:val="single" w:sz="6" w:space="0" w:color="auto"/>
              <w:left w:val="nil"/>
              <w:bottom w:val="nil"/>
              <w:right w:val="nil"/>
            </w:tcBorders>
            <w:vAlign w:val="center"/>
          </w:tcPr>
          <w:p w14:paraId="7939151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w:t>
            </w:r>
          </w:p>
        </w:tc>
        <w:tc>
          <w:tcPr>
            <w:tcW w:w="1402" w:type="dxa"/>
            <w:tcBorders>
              <w:top w:val="single" w:sz="6" w:space="0" w:color="auto"/>
              <w:left w:val="nil"/>
              <w:bottom w:val="nil"/>
              <w:right w:val="nil"/>
            </w:tcBorders>
            <w:vAlign w:val="center"/>
          </w:tcPr>
          <w:p w14:paraId="1DEC235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03" w:type="dxa"/>
            <w:tcBorders>
              <w:top w:val="single" w:sz="6" w:space="0" w:color="auto"/>
              <w:left w:val="nil"/>
              <w:bottom w:val="nil"/>
              <w:right w:val="nil"/>
            </w:tcBorders>
            <w:vAlign w:val="center"/>
          </w:tcPr>
          <w:p w14:paraId="0713F1B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w:t>
            </w:r>
          </w:p>
        </w:tc>
      </w:tr>
      <w:tr w:rsidR="0064611C" w:rsidRPr="00F14751" w14:paraId="47BCAFCA" w14:textId="77777777" w:rsidTr="008738C3">
        <w:trPr>
          <w:jc w:val="center"/>
        </w:trPr>
        <w:tc>
          <w:tcPr>
            <w:tcW w:w="2315" w:type="dxa"/>
            <w:tcBorders>
              <w:top w:val="nil"/>
              <w:left w:val="nil"/>
              <w:bottom w:val="single" w:sz="6" w:space="0" w:color="auto"/>
              <w:right w:val="nil"/>
            </w:tcBorders>
            <w:vAlign w:val="center"/>
          </w:tcPr>
          <w:p w14:paraId="7CAA789B"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VARIABLES</w:t>
            </w:r>
          </w:p>
        </w:tc>
        <w:tc>
          <w:tcPr>
            <w:tcW w:w="1261" w:type="dxa"/>
            <w:tcBorders>
              <w:top w:val="nil"/>
              <w:left w:val="nil"/>
              <w:bottom w:val="single" w:sz="6" w:space="0" w:color="auto"/>
              <w:right w:val="nil"/>
            </w:tcBorders>
            <w:vAlign w:val="center"/>
          </w:tcPr>
          <w:p w14:paraId="32E1C73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($2)</w:t>
            </w:r>
          </w:p>
        </w:tc>
        <w:tc>
          <w:tcPr>
            <w:tcW w:w="1402" w:type="dxa"/>
            <w:tcBorders>
              <w:top w:val="nil"/>
              <w:left w:val="nil"/>
              <w:bottom w:val="single" w:sz="6" w:space="0" w:color="auto"/>
              <w:right w:val="nil"/>
            </w:tcBorders>
            <w:vAlign w:val="center"/>
          </w:tcPr>
          <w:p w14:paraId="1AA3B0C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($1.25)</w:t>
            </w:r>
          </w:p>
        </w:tc>
        <w:tc>
          <w:tcPr>
            <w:tcW w:w="1402" w:type="dxa"/>
            <w:tcBorders>
              <w:top w:val="nil"/>
              <w:left w:val="nil"/>
              <w:bottom w:val="single" w:sz="6" w:space="0" w:color="auto"/>
              <w:right w:val="nil"/>
            </w:tcBorders>
            <w:vAlign w:val="center"/>
          </w:tcPr>
          <w:p w14:paraId="14C2173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($2)</w:t>
            </w:r>
          </w:p>
        </w:tc>
        <w:tc>
          <w:tcPr>
            <w:tcW w:w="1402" w:type="dxa"/>
            <w:tcBorders>
              <w:top w:val="nil"/>
              <w:left w:val="nil"/>
              <w:bottom w:val="single" w:sz="6" w:space="0" w:color="auto"/>
              <w:right w:val="nil"/>
            </w:tcBorders>
            <w:vAlign w:val="center"/>
          </w:tcPr>
          <w:p w14:paraId="7502618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($1.25)</w:t>
            </w:r>
          </w:p>
        </w:tc>
        <w:tc>
          <w:tcPr>
            <w:tcW w:w="1402" w:type="dxa"/>
            <w:tcBorders>
              <w:top w:val="nil"/>
              <w:left w:val="nil"/>
              <w:bottom w:val="single" w:sz="6" w:space="0" w:color="auto"/>
              <w:right w:val="nil"/>
            </w:tcBorders>
            <w:vAlign w:val="center"/>
          </w:tcPr>
          <w:p w14:paraId="7764D7E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($2)</w:t>
            </w:r>
          </w:p>
        </w:tc>
        <w:tc>
          <w:tcPr>
            <w:tcW w:w="1403" w:type="dxa"/>
            <w:tcBorders>
              <w:top w:val="nil"/>
              <w:left w:val="nil"/>
              <w:bottom w:val="single" w:sz="6" w:space="0" w:color="auto"/>
              <w:right w:val="nil"/>
            </w:tcBorders>
            <w:vAlign w:val="center"/>
          </w:tcPr>
          <w:p w14:paraId="72BC956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($1.25)</w:t>
            </w:r>
          </w:p>
        </w:tc>
      </w:tr>
      <w:tr w:rsidR="0064611C" w:rsidRPr="00F14751" w14:paraId="0FF3F93E" w14:textId="77777777" w:rsidTr="008738C3">
        <w:trPr>
          <w:jc w:val="center"/>
        </w:trPr>
        <w:tc>
          <w:tcPr>
            <w:tcW w:w="2315" w:type="dxa"/>
            <w:tcBorders>
              <w:top w:val="nil"/>
              <w:left w:val="nil"/>
              <w:bottom w:val="nil"/>
              <w:right w:val="nil"/>
            </w:tcBorders>
            <w:vAlign w:val="center"/>
          </w:tcPr>
          <w:p w14:paraId="2CB0BFB6"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13B76F1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7F2E04F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2380A337"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19022CA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0377DAF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tcBorders>
              <w:top w:val="nil"/>
              <w:left w:val="nil"/>
              <w:bottom w:val="nil"/>
              <w:right w:val="nil"/>
            </w:tcBorders>
            <w:vAlign w:val="center"/>
          </w:tcPr>
          <w:p w14:paraId="2816DB9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215C3EEC" w14:textId="77777777" w:rsidTr="008738C3">
        <w:trPr>
          <w:jc w:val="center"/>
        </w:trPr>
        <w:tc>
          <w:tcPr>
            <w:tcW w:w="2315" w:type="dxa"/>
            <w:tcBorders>
              <w:top w:val="nil"/>
              <w:left w:val="nil"/>
              <w:bottom w:val="nil"/>
              <w:right w:val="nil"/>
            </w:tcBorders>
            <w:vAlign w:val="center"/>
          </w:tcPr>
          <w:p w14:paraId="1DAD85E2" w14:textId="302ADECB"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SRI</w:t>
            </w:r>
          </w:p>
        </w:tc>
        <w:tc>
          <w:tcPr>
            <w:tcW w:w="1261" w:type="dxa"/>
            <w:tcBorders>
              <w:top w:val="nil"/>
              <w:left w:val="nil"/>
              <w:bottom w:val="nil"/>
              <w:right w:val="nil"/>
            </w:tcBorders>
            <w:vAlign w:val="center"/>
          </w:tcPr>
          <w:p w14:paraId="24F5F81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0.249</w:t>
            </w:r>
          </w:p>
        </w:tc>
        <w:tc>
          <w:tcPr>
            <w:tcW w:w="1402" w:type="dxa"/>
            <w:tcBorders>
              <w:top w:val="nil"/>
              <w:left w:val="nil"/>
              <w:bottom w:val="nil"/>
              <w:right w:val="nil"/>
            </w:tcBorders>
            <w:vAlign w:val="center"/>
          </w:tcPr>
          <w:p w14:paraId="0B3B145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0.146</w:t>
            </w:r>
          </w:p>
        </w:tc>
        <w:tc>
          <w:tcPr>
            <w:tcW w:w="1402" w:type="dxa"/>
            <w:tcBorders>
              <w:top w:val="nil"/>
              <w:left w:val="nil"/>
              <w:bottom w:val="nil"/>
              <w:right w:val="nil"/>
            </w:tcBorders>
            <w:vAlign w:val="center"/>
          </w:tcPr>
          <w:p w14:paraId="74876DB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0.156</w:t>
            </w:r>
          </w:p>
        </w:tc>
        <w:tc>
          <w:tcPr>
            <w:tcW w:w="1402" w:type="dxa"/>
            <w:tcBorders>
              <w:top w:val="nil"/>
              <w:left w:val="nil"/>
              <w:bottom w:val="nil"/>
              <w:right w:val="nil"/>
            </w:tcBorders>
            <w:vAlign w:val="center"/>
          </w:tcPr>
          <w:p w14:paraId="0A8832B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0.127</w:t>
            </w:r>
          </w:p>
        </w:tc>
        <w:tc>
          <w:tcPr>
            <w:tcW w:w="1402" w:type="dxa"/>
            <w:tcBorders>
              <w:top w:val="nil"/>
              <w:left w:val="nil"/>
              <w:bottom w:val="nil"/>
              <w:right w:val="nil"/>
            </w:tcBorders>
            <w:vAlign w:val="center"/>
          </w:tcPr>
          <w:p w14:paraId="260D488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10.99</w:t>
            </w:r>
          </w:p>
        </w:tc>
        <w:tc>
          <w:tcPr>
            <w:tcW w:w="1403" w:type="dxa"/>
            <w:tcBorders>
              <w:top w:val="nil"/>
              <w:left w:val="nil"/>
              <w:bottom w:val="nil"/>
              <w:right w:val="nil"/>
            </w:tcBorders>
            <w:vAlign w:val="center"/>
          </w:tcPr>
          <w:p w14:paraId="66A34A0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4.724</w:t>
            </w:r>
          </w:p>
        </w:tc>
      </w:tr>
      <w:tr w:rsidR="0064611C" w:rsidRPr="00F14751" w14:paraId="3862D121" w14:textId="77777777" w:rsidTr="008738C3">
        <w:trPr>
          <w:jc w:val="center"/>
        </w:trPr>
        <w:tc>
          <w:tcPr>
            <w:tcW w:w="2315" w:type="dxa"/>
            <w:tcBorders>
              <w:top w:val="nil"/>
              <w:left w:val="nil"/>
              <w:bottom w:val="nil"/>
              <w:right w:val="nil"/>
            </w:tcBorders>
            <w:vAlign w:val="center"/>
          </w:tcPr>
          <w:p w14:paraId="6AE69CAD"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2C159AD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(0.304)</w:t>
            </w:r>
          </w:p>
        </w:tc>
        <w:tc>
          <w:tcPr>
            <w:tcW w:w="1402" w:type="dxa"/>
            <w:tcBorders>
              <w:top w:val="nil"/>
              <w:left w:val="nil"/>
              <w:bottom w:val="nil"/>
              <w:right w:val="nil"/>
            </w:tcBorders>
            <w:vAlign w:val="center"/>
          </w:tcPr>
          <w:p w14:paraId="53E2565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(0.269)</w:t>
            </w:r>
          </w:p>
        </w:tc>
        <w:tc>
          <w:tcPr>
            <w:tcW w:w="1402" w:type="dxa"/>
            <w:tcBorders>
              <w:top w:val="nil"/>
              <w:left w:val="nil"/>
              <w:bottom w:val="nil"/>
              <w:right w:val="nil"/>
            </w:tcBorders>
            <w:vAlign w:val="center"/>
          </w:tcPr>
          <w:p w14:paraId="2D181E5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(0.219)</w:t>
            </w:r>
          </w:p>
        </w:tc>
        <w:tc>
          <w:tcPr>
            <w:tcW w:w="1402" w:type="dxa"/>
            <w:tcBorders>
              <w:top w:val="nil"/>
              <w:left w:val="nil"/>
              <w:bottom w:val="nil"/>
              <w:right w:val="nil"/>
            </w:tcBorders>
            <w:vAlign w:val="center"/>
          </w:tcPr>
          <w:p w14:paraId="11504F9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(0.188)</w:t>
            </w:r>
          </w:p>
        </w:tc>
        <w:tc>
          <w:tcPr>
            <w:tcW w:w="1402" w:type="dxa"/>
            <w:tcBorders>
              <w:top w:val="nil"/>
              <w:left w:val="nil"/>
              <w:bottom w:val="nil"/>
              <w:right w:val="nil"/>
            </w:tcBorders>
            <w:vAlign w:val="center"/>
          </w:tcPr>
          <w:p w14:paraId="510AFE5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(11.00)</w:t>
            </w:r>
          </w:p>
        </w:tc>
        <w:tc>
          <w:tcPr>
            <w:tcW w:w="1403" w:type="dxa"/>
            <w:tcBorders>
              <w:top w:val="nil"/>
              <w:left w:val="nil"/>
              <w:bottom w:val="nil"/>
              <w:right w:val="nil"/>
            </w:tcBorders>
            <w:vAlign w:val="center"/>
          </w:tcPr>
          <w:p w14:paraId="2DCD4F2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(5.602)</w:t>
            </w:r>
          </w:p>
        </w:tc>
      </w:tr>
      <w:tr w:rsidR="0064611C" w:rsidRPr="00F14751" w14:paraId="06C1B2D8" w14:textId="77777777" w:rsidTr="008738C3">
        <w:trPr>
          <w:jc w:val="center"/>
        </w:trPr>
        <w:tc>
          <w:tcPr>
            <w:tcW w:w="2315" w:type="dxa"/>
            <w:tcBorders>
              <w:top w:val="nil"/>
              <w:left w:val="nil"/>
              <w:bottom w:val="nil"/>
              <w:right w:val="nil"/>
            </w:tcBorders>
            <w:vAlign w:val="center"/>
          </w:tcPr>
          <w:p w14:paraId="41FDB4C8"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Polity</w:t>
            </w:r>
          </w:p>
        </w:tc>
        <w:tc>
          <w:tcPr>
            <w:tcW w:w="1261" w:type="dxa"/>
            <w:tcBorders>
              <w:top w:val="nil"/>
              <w:left w:val="nil"/>
              <w:bottom w:val="nil"/>
              <w:right w:val="nil"/>
            </w:tcBorders>
            <w:vAlign w:val="center"/>
          </w:tcPr>
          <w:p w14:paraId="3D0D35A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-1.349</w:t>
            </w:r>
          </w:p>
        </w:tc>
        <w:tc>
          <w:tcPr>
            <w:tcW w:w="1402" w:type="dxa"/>
            <w:tcBorders>
              <w:top w:val="nil"/>
              <w:left w:val="nil"/>
              <w:bottom w:val="nil"/>
              <w:right w:val="nil"/>
            </w:tcBorders>
            <w:vAlign w:val="center"/>
          </w:tcPr>
          <w:p w14:paraId="3ED0D93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-0.661</w:t>
            </w:r>
          </w:p>
        </w:tc>
        <w:tc>
          <w:tcPr>
            <w:tcW w:w="1402" w:type="dxa"/>
            <w:tcBorders>
              <w:top w:val="nil"/>
              <w:left w:val="nil"/>
              <w:bottom w:val="nil"/>
              <w:right w:val="nil"/>
            </w:tcBorders>
            <w:vAlign w:val="center"/>
          </w:tcPr>
          <w:p w14:paraId="6D2A8CC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-0.304</w:t>
            </w:r>
          </w:p>
        </w:tc>
        <w:tc>
          <w:tcPr>
            <w:tcW w:w="1402" w:type="dxa"/>
            <w:tcBorders>
              <w:top w:val="nil"/>
              <w:left w:val="nil"/>
              <w:bottom w:val="nil"/>
              <w:right w:val="nil"/>
            </w:tcBorders>
            <w:vAlign w:val="center"/>
          </w:tcPr>
          <w:p w14:paraId="146811D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0.124</w:t>
            </w:r>
          </w:p>
        </w:tc>
        <w:tc>
          <w:tcPr>
            <w:tcW w:w="1402" w:type="dxa"/>
            <w:tcBorders>
              <w:top w:val="nil"/>
              <w:left w:val="nil"/>
              <w:bottom w:val="nil"/>
              <w:right w:val="nil"/>
            </w:tcBorders>
            <w:vAlign w:val="center"/>
          </w:tcPr>
          <w:p w14:paraId="7781A46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-2.663</w:t>
            </w:r>
          </w:p>
        </w:tc>
        <w:tc>
          <w:tcPr>
            <w:tcW w:w="1403" w:type="dxa"/>
            <w:tcBorders>
              <w:top w:val="nil"/>
              <w:left w:val="nil"/>
              <w:bottom w:val="nil"/>
              <w:right w:val="nil"/>
            </w:tcBorders>
            <w:vAlign w:val="center"/>
          </w:tcPr>
          <w:p w14:paraId="438CAC7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15.23</w:t>
            </w:r>
          </w:p>
        </w:tc>
      </w:tr>
      <w:tr w:rsidR="0064611C" w:rsidRPr="00F14751" w14:paraId="42AA9469" w14:textId="77777777" w:rsidTr="008738C3">
        <w:trPr>
          <w:jc w:val="center"/>
        </w:trPr>
        <w:tc>
          <w:tcPr>
            <w:tcW w:w="2315" w:type="dxa"/>
            <w:tcBorders>
              <w:top w:val="nil"/>
              <w:left w:val="nil"/>
              <w:bottom w:val="nil"/>
              <w:right w:val="nil"/>
            </w:tcBorders>
            <w:vAlign w:val="center"/>
          </w:tcPr>
          <w:p w14:paraId="4FF6B8DF"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471F29E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(0.963)</w:t>
            </w:r>
          </w:p>
        </w:tc>
        <w:tc>
          <w:tcPr>
            <w:tcW w:w="1402" w:type="dxa"/>
            <w:tcBorders>
              <w:top w:val="nil"/>
              <w:left w:val="nil"/>
              <w:bottom w:val="nil"/>
              <w:right w:val="nil"/>
            </w:tcBorders>
            <w:vAlign w:val="center"/>
          </w:tcPr>
          <w:p w14:paraId="1196D25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(0.874)</w:t>
            </w:r>
          </w:p>
        </w:tc>
        <w:tc>
          <w:tcPr>
            <w:tcW w:w="1402" w:type="dxa"/>
            <w:tcBorders>
              <w:top w:val="nil"/>
              <w:left w:val="nil"/>
              <w:bottom w:val="nil"/>
              <w:right w:val="nil"/>
            </w:tcBorders>
            <w:vAlign w:val="center"/>
          </w:tcPr>
          <w:p w14:paraId="62111F0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(0.690)</w:t>
            </w:r>
          </w:p>
        </w:tc>
        <w:tc>
          <w:tcPr>
            <w:tcW w:w="1402" w:type="dxa"/>
            <w:tcBorders>
              <w:top w:val="nil"/>
              <w:left w:val="nil"/>
              <w:bottom w:val="nil"/>
              <w:right w:val="nil"/>
            </w:tcBorders>
            <w:vAlign w:val="center"/>
          </w:tcPr>
          <w:p w14:paraId="45DF9F2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(0.577)</w:t>
            </w:r>
          </w:p>
        </w:tc>
        <w:tc>
          <w:tcPr>
            <w:tcW w:w="1402" w:type="dxa"/>
            <w:tcBorders>
              <w:top w:val="nil"/>
              <w:left w:val="nil"/>
              <w:bottom w:val="nil"/>
              <w:right w:val="nil"/>
            </w:tcBorders>
            <w:vAlign w:val="center"/>
          </w:tcPr>
          <w:p w14:paraId="2EE8F4E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(45.84)</w:t>
            </w:r>
          </w:p>
        </w:tc>
        <w:tc>
          <w:tcPr>
            <w:tcW w:w="1403" w:type="dxa"/>
            <w:tcBorders>
              <w:top w:val="nil"/>
              <w:left w:val="nil"/>
              <w:bottom w:val="nil"/>
              <w:right w:val="nil"/>
            </w:tcBorders>
            <w:vAlign w:val="center"/>
          </w:tcPr>
          <w:p w14:paraId="3A073C8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(23.70)</w:t>
            </w:r>
          </w:p>
        </w:tc>
      </w:tr>
      <w:tr w:rsidR="0064611C" w:rsidRPr="00F14751" w14:paraId="42A8A628" w14:textId="77777777" w:rsidTr="008738C3">
        <w:trPr>
          <w:jc w:val="center"/>
        </w:trPr>
        <w:tc>
          <w:tcPr>
            <w:tcW w:w="2315" w:type="dxa"/>
            <w:tcBorders>
              <w:top w:val="nil"/>
              <w:left w:val="nil"/>
              <w:bottom w:val="nil"/>
              <w:right w:val="nil"/>
            </w:tcBorders>
            <w:vAlign w:val="center"/>
          </w:tcPr>
          <w:p w14:paraId="250C59E9"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GDP</w:t>
            </w:r>
          </w:p>
        </w:tc>
        <w:tc>
          <w:tcPr>
            <w:tcW w:w="1261" w:type="dxa"/>
            <w:tcBorders>
              <w:top w:val="nil"/>
              <w:left w:val="nil"/>
              <w:bottom w:val="nil"/>
              <w:right w:val="nil"/>
            </w:tcBorders>
            <w:vAlign w:val="center"/>
          </w:tcPr>
          <w:p w14:paraId="65E20A5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-0.597***</w:t>
            </w:r>
          </w:p>
        </w:tc>
        <w:tc>
          <w:tcPr>
            <w:tcW w:w="1402" w:type="dxa"/>
            <w:tcBorders>
              <w:top w:val="nil"/>
              <w:left w:val="nil"/>
              <w:bottom w:val="nil"/>
              <w:right w:val="nil"/>
            </w:tcBorders>
            <w:vAlign w:val="center"/>
          </w:tcPr>
          <w:p w14:paraId="2BB3D5D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-0.386***</w:t>
            </w:r>
          </w:p>
        </w:tc>
        <w:tc>
          <w:tcPr>
            <w:tcW w:w="1402" w:type="dxa"/>
            <w:tcBorders>
              <w:top w:val="nil"/>
              <w:left w:val="nil"/>
              <w:bottom w:val="nil"/>
              <w:right w:val="nil"/>
            </w:tcBorders>
            <w:vAlign w:val="center"/>
          </w:tcPr>
          <w:p w14:paraId="2D1F8D5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-0.266**</w:t>
            </w:r>
          </w:p>
        </w:tc>
        <w:tc>
          <w:tcPr>
            <w:tcW w:w="1402" w:type="dxa"/>
            <w:tcBorders>
              <w:top w:val="nil"/>
              <w:left w:val="nil"/>
              <w:bottom w:val="nil"/>
              <w:right w:val="nil"/>
            </w:tcBorders>
            <w:vAlign w:val="center"/>
          </w:tcPr>
          <w:p w14:paraId="2E7D521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-0.132*</w:t>
            </w:r>
          </w:p>
        </w:tc>
        <w:tc>
          <w:tcPr>
            <w:tcW w:w="1402" w:type="dxa"/>
            <w:tcBorders>
              <w:top w:val="nil"/>
              <w:left w:val="nil"/>
              <w:bottom w:val="nil"/>
              <w:right w:val="nil"/>
            </w:tcBorders>
            <w:vAlign w:val="center"/>
          </w:tcPr>
          <w:p w14:paraId="18C2106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-12.21**</w:t>
            </w:r>
          </w:p>
        </w:tc>
        <w:tc>
          <w:tcPr>
            <w:tcW w:w="1403" w:type="dxa"/>
            <w:tcBorders>
              <w:top w:val="nil"/>
              <w:left w:val="nil"/>
              <w:bottom w:val="nil"/>
              <w:right w:val="nil"/>
            </w:tcBorders>
            <w:vAlign w:val="center"/>
          </w:tcPr>
          <w:p w14:paraId="67FBD1B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-3.330</w:t>
            </w:r>
          </w:p>
        </w:tc>
      </w:tr>
      <w:tr w:rsidR="0064611C" w:rsidRPr="00F14751" w14:paraId="17980FE3" w14:textId="77777777" w:rsidTr="008738C3">
        <w:trPr>
          <w:jc w:val="center"/>
        </w:trPr>
        <w:tc>
          <w:tcPr>
            <w:tcW w:w="2315" w:type="dxa"/>
            <w:tcBorders>
              <w:top w:val="nil"/>
              <w:left w:val="nil"/>
              <w:bottom w:val="nil"/>
              <w:right w:val="nil"/>
            </w:tcBorders>
            <w:vAlign w:val="center"/>
          </w:tcPr>
          <w:p w14:paraId="5AFB161C"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6D8C183F"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(0.103)</w:t>
            </w:r>
          </w:p>
        </w:tc>
        <w:tc>
          <w:tcPr>
            <w:tcW w:w="1402" w:type="dxa"/>
            <w:tcBorders>
              <w:top w:val="nil"/>
              <w:left w:val="nil"/>
              <w:bottom w:val="nil"/>
              <w:right w:val="nil"/>
            </w:tcBorders>
            <w:vAlign w:val="center"/>
          </w:tcPr>
          <w:p w14:paraId="328B0E3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(0.0799)</w:t>
            </w:r>
          </w:p>
        </w:tc>
        <w:tc>
          <w:tcPr>
            <w:tcW w:w="1402" w:type="dxa"/>
            <w:tcBorders>
              <w:top w:val="nil"/>
              <w:left w:val="nil"/>
              <w:bottom w:val="nil"/>
              <w:right w:val="nil"/>
            </w:tcBorders>
            <w:vAlign w:val="center"/>
          </w:tcPr>
          <w:p w14:paraId="1BAC377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(0.0659)</w:t>
            </w:r>
          </w:p>
        </w:tc>
        <w:tc>
          <w:tcPr>
            <w:tcW w:w="1402" w:type="dxa"/>
            <w:tcBorders>
              <w:top w:val="nil"/>
              <w:left w:val="nil"/>
              <w:bottom w:val="nil"/>
              <w:right w:val="nil"/>
            </w:tcBorders>
            <w:vAlign w:val="center"/>
          </w:tcPr>
          <w:p w14:paraId="38D84C2F"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(0.0571)</w:t>
            </w:r>
          </w:p>
        </w:tc>
        <w:tc>
          <w:tcPr>
            <w:tcW w:w="1402" w:type="dxa"/>
            <w:tcBorders>
              <w:top w:val="nil"/>
              <w:left w:val="nil"/>
              <w:bottom w:val="nil"/>
              <w:right w:val="nil"/>
            </w:tcBorders>
            <w:vAlign w:val="center"/>
          </w:tcPr>
          <w:p w14:paraId="5CEF884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(3.586)</w:t>
            </w:r>
          </w:p>
        </w:tc>
        <w:tc>
          <w:tcPr>
            <w:tcW w:w="1403" w:type="dxa"/>
            <w:tcBorders>
              <w:top w:val="nil"/>
              <w:left w:val="nil"/>
              <w:bottom w:val="nil"/>
              <w:right w:val="nil"/>
            </w:tcBorders>
            <w:vAlign w:val="center"/>
          </w:tcPr>
          <w:p w14:paraId="6C4B160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(1.699)</w:t>
            </w:r>
          </w:p>
        </w:tc>
      </w:tr>
      <w:tr w:rsidR="0064611C" w:rsidRPr="00F14751" w14:paraId="5E2B723A" w14:textId="77777777" w:rsidTr="008738C3">
        <w:trPr>
          <w:jc w:val="center"/>
        </w:trPr>
        <w:tc>
          <w:tcPr>
            <w:tcW w:w="2315" w:type="dxa"/>
            <w:tcBorders>
              <w:top w:val="nil"/>
              <w:left w:val="nil"/>
              <w:bottom w:val="nil"/>
              <w:right w:val="nil"/>
            </w:tcBorders>
            <w:vAlign w:val="center"/>
          </w:tcPr>
          <w:p w14:paraId="3FA6441E"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GDPgrowth</w:t>
            </w:r>
            <w:proofErr w:type="spellEnd"/>
          </w:p>
        </w:tc>
        <w:tc>
          <w:tcPr>
            <w:tcW w:w="1261" w:type="dxa"/>
            <w:tcBorders>
              <w:top w:val="nil"/>
              <w:left w:val="nil"/>
              <w:bottom w:val="nil"/>
              <w:right w:val="nil"/>
            </w:tcBorders>
            <w:vAlign w:val="center"/>
          </w:tcPr>
          <w:p w14:paraId="689005C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0.0899</w:t>
            </w:r>
          </w:p>
        </w:tc>
        <w:tc>
          <w:tcPr>
            <w:tcW w:w="1402" w:type="dxa"/>
            <w:tcBorders>
              <w:top w:val="nil"/>
              <w:left w:val="nil"/>
              <w:bottom w:val="nil"/>
              <w:right w:val="nil"/>
            </w:tcBorders>
            <w:vAlign w:val="center"/>
          </w:tcPr>
          <w:p w14:paraId="783A2C5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0.00253</w:t>
            </w:r>
          </w:p>
        </w:tc>
        <w:tc>
          <w:tcPr>
            <w:tcW w:w="1402" w:type="dxa"/>
            <w:tcBorders>
              <w:top w:val="nil"/>
              <w:left w:val="nil"/>
              <w:bottom w:val="nil"/>
              <w:right w:val="nil"/>
            </w:tcBorders>
            <w:vAlign w:val="center"/>
          </w:tcPr>
          <w:p w14:paraId="6AC49E6F"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-0.0299</w:t>
            </w:r>
          </w:p>
        </w:tc>
        <w:tc>
          <w:tcPr>
            <w:tcW w:w="1402" w:type="dxa"/>
            <w:tcBorders>
              <w:top w:val="nil"/>
              <w:left w:val="nil"/>
              <w:bottom w:val="nil"/>
              <w:right w:val="nil"/>
            </w:tcBorders>
            <w:vAlign w:val="center"/>
          </w:tcPr>
          <w:p w14:paraId="13FF007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-0.0795</w:t>
            </w:r>
          </w:p>
        </w:tc>
        <w:tc>
          <w:tcPr>
            <w:tcW w:w="1402" w:type="dxa"/>
            <w:tcBorders>
              <w:top w:val="nil"/>
              <w:left w:val="nil"/>
              <w:bottom w:val="nil"/>
              <w:right w:val="nil"/>
            </w:tcBorders>
            <w:vAlign w:val="center"/>
          </w:tcPr>
          <w:p w14:paraId="38C082C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-1.273</w:t>
            </w:r>
          </w:p>
        </w:tc>
        <w:tc>
          <w:tcPr>
            <w:tcW w:w="1403" w:type="dxa"/>
            <w:tcBorders>
              <w:top w:val="nil"/>
              <w:left w:val="nil"/>
              <w:bottom w:val="nil"/>
              <w:right w:val="nil"/>
            </w:tcBorders>
            <w:vAlign w:val="center"/>
          </w:tcPr>
          <w:p w14:paraId="4C651D8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-2.215</w:t>
            </w:r>
          </w:p>
        </w:tc>
      </w:tr>
      <w:tr w:rsidR="0064611C" w:rsidRPr="00F14751" w14:paraId="1208AE9B" w14:textId="77777777" w:rsidTr="008738C3">
        <w:trPr>
          <w:jc w:val="center"/>
        </w:trPr>
        <w:tc>
          <w:tcPr>
            <w:tcW w:w="2315" w:type="dxa"/>
            <w:tcBorders>
              <w:top w:val="nil"/>
              <w:left w:val="nil"/>
              <w:bottom w:val="nil"/>
              <w:right w:val="nil"/>
            </w:tcBorders>
            <w:vAlign w:val="center"/>
          </w:tcPr>
          <w:p w14:paraId="43CA0A44"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38F89B7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(0.161)</w:t>
            </w:r>
          </w:p>
        </w:tc>
        <w:tc>
          <w:tcPr>
            <w:tcW w:w="1402" w:type="dxa"/>
            <w:tcBorders>
              <w:top w:val="nil"/>
              <w:left w:val="nil"/>
              <w:bottom w:val="nil"/>
              <w:right w:val="nil"/>
            </w:tcBorders>
            <w:vAlign w:val="center"/>
          </w:tcPr>
          <w:p w14:paraId="3470BFA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(0.123)</w:t>
            </w:r>
          </w:p>
        </w:tc>
        <w:tc>
          <w:tcPr>
            <w:tcW w:w="1402" w:type="dxa"/>
            <w:tcBorders>
              <w:top w:val="nil"/>
              <w:left w:val="nil"/>
              <w:bottom w:val="nil"/>
              <w:right w:val="nil"/>
            </w:tcBorders>
            <w:vAlign w:val="center"/>
          </w:tcPr>
          <w:p w14:paraId="647555F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(0.101)</w:t>
            </w:r>
          </w:p>
        </w:tc>
        <w:tc>
          <w:tcPr>
            <w:tcW w:w="1402" w:type="dxa"/>
            <w:tcBorders>
              <w:top w:val="nil"/>
              <w:left w:val="nil"/>
              <w:bottom w:val="nil"/>
              <w:right w:val="nil"/>
            </w:tcBorders>
            <w:vAlign w:val="center"/>
          </w:tcPr>
          <w:p w14:paraId="046EC417"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(0.0828)</w:t>
            </w:r>
          </w:p>
        </w:tc>
        <w:tc>
          <w:tcPr>
            <w:tcW w:w="1402" w:type="dxa"/>
            <w:tcBorders>
              <w:top w:val="nil"/>
              <w:left w:val="nil"/>
              <w:bottom w:val="nil"/>
              <w:right w:val="nil"/>
            </w:tcBorders>
            <w:vAlign w:val="center"/>
          </w:tcPr>
          <w:p w14:paraId="2865490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(6.141)</w:t>
            </w:r>
          </w:p>
        </w:tc>
        <w:tc>
          <w:tcPr>
            <w:tcW w:w="1403" w:type="dxa"/>
            <w:tcBorders>
              <w:top w:val="nil"/>
              <w:left w:val="nil"/>
              <w:bottom w:val="nil"/>
              <w:right w:val="nil"/>
            </w:tcBorders>
            <w:vAlign w:val="center"/>
          </w:tcPr>
          <w:p w14:paraId="50B02F0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(2.884)</w:t>
            </w:r>
          </w:p>
        </w:tc>
      </w:tr>
      <w:tr w:rsidR="0064611C" w:rsidRPr="00F14751" w14:paraId="3E035423" w14:textId="77777777" w:rsidTr="008738C3">
        <w:trPr>
          <w:jc w:val="center"/>
        </w:trPr>
        <w:tc>
          <w:tcPr>
            <w:tcW w:w="2315" w:type="dxa"/>
            <w:tcBorders>
              <w:top w:val="nil"/>
              <w:left w:val="nil"/>
              <w:bottom w:val="nil"/>
              <w:right w:val="nil"/>
            </w:tcBorders>
            <w:vAlign w:val="center"/>
          </w:tcPr>
          <w:p w14:paraId="721F3756"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School</w:t>
            </w:r>
          </w:p>
        </w:tc>
        <w:tc>
          <w:tcPr>
            <w:tcW w:w="1261" w:type="dxa"/>
            <w:tcBorders>
              <w:top w:val="nil"/>
              <w:left w:val="nil"/>
              <w:bottom w:val="nil"/>
              <w:right w:val="nil"/>
            </w:tcBorders>
            <w:vAlign w:val="center"/>
          </w:tcPr>
          <w:p w14:paraId="329AE5F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-1.954</w:t>
            </w:r>
          </w:p>
        </w:tc>
        <w:tc>
          <w:tcPr>
            <w:tcW w:w="1402" w:type="dxa"/>
            <w:tcBorders>
              <w:top w:val="nil"/>
              <w:left w:val="nil"/>
              <w:bottom w:val="nil"/>
              <w:right w:val="nil"/>
            </w:tcBorders>
            <w:vAlign w:val="center"/>
          </w:tcPr>
          <w:p w14:paraId="7B74003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-1.932</w:t>
            </w:r>
          </w:p>
        </w:tc>
        <w:tc>
          <w:tcPr>
            <w:tcW w:w="1402" w:type="dxa"/>
            <w:tcBorders>
              <w:top w:val="nil"/>
              <w:left w:val="nil"/>
              <w:bottom w:val="nil"/>
              <w:right w:val="nil"/>
            </w:tcBorders>
            <w:vAlign w:val="center"/>
          </w:tcPr>
          <w:p w14:paraId="2C399B5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-1.936</w:t>
            </w:r>
          </w:p>
        </w:tc>
        <w:tc>
          <w:tcPr>
            <w:tcW w:w="1402" w:type="dxa"/>
            <w:tcBorders>
              <w:top w:val="nil"/>
              <w:left w:val="nil"/>
              <w:bottom w:val="nil"/>
              <w:right w:val="nil"/>
            </w:tcBorders>
            <w:vAlign w:val="center"/>
          </w:tcPr>
          <w:p w14:paraId="3908622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-1.845</w:t>
            </w:r>
          </w:p>
        </w:tc>
        <w:tc>
          <w:tcPr>
            <w:tcW w:w="1402" w:type="dxa"/>
            <w:tcBorders>
              <w:top w:val="nil"/>
              <w:left w:val="nil"/>
              <w:bottom w:val="nil"/>
              <w:right w:val="nil"/>
            </w:tcBorders>
            <w:vAlign w:val="center"/>
          </w:tcPr>
          <w:p w14:paraId="11A9F89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-164.5</w:t>
            </w:r>
          </w:p>
        </w:tc>
        <w:tc>
          <w:tcPr>
            <w:tcW w:w="1403" w:type="dxa"/>
            <w:tcBorders>
              <w:top w:val="nil"/>
              <w:left w:val="nil"/>
              <w:bottom w:val="nil"/>
              <w:right w:val="nil"/>
            </w:tcBorders>
            <w:vAlign w:val="center"/>
          </w:tcPr>
          <w:p w14:paraId="40B36A57"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-104.1</w:t>
            </w:r>
          </w:p>
        </w:tc>
      </w:tr>
      <w:tr w:rsidR="0064611C" w:rsidRPr="00F14751" w14:paraId="69353D30" w14:textId="77777777" w:rsidTr="008738C3">
        <w:trPr>
          <w:jc w:val="center"/>
        </w:trPr>
        <w:tc>
          <w:tcPr>
            <w:tcW w:w="2315" w:type="dxa"/>
            <w:tcBorders>
              <w:top w:val="nil"/>
              <w:left w:val="nil"/>
              <w:bottom w:val="nil"/>
              <w:right w:val="nil"/>
            </w:tcBorders>
            <w:vAlign w:val="center"/>
          </w:tcPr>
          <w:p w14:paraId="20BF95F6"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70E8D0A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(3.372)</w:t>
            </w:r>
          </w:p>
        </w:tc>
        <w:tc>
          <w:tcPr>
            <w:tcW w:w="1402" w:type="dxa"/>
            <w:tcBorders>
              <w:top w:val="nil"/>
              <w:left w:val="nil"/>
              <w:bottom w:val="nil"/>
              <w:right w:val="nil"/>
            </w:tcBorders>
            <w:vAlign w:val="center"/>
          </w:tcPr>
          <w:p w14:paraId="2E98E7F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(2.470)</w:t>
            </w:r>
          </w:p>
        </w:tc>
        <w:tc>
          <w:tcPr>
            <w:tcW w:w="1402" w:type="dxa"/>
            <w:tcBorders>
              <w:top w:val="nil"/>
              <w:left w:val="nil"/>
              <w:bottom w:val="nil"/>
              <w:right w:val="nil"/>
            </w:tcBorders>
            <w:vAlign w:val="center"/>
          </w:tcPr>
          <w:p w14:paraId="3B08A89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(1.843)</w:t>
            </w:r>
          </w:p>
        </w:tc>
        <w:tc>
          <w:tcPr>
            <w:tcW w:w="1402" w:type="dxa"/>
            <w:tcBorders>
              <w:top w:val="nil"/>
              <w:left w:val="nil"/>
              <w:bottom w:val="nil"/>
              <w:right w:val="nil"/>
            </w:tcBorders>
            <w:vAlign w:val="center"/>
          </w:tcPr>
          <w:p w14:paraId="56391807"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(1.256)</w:t>
            </w:r>
          </w:p>
        </w:tc>
        <w:tc>
          <w:tcPr>
            <w:tcW w:w="1402" w:type="dxa"/>
            <w:tcBorders>
              <w:top w:val="nil"/>
              <w:left w:val="nil"/>
              <w:bottom w:val="nil"/>
              <w:right w:val="nil"/>
            </w:tcBorders>
            <w:vAlign w:val="center"/>
          </w:tcPr>
          <w:p w14:paraId="675B969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(142.0)</w:t>
            </w:r>
          </w:p>
        </w:tc>
        <w:tc>
          <w:tcPr>
            <w:tcW w:w="1403" w:type="dxa"/>
            <w:tcBorders>
              <w:top w:val="nil"/>
              <w:left w:val="nil"/>
              <w:bottom w:val="nil"/>
              <w:right w:val="nil"/>
            </w:tcBorders>
            <w:vAlign w:val="center"/>
          </w:tcPr>
          <w:p w14:paraId="3FACF4B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(64.19)</w:t>
            </w:r>
          </w:p>
        </w:tc>
      </w:tr>
      <w:tr w:rsidR="0064611C" w:rsidRPr="00F14751" w14:paraId="672E6E98" w14:textId="77777777" w:rsidTr="008738C3">
        <w:trPr>
          <w:jc w:val="center"/>
        </w:trPr>
        <w:tc>
          <w:tcPr>
            <w:tcW w:w="2315" w:type="dxa"/>
            <w:tcBorders>
              <w:top w:val="nil"/>
              <w:left w:val="nil"/>
              <w:bottom w:val="nil"/>
              <w:right w:val="nil"/>
            </w:tcBorders>
            <w:vAlign w:val="center"/>
          </w:tcPr>
          <w:p w14:paraId="3A794E6D"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Death</w:t>
            </w:r>
          </w:p>
        </w:tc>
        <w:tc>
          <w:tcPr>
            <w:tcW w:w="1261" w:type="dxa"/>
            <w:tcBorders>
              <w:top w:val="nil"/>
              <w:left w:val="nil"/>
              <w:bottom w:val="nil"/>
              <w:right w:val="nil"/>
            </w:tcBorders>
            <w:vAlign w:val="center"/>
          </w:tcPr>
          <w:p w14:paraId="5AC28C5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1.689</w:t>
            </w:r>
          </w:p>
        </w:tc>
        <w:tc>
          <w:tcPr>
            <w:tcW w:w="1402" w:type="dxa"/>
            <w:tcBorders>
              <w:top w:val="nil"/>
              <w:left w:val="nil"/>
              <w:bottom w:val="nil"/>
              <w:right w:val="nil"/>
            </w:tcBorders>
            <w:vAlign w:val="center"/>
          </w:tcPr>
          <w:p w14:paraId="748E5F7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1.088</w:t>
            </w:r>
          </w:p>
        </w:tc>
        <w:tc>
          <w:tcPr>
            <w:tcW w:w="1402" w:type="dxa"/>
            <w:tcBorders>
              <w:top w:val="nil"/>
              <w:left w:val="nil"/>
              <w:bottom w:val="nil"/>
              <w:right w:val="nil"/>
            </w:tcBorders>
            <w:vAlign w:val="center"/>
          </w:tcPr>
          <w:p w14:paraId="14F10FC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1.784</w:t>
            </w:r>
          </w:p>
        </w:tc>
        <w:tc>
          <w:tcPr>
            <w:tcW w:w="1402" w:type="dxa"/>
            <w:tcBorders>
              <w:top w:val="nil"/>
              <w:left w:val="nil"/>
              <w:bottom w:val="nil"/>
              <w:right w:val="nil"/>
            </w:tcBorders>
            <w:vAlign w:val="center"/>
          </w:tcPr>
          <w:p w14:paraId="7EF6298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1.884</w:t>
            </w:r>
          </w:p>
        </w:tc>
        <w:tc>
          <w:tcPr>
            <w:tcW w:w="1402" w:type="dxa"/>
            <w:tcBorders>
              <w:top w:val="nil"/>
              <w:left w:val="nil"/>
              <w:bottom w:val="nil"/>
              <w:right w:val="nil"/>
            </w:tcBorders>
            <w:vAlign w:val="center"/>
          </w:tcPr>
          <w:p w14:paraId="44A394F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213.1</w:t>
            </w:r>
          </w:p>
        </w:tc>
        <w:tc>
          <w:tcPr>
            <w:tcW w:w="1403" w:type="dxa"/>
            <w:tcBorders>
              <w:top w:val="nil"/>
              <w:left w:val="nil"/>
              <w:bottom w:val="nil"/>
              <w:right w:val="nil"/>
            </w:tcBorders>
            <w:vAlign w:val="center"/>
          </w:tcPr>
          <w:p w14:paraId="529632F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129.4*</w:t>
            </w:r>
          </w:p>
        </w:tc>
      </w:tr>
      <w:tr w:rsidR="0064611C" w:rsidRPr="00F14751" w14:paraId="5318FB42" w14:textId="77777777" w:rsidTr="008738C3">
        <w:trPr>
          <w:jc w:val="center"/>
        </w:trPr>
        <w:tc>
          <w:tcPr>
            <w:tcW w:w="2315" w:type="dxa"/>
            <w:tcBorders>
              <w:top w:val="nil"/>
              <w:left w:val="nil"/>
              <w:bottom w:val="nil"/>
              <w:right w:val="nil"/>
            </w:tcBorders>
            <w:vAlign w:val="center"/>
          </w:tcPr>
          <w:p w14:paraId="7B55ABE2"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20B0082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(3.179)</w:t>
            </w:r>
          </w:p>
        </w:tc>
        <w:tc>
          <w:tcPr>
            <w:tcW w:w="1402" w:type="dxa"/>
            <w:tcBorders>
              <w:top w:val="nil"/>
              <w:left w:val="nil"/>
              <w:bottom w:val="nil"/>
              <w:right w:val="nil"/>
            </w:tcBorders>
            <w:vAlign w:val="center"/>
          </w:tcPr>
          <w:p w14:paraId="1C36384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(2.368)</w:t>
            </w:r>
          </w:p>
        </w:tc>
        <w:tc>
          <w:tcPr>
            <w:tcW w:w="1402" w:type="dxa"/>
            <w:tcBorders>
              <w:top w:val="nil"/>
              <w:left w:val="nil"/>
              <w:bottom w:val="nil"/>
              <w:right w:val="nil"/>
            </w:tcBorders>
            <w:vAlign w:val="center"/>
          </w:tcPr>
          <w:p w14:paraId="6718FF4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(1.801)</w:t>
            </w:r>
          </w:p>
        </w:tc>
        <w:tc>
          <w:tcPr>
            <w:tcW w:w="1402" w:type="dxa"/>
            <w:tcBorders>
              <w:top w:val="nil"/>
              <w:left w:val="nil"/>
              <w:bottom w:val="nil"/>
              <w:right w:val="nil"/>
            </w:tcBorders>
            <w:vAlign w:val="center"/>
          </w:tcPr>
          <w:p w14:paraId="45058B8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(1.266)</w:t>
            </w:r>
          </w:p>
        </w:tc>
        <w:tc>
          <w:tcPr>
            <w:tcW w:w="1402" w:type="dxa"/>
            <w:tcBorders>
              <w:top w:val="nil"/>
              <w:left w:val="nil"/>
              <w:bottom w:val="nil"/>
              <w:right w:val="nil"/>
            </w:tcBorders>
            <w:vAlign w:val="center"/>
          </w:tcPr>
          <w:p w14:paraId="00C679E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(123.5)</w:t>
            </w:r>
          </w:p>
        </w:tc>
        <w:tc>
          <w:tcPr>
            <w:tcW w:w="1403" w:type="dxa"/>
            <w:tcBorders>
              <w:top w:val="nil"/>
              <w:left w:val="nil"/>
              <w:bottom w:val="nil"/>
              <w:right w:val="nil"/>
            </w:tcBorders>
            <w:vAlign w:val="center"/>
          </w:tcPr>
          <w:p w14:paraId="593EA3A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(54.87)</w:t>
            </w:r>
          </w:p>
        </w:tc>
      </w:tr>
      <w:tr w:rsidR="0064611C" w:rsidRPr="00F14751" w14:paraId="388AE418" w14:textId="77777777" w:rsidTr="008738C3">
        <w:trPr>
          <w:jc w:val="center"/>
        </w:trPr>
        <w:tc>
          <w:tcPr>
            <w:tcW w:w="2315" w:type="dxa"/>
            <w:tcBorders>
              <w:top w:val="nil"/>
              <w:left w:val="nil"/>
              <w:bottom w:val="nil"/>
              <w:right w:val="nil"/>
            </w:tcBorders>
            <w:vAlign w:val="center"/>
          </w:tcPr>
          <w:p w14:paraId="006C041F"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UrbanPopgrowth</w:t>
            </w:r>
            <w:proofErr w:type="spellEnd"/>
          </w:p>
        </w:tc>
        <w:tc>
          <w:tcPr>
            <w:tcW w:w="1261" w:type="dxa"/>
            <w:tcBorders>
              <w:top w:val="nil"/>
              <w:left w:val="nil"/>
              <w:bottom w:val="nil"/>
              <w:right w:val="nil"/>
            </w:tcBorders>
            <w:vAlign w:val="center"/>
          </w:tcPr>
          <w:p w14:paraId="4AE6D76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1.407</w:t>
            </w:r>
          </w:p>
        </w:tc>
        <w:tc>
          <w:tcPr>
            <w:tcW w:w="1402" w:type="dxa"/>
            <w:tcBorders>
              <w:top w:val="nil"/>
              <w:left w:val="nil"/>
              <w:bottom w:val="nil"/>
              <w:right w:val="nil"/>
            </w:tcBorders>
            <w:vAlign w:val="center"/>
          </w:tcPr>
          <w:p w14:paraId="14E16DF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-1.651</w:t>
            </w:r>
          </w:p>
        </w:tc>
        <w:tc>
          <w:tcPr>
            <w:tcW w:w="1402" w:type="dxa"/>
            <w:tcBorders>
              <w:top w:val="nil"/>
              <w:left w:val="nil"/>
              <w:bottom w:val="nil"/>
              <w:right w:val="nil"/>
            </w:tcBorders>
            <w:vAlign w:val="center"/>
          </w:tcPr>
          <w:p w14:paraId="27449E3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-1.357</w:t>
            </w:r>
          </w:p>
        </w:tc>
        <w:tc>
          <w:tcPr>
            <w:tcW w:w="1402" w:type="dxa"/>
            <w:tcBorders>
              <w:top w:val="nil"/>
              <w:left w:val="nil"/>
              <w:bottom w:val="nil"/>
              <w:right w:val="nil"/>
            </w:tcBorders>
            <w:vAlign w:val="center"/>
          </w:tcPr>
          <w:p w14:paraId="0E762C4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-2.205</w:t>
            </w:r>
          </w:p>
        </w:tc>
        <w:tc>
          <w:tcPr>
            <w:tcW w:w="1402" w:type="dxa"/>
            <w:tcBorders>
              <w:top w:val="nil"/>
              <w:left w:val="nil"/>
              <w:bottom w:val="nil"/>
              <w:right w:val="nil"/>
            </w:tcBorders>
            <w:vAlign w:val="center"/>
          </w:tcPr>
          <w:p w14:paraId="668E3FAA"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-148.5*</w:t>
            </w:r>
          </w:p>
        </w:tc>
        <w:tc>
          <w:tcPr>
            <w:tcW w:w="1403" w:type="dxa"/>
            <w:tcBorders>
              <w:top w:val="nil"/>
              <w:left w:val="nil"/>
              <w:bottom w:val="nil"/>
              <w:right w:val="nil"/>
            </w:tcBorders>
            <w:vAlign w:val="center"/>
          </w:tcPr>
          <w:p w14:paraId="7A2D57B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-105.1*</w:t>
            </w:r>
          </w:p>
        </w:tc>
      </w:tr>
      <w:tr w:rsidR="0064611C" w:rsidRPr="00F14751" w14:paraId="746EDF83" w14:textId="77777777" w:rsidTr="008738C3">
        <w:trPr>
          <w:jc w:val="center"/>
        </w:trPr>
        <w:tc>
          <w:tcPr>
            <w:tcW w:w="2315" w:type="dxa"/>
            <w:tcBorders>
              <w:top w:val="nil"/>
              <w:left w:val="nil"/>
              <w:bottom w:val="nil"/>
              <w:right w:val="nil"/>
            </w:tcBorders>
            <w:vAlign w:val="center"/>
          </w:tcPr>
          <w:p w14:paraId="435D33AD"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69944E3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(1.093)</w:t>
            </w:r>
          </w:p>
        </w:tc>
        <w:tc>
          <w:tcPr>
            <w:tcW w:w="1402" w:type="dxa"/>
            <w:tcBorders>
              <w:top w:val="nil"/>
              <w:left w:val="nil"/>
              <w:bottom w:val="nil"/>
              <w:right w:val="nil"/>
            </w:tcBorders>
            <w:vAlign w:val="center"/>
          </w:tcPr>
          <w:p w14:paraId="798949B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(1.571)</w:t>
            </w:r>
          </w:p>
        </w:tc>
        <w:tc>
          <w:tcPr>
            <w:tcW w:w="1402" w:type="dxa"/>
            <w:tcBorders>
              <w:top w:val="nil"/>
              <w:left w:val="nil"/>
              <w:bottom w:val="nil"/>
              <w:right w:val="nil"/>
            </w:tcBorders>
            <w:vAlign w:val="center"/>
          </w:tcPr>
          <w:p w14:paraId="22DD614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(1.552)</w:t>
            </w:r>
          </w:p>
        </w:tc>
        <w:tc>
          <w:tcPr>
            <w:tcW w:w="1402" w:type="dxa"/>
            <w:tcBorders>
              <w:top w:val="nil"/>
              <w:left w:val="nil"/>
              <w:bottom w:val="nil"/>
              <w:right w:val="nil"/>
            </w:tcBorders>
            <w:vAlign w:val="center"/>
          </w:tcPr>
          <w:p w14:paraId="21EA717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(1.835)</w:t>
            </w:r>
          </w:p>
        </w:tc>
        <w:tc>
          <w:tcPr>
            <w:tcW w:w="1402" w:type="dxa"/>
            <w:tcBorders>
              <w:top w:val="nil"/>
              <w:left w:val="nil"/>
              <w:bottom w:val="nil"/>
              <w:right w:val="nil"/>
            </w:tcBorders>
            <w:vAlign w:val="center"/>
          </w:tcPr>
          <w:p w14:paraId="3A0F6EF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(53.89)</w:t>
            </w:r>
          </w:p>
        </w:tc>
        <w:tc>
          <w:tcPr>
            <w:tcW w:w="1403" w:type="dxa"/>
            <w:tcBorders>
              <w:top w:val="nil"/>
              <w:left w:val="nil"/>
              <w:bottom w:val="nil"/>
              <w:right w:val="nil"/>
            </w:tcBorders>
            <w:vAlign w:val="center"/>
          </w:tcPr>
          <w:p w14:paraId="7D20F54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(40.02)</w:t>
            </w:r>
          </w:p>
        </w:tc>
      </w:tr>
      <w:tr w:rsidR="0064611C" w:rsidRPr="00F14751" w14:paraId="1C3E2FCB" w14:textId="77777777" w:rsidTr="008738C3">
        <w:trPr>
          <w:jc w:val="center"/>
        </w:trPr>
        <w:tc>
          <w:tcPr>
            <w:tcW w:w="2315" w:type="dxa"/>
            <w:tcBorders>
              <w:top w:val="nil"/>
              <w:left w:val="nil"/>
              <w:bottom w:val="nil"/>
              <w:right w:val="nil"/>
            </w:tcBorders>
            <w:vAlign w:val="center"/>
          </w:tcPr>
          <w:p w14:paraId="5C81974E"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Mercosur</w:t>
            </w:r>
          </w:p>
        </w:tc>
        <w:tc>
          <w:tcPr>
            <w:tcW w:w="1261" w:type="dxa"/>
            <w:tcBorders>
              <w:top w:val="nil"/>
              <w:left w:val="nil"/>
              <w:bottom w:val="nil"/>
              <w:right w:val="nil"/>
            </w:tcBorders>
            <w:vAlign w:val="center"/>
          </w:tcPr>
          <w:p w14:paraId="729668C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12.10*</w:t>
            </w:r>
          </w:p>
        </w:tc>
        <w:tc>
          <w:tcPr>
            <w:tcW w:w="1402" w:type="dxa"/>
            <w:tcBorders>
              <w:top w:val="nil"/>
              <w:left w:val="nil"/>
              <w:bottom w:val="nil"/>
              <w:right w:val="nil"/>
            </w:tcBorders>
            <w:vAlign w:val="center"/>
          </w:tcPr>
          <w:p w14:paraId="0F3E3AD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10.42**</w:t>
            </w:r>
          </w:p>
        </w:tc>
        <w:tc>
          <w:tcPr>
            <w:tcW w:w="1402" w:type="dxa"/>
            <w:tcBorders>
              <w:top w:val="nil"/>
              <w:left w:val="nil"/>
              <w:bottom w:val="nil"/>
              <w:right w:val="nil"/>
            </w:tcBorders>
            <w:vAlign w:val="center"/>
          </w:tcPr>
          <w:p w14:paraId="6163111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6.661*</w:t>
            </w:r>
          </w:p>
        </w:tc>
        <w:tc>
          <w:tcPr>
            <w:tcW w:w="1402" w:type="dxa"/>
            <w:tcBorders>
              <w:top w:val="nil"/>
              <w:left w:val="nil"/>
              <w:bottom w:val="nil"/>
              <w:right w:val="nil"/>
            </w:tcBorders>
            <w:vAlign w:val="center"/>
          </w:tcPr>
          <w:p w14:paraId="309426F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3.789</w:t>
            </w:r>
          </w:p>
        </w:tc>
        <w:tc>
          <w:tcPr>
            <w:tcW w:w="1402" w:type="dxa"/>
            <w:tcBorders>
              <w:top w:val="nil"/>
              <w:left w:val="nil"/>
              <w:bottom w:val="nil"/>
              <w:right w:val="nil"/>
            </w:tcBorders>
            <w:vAlign w:val="center"/>
          </w:tcPr>
          <w:p w14:paraId="3EA738E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380.2</w:t>
            </w:r>
          </w:p>
        </w:tc>
        <w:tc>
          <w:tcPr>
            <w:tcW w:w="1403" w:type="dxa"/>
            <w:tcBorders>
              <w:top w:val="nil"/>
              <w:left w:val="nil"/>
              <w:bottom w:val="nil"/>
              <w:right w:val="nil"/>
            </w:tcBorders>
            <w:vAlign w:val="center"/>
          </w:tcPr>
          <w:p w14:paraId="303FD79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177.7</w:t>
            </w:r>
          </w:p>
        </w:tc>
      </w:tr>
      <w:tr w:rsidR="0064611C" w:rsidRPr="00F14751" w14:paraId="2E5E9C87" w14:textId="77777777" w:rsidTr="008738C3">
        <w:trPr>
          <w:jc w:val="center"/>
        </w:trPr>
        <w:tc>
          <w:tcPr>
            <w:tcW w:w="2315" w:type="dxa"/>
            <w:tcBorders>
              <w:top w:val="nil"/>
              <w:left w:val="nil"/>
              <w:bottom w:val="nil"/>
              <w:right w:val="nil"/>
            </w:tcBorders>
            <w:vAlign w:val="center"/>
          </w:tcPr>
          <w:p w14:paraId="18BC4F39"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0B37F45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(4.569)</w:t>
            </w:r>
          </w:p>
        </w:tc>
        <w:tc>
          <w:tcPr>
            <w:tcW w:w="1402" w:type="dxa"/>
            <w:tcBorders>
              <w:top w:val="nil"/>
              <w:left w:val="nil"/>
              <w:bottom w:val="nil"/>
              <w:right w:val="nil"/>
            </w:tcBorders>
            <w:vAlign w:val="center"/>
          </w:tcPr>
          <w:p w14:paraId="7CA5245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(3.326)</w:t>
            </w:r>
          </w:p>
        </w:tc>
        <w:tc>
          <w:tcPr>
            <w:tcW w:w="1402" w:type="dxa"/>
            <w:tcBorders>
              <w:top w:val="nil"/>
              <w:left w:val="nil"/>
              <w:bottom w:val="nil"/>
              <w:right w:val="nil"/>
            </w:tcBorders>
            <w:vAlign w:val="center"/>
          </w:tcPr>
          <w:p w14:paraId="666EFD2F"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(2.955)</w:t>
            </w:r>
          </w:p>
        </w:tc>
        <w:tc>
          <w:tcPr>
            <w:tcW w:w="1402" w:type="dxa"/>
            <w:tcBorders>
              <w:top w:val="nil"/>
              <w:left w:val="nil"/>
              <w:bottom w:val="nil"/>
              <w:right w:val="nil"/>
            </w:tcBorders>
            <w:vAlign w:val="center"/>
          </w:tcPr>
          <w:p w14:paraId="4AF3D21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(2.627)</w:t>
            </w:r>
          </w:p>
        </w:tc>
        <w:tc>
          <w:tcPr>
            <w:tcW w:w="1402" w:type="dxa"/>
            <w:tcBorders>
              <w:top w:val="nil"/>
              <w:left w:val="nil"/>
              <w:bottom w:val="nil"/>
              <w:right w:val="nil"/>
            </w:tcBorders>
            <w:vAlign w:val="center"/>
          </w:tcPr>
          <w:p w14:paraId="06D0547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(181.5)</w:t>
            </w:r>
          </w:p>
        </w:tc>
        <w:tc>
          <w:tcPr>
            <w:tcW w:w="1403" w:type="dxa"/>
            <w:tcBorders>
              <w:top w:val="nil"/>
              <w:left w:val="nil"/>
              <w:bottom w:val="nil"/>
              <w:right w:val="nil"/>
            </w:tcBorders>
            <w:vAlign w:val="center"/>
          </w:tcPr>
          <w:p w14:paraId="0144257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(99.74)</w:t>
            </w:r>
          </w:p>
        </w:tc>
      </w:tr>
      <w:tr w:rsidR="0064611C" w:rsidRPr="00F14751" w14:paraId="5247B54C" w14:textId="77777777" w:rsidTr="008738C3">
        <w:trPr>
          <w:jc w:val="center"/>
        </w:trPr>
        <w:tc>
          <w:tcPr>
            <w:tcW w:w="2315" w:type="dxa"/>
            <w:tcBorders>
              <w:top w:val="nil"/>
              <w:left w:val="nil"/>
              <w:bottom w:val="nil"/>
              <w:right w:val="nil"/>
            </w:tcBorders>
            <w:vAlign w:val="center"/>
          </w:tcPr>
          <w:p w14:paraId="7EA7AD66"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Gini</w:t>
            </w:r>
          </w:p>
        </w:tc>
        <w:tc>
          <w:tcPr>
            <w:tcW w:w="1261" w:type="dxa"/>
            <w:tcBorders>
              <w:top w:val="nil"/>
              <w:left w:val="nil"/>
              <w:bottom w:val="nil"/>
              <w:right w:val="nil"/>
            </w:tcBorders>
            <w:vAlign w:val="center"/>
          </w:tcPr>
          <w:p w14:paraId="01B41CE7"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1.336**</w:t>
            </w:r>
          </w:p>
        </w:tc>
        <w:tc>
          <w:tcPr>
            <w:tcW w:w="1402" w:type="dxa"/>
            <w:tcBorders>
              <w:top w:val="nil"/>
              <w:left w:val="nil"/>
              <w:bottom w:val="nil"/>
              <w:right w:val="nil"/>
            </w:tcBorders>
            <w:vAlign w:val="center"/>
          </w:tcPr>
          <w:p w14:paraId="75C588E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1.216**</w:t>
            </w:r>
          </w:p>
        </w:tc>
        <w:tc>
          <w:tcPr>
            <w:tcW w:w="1402" w:type="dxa"/>
            <w:tcBorders>
              <w:top w:val="nil"/>
              <w:left w:val="nil"/>
              <w:bottom w:val="nil"/>
              <w:right w:val="nil"/>
            </w:tcBorders>
            <w:vAlign w:val="center"/>
          </w:tcPr>
          <w:p w14:paraId="3623097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0.923**</w:t>
            </w:r>
          </w:p>
        </w:tc>
        <w:tc>
          <w:tcPr>
            <w:tcW w:w="1402" w:type="dxa"/>
            <w:tcBorders>
              <w:top w:val="nil"/>
              <w:left w:val="nil"/>
              <w:bottom w:val="nil"/>
              <w:right w:val="nil"/>
            </w:tcBorders>
            <w:vAlign w:val="center"/>
          </w:tcPr>
          <w:p w14:paraId="792E5C6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0.694**</w:t>
            </w:r>
          </w:p>
        </w:tc>
        <w:tc>
          <w:tcPr>
            <w:tcW w:w="1402" w:type="dxa"/>
            <w:tcBorders>
              <w:top w:val="nil"/>
              <w:left w:val="nil"/>
              <w:bottom w:val="nil"/>
              <w:right w:val="nil"/>
            </w:tcBorders>
            <w:vAlign w:val="center"/>
          </w:tcPr>
          <w:p w14:paraId="029C2DF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45.41**</w:t>
            </w:r>
          </w:p>
        </w:tc>
        <w:tc>
          <w:tcPr>
            <w:tcW w:w="1403" w:type="dxa"/>
            <w:tcBorders>
              <w:top w:val="nil"/>
              <w:left w:val="nil"/>
              <w:bottom w:val="nil"/>
              <w:right w:val="nil"/>
            </w:tcBorders>
            <w:vAlign w:val="center"/>
          </w:tcPr>
          <w:p w14:paraId="3C9C467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22.84**</w:t>
            </w:r>
          </w:p>
        </w:tc>
      </w:tr>
      <w:tr w:rsidR="0064611C" w:rsidRPr="00F14751" w14:paraId="07AFAE5A" w14:textId="77777777" w:rsidTr="008738C3">
        <w:trPr>
          <w:jc w:val="center"/>
        </w:trPr>
        <w:tc>
          <w:tcPr>
            <w:tcW w:w="2315" w:type="dxa"/>
            <w:tcBorders>
              <w:top w:val="nil"/>
              <w:left w:val="nil"/>
              <w:bottom w:val="nil"/>
              <w:right w:val="nil"/>
            </w:tcBorders>
            <w:vAlign w:val="center"/>
          </w:tcPr>
          <w:p w14:paraId="2402F755"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20D73FB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(0.305)</w:t>
            </w:r>
          </w:p>
        </w:tc>
        <w:tc>
          <w:tcPr>
            <w:tcW w:w="1402" w:type="dxa"/>
            <w:tcBorders>
              <w:top w:val="nil"/>
              <w:left w:val="nil"/>
              <w:bottom w:val="nil"/>
              <w:right w:val="nil"/>
            </w:tcBorders>
            <w:vAlign w:val="center"/>
          </w:tcPr>
          <w:p w14:paraId="7CB4F08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(0.289)</w:t>
            </w:r>
          </w:p>
        </w:tc>
        <w:tc>
          <w:tcPr>
            <w:tcW w:w="1402" w:type="dxa"/>
            <w:tcBorders>
              <w:top w:val="nil"/>
              <w:left w:val="nil"/>
              <w:bottom w:val="nil"/>
              <w:right w:val="nil"/>
            </w:tcBorders>
            <w:vAlign w:val="center"/>
          </w:tcPr>
          <w:p w14:paraId="447D489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(0.243)</w:t>
            </w:r>
          </w:p>
        </w:tc>
        <w:tc>
          <w:tcPr>
            <w:tcW w:w="1402" w:type="dxa"/>
            <w:tcBorders>
              <w:top w:val="nil"/>
              <w:left w:val="nil"/>
              <w:bottom w:val="nil"/>
              <w:right w:val="nil"/>
            </w:tcBorders>
            <w:vAlign w:val="center"/>
          </w:tcPr>
          <w:p w14:paraId="1556639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(0.210)</w:t>
            </w:r>
          </w:p>
        </w:tc>
        <w:tc>
          <w:tcPr>
            <w:tcW w:w="1402" w:type="dxa"/>
            <w:tcBorders>
              <w:top w:val="nil"/>
              <w:left w:val="nil"/>
              <w:bottom w:val="nil"/>
              <w:right w:val="nil"/>
            </w:tcBorders>
            <w:vAlign w:val="center"/>
          </w:tcPr>
          <w:p w14:paraId="2E38053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(13.40)</w:t>
            </w:r>
          </w:p>
        </w:tc>
        <w:tc>
          <w:tcPr>
            <w:tcW w:w="1403" w:type="dxa"/>
            <w:tcBorders>
              <w:top w:val="nil"/>
              <w:left w:val="nil"/>
              <w:bottom w:val="nil"/>
              <w:right w:val="nil"/>
            </w:tcBorders>
            <w:vAlign w:val="center"/>
          </w:tcPr>
          <w:p w14:paraId="362D6CB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(7.516)</w:t>
            </w:r>
          </w:p>
        </w:tc>
      </w:tr>
      <w:tr w:rsidR="0064611C" w:rsidRPr="00F14751" w14:paraId="33EC77F0" w14:textId="77777777" w:rsidTr="008738C3">
        <w:trPr>
          <w:jc w:val="center"/>
        </w:trPr>
        <w:tc>
          <w:tcPr>
            <w:tcW w:w="2315" w:type="dxa"/>
            <w:tcBorders>
              <w:top w:val="nil"/>
              <w:left w:val="nil"/>
              <w:bottom w:val="nil"/>
              <w:right w:val="nil"/>
            </w:tcBorders>
            <w:vAlign w:val="center"/>
          </w:tcPr>
          <w:p w14:paraId="79C06352"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Constant</w:t>
            </w:r>
          </w:p>
        </w:tc>
        <w:tc>
          <w:tcPr>
            <w:tcW w:w="1261" w:type="dxa"/>
            <w:tcBorders>
              <w:top w:val="nil"/>
              <w:left w:val="nil"/>
              <w:bottom w:val="nil"/>
              <w:right w:val="nil"/>
            </w:tcBorders>
            <w:vAlign w:val="center"/>
          </w:tcPr>
          <w:p w14:paraId="64AF3C9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-24.69</w:t>
            </w:r>
          </w:p>
        </w:tc>
        <w:tc>
          <w:tcPr>
            <w:tcW w:w="1402" w:type="dxa"/>
            <w:tcBorders>
              <w:top w:val="nil"/>
              <w:left w:val="nil"/>
              <w:bottom w:val="nil"/>
              <w:right w:val="nil"/>
            </w:tcBorders>
            <w:vAlign w:val="center"/>
          </w:tcPr>
          <w:p w14:paraId="31B3899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-25.61</w:t>
            </w:r>
          </w:p>
        </w:tc>
        <w:tc>
          <w:tcPr>
            <w:tcW w:w="1402" w:type="dxa"/>
            <w:tcBorders>
              <w:top w:val="nil"/>
              <w:left w:val="nil"/>
              <w:bottom w:val="nil"/>
              <w:right w:val="nil"/>
            </w:tcBorders>
            <w:vAlign w:val="center"/>
          </w:tcPr>
          <w:p w14:paraId="4FB1B2C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-28.51</w:t>
            </w:r>
          </w:p>
        </w:tc>
        <w:tc>
          <w:tcPr>
            <w:tcW w:w="1402" w:type="dxa"/>
            <w:tcBorders>
              <w:top w:val="nil"/>
              <w:left w:val="nil"/>
              <w:bottom w:val="nil"/>
              <w:right w:val="nil"/>
            </w:tcBorders>
            <w:vAlign w:val="center"/>
          </w:tcPr>
          <w:p w14:paraId="6F23749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-28.51</w:t>
            </w:r>
          </w:p>
        </w:tc>
        <w:tc>
          <w:tcPr>
            <w:tcW w:w="1402" w:type="dxa"/>
            <w:tcBorders>
              <w:top w:val="nil"/>
              <w:left w:val="nil"/>
              <w:bottom w:val="nil"/>
              <w:right w:val="nil"/>
            </w:tcBorders>
            <w:vAlign w:val="center"/>
          </w:tcPr>
          <w:p w14:paraId="3E3CED4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-2,168</w:t>
            </w:r>
          </w:p>
        </w:tc>
        <w:tc>
          <w:tcPr>
            <w:tcW w:w="1403" w:type="dxa"/>
            <w:tcBorders>
              <w:top w:val="nil"/>
              <w:left w:val="nil"/>
              <w:bottom w:val="nil"/>
              <w:right w:val="nil"/>
            </w:tcBorders>
            <w:vAlign w:val="center"/>
          </w:tcPr>
          <w:p w14:paraId="42683CAC"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-1,341</w:t>
            </w:r>
          </w:p>
        </w:tc>
      </w:tr>
      <w:tr w:rsidR="0064611C" w:rsidRPr="00F14751" w14:paraId="073B0F4A" w14:textId="77777777" w:rsidTr="008738C3">
        <w:trPr>
          <w:jc w:val="center"/>
        </w:trPr>
        <w:tc>
          <w:tcPr>
            <w:tcW w:w="2315" w:type="dxa"/>
            <w:tcBorders>
              <w:top w:val="nil"/>
              <w:left w:val="nil"/>
              <w:bottom w:val="nil"/>
              <w:right w:val="nil"/>
            </w:tcBorders>
            <w:vAlign w:val="center"/>
          </w:tcPr>
          <w:p w14:paraId="11C209C8"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5BFDFE1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(28.14)</w:t>
            </w:r>
          </w:p>
        </w:tc>
        <w:tc>
          <w:tcPr>
            <w:tcW w:w="1402" w:type="dxa"/>
            <w:tcBorders>
              <w:top w:val="nil"/>
              <w:left w:val="nil"/>
              <w:bottom w:val="nil"/>
              <w:right w:val="nil"/>
            </w:tcBorders>
            <w:vAlign w:val="center"/>
          </w:tcPr>
          <w:p w14:paraId="3A09C0A7"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(28.83)</w:t>
            </w:r>
          </w:p>
        </w:tc>
        <w:tc>
          <w:tcPr>
            <w:tcW w:w="1402" w:type="dxa"/>
            <w:tcBorders>
              <w:top w:val="nil"/>
              <w:left w:val="nil"/>
              <w:bottom w:val="nil"/>
              <w:right w:val="nil"/>
            </w:tcBorders>
            <w:vAlign w:val="center"/>
          </w:tcPr>
          <w:p w14:paraId="233089A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(23.83)</w:t>
            </w:r>
          </w:p>
        </w:tc>
        <w:tc>
          <w:tcPr>
            <w:tcW w:w="1402" w:type="dxa"/>
            <w:tcBorders>
              <w:top w:val="nil"/>
              <w:left w:val="nil"/>
              <w:bottom w:val="nil"/>
              <w:right w:val="nil"/>
            </w:tcBorders>
            <w:vAlign w:val="center"/>
          </w:tcPr>
          <w:p w14:paraId="181DB45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(21.12)</w:t>
            </w:r>
          </w:p>
        </w:tc>
        <w:tc>
          <w:tcPr>
            <w:tcW w:w="1402" w:type="dxa"/>
            <w:tcBorders>
              <w:top w:val="nil"/>
              <w:left w:val="nil"/>
              <w:bottom w:val="nil"/>
              <w:right w:val="nil"/>
            </w:tcBorders>
            <w:vAlign w:val="center"/>
          </w:tcPr>
          <w:p w14:paraId="469C644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(1,268)</w:t>
            </w:r>
          </w:p>
        </w:tc>
        <w:tc>
          <w:tcPr>
            <w:tcW w:w="1403" w:type="dxa"/>
            <w:tcBorders>
              <w:top w:val="nil"/>
              <w:left w:val="nil"/>
              <w:bottom w:val="nil"/>
              <w:right w:val="nil"/>
            </w:tcBorders>
            <w:vAlign w:val="center"/>
          </w:tcPr>
          <w:p w14:paraId="78C0604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(677.8)</w:t>
            </w:r>
          </w:p>
        </w:tc>
      </w:tr>
      <w:tr w:rsidR="0064611C" w:rsidRPr="00F14751" w14:paraId="360360FD" w14:textId="77777777" w:rsidTr="008738C3">
        <w:trPr>
          <w:jc w:val="center"/>
        </w:trPr>
        <w:tc>
          <w:tcPr>
            <w:tcW w:w="2315" w:type="dxa"/>
            <w:tcBorders>
              <w:top w:val="nil"/>
              <w:left w:val="nil"/>
              <w:bottom w:val="nil"/>
              <w:right w:val="nil"/>
            </w:tcBorders>
            <w:vAlign w:val="center"/>
          </w:tcPr>
          <w:p w14:paraId="7FC64F0A"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nil"/>
            </w:tcBorders>
            <w:vAlign w:val="center"/>
          </w:tcPr>
          <w:p w14:paraId="75D3259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4055447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222FFE1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2632A98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2" w:type="dxa"/>
            <w:tcBorders>
              <w:top w:val="nil"/>
              <w:left w:val="nil"/>
              <w:bottom w:val="nil"/>
              <w:right w:val="nil"/>
            </w:tcBorders>
            <w:vAlign w:val="center"/>
          </w:tcPr>
          <w:p w14:paraId="009F0B66"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tcBorders>
              <w:top w:val="nil"/>
              <w:left w:val="nil"/>
              <w:bottom w:val="nil"/>
              <w:right w:val="nil"/>
            </w:tcBorders>
            <w:vAlign w:val="center"/>
          </w:tcPr>
          <w:p w14:paraId="7084E99F"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4987B39D" w14:textId="77777777" w:rsidTr="008738C3">
        <w:trPr>
          <w:jc w:val="center"/>
        </w:trPr>
        <w:tc>
          <w:tcPr>
            <w:tcW w:w="2315" w:type="dxa"/>
            <w:tcBorders>
              <w:top w:val="nil"/>
              <w:left w:val="nil"/>
              <w:bottom w:val="nil"/>
              <w:right w:val="nil"/>
            </w:tcBorders>
            <w:vAlign w:val="center"/>
          </w:tcPr>
          <w:p w14:paraId="3AACA267"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Observations</w:t>
            </w:r>
          </w:p>
        </w:tc>
        <w:tc>
          <w:tcPr>
            <w:tcW w:w="1261" w:type="dxa"/>
            <w:tcBorders>
              <w:top w:val="nil"/>
              <w:left w:val="nil"/>
              <w:bottom w:val="nil"/>
              <w:right w:val="nil"/>
            </w:tcBorders>
            <w:vAlign w:val="center"/>
          </w:tcPr>
          <w:p w14:paraId="0BDF10C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402" w:type="dxa"/>
            <w:tcBorders>
              <w:top w:val="nil"/>
              <w:left w:val="nil"/>
              <w:bottom w:val="nil"/>
              <w:right w:val="nil"/>
            </w:tcBorders>
            <w:vAlign w:val="center"/>
          </w:tcPr>
          <w:p w14:paraId="07926C9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402" w:type="dxa"/>
            <w:tcBorders>
              <w:top w:val="nil"/>
              <w:left w:val="nil"/>
              <w:bottom w:val="nil"/>
              <w:right w:val="nil"/>
            </w:tcBorders>
            <w:vAlign w:val="center"/>
          </w:tcPr>
          <w:p w14:paraId="175CCAB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402" w:type="dxa"/>
            <w:tcBorders>
              <w:top w:val="nil"/>
              <w:left w:val="nil"/>
              <w:bottom w:val="nil"/>
              <w:right w:val="nil"/>
            </w:tcBorders>
            <w:vAlign w:val="center"/>
          </w:tcPr>
          <w:p w14:paraId="5DD919C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402" w:type="dxa"/>
            <w:tcBorders>
              <w:top w:val="nil"/>
              <w:left w:val="nil"/>
              <w:bottom w:val="nil"/>
              <w:right w:val="nil"/>
            </w:tcBorders>
            <w:vAlign w:val="center"/>
          </w:tcPr>
          <w:p w14:paraId="6CBFD970"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403" w:type="dxa"/>
            <w:tcBorders>
              <w:top w:val="nil"/>
              <w:left w:val="nil"/>
              <w:bottom w:val="nil"/>
              <w:right w:val="nil"/>
            </w:tcBorders>
            <w:vAlign w:val="center"/>
          </w:tcPr>
          <w:p w14:paraId="1705833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r>
      <w:tr w:rsidR="0064611C" w:rsidRPr="00F14751" w14:paraId="3C829C76" w14:textId="77777777" w:rsidTr="008738C3">
        <w:trPr>
          <w:jc w:val="center"/>
        </w:trPr>
        <w:tc>
          <w:tcPr>
            <w:tcW w:w="2315" w:type="dxa"/>
            <w:tcBorders>
              <w:top w:val="nil"/>
              <w:left w:val="nil"/>
              <w:bottom w:val="nil"/>
              <w:right w:val="nil"/>
            </w:tcBorders>
            <w:vAlign w:val="center"/>
          </w:tcPr>
          <w:p w14:paraId="760277AE"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R-squared</w:t>
            </w:r>
          </w:p>
        </w:tc>
        <w:tc>
          <w:tcPr>
            <w:tcW w:w="1261" w:type="dxa"/>
            <w:tcBorders>
              <w:top w:val="nil"/>
              <w:left w:val="nil"/>
              <w:bottom w:val="nil"/>
              <w:right w:val="nil"/>
            </w:tcBorders>
            <w:vAlign w:val="center"/>
          </w:tcPr>
          <w:p w14:paraId="57B652C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0.891</w:t>
            </w:r>
          </w:p>
        </w:tc>
        <w:tc>
          <w:tcPr>
            <w:tcW w:w="1402" w:type="dxa"/>
            <w:tcBorders>
              <w:top w:val="nil"/>
              <w:left w:val="nil"/>
              <w:bottom w:val="nil"/>
              <w:right w:val="nil"/>
            </w:tcBorders>
            <w:vAlign w:val="center"/>
          </w:tcPr>
          <w:p w14:paraId="0891C2C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0.868</w:t>
            </w:r>
          </w:p>
        </w:tc>
        <w:tc>
          <w:tcPr>
            <w:tcW w:w="1402" w:type="dxa"/>
            <w:tcBorders>
              <w:top w:val="nil"/>
              <w:left w:val="nil"/>
              <w:bottom w:val="nil"/>
              <w:right w:val="nil"/>
            </w:tcBorders>
            <w:vAlign w:val="center"/>
          </w:tcPr>
          <w:p w14:paraId="5AE93DA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0.856</w:t>
            </w:r>
          </w:p>
        </w:tc>
        <w:tc>
          <w:tcPr>
            <w:tcW w:w="1402" w:type="dxa"/>
            <w:tcBorders>
              <w:top w:val="nil"/>
              <w:left w:val="nil"/>
              <w:bottom w:val="nil"/>
              <w:right w:val="nil"/>
            </w:tcBorders>
            <w:vAlign w:val="center"/>
          </w:tcPr>
          <w:p w14:paraId="40EE295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0.810</w:t>
            </w:r>
          </w:p>
        </w:tc>
        <w:tc>
          <w:tcPr>
            <w:tcW w:w="1402" w:type="dxa"/>
            <w:tcBorders>
              <w:top w:val="nil"/>
              <w:left w:val="nil"/>
              <w:bottom w:val="nil"/>
              <w:right w:val="nil"/>
            </w:tcBorders>
            <w:vAlign w:val="center"/>
          </w:tcPr>
          <w:p w14:paraId="0BB414D8"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0.834</w:t>
            </w:r>
          </w:p>
        </w:tc>
        <w:tc>
          <w:tcPr>
            <w:tcW w:w="1403" w:type="dxa"/>
            <w:tcBorders>
              <w:top w:val="nil"/>
              <w:left w:val="nil"/>
              <w:bottom w:val="nil"/>
              <w:right w:val="nil"/>
            </w:tcBorders>
            <w:vAlign w:val="center"/>
          </w:tcPr>
          <w:p w14:paraId="1690651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0.811</w:t>
            </w:r>
          </w:p>
        </w:tc>
      </w:tr>
      <w:tr w:rsidR="0064611C" w:rsidRPr="00F14751" w14:paraId="4AC1D9AF" w14:textId="77777777" w:rsidTr="008738C3">
        <w:trPr>
          <w:jc w:val="center"/>
        </w:trPr>
        <w:tc>
          <w:tcPr>
            <w:tcW w:w="2315" w:type="dxa"/>
            <w:tcBorders>
              <w:top w:val="nil"/>
              <w:left w:val="nil"/>
              <w:bottom w:val="nil"/>
              <w:right w:val="nil"/>
            </w:tcBorders>
            <w:vAlign w:val="center"/>
          </w:tcPr>
          <w:p w14:paraId="79B93FCB"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Number of Countries</w:t>
            </w:r>
          </w:p>
        </w:tc>
        <w:tc>
          <w:tcPr>
            <w:tcW w:w="1261" w:type="dxa"/>
            <w:tcBorders>
              <w:top w:val="nil"/>
              <w:left w:val="nil"/>
              <w:bottom w:val="nil"/>
              <w:right w:val="nil"/>
            </w:tcBorders>
            <w:vAlign w:val="center"/>
          </w:tcPr>
          <w:p w14:paraId="52D14249"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02" w:type="dxa"/>
            <w:tcBorders>
              <w:top w:val="nil"/>
              <w:left w:val="nil"/>
              <w:bottom w:val="nil"/>
              <w:right w:val="nil"/>
            </w:tcBorders>
            <w:vAlign w:val="center"/>
          </w:tcPr>
          <w:p w14:paraId="40E8C7F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02" w:type="dxa"/>
            <w:tcBorders>
              <w:top w:val="nil"/>
              <w:left w:val="nil"/>
              <w:bottom w:val="nil"/>
              <w:right w:val="nil"/>
            </w:tcBorders>
            <w:vAlign w:val="center"/>
          </w:tcPr>
          <w:p w14:paraId="3D4BC8E3"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02" w:type="dxa"/>
            <w:tcBorders>
              <w:top w:val="nil"/>
              <w:left w:val="nil"/>
              <w:bottom w:val="nil"/>
              <w:right w:val="nil"/>
            </w:tcBorders>
            <w:vAlign w:val="center"/>
          </w:tcPr>
          <w:p w14:paraId="1F667FD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02" w:type="dxa"/>
            <w:tcBorders>
              <w:top w:val="nil"/>
              <w:left w:val="nil"/>
              <w:bottom w:val="nil"/>
              <w:right w:val="nil"/>
            </w:tcBorders>
            <w:vAlign w:val="center"/>
          </w:tcPr>
          <w:p w14:paraId="3A43FB2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403" w:type="dxa"/>
            <w:tcBorders>
              <w:top w:val="nil"/>
              <w:left w:val="nil"/>
              <w:bottom w:val="nil"/>
              <w:right w:val="nil"/>
            </w:tcBorders>
            <w:vAlign w:val="center"/>
          </w:tcPr>
          <w:p w14:paraId="5D060384"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r>
      <w:tr w:rsidR="0064611C" w:rsidRPr="00F14751" w14:paraId="63DA007D" w14:textId="77777777" w:rsidTr="008738C3">
        <w:tblPrEx>
          <w:tblBorders>
            <w:bottom w:val="single" w:sz="6" w:space="0" w:color="auto"/>
          </w:tblBorders>
        </w:tblPrEx>
        <w:trPr>
          <w:jc w:val="center"/>
        </w:trPr>
        <w:tc>
          <w:tcPr>
            <w:tcW w:w="2315" w:type="dxa"/>
            <w:tcBorders>
              <w:top w:val="nil"/>
              <w:left w:val="nil"/>
              <w:bottom w:val="single" w:sz="6" w:space="0" w:color="auto"/>
              <w:right w:val="nil"/>
            </w:tcBorders>
            <w:vAlign w:val="center"/>
          </w:tcPr>
          <w:p w14:paraId="09C8FCA6" w14:textId="77777777" w:rsidR="0064611C" w:rsidRPr="00F14751" w:rsidRDefault="0064611C" w:rsidP="008738C3">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Robust SE</w:t>
            </w:r>
          </w:p>
        </w:tc>
        <w:tc>
          <w:tcPr>
            <w:tcW w:w="1261" w:type="dxa"/>
            <w:tcBorders>
              <w:top w:val="nil"/>
              <w:left w:val="nil"/>
              <w:bottom w:val="single" w:sz="6" w:space="0" w:color="auto"/>
              <w:right w:val="nil"/>
            </w:tcBorders>
            <w:vAlign w:val="center"/>
          </w:tcPr>
          <w:p w14:paraId="7E911942"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02" w:type="dxa"/>
            <w:tcBorders>
              <w:top w:val="nil"/>
              <w:left w:val="nil"/>
              <w:bottom w:val="single" w:sz="6" w:space="0" w:color="auto"/>
              <w:right w:val="nil"/>
            </w:tcBorders>
            <w:vAlign w:val="center"/>
          </w:tcPr>
          <w:p w14:paraId="1F82F895"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02" w:type="dxa"/>
            <w:tcBorders>
              <w:top w:val="nil"/>
              <w:left w:val="nil"/>
              <w:bottom w:val="single" w:sz="6" w:space="0" w:color="auto"/>
              <w:right w:val="nil"/>
            </w:tcBorders>
            <w:vAlign w:val="center"/>
          </w:tcPr>
          <w:p w14:paraId="7E872C7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02" w:type="dxa"/>
            <w:tcBorders>
              <w:top w:val="nil"/>
              <w:left w:val="nil"/>
              <w:bottom w:val="single" w:sz="6" w:space="0" w:color="auto"/>
              <w:right w:val="nil"/>
            </w:tcBorders>
            <w:vAlign w:val="center"/>
          </w:tcPr>
          <w:p w14:paraId="22C2B8BD"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02" w:type="dxa"/>
            <w:tcBorders>
              <w:top w:val="nil"/>
              <w:left w:val="nil"/>
              <w:bottom w:val="single" w:sz="6" w:space="0" w:color="auto"/>
              <w:right w:val="nil"/>
            </w:tcBorders>
            <w:vAlign w:val="center"/>
          </w:tcPr>
          <w:p w14:paraId="2335F1EB"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403" w:type="dxa"/>
            <w:tcBorders>
              <w:top w:val="nil"/>
              <w:left w:val="nil"/>
              <w:bottom w:val="single" w:sz="6" w:space="0" w:color="auto"/>
              <w:right w:val="nil"/>
            </w:tcBorders>
            <w:vAlign w:val="center"/>
          </w:tcPr>
          <w:p w14:paraId="678E943E"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r>
    </w:tbl>
    <w:p w14:paraId="3D519FD1"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Robust standard errors in parentheses</w:t>
      </w:r>
    </w:p>
    <w:p w14:paraId="7F6CD7AF" w14:textId="77777777" w:rsidR="0064611C" w:rsidRPr="00F14751" w:rsidRDefault="0064611C" w:rsidP="008738C3">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 p&lt;0.01, ** p&lt;0.05, * p&lt;0.1</w:t>
      </w:r>
    </w:p>
    <w:p w14:paraId="0D9B4EB6" w14:textId="77777777" w:rsidR="0064611C" w:rsidRPr="00F14751" w:rsidRDefault="0064611C" w:rsidP="00C8508E">
      <w:pPr>
        <w:widowControl w:val="0"/>
        <w:autoSpaceDE w:val="0"/>
        <w:autoSpaceDN w:val="0"/>
        <w:adjustRightInd w:val="0"/>
        <w:spacing w:after="0" w:line="240" w:lineRule="auto"/>
        <w:jc w:val="both"/>
        <w:rPr>
          <w:rFonts w:ascii="Times New Roman" w:hAnsi="Times New Roman" w:cs="Times New Roman"/>
          <w:sz w:val="24"/>
          <w:szCs w:val="24"/>
        </w:rPr>
      </w:pPr>
    </w:p>
    <w:p w14:paraId="1A275298" w14:textId="77777777" w:rsidR="0064611C" w:rsidRPr="00F14751" w:rsidRDefault="0064611C" w:rsidP="00C8508E">
      <w:pPr>
        <w:pStyle w:val="NoSpacing"/>
        <w:spacing w:line="360" w:lineRule="auto"/>
        <w:jc w:val="both"/>
        <w:rPr>
          <w:rFonts w:asciiTheme="majorHAnsi" w:hAnsiTheme="majorHAnsi"/>
          <w:sz w:val="24"/>
        </w:rPr>
      </w:pPr>
      <w:r w:rsidRPr="00F14751">
        <w:rPr>
          <w:rFonts w:ascii="Times New Roman" w:hAnsi="Times New Roman"/>
        </w:rPr>
        <w:br w:type="page"/>
      </w:r>
      <w:r w:rsidRPr="00F14751">
        <w:rPr>
          <w:rFonts w:asciiTheme="majorHAnsi" w:hAnsiTheme="majorHAnsi"/>
          <w:sz w:val="24"/>
        </w:rPr>
        <w:t>Table 9: Estimation results of the FE model for the first group with the measures of poverty as dependent variables. The model includes country and time fixed effects.</w:t>
      </w:r>
    </w:p>
    <w:tbl>
      <w:tblPr>
        <w:tblW w:w="10582" w:type="dxa"/>
        <w:jc w:val="center"/>
        <w:tblLayout w:type="fixed"/>
        <w:tblCellMar>
          <w:left w:w="75" w:type="dxa"/>
          <w:right w:w="75" w:type="dxa"/>
        </w:tblCellMar>
        <w:tblLook w:val="0000" w:firstRow="0" w:lastRow="0" w:firstColumn="0" w:lastColumn="0" w:noHBand="0" w:noVBand="0"/>
      </w:tblPr>
      <w:tblGrid>
        <w:gridCol w:w="2313"/>
        <w:gridCol w:w="1378"/>
        <w:gridCol w:w="1378"/>
        <w:gridCol w:w="1378"/>
        <w:gridCol w:w="1378"/>
        <w:gridCol w:w="1378"/>
        <w:gridCol w:w="1379"/>
      </w:tblGrid>
      <w:tr w:rsidR="0064611C" w:rsidRPr="00F14751" w14:paraId="3D4F1535" w14:textId="77777777" w:rsidTr="008607F7">
        <w:trPr>
          <w:jc w:val="center"/>
        </w:trPr>
        <w:tc>
          <w:tcPr>
            <w:tcW w:w="2313" w:type="dxa"/>
            <w:tcBorders>
              <w:top w:val="single" w:sz="6" w:space="0" w:color="auto"/>
              <w:left w:val="nil"/>
              <w:bottom w:val="nil"/>
              <w:right w:val="nil"/>
            </w:tcBorders>
            <w:vAlign w:val="center"/>
          </w:tcPr>
          <w:p w14:paraId="719846B7"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single" w:sz="6" w:space="0" w:color="auto"/>
              <w:left w:val="nil"/>
              <w:bottom w:val="nil"/>
              <w:right w:val="nil"/>
            </w:tcBorders>
            <w:vAlign w:val="center"/>
          </w:tcPr>
          <w:p w14:paraId="79DDCE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w:t>
            </w:r>
          </w:p>
        </w:tc>
        <w:tc>
          <w:tcPr>
            <w:tcW w:w="1378" w:type="dxa"/>
            <w:tcBorders>
              <w:top w:val="single" w:sz="6" w:space="0" w:color="auto"/>
              <w:left w:val="nil"/>
              <w:bottom w:val="nil"/>
              <w:right w:val="nil"/>
            </w:tcBorders>
            <w:vAlign w:val="center"/>
          </w:tcPr>
          <w:p w14:paraId="4D5511C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w:t>
            </w:r>
          </w:p>
        </w:tc>
        <w:tc>
          <w:tcPr>
            <w:tcW w:w="1378" w:type="dxa"/>
            <w:tcBorders>
              <w:top w:val="single" w:sz="6" w:space="0" w:color="auto"/>
              <w:left w:val="nil"/>
              <w:bottom w:val="nil"/>
              <w:right w:val="nil"/>
            </w:tcBorders>
            <w:vAlign w:val="center"/>
          </w:tcPr>
          <w:p w14:paraId="5396F87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w:t>
            </w:r>
          </w:p>
        </w:tc>
        <w:tc>
          <w:tcPr>
            <w:tcW w:w="1378" w:type="dxa"/>
            <w:tcBorders>
              <w:top w:val="single" w:sz="6" w:space="0" w:color="auto"/>
              <w:left w:val="nil"/>
              <w:bottom w:val="nil"/>
              <w:right w:val="nil"/>
            </w:tcBorders>
            <w:vAlign w:val="center"/>
          </w:tcPr>
          <w:p w14:paraId="61C802B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w:t>
            </w:r>
          </w:p>
        </w:tc>
        <w:tc>
          <w:tcPr>
            <w:tcW w:w="1378" w:type="dxa"/>
            <w:tcBorders>
              <w:top w:val="single" w:sz="6" w:space="0" w:color="auto"/>
              <w:left w:val="nil"/>
              <w:bottom w:val="nil"/>
              <w:right w:val="nil"/>
            </w:tcBorders>
            <w:vAlign w:val="center"/>
          </w:tcPr>
          <w:p w14:paraId="511E0E5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79" w:type="dxa"/>
            <w:tcBorders>
              <w:top w:val="single" w:sz="6" w:space="0" w:color="auto"/>
              <w:left w:val="nil"/>
              <w:bottom w:val="nil"/>
              <w:right w:val="nil"/>
            </w:tcBorders>
            <w:vAlign w:val="center"/>
          </w:tcPr>
          <w:p w14:paraId="0919C96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w:t>
            </w:r>
          </w:p>
        </w:tc>
      </w:tr>
      <w:tr w:rsidR="0064611C" w:rsidRPr="00F14751" w14:paraId="566A2C8C" w14:textId="77777777" w:rsidTr="008607F7">
        <w:trPr>
          <w:jc w:val="center"/>
        </w:trPr>
        <w:tc>
          <w:tcPr>
            <w:tcW w:w="2313" w:type="dxa"/>
            <w:tcBorders>
              <w:top w:val="nil"/>
              <w:left w:val="nil"/>
              <w:bottom w:val="single" w:sz="6" w:space="0" w:color="auto"/>
              <w:right w:val="nil"/>
            </w:tcBorders>
            <w:vAlign w:val="center"/>
          </w:tcPr>
          <w:p w14:paraId="1DED67F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VARIABLES</w:t>
            </w:r>
          </w:p>
        </w:tc>
        <w:tc>
          <w:tcPr>
            <w:tcW w:w="1378" w:type="dxa"/>
            <w:tcBorders>
              <w:top w:val="nil"/>
              <w:left w:val="nil"/>
              <w:bottom w:val="single" w:sz="6" w:space="0" w:color="auto"/>
              <w:right w:val="nil"/>
            </w:tcBorders>
            <w:vAlign w:val="center"/>
          </w:tcPr>
          <w:p w14:paraId="37BA8D8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($2)</w:t>
            </w:r>
          </w:p>
        </w:tc>
        <w:tc>
          <w:tcPr>
            <w:tcW w:w="1378" w:type="dxa"/>
            <w:tcBorders>
              <w:top w:val="nil"/>
              <w:left w:val="nil"/>
              <w:bottom w:val="single" w:sz="6" w:space="0" w:color="auto"/>
              <w:right w:val="nil"/>
            </w:tcBorders>
            <w:vAlign w:val="center"/>
          </w:tcPr>
          <w:p w14:paraId="0AD363B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($1.25)</w:t>
            </w:r>
          </w:p>
        </w:tc>
        <w:tc>
          <w:tcPr>
            <w:tcW w:w="1378" w:type="dxa"/>
            <w:tcBorders>
              <w:top w:val="nil"/>
              <w:left w:val="nil"/>
              <w:bottom w:val="single" w:sz="6" w:space="0" w:color="auto"/>
              <w:right w:val="nil"/>
            </w:tcBorders>
            <w:vAlign w:val="center"/>
          </w:tcPr>
          <w:p w14:paraId="6AA5DCE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($2)</w:t>
            </w:r>
          </w:p>
        </w:tc>
        <w:tc>
          <w:tcPr>
            <w:tcW w:w="1378" w:type="dxa"/>
            <w:tcBorders>
              <w:top w:val="nil"/>
              <w:left w:val="nil"/>
              <w:bottom w:val="single" w:sz="6" w:space="0" w:color="auto"/>
              <w:right w:val="nil"/>
            </w:tcBorders>
            <w:vAlign w:val="center"/>
          </w:tcPr>
          <w:p w14:paraId="7818F0F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($1.25)</w:t>
            </w:r>
          </w:p>
        </w:tc>
        <w:tc>
          <w:tcPr>
            <w:tcW w:w="1378" w:type="dxa"/>
            <w:tcBorders>
              <w:top w:val="nil"/>
              <w:left w:val="nil"/>
              <w:bottom w:val="single" w:sz="6" w:space="0" w:color="auto"/>
              <w:right w:val="nil"/>
            </w:tcBorders>
            <w:vAlign w:val="center"/>
          </w:tcPr>
          <w:p w14:paraId="6FE247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($2)</w:t>
            </w:r>
          </w:p>
        </w:tc>
        <w:tc>
          <w:tcPr>
            <w:tcW w:w="1379" w:type="dxa"/>
            <w:tcBorders>
              <w:top w:val="nil"/>
              <w:left w:val="nil"/>
              <w:bottom w:val="single" w:sz="6" w:space="0" w:color="auto"/>
              <w:right w:val="nil"/>
            </w:tcBorders>
            <w:vAlign w:val="center"/>
          </w:tcPr>
          <w:p w14:paraId="56D8CE2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($1.25)</w:t>
            </w:r>
          </w:p>
        </w:tc>
      </w:tr>
      <w:tr w:rsidR="0064611C" w:rsidRPr="00F14751" w14:paraId="580C89EA" w14:textId="77777777" w:rsidTr="008607F7">
        <w:trPr>
          <w:jc w:val="center"/>
        </w:trPr>
        <w:tc>
          <w:tcPr>
            <w:tcW w:w="2313" w:type="dxa"/>
            <w:tcBorders>
              <w:top w:val="nil"/>
              <w:left w:val="nil"/>
              <w:bottom w:val="nil"/>
              <w:right w:val="nil"/>
            </w:tcBorders>
            <w:vAlign w:val="center"/>
          </w:tcPr>
          <w:p w14:paraId="423BEA6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0F9C28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74C470E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2F2C9CA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5D82457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69B0237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9" w:type="dxa"/>
            <w:tcBorders>
              <w:top w:val="nil"/>
              <w:left w:val="nil"/>
              <w:bottom w:val="nil"/>
              <w:right w:val="nil"/>
            </w:tcBorders>
            <w:vAlign w:val="center"/>
          </w:tcPr>
          <w:p w14:paraId="254EB89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23F77713" w14:textId="77777777" w:rsidTr="008607F7">
        <w:trPr>
          <w:jc w:val="center"/>
        </w:trPr>
        <w:tc>
          <w:tcPr>
            <w:tcW w:w="2313" w:type="dxa"/>
            <w:tcBorders>
              <w:top w:val="nil"/>
              <w:left w:val="nil"/>
              <w:bottom w:val="nil"/>
              <w:right w:val="nil"/>
            </w:tcBorders>
            <w:vAlign w:val="center"/>
          </w:tcPr>
          <w:p w14:paraId="7413C90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Trade</w:t>
            </w:r>
          </w:p>
        </w:tc>
        <w:tc>
          <w:tcPr>
            <w:tcW w:w="1378" w:type="dxa"/>
            <w:tcBorders>
              <w:top w:val="nil"/>
              <w:left w:val="nil"/>
              <w:bottom w:val="nil"/>
              <w:right w:val="nil"/>
            </w:tcBorders>
            <w:vAlign w:val="center"/>
          </w:tcPr>
          <w:p w14:paraId="3613BE0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0.156</w:t>
            </w:r>
          </w:p>
        </w:tc>
        <w:tc>
          <w:tcPr>
            <w:tcW w:w="1378" w:type="dxa"/>
            <w:tcBorders>
              <w:top w:val="nil"/>
              <w:left w:val="nil"/>
              <w:bottom w:val="nil"/>
              <w:right w:val="nil"/>
            </w:tcBorders>
            <w:vAlign w:val="center"/>
          </w:tcPr>
          <w:p w14:paraId="2E6ECEA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0.143</w:t>
            </w:r>
          </w:p>
        </w:tc>
        <w:tc>
          <w:tcPr>
            <w:tcW w:w="1378" w:type="dxa"/>
            <w:tcBorders>
              <w:top w:val="nil"/>
              <w:left w:val="nil"/>
              <w:bottom w:val="nil"/>
              <w:right w:val="nil"/>
            </w:tcBorders>
            <w:vAlign w:val="center"/>
          </w:tcPr>
          <w:p w14:paraId="6BFB36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0.113</w:t>
            </w:r>
          </w:p>
        </w:tc>
        <w:tc>
          <w:tcPr>
            <w:tcW w:w="1378" w:type="dxa"/>
            <w:tcBorders>
              <w:top w:val="nil"/>
              <w:left w:val="nil"/>
              <w:bottom w:val="nil"/>
              <w:right w:val="nil"/>
            </w:tcBorders>
            <w:vAlign w:val="center"/>
          </w:tcPr>
          <w:p w14:paraId="1F6EADA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0.0928</w:t>
            </w:r>
          </w:p>
        </w:tc>
        <w:tc>
          <w:tcPr>
            <w:tcW w:w="1378" w:type="dxa"/>
            <w:tcBorders>
              <w:top w:val="nil"/>
              <w:left w:val="nil"/>
              <w:bottom w:val="nil"/>
              <w:right w:val="nil"/>
            </w:tcBorders>
            <w:vAlign w:val="center"/>
          </w:tcPr>
          <w:p w14:paraId="74078D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8.686</w:t>
            </w:r>
          </w:p>
        </w:tc>
        <w:tc>
          <w:tcPr>
            <w:tcW w:w="1379" w:type="dxa"/>
            <w:tcBorders>
              <w:top w:val="nil"/>
              <w:left w:val="nil"/>
              <w:bottom w:val="nil"/>
              <w:right w:val="nil"/>
            </w:tcBorders>
            <w:vAlign w:val="center"/>
          </w:tcPr>
          <w:p w14:paraId="60DD46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4.013</w:t>
            </w:r>
          </w:p>
        </w:tc>
      </w:tr>
      <w:tr w:rsidR="0064611C" w:rsidRPr="00F14751" w14:paraId="1B95C09B" w14:textId="77777777" w:rsidTr="008607F7">
        <w:trPr>
          <w:jc w:val="center"/>
        </w:trPr>
        <w:tc>
          <w:tcPr>
            <w:tcW w:w="2313" w:type="dxa"/>
            <w:tcBorders>
              <w:top w:val="nil"/>
              <w:left w:val="nil"/>
              <w:bottom w:val="nil"/>
              <w:right w:val="nil"/>
            </w:tcBorders>
            <w:vAlign w:val="center"/>
          </w:tcPr>
          <w:p w14:paraId="679FE07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7B739A9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(0.363)</w:t>
            </w:r>
          </w:p>
        </w:tc>
        <w:tc>
          <w:tcPr>
            <w:tcW w:w="1378" w:type="dxa"/>
            <w:tcBorders>
              <w:top w:val="nil"/>
              <w:left w:val="nil"/>
              <w:bottom w:val="nil"/>
              <w:right w:val="nil"/>
            </w:tcBorders>
            <w:vAlign w:val="center"/>
          </w:tcPr>
          <w:p w14:paraId="1CFE46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(0.280)</w:t>
            </w:r>
          </w:p>
        </w:tc>
        <w:tc>
          <w:tcPr>
            <w:tcW w:w="1378" w:type="dxa"/>
            <w:tcBorders>
              <w:top w:val="nil"/>
              <w:left w:val="nil"/>
              <w:bottom w:val="nil"/>
              <w:right w:val="nil"/>
            </w:tcBorders>
            <w:vAlign w:val="center"/>
          </w:tcPr>
          <w:p w14:paraId="61DFDC6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(0.228)</w:t>
            </w:r>
          </w:p>
        </w:tc>
        <w:tc>
          <w:tcPr>
            <w:tcW w:w="1378" w:type="dxa"/>
            <w:tcBorders>
              <w:top w:val="nil"/>
              <w:left w:val="nil"/>
              <w:bottom w:val="nil"/>
              <w:right w:val="nil"/>
            </w:tcBorders>
            <w:vAlign w:val="center"/>
          </w:tcPr>
          <w:p w14:paraId="6417F08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(0.175)</w:t>
            </w:r>
          </w:p>
        </w:tc>
        <w:tc>
          <w:tcPr>
            <w:tcW w:w="1378" w:type="dxa"/>
            <w:tcBorders>
              <w:top w:val="nil"/>
              <w:left w:val="nil"/>
              <w:bottom w:val="nil"/>
              <w:right w:val="nil"/>
            </w:tcBorders>
            <w:vAlign w:val="center"/>
          </w:tcPr>
          <w:p w14:paraId="0572537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(14.14)</w:t>
            </w:r>
          </w:p>
        </w:tc>
        <w:tc>
          <w:tcPr>
            <w:tcW w:w="1379" w:type="dxa"/>
            <w:tcBorders>
              <w:top w:val="nil"/>
              <w:left w:val="nil"/>
              <w:bottom w:val="nil"/>
              <w:right w:val="nil"/>
            </w:tcBorders>
            <w:vAlign w:val="center"/>
          </w:tcPr>
          <w:p w14:paraId="0DF8C47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(6.435)</w:t>
            </w:r>
          </w:p>
        </w:tc>
      </w:tr>
      <w:tr w:rsidR="0064611C" w:rsidRPr="00F14751" w14:paraId="173AD7BF" w14:textId="77777777" w:rsidTr="008607F7">
        <w:trPr>
          <w:jc w:val="center"/>
        </w:trPr>
        <w:tc>
          <w:tcPr>
            <w:tcW w:w="2313" w:type="dxa"/>
            <w:tcBorders>
              <w:top w:val="nil"/>
              <w:left w:val="nil"/>
              <w:bottom w:val="nil"/>
              <w:right w:val="nil"/>
            </w:tcBorders>
            <w:vAlign w:val="center"/>
          </w:tcPr>
          <w:p w14:paraId="5B0AB6B3"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Financial</w:t>
            </w:r>
          </w:p>
        </w:tc>
        <w:tc>
          <w:tcPr>
            <w:tcW w:w="1378" w:type="dxa"/>
            <w:tcBorders>
              <w:top w:val="nil"/>
              <w:left w:val="nil"/>
              <w:bottom w:val="nil"/>
              <w:right w:val="nil"/>
            </w:tcBorders>
            <w:vAlign w:val="center"/>
          </w:tcPr>
          <w:p w14:paraId="450FDA4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0.00582</w:t>
            </w:r>
          </w:p>
        </w:tc>
        <w:tc>
          <w:tcPr>
            <w:tcW w:w="1378" w:type="dxa"/>
            <w:tcBorders>
              <w:top w:val="nil"/>
              <w:left w:val="nil"/>
              <w:bottom w:val="nil"/>
              <w:right w:val="nil"/>
            </w:tcBorders>
            <w:vAlign w:val="center"/>
          </w:tcPr>
          <w:p w14:paraId="0C369DA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0.00313</w:t>
            </w:r>
          </w:p>
        </w:tc>
        <w:tc>
          <w:tcPr>
            <w:tcW w:w="1378" w:type="dxa"/>
            <w:tcBorders>
              <w:top w:val="nil"/>
              <w:left w:val="nil"/>
              <w:bottom w:val="nil"/>
              <w:right w:val="nil"/>
            </w:tcBorders>
            <w:vAlign w:val="center"/>
          </w:tcPr>
          <w:p w14:paraId="264BF0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0.0161</w:t>
            </w:r>
          </w:p>
        </w:tc>
        <w:tc>
          <w:tcPr>
            <w:tcW w:w="1378" w:type="dxa"/>
            <w:tcBorders>
              <w:top w:val="nil"/>
              <w:left w:val="nil"/>
              <w:bottom w:val="nil"/>
              <w:right w:val="nil"/>
            </w:tcBorders>
            <w:vAlign w:val="center"/>
          </w:tcPr>
          <w:p w14:paraId="4A5C2B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0.0224</w:t>
            </w:r>
          </w:p>
        </w:tc>
        <w:tc>
          <w:tcPr>
            <w:tcW w:w="1378" w:type="dxa"/>
            <w:tcBorders>
              <w:top w:val="nil"/>
              <w:left w:val="nil"/>
              <w:bottom w:val="nil"/>
              <w:right w:val="nil"/>
            </w:tcBorders>
            <w:vAlign w:val="center"/>
          </w:tcPr>
          <w:p w14:paraId="4D058DF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0.553</w:t>
            </w:r>
          </w:p>
        </w:tc>
        <w:tc>
          <w:tcPr>
            <w:tcW w:w="1379" w:type="dxa"/>
            <w:tcBorders>
              <w:top w:val="nil"/>
              <w:left w:val="nil"/>
              <w:bottom w:val="nil"/>
              <w:right w:val="nil"/>
            </w:tcBorders>
            <w:vAlign w:val="center"/>
          </w:tcPr>
          <w:p w14:paraId="6923A34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0.679</w:t>
            </w:r>
          </w:p>
        </w:tc>
      </w:tr>
      <w:tr w:rsidR="0064611C" w:rsidRPr="00F14751" w14:paraId="4AD81A83" w14:textId="77777777" w:rsidTr="008607F7">
        <w:trPr>
          <w:jc w:val="center"/>
        </w:trPr>
        <w:tc>
          <w:tcPr>
            <w:tcW w:w="2313" w:type="dxa"/>
            <w:tcBorders>
              <w:top w:val="nil"/>
              <w:left w:val="nil"/>
              <w:bottom w:val="nil"/>
              <w:right w:val="nil"/>
            </w:tcBorders>
            <w:vAlign w:val="center"/>
          </w:tcPr>
          <w:p w14:paraId="477379C7"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3413946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(0.0335)</w:t>
            </w:r>
          </w:p>
        </w:tc>
        <w:tc>
          <w:tcPr>
            <w:tcW w:w="1378" w:type="dxa"/>
            <w:tcBorders>
              <w:top w:val="nil"/>
              <w:left w:val="nil"/>
              <w:bottom w:val="nil"/>
              <w:right w:val="nil"/>
            </w:tcBorders>
            <w:vAlign w:val="center"/>
          </w:tcPr>
          <w:p w14:paraId="6E30BD0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(0.0250)</w:t>
            </w:r>
          </w:p>
        </w:tc>
        <w:tc>
          <w:tcPr>
            <w:tcW w:w="1378" w:type="dxa"/>
            <w:tcBorders>
              <w:top w:val="nil"/>
              <w:left w:val="nil"/>
              <w:bottom w:val="nil"/>
              <w:right w:val="nil"/>
            </w:tcBorders>
            <w:vAlign w:val="center"/>
          </w:tcPr>
          <w:p w14:paraId="5ECFD9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(0.0195)</w:t>
            </w:r>
          </w:p>
        </w:tc>
        <w:tc>
          <w:tcPr>
            <w:tcW w:w="1378" w:type="dxa"/>
            <w:tcBorders>
              <w:top w:val="nil"/>
              <w:left w:val="nil"/>
              <w:bottom w:val="nil"/>
              <w:right w:val="nil"/>
            </w:tcBorders>
            <w:vAlign w:val="center"/>
          </w:tcPr>
          <w:p w14:paraId="66CAAED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(0.0254)</w:t>
            </w:r>
          </w:p>
        </w:tc>
        <w:tc>
          <w:tcPr>
            <w:tcW w:w="1378" w:type="dxa"/>
            <w:tcBorders>
              <w:top w:val="nil"/>
              <w:left w:val="nil"/>
              <w:bottom w:val="nil"/>
              <w:right w:val="nil"/>
            </w:tcBorders>
            <w:vAlign w:val="center"/>
          </w:tcPr>
          <w:p w14:paraId="08A3649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(0.742)</w:t>
            </w:r>
          </w:p>
        </w:tc>
        <w:tc>
          <w:tcPr>
            <w:tcW w:w="1379" w:type="dxa"/>
            <w:tcBorders>
              <w:top w:val="nil"/>
              <w:left w:val="nil"/>
              <w:bottom w:val="nil"/>
              <w:right w:val="nil"/>
            </w:tcBorders>
            <w:vAlign w:val="center"/>
          </w:tcPr>
          <w:p w14:paraId="7F57154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(0.738)</w:t>
            </w:r>
          </w:p>
        </w:tc>
      </w:tr>
      <w:tr w:rsidR="0064611C" w:rsidRPr="00F14751" w14:paraId="68CC30CB" w14:textId="77777777" w:rsidTr="008607F7">
        <w:trPr>
          <w:jc w:val="center"/>
        </w:trPr>
        <w:tc>
          <w:tcPr>
            <w:tcW w:w="2313" w:type="dxa"/>
            <w:tcBorders>
              <w:top w:val="nil"/>
              <w:left w:val="nil"/>
              <w:bottom w:val="nil"/>
              <w:right w:val="nil"/>
            </w:tcBorders>
            <w:vAlign w:val="center"/>
          </w:tcPr>
          <w:p w14:paraId="5F7DE5A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Tax</w:t>
            </w:r>
          </w:p>
        </w:tc>
        <w:tc>
          <w:tcPr>
            <w:tcW w:w="1378" w:type="dxa"/>
            <w:tcBorders>
              <w:top w:val="nil"/>
              <w:left w:val="nil"/>
              <w:bottom w:val="nil"/>
              <w:right w:val="nil"/>
            </w:tcBorders>
            <w:vAlign w:val="center"/>
          </w:tcPr>
          <w:p w14:paraId="7BDF741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0.169</w:t>
            </w:r>
          </w:p>
        </w:tc>
        <w:tc>
          <w:tcPr>
            <w:tcW w:w="1378" w:type="dxa"/>
            <w:tcBorders>
              <w:top w:val="nil"/>
              <w:left w:val="nil"/>
              <w:bottom w:val="nil"/>
              <w:right w:val="nil"/>
            </w:tcBorders>
            <w:vAlign w:val="center"/>
          </w:tcPr>
          <w:p w14:paraId="4675299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-0.00544</w:t>
            </w:r>
          </w:p>
        </w:tc>
        <w:tc>
          <w:tcPr>
            <w:tcW w:w="1378" w:type="dxa"/>
            <w:tcBorders>
              <w:top w:val="nil"/>
              <w:left w:val="nil"/>
              <w:bottom w:val="nil"/>
              <w:right w:val="nil"/>
            </w:tcBorders>
            <w:vAlign w:val="center"/>
          </w:tcPr>
          <w:p w14:paraId="17CA39B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-0.00108</w:t>
            </w:r>
          </w:p>
        </w:tc>
        <w:tc>
          <w:tcPr>
            <w:tcW w:w="1378" w:type="dxa"/>
            <w:tcBorders>
              <w:top w:val="nil"/>
              <w:left w:val="nil"/>
              <w:bottom w:val="nil"/>
              <w:right w:val="nil"/>
            </w:tcBorders>
            <w:vAlign w:val="center"/>
          </w:tcPr>
          <w:p w14:paraId="4415C8F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-0.0596</w:t>
            </w:r>
          </w:p>
        </w:tc>
        <w:tc>
          <w:tcPr>
            <w:tcW w:w="1378" w:type="dxa"/>
            <w:tcBorders>
              <w:top w:val="nil"/>
              <w:left w:val="nil"/>
              <w:bottom w:val="nil"/>
              <w:right w:val="nil"/>
            </w:tcBorders>
            <w:vAlign w:val="center"/>
          </w:tcPr>
          <w:p w14:paraId="12CCC77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3.795</w:t>
            </w:r>
          </w:p>
        </w:tc>
        <w:tc>
          <w:tcPr>
            <w:tcW w:w="1379" w:type="dxa"/>
            <w:tcBorders>
              <w:top w:val="nil"/>
              <w:left w:val="nil"/>
              <w:bottom w:val="nil"/>
              <w:right w:val="nil"/>
            </w:tcBorders>
            <w:vAlign w:val="center"/>
          </w:tcPr>
          <w:p w14:paraId="550CD82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-0.157</w:t>
            </w:r>
          </w:p>
        </w:tc>
      </w:tr>
      <w:tr w:rsidR="0064611C" w:rsidRPr="00F14751" w14:paraId="0CAA8F17" w14:textId="77777777" w:rsidTr="008607F7">
        <w:trPr>
          <w:jc w:val="center"/>
        </w:trPr>
        <w:tc>
          <w:tcPr>
            <w:tcW w:w="2313" w:type="dxa"/>
            <w:tcBorders>
              <w:top w:val="nil"/>
              <w:left w:val="nil"/>
              <w:bottom w:val="nil"/>
              <w:right w:val="nil"/>
            </w:tcBorders>
            <w:vAlign w:val="center"/>
          </w:tcPr>
          <w:p w14:paraId="7C78CE88"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4198421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(0.339)</w:t>
            </w:r>
          </w:p>
        </w:tc>
        <w:tc>
          <w:tcPr>
            <w:tcW w:w="1378" w:type="dxa"/>
            <w:tcBorders>
              <w:top w:val="nil"/>
              <w:left w:val="nil"/>
              <w:bottom w:val="nil"/>
              <w:right w:val="nil"/>
            </w:tcBorders>
            <w:vAlign w:val="center"/>
          </w:tcPr>
          <w:p w14:paraId="092C9B5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(0.315)</w:t>
            </w:r>
          </w:p>
        </w:tc>
        <w:tc>
          <w:tcPr>
            <w:tcW w:w="1378" w:type="dxa"/>
            <w:tcBorders>
              <w:top w:val="nil"/>
              <w:left w:val="nil"/>
              <w:bottom w:val="nil"/>
              <w:right w:val="nil"/>
            </w:tcBorders>
            <w:vAlign w:val="center"/>
          </w:tcPr>
          <w:p w14:paraId="0F4F2AE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(0.258)</w:t>
            </w:r>
          </w:p>
        </w:tc>
        <w:tc>
          <w:tcPr>
            <w:tcW w:w="1378" w:type="dxa"/>
            <w:tcBorders>
              <w:top w:val="nil"/>
              <w:left w:val="nil"/>
              <w:bottom w:val="nil"/>
              <w:right w:val="nil"/>
            </w:tcBorders>
            <w:vAlign w:val="center"/>
          </w:tcPr>
          <w:p w14:paraId="6B2E77E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(0.214)</w:t>
            </w:r>
          </w:p>
        </w:tc>
        <w:tc>
          <w:tcPr>
            <w:tcW w:w="1378" w:type="dxa"/>
            <w:tcBorders>
              <w:top w:val="nil"/>
              <w:left w:val="nil"/>
              <w:bottom w:val="nil"/>
              <w:right w:val="nil"/>
            </w:tcBorders>
            <w:vAlign w:val="center"/>
          </w:tcPr>
          <w:p w14:paraId="70BB90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(13.71)</w:t>
            </w:r>
          </w:p>
        </w:tc>
        <w:tc>
          <w:tcPr>
            <w:tcW w:w="1379" w:type="dxa"/>
            <w:tcBorders>
              <w:top w:val="nil"/>
              <w:left w:val="nil"/>
              <w:bottom w:val="nil"/>
              <w:right w:val="nil"/>
            </w:tcBorders>
            <w:vAlign w:val="center"/>
          </w:tcPr>
          <w:p w14:paraId="66B36EB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(6.849)</w:t>
            </w:r>
          </w:p>
        </w:tc>
      </w:tr>
      <w:tr w:rsidR="0064611C" w:rsidRPr="00F14751" w14:paraId="4027876A" w14:textId="77777777" w:rsidTr="008607F7">
        <w:trPr>
          <w:jc w:val="center"/>
        </w:trPr>
        <w:tc>
          <w:tcPr>
            <w:tcW w:w="2313" w:type="dxa"/>
            <w:tcBorders>
              <w:top w:val="nil"/>
              <w:left w:val="nil"/>
              <w:bottom w:val="nil"/>
              <w:right w:val="nil"/>
            </w:tcBorders>
            <w:vAlign w:val="center"/>
          </w:tcPr>
          <w:p w14:paraId="06401277"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Privatizations</w:t>
            </w:r>
          </w:p>
        </w:tc>
        <w:tc>
          <w:tcPr>
            <w:tcW w:w="1378" w:type="dxa"/>
            <w:tcBorders>
              <w:top w:val="nil"/>
              <w:left w:val="nil"/>
              <w:bottom w:val="nil"/>
              <w:right w:val="nil"/>
            </w:tcBorders>
            <w:vAlign w:val="center"/>
          </w:tcPr>
          <w:p w14:paraId="6311200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0.0122</w:t>
            </w:r>
          </w:p>
        </w:tc>
        <w:tc>
          <w:tcPr>
            <w:tcW w:w="1378" w:type="dxa"/>
            <w:tcBorders>
              <w:top w:val="nil"/>
              <w:left w:val="nil"/>
              <w:bottom w:val="nil"/>
              <w:right w:val="nil"/>
            </w:tcBorders>
            <w:vAlign w:val="center"/>
          </w:tcPr>
          <w:p w14:paraId="2307246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-0.00480</w:t>
            </w:r>
          </w:p>
        </w:tc>
        <w:tc>
          <w:tcPr>
            <w:tcW w:w="1378" w:type="dxa"/>
            <w:tcBorders>
              <w:top w:val="nil"/>
              <w:left w:val="nil"/>
              <w:bottom w:val="nil"/>
              <w:right w:val="nil"/>
            </w:tcBorders>
            <w:vAlign w:val="center"/>
          </w:tcPr>
          <w:p w14:paraId="640C7E8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-0.00342</w:t>
            </w:r>
          </w:p>
        </w:tc>
        <w:tc>
          <w:tcPr>
            <w:tcW w:w="1378" w:type="dxa"/>
            <w:tcBorders>
              <w:top w:val="nil"/>
              <w:left w:val="nil"/>
              <w:bottom w:val="nil"/>
              <w:right w:val="nil"/>
            </w:tcBorders>
            <w:vAlign w:val="center"/>
          </w:tcPr>
          <w:p w14:paraId="4E5EC53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-0.00853</w:t>
            </w:r>
          </w:p>
        </w:tc>
        <w:tc>
          <w:tcPr>
            <w:tcW w:w="1378" w:type="dxa"/>
            <w:tcBorders>
              <w:top w:val="nil"/>
              <w:left w:val="nil"/>
              <w:bottom w:val="nil"/>
              <w:right w:val="nil"/>
            </w:tcBorders>
            <w:vAlign w:val="center"/>
          </w:tcPr>
          <w:p w14:paraId="24C1272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0.907</w:t>
            </w:r>
          </w:p>
        </w:tc>
        <w:tc>
          <w:tcPr>
            <w:tcW w:w="1379" w:type="dxa"/>
            <w:tcBorders>
              <w:top w:val="nil"/>
              <w:left w:val="nil"/>
              <w:bottom w:val="nil"/>
              <w:right w:val="nil"/>
            </w:tcBorders>
            <w:vAlign w:val="center"/>
          </w:tcPr>
          <w:p w14:paraId="2107B7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0.0570</w:t>
            </w:r>
          </w:p>
        </w:tc>
      </w:tr>
      <w:tr w:rsidR="0064611C" w:rsidRPr="00F14751" w14:paraId="2F05143B" w14:textId="77777777" w:rsidTr="008607F7">
        <w:trPr>
          <w:jc w:val="center"/>
        </w:trPr>
        <w:tc>
          <w:tcPr>
            <w:tcW w:w="2313" w:type="dxa"/>
            <w:tcBorders>
              <w:top w:val="nil"/>
              <w:left w:val="nil"/>
              <w:bottom w:val="nil"/>
              <w:right w:val="nil"/>
            </w:tcBorders>
            <w:vAlign w:val="center"/>
          </w:tcPr>
          <w:p w14:paraId="4782CD91"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0015084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(0.0928)</w:t>
            </w:r>
          </w:p>
        </w:tc>
        <w:tc>
          <w:tcPr>
            <w:tcW w:w="1378" w:type="dxa"/>
            <w:tcBorders>
              <w:top w:val="nil"/>
              <w:left w:val="nil"/>
              <w:bottom w:val="nil"/>
              <w:right w:val="nil"/>
            </w:tcBorders>
            <w:vAlign w:val="center"/>
          </w:tcPr>
          <w:p w14:paraId="41EB1BA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(0.0781)</w:t>
            </w:r>
          </w:p>
        </w:tc>
        <w:tc>
          <w:tcPr>
            <w:tcW w:w="1378" w:type="dxa"/>
            <w:tcBorders>
              <w:top w:val="nil"/>
              <w:left w:val="nil"/>
              <w:bottom w:val="nil"/>
              <w:right w:val="nil"/>
            </w:tcBorders>
            <w:vAlign w:val="center"/>
          </w:tcPr>
          <w:p w14:paraId="7391A92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(0.0627)</w:t>
            </w:r>
          </w:p>
        </w:tc>
        <w:tc>
          <w:tcPr>
            <w:tcW w:w="1378" w:type="dxa"/>
            <w:tcBorders>
              <w:top w:val="nil"/>
              <w:left w:val="nil"/>
              <w:bottom w:val="nil"/>
              <w:right w:val="nil"/>
            </w:tcBorders>
            <w:vAlign w:val="center"/>
          </w:tcPr>
          <w:p w14:paraId="3613BE9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(0.0509)</w:t>
            </w:r>
          </w:p>
        </w:tc>
        <w:tc>
          <w:tcPr>
            <w:tcW w:w="1378" w:type="dxa"/>
            <w:tcBorders>
              <w:top w:val="nil"/>
              <w:left w:val="nil"/>
              <w:bottom w:val="nil"/>
              <w:right w:val="nil"/>
            </w:tcBorders>
            <w:vAlign w:val="center"/>
          </w:tcPr>
          <w:p w14:paraId="2E84B81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(3.520)</w:t>
            </w:r>
          </w:p>
        </w:tc>
        <w:tc>
          <w:tcPr>
            <w:tcW w:w="1379" w:type="dxa"/>
            <w:tcBorders>
              <w:top w:val="nil"/>
              <w:left w:val="nil"/>
              <w:bottom w:val="nil"/>
              <w:right w:val="nil"/>
            </w:tcBorders>
            <w:vAlign w:val="center"/>
          </w:tcPr>
          <w:p w14:paraId="349764D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(1.847)</w:t>
            </w:r>
          </w:p>
        </w:tc>
      </w:tr>
      <w:tr w:rsidR="0064611C" w:rsidRPr="00F14751" w14:paraId="196B425A" w14:textId="77777777" w:rsidTr="008607F7">
        <w:trPr>
          <w:jc w:val="center"/>
        </w:trPr>
        <w:tc>
          <w:tcPr>
            <w:tcW w:w="2313" w:type="dxa"/>
            <w:tcBorders>
              <w:top w:val="nil"/>
              <w:left w:val="nil"/>
              <w:bottom w:val="nil"/>
              <w:right w:val="nil"/>
            </w:tcBorders>
            <w:vAlign w:val="center"/>
          </w:tcPr>
          <w:p w14:paraId="70E5D9C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Labor</w:t>
            </w:r>
          </w:p>
        </w:tc>
        <w:tc>
          <w:tcPr>
            <w:tcW w:w="1378" w:type="dxa"/>
            <w:tcBorders>
              <w:top w:val="nil"/>
              <w:left w:val="nil"/>
              <w:bottom w:val="nil"/>
              <w:right w:val="nil"/>
            </w:tcBorders>
            <w:vAlign w:val="center"/>
          </w:tcPr>
          <w:p w14:paraId="3CE05F9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-0.391</w:t>
            </w:r>
          </w:p>
        </w:tc>
        <w:tc>
          <w:tcPr>
            <w:tcW w:w="1378" w:type="dxa"/>
            <w:tcBorders>
              <w:top w:val="nil"/>
              <w:left w:val="nil"/>
              <w:bottom w:val="nil"/>
              <w:right w:val="nil"/>
            </w:tcBorders>
            <w:vAlign w:val="center"/>
          </w:tcPr>
          <w:p w14:paraId="06BF010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-0.385</w:t>
            </w:r>
          </w:p>
        </w:tc>
        <w:tc>
          <w:tcPr>
            <w:tcW w:w="1378" w:type="dxa"/>
            <w:tcBorders>
              <w:top w:val="nil"/>
              <w:left w:val="nil"/>
              <w:bottom w:val="nil"/>
              <w:right w:val="nil"/>
            </w:tcBorders>
            <w:vAlign w:val="center"/>
          </w:tcPr>
          <w:p w14:paraId="68979B6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-0.349</w:t>
            </w:r>
          </w:p>
        </w:tc>
        <w:tc>
          <w:tcPr>
            <w:tcW w:w="1378" w:type="dxa"/>
            <w:tcBorders>
              <w:top w:val="nil"/>
              <w:left w:val="nil"/>
              <w:bottom w:val="nil"/>
              <w:right w:val="nil"/>
            </w:tcBorders>
            <w:vAlign w:val="center"/>
          </w:tcPr>
          <w:p w14:paraId="1B32605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-0.336</w:t>
            </w:r>
          </w:p>
        </w:tc>
        <w:tc>
          <w:tcPr>
            <w:tcW w:w="1378" w:type="dxa"/>
            <w:tcBorders>
              <w:top w:val="nil"/>
              <w:left w:val="nil"/>
              <w:bottom w:val="nil"/>
              <w:right w:val="nil"/>
            </w:tcBorders>
            <w:vAlign w:val="center"/>
          </w:tcPr>
          <w:p w14:paraId="76A5D4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-9.098</w:t>
            </w:r>
          </w:p>
        </w:tc>
        <w:tc>
          <w:tcPr>
            <w:tcW w:w="1379" w:type="dxa"/>
            <w:tcBorders>
              <w:top w:val="nil"/>
              <w:left w:val="nil"/>
              <w:bottom w:val="nil"/>
              <w:right w:val="nil"/>
            </w:tcBorders>
            <w:vAlign w:val="center"/>
          </w:tcPr>
          <w:p w14:paraId="52D03AC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-4.167</w:t>
            </w:r>
          </w:p>
        </w:tc>
      </w:tr>
      <w:tr w:rsidR="0064611C" w:rsidRPr="00F14751" w14:paraId="301DF194" w14:textId="77777777" w:rsidTr="008607F7">
        <w:trPr>
          <w:jc w:val="center"/>
        </w:trPr>
        <w:tc>
          <w:tcPr>
            <w:tcW w:w="2313" w:type="dxa"/>
            <w:tcBorders>
              <w:top w:val="nil"/>
              <w:left w:val="nil"/>
              <w:bottom w:val="nil"/>
              <w:right w:val="nil"/>
            </w:tcBorders>
            <w:vAlign w:val="center"/>
          </w:tcPr>
          <w:p w14:paraId="42DD45AB"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3DC69C3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(0.597)</w:t>
            </w:r>
          </w:p>
        </w:tc>
        <w:tc>
          <w:tcPr>
            <w:tcW w:w="1378" w:type="dxa"/>
            <w:tcBorders>
              <w:top w:val="nil"/>
              <w:left w:val="nil"/>
              <w:bottom w:val="nil"/>
              <w:right w:val="nil"/>
            </w:tcBorders>
            <w:vAlign w:val="center"/>
          </w:tcPr>
          <w:p w14:paraId="0762F34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(0.510)</w:t>
            </w:r>
          </w:p>
        </w:tc>
        <w:tc>
          <w:tcPr>
            <w:tcW w:w="1378" w:type="dxa"/>
            <w:tcBorders>
              <w:top w:val="nil"/>
              <w:left w:val="nil"/>
              <w:bottom w:val="nil"/>
              <w:right w:val="nil"/>
            </w:tcBorders>
            <w:vAlign w:val="center"/>
          </w:tcPr>
          <w:p w14:paraId="7A1C68D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(0.378)</w:t>
            </w:r>
          </w:p>
        </w:tc>
        <w:tc>
          <w:tcPr>
            <w:tcW w:w="1378" w:type="dxa"/>
            <w:tcBorders>
              <w:top w:val="nil"/>
              <w:left w:val="nil"/>
              <w:bottom w:val="nil"/>
              <w:right w:val="nil"/>
            </w:tcBorders>
            <w:vAlign w:val="center"/>
          </w:tcPr>
          <w:p w14:paraId="2EF0310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(0.330)</w:t>
            </w:r>
          </w:p>
        </w:tc>
        <w:tc>
          <w:tcPr>
            <w:tcW w:w="1378" w:type="dxa"/>
            <w:tcBorders>
              <w:top w:val="nil"/>
              <w:left w:val="nil"/>
              <w:bottom w:val="nil"/>
              <w:right w:val="nil"/>
            </w:tcBorders>
            <w:vAlign w:val="center"/>
          </w:tcPr>
          <w:p w14:paraId="4F963A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(20.94)</w:t>
            </w:r>
          </w:p>
        </w:tc>
        <w:tc>
          <w:tcPr>
            <w:tcW w:w="1379" w:type="dxa"/>
            <w:tcBorders>
              <w:top w:val="nil"/>
              <w:left w:val="nil"/>
              <w:bottom w:val="nil"/>
              <w:right w:val="nil"/>
            </w:tcBorders>
            <w:vAlign w:val="center"/>
          </w:tcPr>
          <w:p w14:paraId="51511E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(8.986)</w:t>
            </w:r>
          </w:p>
        </w:tc>
      </w:tr>
      <w:tr w:rsidR="0064611C" w:rsidRPr="00F14751" w14:paraId="6BA36B50" w14:textId="77777777" w:rsidTr="008607F7">
        <w:trPr>
          <w:jc w:val="center"/>
        </w:trPr>
        <w:tc>
          <w:tcPr>
            <w:tcW w:w="2313" w:type="dxa"/>
            <w:tcBorders>
              <w:top w:val="nil"/>
              <w:left w:val="nil"/>
              <w:bottom w:val="nil"/>
              <w:right w:val="nil"/>
            </w:tcBorders>
            <w:vAlign w:val="center"/>
          </w:tcPr>
          <w:p w14:paraId="07C97A4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Polity</w:t>
            </w:r>
          </w:p>
        </w:tc>
        <w:tc>
          <w:tcPr>
            <w:tcW w:w="1378" w:type="dxa"/>
            <w:tcBorders>
              <w:top w:val="nil"/>
              <w:left w:val="nil"/>
              <w:bottom w:val="nil"/>
              <w:right w:val="nil"/>
            </w:tcBorders>
            <w:vAlign w:val="center"/>
          </w:tcPr>
          <w:p w14:paraId="5765DD5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-1.394</w:t>
            </w:r>
          </w:p>
        </w:tc>
        <w:tc>
          <w:tcPr>
            <w:tcW w:w="1378" w:type="dxa"/>
            <w:tcBorders>
              <w:top w:val="nil"/>
              <w:left w:val="nil"/>
              <w:bottom w:val="nil"/>
              <w:right w:val="nil"/>
            </w:tcBorders>
            <w:vAlign w:val="center"/>
          </w:tcPr>
          <w:p w14:paraId="79EA79F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-0.672</w:t>
            </w:r>
          </w:p>
        </w:tc>
        <w:tc>
          <w:tcPr>
            <w:tcW w:w="1378" w:type="dxa"/>
            <w:tcBorders>
              <w:top w:val="nil"/>
              <w:left w:val="nil"/>
              <w:bottom w:val="nil"/>
              <w:right w:val="nil"/>
            </w:tcBorders>
            <w:vAlign w:val="center"/>
          </w:tcPr>
          <w:p w14:paraId="3355437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-0.324</w:t>
            </w:r>
          </w:p>
        </w:tc>
        <w:tc>
          <w:tcPr>
            <w:tcW w:w="1378" w:type="dxa"/>
            <w:tcBorders>
              <w:top w:val="nil"/>
              <w:left w:val="nil"/>
              <w:bottom w:val="nil"/>
              <w:right w:val="nil"/>
            </w:tcBorders>
            <w:vAlign w:val="center"/>
          </w:tcPr>
          <w:p w14:paraId="6909B3C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0.112</w:t>
            </w:r>
          </w:p>
        </w:tc>
        <w:tc>
          <w:tcPr>
            <w:tcW w:w="1378" w:type="dxa"/>
            <w:tcBorders>
              <w:top w:val="nil"/>
              <w:left w:val="nil"/>
              <w:bottom w:val="nil"/>
              <w:right w:val="nil"/>
            </w:tcBorders>
            <w:vAlign w:val="center"/>
          </w:tcPr>
          <w:p w14:paraId="3443803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-3.391</w:t>
            </w:r>
          </w:p>
        </w:tc>
        <w:tc>
          <w:tcPr>
            <w:tcW w:w="1379" w:type="dxa"/>
            <w:tcBorders>
              <w:top w:val="nil"/>
              <w:left w:val="nil"/>
              <w:bottom w:val="nil"/>
              <w:right w:val="nil"/>
            </w:tcBorders>
            <w:vAlign w:val="center"/>
          </w:tcPr>
          <w:p w14:paraId="1C9A6F1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14.74</w:t>
            </w:r>
          </w:p>
        </w:tc>
      </w:tr>
      <w:tr w:rsidR="0064611C" w:rsidRPr="00F14751" w14:paraId="13F410B2" w14:textId="77777777" w:rsidTr="008607F7">
        <w:trPr>
          <w:jc w:val="center"/>
        </w:trPr>
        <w:tc>
          <w:tcPr>
            <w:tcW w:w="2313" w:type="dxa"/>
            <w:tcBorders>
              <w:top w:val="nil"/>
              <w:left w:val="nil"/>
              <w:bottom w:val="nil"/>
              <w:right w:val="nil"/>
            </w:tcBorders>
            <w:vAlign w:val="center"/>
          </w:tcPr>
          <w:p w14:paraId="7758C63C"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23B9D47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(0.837)</w:t>
            </w:r>
          </w:p>
        </w:tc>
        <w:tc>
          <w:tcPr>
            <w:tcW w:w="1378" w:type="dxa"/>
            <w:tcBorders>
              <w:top w:val="nil"/>
              <w:left w:val="nil"/>
              <w:bottom w:val="nil"/>
              <w:right w:val="nil"/>
            </w:tcBorders>
            <w:vAlign w:val="center"/>
          </w:tcPr>
          <w:p w14:paraId="2B18F65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(0.853)</w:t>
            </w:r>
          </w:p>
        </w:tc>
        <w:tc>
          <w:tcPr>
            <w:tcW w:w="1378" w:type="dxa"/>
            <w:tcBorders>
              <w:top w:val="nil"/>
              <w:left w:val="nil"/>
              <w:bottom w:val="nil"/>
              <w:right w:val="nil"/>
            </w:tcBorders>
            <w:vAlign w:val="center"/>
          </w:tcPr>
          <w:p w14:paraId="77AFD71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(0.680)</w:t>
            </w:r>
          </w:p>
        </w:tc>
        <w:tc>
          <w:tcPr>
            <w:tcW w:w="1378" w:type="dxa"/>
            <w:tcBorders>
              <w:top w:val="nil"/>
              <w:left w:val="nil"/>
              <w:bottom w:val="nil"/>
              <w:right w:val="nil"/>
            </w:tcBorders>
            <w:vAlign w:val="center"/>
          </w:tcPr>
          <w:p w14:paraId="2FDAE1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(0.612)</w:t>
            </w:r>
          </w:p>
        </w:tc>
        <w:tc>
          <w:tcPr>
            <w:tcW w:w="1378" w:type="dxa"/>
            <w:tcBorders>
              <w:top w:val="nil"/>
              <w:left w:val="nil"/>
              <w:bottom w:val="nil"/>
              <w:right w:val="nil"/>
            </w:tcBorders>
            <w:vAlign w:val="center"/>
          </w:tcPr>
          <w:p w14:paraId="7B1621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(42.04)</w:t>
            </w:r>
          </w:p>
        </w:tc>
        <w:tc>
          <w:tcPr>
            <w:tcW w:w="1379" w:type="dxa"/>
            <w:tcBorders>
              <w:top w:val="nil"/>
              <w:left w:val="nil"/>
              <w:bottom w:val="nil"/>
              <w:right w:val="nil"/>
            </w:tcBorders>
            <w:vAlign w:val="center"/>
          </w:tcPr>
          <w:p w14:paraId="1B0117A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(23.05)</w:t>
            </w:r>
          </w:p>
        </w:tc>
      </w:tr>
      <w:tr w:rsidR="0064611C" w:rsidRPr="00F14751" w14:paraId="4C810F71" w14:textId="77777777" w:rsidTr="008607F7">
        <w:trPr>
          <w:jc w:val="center"/>
        </w:trPr>
        <w:tc>
          <w:tcPr>
            <w:tcW w:w="2313" w:type="dxa"/>
            <w:tcBorders>
              <w:top w:val="nil"/>
              <w:left w:val="nil"/>
              <w:bottom w:val="nil"/>
              <w:right w:val="nil"/>
            </w:tcBorders>
            <w:vAlign w:val="center"/>
          </w:tcPr>
          <w:p w14:paraId="15313FA7"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GDP</w:t>
            </w:r>
          </w:p>
        </w:tc>
        <w:tc>
          <w:tcPr>
            <w:tcW w:w="1378" w:type="dxa"/>
            <w:tcBorders>
              <w:top w:val="nil"/>
              <w:left w:val="nil"/>
              <w:bottom w:val="nil"/>
              <w:right w:val="nil"/>
            </w:tcBorders>
            <w:vAlign w:val="center"/>
          </w:tcPr>
          <w:p w14:paraId="1D63ABF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-0.654**</w:t>
            </w:r>
          </w:p>
        </w:tc>
        <w:tc>
          <w:tcPr>
            <w:tcW w:w="1378" w:type="dxa"/>
            <w:tcBorders>
              <w:top w:val="nil"/>
              <w:left w:val="nil"/>
              <w:bottom w:val="nil"/>
              <w:right w:val="nil"/>
            </w:tcBorders>
            <w:vAlign w:val="center"/>
          </w:tcPr>
          <w:p w14:paraId="13C98C8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-0.373**</w:t>
            </w:r>
          </w:p>
        </w:tc>
        <w:tc>
          <w:tcPr>
            <w:tcW w:w="1378" w:type="dxa"/>
            <w:tcBorders>
              <w:top w:val="nil"/>
              <w:left w:val="nil"/>
              <w:bottom w:val="nil"/>
              <w:right w:val="nil"/>
            </w:tcBorders>
            <w:vAlign w:val="center"/>
          </w:tcPr>
          <w:p w14:paraId="3620264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-0.251*</w:t>
            </w:r>
          </w:p>
        </w:tc>
        <w:tc>
          <w:tcPr>
            <w:tcW w:w="1378" w:type="dxa"/>
            <w:tcBorders>
              <w:top w:val="nil"/>
              <w:left w:val="nil"/>
              <w:bottom w:val="nil"/>
              <w:right w:val="nil"/>
            </w:tcBorders>
            <w:vAlign w:val="center"/>
          </w:tcPr>
          <w:p w14:paraId="0A693D7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-0.0919</w:t>
            </w:r>
          </w:p>
        </w:tc>
        <w:tc>
          <w:tcPr>
            <w:tcW w:w="1378" w:type="dxa"/>
            <w:tcBorders>
              <w:top w:val="nil"/>
              <w:left w:val="nil"/>
              <w:bottom w:val="nil"/>
              <w:right w:val="nil"/>
            </w:tcBorders>
            <w:vAlign w:val="center"/>
          </w:tcPr>
          <w:p w14:paraId="02680F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-13.56*</w:t>
            </w:r>
          </w:p>
        </w:tc>
        <w:tc>
          <w:tcPr>
            <w:tcW w:w="1379" w:type="dxa"/>
            <w:tcBorders>
              <w:top w:val="nil"/>
              <w:left w:val="nil"/>
              <w:bottom w:val="nil"/>
              <w:right w:val="nil"/>
            </w:tcBorders>
            <w:vAlign w:val="center"/>
          </w:tcPr>
          <w:p w14:paraId="6D395BB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-3.196</w:t>
            </w:r>
          </w:p>
        </w:tc>
      </w:tr>
      <w:tr w:rsidR="0064611C" w:rsidRPr="00F14751" w14:paraId="306E48BA" w14:textId="77777777" w:rsidTr="008607F7">
        <w:trPr>
          <w:jc w:val="center"/>
        </w:trPr>
        <w:tc>
          <w:tcPr>
            <w:tcW w:w="2313" w:type="dxa"/>
            <w:tcBorders>
              <w:top w:val="nil"/>
              <w:left w:val="nil"/>
              <w:bottom w:val="nil"/>
              <w:right w:val="nil"/>
            </w:tcBorders>
            <w:vAlign w:val="center"/>
          </w:tcPr>
          <w:p w14:paraId="0E3A523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6E7104F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(0.145)</w:t>
            </w:r>
          </w:p>
        </w:tc>
        <w:tc>
          <w:tcPr>
            <w:tcW w:w="1378" w:type="dxa"/>
            <w:tcBorders>
              <w:top w:val="nil"/>
              <w:left w:val="nil"/>
              <w:bottom w:val="nil"/>
              <w:right w:val="nil"/>
            </w:tcBorders>
            <w:vAlign w:val="center"/>
          </w:tcPr>
          <w:p w14:paraId="00D82A5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(0.130)</w:t>
            </w:r>
          </w:p>
        </w:tc>
        <w:tc>
          <w:tcPr>
            <w:tcW w:w="1378" w:type="dxa"/>
            <w:tcBorders>
              <w:top w:val="nil"/>
              <w:left w:val="nil"/>
              <w:bottom w:val="nil"/>
              <w:right w:val="nil"/>
            </w:tcBorders>
            <w:vAlign w:val="center"/>
          </w:tcPr>
          <w:p w14:paraId="7FDBE3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(0.104)</w:t>
            </w:r>
          </w:p>
        </w:tc>
        <w:tc>
          <w:tcPr>
            <w:tcW w:w="1378" w:type="dxa"/>
            <w:tcBorders>
              <w:top w:val="nil"/>
              <w:left w:val="nil"/>
              <w:bottom w:val="nil"/>
              <w:right w:val="nil"/>
            </w:tcBorders>
            <w:vAlign w:val="center"/>
          </w:tcPr>
          <w:p w14:paraId="31B583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(0.0873)</w:t>
            </w:r>
          </w:p>
        </w:tc>
        <w:tc>
          <w:tcPr>
            <w:tcW w:w="1378" w:type="dxa"/>
            <w:tcBorders>
              <w:top w:val="nil"/>
              <w:left w:val="nil"/>
              <w:bottom w:val="nil"/>
              <w:right w:val="nil"/>
            </w:tcBorders>
            <w:vAlign w:val="center"/>
          </w:tcPr>
          <w:p w14:paraId="1B892EA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(5.774)</w:t>
            </w:r>
          </w:p>
        </w:tc>
        <w:tc>
          <w:tcPr>
            <w:tcW w:w="1379" w:type="dxa"/>
            <w:tcBorders>
              <w:top w:val="nil"/>
              <w:left w:val="nil"/>
              <w:bottom w:val="nil"/>
              <w:right w:val="nil"/>
            </w:tcBorders>
            <w:vAlign w:val="center"/>
          </w:tcPr>
          <w:p w14:paraId="78CECB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(2.930)</w:t>
            </w:r>
          </w:p>
        </w:tc>
      </w:tr>
      <w:tr w:rsidR="0064611C" w:rsidRPr="00F14751" w14:paraId="12640743" w14:textId="77777777" w:rsidTr="008607F7">
        <w:trPr>
          <w:jc w:val="center"/>
        </w:trPr>
        <w:tc>
          <w:tcPr>
            <w:tcW w:w="2313" w:type="dxa"/>
            <w:tcBorders>
              <w:top w:val="nil"/>
              <w:left w:val="nil"/>
              <w:bottom w:val="nil"/>
              <w:right w:val="nil"/>
            </w:tcBorders>
            <w:vAlign w:val="center"/>
          </w:tcPr>
          <w:p w14:paraId="11E8D0C7"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GDPgrowth</w:t>
            </w:r>
            <w:proofErr w:type="spellEnd"/>
          </w:p>
        </w:tc>
        <w:tc>
          <w:tcPr>
            <w:tcW w:w="1378" w:type="dxa"/>
            <w:tcBorders>
              <w:top w:val="nil"/>
              <w:left w:val="nil"/>
              <w:bottom w:val="nil"/>
              <w:right w:val="nil"/>
            </w:tcBorders>
            <w:vAlign w:val="center"/>
          </w:tcPr>
          <w:p w14:paraId="2B9E278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0.0440</w:t>
            </w:r>
          </w:p>
        </w:tc>
        <w:tc>
          <w:tcPr>
            <w:tcW w:w="1378" w:type="dxa"/>
            <w:tcBorders>
              <w:top w:val="nil"/>
              <w:left w:val="nil"/>
              <w:bottom w:val="nil"/>
              <w:right w:val="nil"/>
            </w:tcBorders>
            <w:vAlign w:val="center"/>
          </w:tcPr>
          <w:p w14:paraId="6D5F399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-0.0147</w:t>
            </w:r>
          </w:p>
        </w:tc>
        <w:tc>
          <w:tcPr>
            <w:tcW w:w="1378" w:type="dxa"/>
            <w:tcBorders>
              <w:top w:val="nil"/>
              <w:left w:val="nil"/>
              <w:bottom w:val="nil"/>
              <w:right w:val="nil"/>
            </w:tcBorders>
            <w:vAlign w:val="center"/>
          </w:tcPr>
          <w:p w14:paraId="79311DA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-0.0460</w:t>
            </w:r>
          </w:p>
        </w:tc>
        <w:tc>
          <w:tcPr>
            <w:tcW w:w="1378" w:type="dxa"/>
            <w:tcBorders>
              <w:top w:val="nil"/>
              <w:left w:val="nil"/>
              <w:bottom w:val="nil"/>
              <w:right w:val="nil"/>
            </w:tcBorders>
            <w:vAlign w:val="center"/>
          </w:tcPr>
          <w:p w14:paraId="6C4AD0A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-0.0851</w:t>
            </w:r>
          </w:p>
        </w:tc>
        <w:tc>
          <w:tcPr>
            <w:tcW w:w="1378" w:type="dxa"/>
            <w:tcBorders>
              <w:top w:val="nil"/>
              <w:left w:val="nil"/>
              <w:bottom w:val="nil"/>
              <w:right w:val="nil"/>
            </w:tcBorders>
            <w:vAlign w:val="center"/>
          </w:tcPr>
          <w:p w14:paraId="0D3379C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-2.529</w:t>
            </w:r>
          </w:p>
        </w:tc>
        <w:tc>
          <w:tcPr>
            <w:tcW w:w="1379" w:type="dxa"/>
            <w:tcBorders>
              <w:top w:val="nil"/>
              <w:left w:val="nil"/>
              <w:bottom w:val="nil"/>
              <w:right w:val="nil"/>
            </w:tcBorders>
            <w:vAlign w:val="center"/>
          </w:tcPr>
          <w:p w14:paraId="0AD46C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-2.602</w:t>
            </w:r>
          </w:p>
        </w:tc>
      </w:tr>
      <w:tr w:rsidR="0064611C" w:rsidRPr="00F14751" w14:paraId="7D0B5FCC" w14:textId="77777777" w:rsidTr="008607F7">
        <w:trPr>
          <w:jc w:val="center"/>
        </w:trPr>
        <w:tc>
          <w:tcPr>
            <w:tcW w:w="2313" w:type="dxa"/>
            <w:tcBorders>
              <w:top w:val="nil"/>
              <w:left w:val="nil"/>
              <w:bottom w:val="nil"/>
              <w:right w:val="nil"/>
            </w:tcBorders>
            <w:vAlign w:val="center"/>
          </w:tcPr>
          <w:p w14:paraId="2277412D"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540C18C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(0.202)</w:t>
            </w:r>
          </w:p>
        </w:tc>
        <w:tc>
          <w:tcPr>
            <w:tcW w:w="1378" w:type="dxa"/>
            <w:tcBorders>
              <w:top w:val="nil"/>
              <w:left w:val="nil"/>
              <w:bottom w:val="nil"/>
              <w:right w:val="nil"/>
            </w:tcBorders>
            <w:vAlign w:val="center"/>
          </w:tcPr>
          <w:p w14:paraId="6F1FD51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(0.160)</w:t>
            </w:r>
          </w:p>
        </w:tc>
        <w:tc>
          <w:tcPr>
            <w:tcW w:w="1378" w:type="dxa"/>
            <w:tcBorders>
              <w:top w:val="nil"/>
              <w:left w:val="nil"/>
              <w:bottom w:val="nil"/>
              <w:right w:val="nil"/>
            </w:tcBorders>
            <w:vAlign w:val="center"/>
          </w:tcPr>
          <w:p w14:paraId="333FFB0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(0.132)</w:t>
            </w:r>
          </w:p>
        </w:tc>
        <w:tc>
          <w:tcPr>
            <w:tcW w:w="1378" w:type="dxa"/>
            <w:tcBorders>
              <w:top w:val="nil"/>
              <w:left w:val="nil"/>
              <w:bottom w:val="nil"/>
              <w:right w:val="nil"/>
            </w:tcBorders>
            <w:vAlign w:val="center"/>
          </w:tcPr>
          <w:p w14:paraId="388D08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(0.105)</w:t>
            </w:r>
          </w:p>
        </w:tc>
        <w:tc>
          <w:tcPr>
            <w:tcW w:w="1378" w:type="dxa"/>
            <w:tcBorders>
              <w:top w:val="nil"/>
              <w:left w:val="nil"/>
              <w:bottom w:val="nil"/>
              <w:right w:val="nil"/>
            </w:tcBorders>
            <w:vAlign w:val="center"/>
          </w:tcPr>
          <w:p w14:paraId="1598F1C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(8.297)</w:t>
            </w:r>
          </w:p>
        </w:tc>
        <w:tc>
          <w:tcPr>
            <w:tcW w:w="1379" w:type="dxa"/>
            <w:tcBorders>
              <w:top w:val="nil"/>
              <w:left w:val="nil"/>
              <w:bottom w:val="nil"/>
              <w:right w:val="nil"/>
            </w:tcBorders>
            <w:vAlign w:val="center"/>
          </w:tcPr>
          <w:p w14:paraId="278038A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(3.903)</w:t>
            </w:r>
          </w:p>
        </w:tc>
      </w:tr>
      <w:tr w:rsidR="0064611C" w:rsidRPr="00F14751" w14:paraId="1D8A5FBB" w14:textId="77777777" w:rsidTr="008607F7">
        <w:trPr>
          <w:jc w:val="center"/>
        </w:trPr>
        <w:tc>
          <w:tcPr>
            <w:tcW w:w="2313" w:type="dxa"/>
            <w:tcBorders>
              <w:top w:val="nil"/>
              <w:left w:val="nil"/>
              <w:bottom w:val="nil"/>
              <w:right w:val="nil"/>
            </w:tcBorders>
            <w:vAlign w:val="center"/>
          </w:tcPr>
          <w:p w14:paraId="3867073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School</w:t>
            </w:r>
          </w:p>
        </w:tc>
        <w:tc>
          <w:tcPr>
            <w:tcW w:w="1378" w:type="dxa"/>
            <w:tcBorders>
              <w:top w:val="nil"/>
              <w:left w:val="nil"/>
              <w:bottom w:val="nil"/>
              <w:right w:val="nil"/>
            </w:tcBorders>
            <w:vAlign w:val="center"/>
          </w:tcPr>
          <w:p w14:paraId="638D081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-1.738</w:t>
            </w:r>
          </w:p>
        </w:tc>
        <w:tc>
          <w:tcPr>
            <w:tcW w:w="1378" w:type="dxa"/>
            <w:tcBorders>
              <w:top w:val="nil"/>
              <w:left w:val="nil"/>
              <w:bottom w:val="nil"/>
              <w:right w:val="nil"/>
            </w:tcBorders>
            <w:vAlign w:val="center"/>
          </w:tcPr>
          <w:p w14:paraId="347D75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-1.672</w:t>
            </w:r>
          </w:p>
        </w:tc>
        <w:tc>
          <w:tcPr>
            <w:tcW w:w="1378" w:type="dxa"/>
            <w:tcBorders>
              <w:top w:val="nil"/>
              <w:left w:val="nil"/>
              <w:bottom w:val="nil"/>
              <w:right w:val="nil"/>
            </w:tcBorders>
            <w:vAlign w:val="center"/>
          </w:tcPr>
          <w:p w14:paraId="4C02A9E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-1.745</w:t>
            </w:r>
          </w:p>
        </w:tc>
        <w:tc>
          <w:tcPr>
            <w:tcW w:w="1378" w:type="dxa"/>
            <w:tcBorders>
              <w:top w:val="nil"/>
              <w:left w:val="nil"/>
              <w:bottom w:val="nil"/>
              <w:right w:val="nil"/>
            </w:tcBorders>
            <w:vAlign w:val="center"/>
          </w:tcPr>
          <w:p w14:paraId="1D3E0BD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-1.675</w:t>
            </w:r>
          </w:p>
        </w:tc>
        <w:tc>
          <w:tcPr>
            <w:tcW w:w="1378" w:type="dxa"/>
            <w:tcBorders>
              <w:top w:val="nil"/>
              <w:left w:val="nil"/>
              <w:bottom w:val="nil"/>
              <w:right w:val="nil"/>
            </w:tcBorders>
            <w:vAlign w:val="center"/>
          </w:tcPr>
          <w:p w14:paraId="7059250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-152.3</w:t>
            </w:r>
          </w:p>
        </w:tc>
        <w:tc>
          <w:tcPr>
            <w:tcW w:w="1379" w:type="dxa"/>
            <w:tcBorders>
              <w:top w:val="nil"/>
              <w:left w:val="nil"/>
              <w:bottom w:val="nil"/>
              <w:right w:val="nil"/>
            </w:tcBorders>
            <w:vAlign w:val="center"/>
          </w:tcPr>
          <w:p w14:paraId="26EE42E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-98.61</w:t>
            </w:r>
          </w:p>
        </w:tc>
      </w:tr>
      <w:tr w:rsidR="0064611C" w:rsidRPr="00F14751" w14:paraId="446ECD35" w14:textId="77777777" w:rsidTr="008607F7">
        <w:trPr>
          <w:jc w:val="center"/>
        </w:trPr>
        <w:tc>
          <w:tcPr>
            <w:tcW w:w="2313" w:type="dxa"/>
            <w:tcBorders>
              <w:top w:val="nil"/>
              <w:left w:val="nil"/>
              <w:bottom w:val="nil"/>
              <w:right w:val="nil"/>
            </w:tcBorders>
            <w:vAlign w:val="center"/>
          </w:tcPr>
          <w:p w14:paraId="60875668"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430ACC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(3.205)</w:t>
            </w:r>
          </w:p>
        </w:tc>
        <w:tc>
          <w:tcPr>
            <w:tcW w:w="1378" w:type="dxa"/>
            <w:tcBorders>
              <w:top w:val="nil"/>
              <w:left w:val="nil"/>
              <w:bottom w:val="nil"/>
              <w:right w:val="nil"/>
            </w:tcBorders>
            <w:vAlign w:val="center"/>
          </w:tcPr>
          <w:p w14:paraId="1065086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(2.472)</w:t>
            </w:r>
          </w:p>
        </w:tc>
        <w:tc>
          <w:tcPr>
            <w:tcW w:w="1378" w:type="dxa"/>
            <w:tcBorders>
              <w:top w:val="nil"/>
              <w:left w:val="nil"/>
              <w:bottom w:val="nil"/>
              <w:right w:val="nil"/>
            </w:tcBorders>
            <w:vAlign w:val="center"/>
          </w:tcPr>
          <w:p w14:paraId="0EFF280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(1.831)</w:t>
            </w:r>
          </w:p>
        </w:tc>
        <w:tc>
          <w:tcPr>
            <w:tcW w:w="1378" w:type="dxa"/>
            <w:tcBorders>
              <w:top w:val="nil"/>
              <w:left w:val="nil"/>
              <w:bottom w:val="nil"/>
              <w:right w:val="nil"/>
            </w:tcBorders>
            <w:vAlign w:val="center"/>
          </w:tcPr>
          <w:p w14:paraId="6DAECC7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(1.396)</w:t>
            </w:r>
          </w:p>
        </w:tc>
        <w:tc>
          <w:tcPr>
            <w:tcW w:w="1378" w:type="dxa"/>
            <w:tcBorders>
              <w:top w:val="nil"/>
              <w:left w:val="nil"/>
              <w:bottom w:val="nil"/>
              <w:right w:val="nil"/>
            </w:tcBorders>
            <w:vAlign w:val="center"/>
          </w:tcPr>
          <w:p w14:paraId="65E6AEB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(137.7)</w:t>
            </w:r>
          </w:p>
        </w:tc>
        <w:tc>
          <w:tcPr>
            <w:tcW w:w="1379" w:type="dxa"/>
            <w:tcBorders>
              <w:top w:val="nil"/>
              <w:left w:val="nil"/>
              <w:bottom w:val="nil"/>
              <w:right w:val="nil"/>
            </w:tcBorders>
            <w:vAlign w:val="center"/>
          </w:tcPr>
          <w:p w14:paraId="5DCAB42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(63.09)</w:t>
            </w:r>
          </w:p>
        </w:tc>
      </w:tr>
      <w:tr w:rsidR="0064611C" w:rsidRPr="00F14751" w14:paraId="6250197E" w14:textId="77777777" w:rsidTr="008607F7">
        <w:trPr>
          <w:jc w:val="center"/>
        </w:trPr>
        <w:tc>
          <w:tcPr>
            <w:tcW w:w="2313" w:type="dxa"/>
            <w:tcBorders>
              <w:top w:val="nil"/>
              <w:left w:val="nil"/>
              <w:bottom w:val="nil"/>
              <w:right w:val="nil"/>
            </w:tcBorders>
            <w:vAlign w:val="center"/>
          </w:tcPr>
          <w:p w14:paraId="69C3403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Death</w:t>
            </w:r>
          </w:p>
        </w:tc>
        <w:tc>
          <w:tcPr>
            <w:tcW w:w="1378" w:type="dxa"/>
            <w:tcBorders>
              <w:top w:val="nil"/>
              <w:left w:val="nil"/>
              <w:bottom w:val="nil"/>
              <w:right w:val="nil"/>
            </w:tcBorders>
            <w:vAlign w:val="center"/>
          </w:tcPr>
          <w:p w14:paraId="0282A51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-0.115</w:t>
            </w:r>
          </w:p>
        </w:tc>
        <w:tc>
          <w:tcPr>
            <w:tcW w:w="1378" w:type="dxa"/>
            <w:tcBorders>
              <w:top w:val="nil"/>
              <w:left w:val="nil"/>
              <w:bottom w:val="nil"/>
              <w:right w:val="nil"/>
            </w:tcBorders>
            <w:vAlign w:val="center"/>
          </w:tcPr>
          <w:p w14:paraId="6905396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-0.600</w:t>
            </w:r>
          </w:p>
        </w:tc>
        <w:tc>
          <w:tcPr>
            <w:tcW w:w="1378" w:type="dxa"/>
            <w:tcBorders>
              <w:top w:val="nil"/>
              <w:left w:val="nil"/>
              <w:bottom w:val="nil"/>
              <w:right w:val="nil"/>
            </w:tcBorders>
            <w:vAlign w:val="center"/>
          </w:tcPr>
          <w:p w14:paraId="0878058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0.320</w:t>
            </w:r>
          </w:p>
        </w:tc>
        <w:tc>
          <w:tcPr>
            <w:tcW w:w="1378" w:type="dxa"/>
            <w:tcBorders>
              <w:top w:val="nil"/>
              <w:left w:val="nil"/>
              <w:bottom w:val="nil"/>
              <w:right w:val="nil"/>
            </w:tcBorders>
            <w:vAlign w:val="center"/>
          </w:tcPr>
          <w:p w14:paraId="7F78E61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0.573</w:t>
            </w:r>
          </w:p>
        </w:tc>
        <w:tc>
          <w:tcPr>
            <w:tcW w:w="1378" w:type="dxa"/>
            <w:tcBorders>
              <w:top w:val="nil"/>
              <w:left w:val="nil"/>
              <w:bottom w:val="nil"/>
              <w:right w:val="nil"/>
            </w:tcBorders>
            <w:vAlign w:val="center"/>
          </w:tcPr>
          <w:p w14:paraId="5C20806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135.7</w:t>
            </w:r>
          </w:p>
        </w:tc>
        <w:tc>
          <w:tcPr>
            <w:tcW w:w="1379" w:type="dxa"/>
            <w:tcBorders>
              <w:top w:val="nil"/>
              <w:left w:val="nil"/>
              <w:bottom w:val="nil"/>
              <w:right w:val="nil"/>
            </w:tcBorders>
            <w:vAlign w:val="center"/>
          </w:tcPr>
          <w:p w14:paraId="65EA231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88.58</w:t>
            </w:r>
          </w:p>
        </w:tc>
      </w:tr>
      <w:tr w:rsidR="0064611C" w:rsidRPr="00F14751" w14:paraId="743E3370" w14:textId="77777777" w:rsidTr="008607F7">
        <w:trPr>
          <w:jc w:val="center"/>
        </w:trPr>
        <w:tc>
          <w:tcPr>
            <w:tcW w:w="2313" w:type="dxa"/>
            <w:tcBorders>
              <w:top w:val="nil"/>
              <w:left w:val="nil"/>
              <w:bottom w:val="nil"/>
              <w:right w:val="nil"/>
            </w:tcBorders>
            <w:vAlign w:val="center"/>
          </w:tcPr>
          <w:p w14:paraId="35EEDA3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2735D8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(3.612)</w:t>
            </w:r>
          </w:p>
        </w:tc>
        <w:tc>
          <w:tcPr>
            <w:tcW w:w="1378" w:type="dxa"/>
            <w:tcBorders>
              <w:top w:val="nil"/>
              <w:left w:val="nil"/>
              <w:bottom w:val="nil"/>
              <w:right w:val="nil"/>
            </w:tcBorders>
            <w:vAlign w:val="center"/>
          </w:tcPr>
          <w:p w14:paraId="57B233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(2.978)</w:t>
            </w:r>
          </w:p>
        </w:tc>
        <w:tc>
          <w:tcPr>
            <w:tcW w:w="1378" w:type="dxa"/>
            <w:tcBorders>
              <w:top w:val="nil"/>
              <w:left w:val="nil"/>
              <w:bottom w:val="nil"/>
              <w:right w:val="nil"/>
            </w:tcBorders>
            <w:vAlign w:val="center"/>
          </w:tcPr>
          <w:p w14:paraId="6A61109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(2.287)</w:t>
            </w:r>
          </w:p>
        </w:tc>
        <w:tc>
          <w:tcPr>
            <w:tcW w:w="1378" w:type="dxa"/>
            <w:tcBorders>
              <w:top w:val="nil"/>
              <w:left w:val="nil"/>
              <w:bottom w:val="nil"/>
              <w:right w:val="nil"/>
            </w:tcBorders>
            <w:vAlign w:val="center"/>
          </w:tcPr>
          <w:p w14:paraId="28C7791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(1.712)</w:t>
            </w:r>
          </w:p>
        </w:tc>
        <w:tc>
          <w:tcPr>
            <w:tcW w:w="1378" w:type="dxa"/>
            <w:tcBorders>
              <w:top w:val="nil"/>
              <w:left w:val="nil"/>
              <w:bottom w:val="nil"/>
              <w:right w:val="nil"/>
            </w:tcBorders>
            <w:vAlign w:val="center"/>
          </w:tcPr>
          <w:p w14:paraId="077DD66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(139.8)</w:t>
            </w:r>
          </w:p>
        </w:tc>
        <w:tc>
          <w:tcPr>
            <w:tcW w:w="1379" w:type="dxa"/>
            <w:tcBorders>
              <w:top w:val="nil"/>
              <w:left w:val="nil"/>
              <w:bottom w:val="nil"/>
              <w:right w:val="nil"/>
            </w:tcBorders>
            <w:vAlign w:val="center"/>
          </w:tcPr>
          <w:p w14:paraId="01960B5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(65.62)</w:t>
            </w:r>
          </w:p>
        </w:tc>
      </w:tr>
      <w:tr w:rsidR="0064611C" w:rsidRPr="00F14751" w14:paraId="2D81F163" w14:textId="77777777" w:rsidTr="008607F7">
        <w:trPr>
          <w:jc w:val="center"/>
        </w:trPr>
        <w:tc>
          <w:tcPr>
            <w:tcW w:w="2313" w:type="dxa"/>
            <w:tcBorders>
              <w:top w:val="nil"/>
              <w:left w:val="nil"/>
              <w:bottom w:val="nil"/>
              <w:right w:val="nil"/>
            </w:tcBorders>
            <w:vAlign w:val="center"/>
          </w:tcPr>
          <w:p w14:paraId="1148554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UrbanPopgrowth</w:t>
            </w:r>
            <w:proofErr w:type="spellEnd"/>
          </w:p>
        </w:tc>
        <w:tc>
          <w:tcPr>
            <w:tcW w:w="1378" w:type="dxa"/>
            <w:tcBorders>
              <w:top w:val="nil"/>
              <w:left w:val="nil"/>
              <w:bottom w:val="nil"/>
              <w:right w:val="nil"/>
            </w:tcBorders>
            <w:vAlign w:val="center"/>
          </w:tcPr>
          <w:p w14:paraId="1EFCB1C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0.807</w:t>
            </w:r>
          </w:p>
        </w:tc>
        <w:tc>
          <w:tcPr>
            <w:tcW w:w="1378" w:type="dxa"/>
            <w:tcBorders>
              <w:top w:val="nil"/>
              <w:left w:val="nil"/>
              <w:bottom w:val="nil"/>
              <w:right w:val="nil"/>
            </w:tcBorders>
            <w:vAlign w:val="center"/>
          </w:tcPr>
          <w:p w14:paraId="5F3DEE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-2.103</w:t>
            </w:r>
          </w:p>
        </w:tc>
        <w:tc>
          <w:tcPr>
            <w:tcW w:w="1378" w:type="dxa"/>
            <w:tcBorders>
              <w:top w:val="nil"/>
              <w:left w:val="nil"/>
              <w:bottom w:val="nil"/>
              <w:right w:val="nil"/>
            </w:tcBorders>
            <w:vAlign w:val="center"/>
          </w:tcPr>
          <w:p w14:paraId="660596B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-1.848</w:t>
            </w:r>
          </w:p>
        </w:tc>
        <w:tc>
          <w:tcPr>
            <w:tcW w:w="1378" w:type="dxa"/>
            <w:tcBorders>
              <w:top w:val="nil"/>
              <w:left w:val="nil"/>
              <w:bottom w:val="nil"/>
              <w:right w:val="nil"/>
            </w:tcBorders>
            <w:vAlign w:val="center"/>
          </w:tcPr>
          <w:p w14:paraId="7F7365D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-2.675*</w:t>
            </w:r>
          </w:p>
        </w:tc>
        <w:tc>
          <w:tcPr>
            <w:tcW w:w="1378" w:type="dxa"/>
            <w:tcBorders>
              <w:top w:val="nil"/>
              <w:left w:val="nil"/>
              <w:bottom w:val="nil"/>
              <w:right w:val="nil"/>
            </w:tcBorders>
            <w:vAlign w:val="center"/>
          </w:tcPr>
          <w:p w14:paraId="0916928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-160.6*</w:t>
            </w:r>
          </w:p>
        </w:tc>
        <w:tc>
          <w:tcPr>
            <w:tcW w:w="1379" w:type="dxa"/>
            <w:tcBorders>
              <w:top w:val="nil"/>
              <w:left w:val="nil"/>
              <w:bottom w:val="nil"/>
              <w:right w:val="nil"/>
            </w:tcBorders>
            <w:vAlign w:val="center"/>
          </w:tcPr>
          <w:p w14:paraId="4200A33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-113.0**</w:t>
            </w:r>
          </w:p>
        </w:tc>
      </w:tr>
      <w:tr w:rsidR="0064611C" w:rsidRPr="00F14751" w14:paraId="38CAAE6A" w14:textId="77777777" w:rsidTr="008607F7">
        <w:trPr>
          <w:jc w:val="center"/>
        </w:trPr>
        <w:tc>
          <w:tcPr>
            <w:tcW w:w="2313" w:type="dxa"/>
            <w:tcBorders>
              <w:top w:val="nil"/>
              <w:left w:val="nil"/>
              <w:bottom w:val="nil"/>
              <w:right w:val="nil"/>
            </w:tcBorders>
            <w:vAlign w:val="center"/>
          </w:tcPr>
          <w:p w14:paraId="6D16213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0505AC1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(1.395)</w:t>
            </w:r>
          </w:p>
        </w:tc>
        <w:tc>
          <w:tcPr>
            <w:tcW w:w="1378" w:type="dxa"/>
            <w:tcBorders>
              <w:top w:val="nil"/>
              <w:left w:val="nil"/>
              <w:bottom w:val="nil"/>
              <w:right w:val="nil"/>
            </w:tcBorders>
            <w:vAlign w:val="center"/>
          </w:tcPr>
          <w:p w14:paraId="45A8290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(1.374)</w:t>
            </w:r>
          </w:p>
        </w:tc>
        <w:tc>
          <w:tcPr>
            <w:tcW w:w="1378" w:type="dxa"/>
            <w:tcBorders>
              <w:top w:val="nil"/>
              <w:left w:val="nil"/>
              <w:bottom w:val="nil"/>
              <w:right w:val="nil"/>
            </w:tcBorders>
            <w:vAlign w:val="center"/>
          </w:tcPr>
          <w:p w14:paraId="5F39D0B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(1.084)</w:t>
            </w:r>
          </w:p>
        </w:tc>
        <w:tc>
          <w:tcPr>
            <w:tcW w:w="1378" w:type="dxa"/>
            <w:tcBorders>
              <w:top w:val="nil"/>
              <w:left w:val="nil"/>
              <w:bottom w:val="nil"/>
              <w:right w:val="nil"/>
            </w:tcBorders>
            <w:vAlign w:val="center"/>
          </w:tcPr>
          <w:p w14:paraId="480A10D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(1.164)</w:t>
            </w:r>
          </w:p>
        </w:tc>
        <w:tc>
          <w:tcPr>
            <w:tcW w:w="1378" w:type="dxa"/>
            <w:tcBorders>
              <w:top w:val="nil"/>
              <w:left w:val="nil"/>
              <w:bottom w:val="nil"/>
              <w:right w:val="nil"/>
            </w:tcBorders>
            <w:vAlign w:val="center"/>
          </w:tcPr>
          <w:p w14:paraId="4535FA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(65.05)</w:t>
            </w:r>
          </w:p>
        </w:tc>
        <w:tc>
          <w:tcPr>
            <w:tcW w:w="1379" w:type="dxa"/>
            <w:tcBorders>
              <w:top w:val="nil"/>
              <w:left w:val="nil"/>
              <w:bottom w:val="nil"/>
              <w:right w:val="nil"/>
            </w:tcBorders>
            <w:vAlign w:val="center"/>
          </w:tcPr>
          <w:p w14:paraId="42D9CE4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(28.74)</w:t>
            </w:r>
          </w:p>
        </w:tc>
      </w:tr>
      <w:tr w:rsidR="0064611C" w:rsidRPr="00F14751" w14:paraId="0DA5BD19" w14:textId="77777777" w:rsidTr="008607F7">
        <w:trPr>
          <w:jc w:val="center"/>
        </w:trPr>
        <w:tc>
          <w:tcPr>
            <w:tcW w:w="2313" w:type="dxa"/>
            <w:tcBorders>
              <w:top w:val="nil"/>
              <w:left w:val="nil"/>
              <w:bottom w:val="nil"/>
              <w:right w:val="nil"/>
            </w:tcBorders>
            <w:vAlign w:val="center"/>
          </w:tcPr>
          <w:p w14:paraId="5291FCB0"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Mercosur</w:t>
            </w:r>
          </w:p>
        </w:tc>
        <w:tc>
          <w:tcPr>
            <w:tcW w:w="1378" w:type="dxa"/>
            <w:tcBorders>
              <w:top w:val="nil"/>
              <w:left w:val="nil"/>
              <w:bottom w:val="nil"/>
              <w:right w:val="nil"/>
            </w:tcBorders>
            <w:vAlign w:val="center"/>
          </w:tcPr>
          <w:p w14:paraId="4597C0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4.600</w:t>
            </w:r>
          </w:p>
        </w:tc>
        <w:tc>
          <w:tcPr>
            <w:tcW w:w="1378" w:type="dxa"/>
            <w:tcBorders>
              <w:top w:val="nil"/>
              <w:left w:val="nil"/>
              <w:bottom w:val="nil"/>
              <w:right w:val="nil"/>
            </w:tcBorders>
            <w:vAlign w:val="center"/>
          </w:tcPr>
          <w:p w14:paraId="69B39EA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3.601</w:t>
            </w:r>
          </w:p>
        </w:tc>
        <w:tc>
          <w:tcPr>
            <w:tcW w:w="1378" w:type="dxa"/>
            <w:tcBorders>
              <w:top w:val="nil"/>
              <w:left w:val="nil"/>
              <w:bottom w:val="nil"/>
              <w:right w:val="nil"/>
            </w:tcBorders>
            <w:vAlign w:val="center"/>
          </w:tcPr>
          <w:p w14:paraId="2ADABB5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0.915</w:t>
            </w:r>
          </w:p>
        </w:tc>
        <w:tc>
          <w:tcPr>
            <w:tcW w:w="1378" w:type="dxa"/>
            <w:tcBorders>
              <w:top w:val="nil"/>
              <w:left w:val="nil"/>
              <w:bottom w:val="nil"/>
              <w:right w:val="nil"/>
            </w:tcBorders>
            <w:vAlign w:val="center"/>
          </w:tcPr>
          <w:p w14:paraId="2451114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-1.232</w:t>
            </w:r>
          </w:p>
        </w:tc>
        <w:tc>
          <w:tcPr>
            <w:tcW w:w="1378" w:type="dxa"/>
            <w:tcBorders>
              <w:top w:val="nil"/>
              <w:left w:val="nil"/>
              <w:bottom w:val="nil"/>
              <w:right w:val="nil"/>
            </w:tcBorders>
            <w:vAlign w:val="center"/>
          </w:tcPr>
          <w:p w14:paraId="5510BE7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117.1</w:t>
            </w:r>
          </w:p>
        </w:tc>
        <w:tc>
          <w:tcPr>
            <w:tcW w:w="1379" w:type="dxa"/>
            <w:tcBorders>
              <w:top w:val="nil"/>
              <w:left w:val="nil"/>
              <w:bottom w:val="nil"/>
              <w:right w:val="nil"/>
            </w:tcBorders>
            <w:vAlign w:val="center"/>
          </w:tcPr>
          <w:p w14:paraId="7E68984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66.15</w:t>
            </w:r>
          </w:p>
        </w:tc>
      </w:tr>
      <w:tr w:rsidR="0064611C" w:rsidRPr="00F14751" w14:paraId="618B40FE" w14:textId="77777777" w:rsidTr="008607F7">
        <w:trPr>
          <w:jc w:val="center"/>
        </w:trPr>
        <w:tc>
          <w:tcPr>
            <w:tcW w:w="2313" w:type="dxa"/>
            <w:tcBorders>
              <w:top w:val="nil"/>
              <w:left w:val="nil"/>
              <w:bottom w:val="nil"/>
              <w:right w:val="nil"/>
            </w:tcBorders>
            <w:vAlign w:val="center"/>
          </w:tcPr>
          <w:p w14:paraId="2A5426A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795B7B7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(3.778)</w:t>
            </w:r>
          </w:p>
        </w:tc>
        <w:tc>
          <w:tcPr>
            <w:tcW w:w="1378" w:type="dxa"/>
            <w:tcBorders>
              <w:top w:val="nil"/>
              <w:left w:val="nil"/>
              <w:bottom w:val="nil"/>
              <w:right w:val="nil"/>
            </w:tcBorders>
            <w:vAlign w:val="center"/>
          </w:tcPr>
          <w:p w14:paraId="459CFA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(4.612)</w:t>
            </w:r>
          </w:p>
        </w:tc>
        <w:tc>
          <w:tcPr>
            <w:tcW w:w="1378" w:type="dxa"/>
            <w:tcBorders>
              <w:top w:val="nil"/>
              <w:left w:val="nil"/>
              <w:bottom w:val="nil"/>
              <w:right w:val="nil"/>
            </w:tcBorders>
            <w:vAlign w:val="center"/>
          </w:tcPr>
          <w:p w14:paraId="3254DB7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(4.254)</w:t>
            </w:r>
          </w:p>
        </w:tc>
        <w:tc>
          <w:tcPr>
            <w:tcW w:w="1378" w:type="dxa"/>
            <w:tcBorders>
              <w:top w:val="nil"/>
              <w:left w:val="nil"/>
              <w:bottom w:val="nil"/>
              <w:right w:val="nil"/>
            </w:tcBorders>
            <w:vAlign w:val="center"/>
          </w:tcPr>
          <w:p w14:paraId="7C74B9E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(4.519)</w:t>
            </w:r>
          </w:p>
        </w:tc>
        <w:tc>
          <w:tcPr>
            <w:tcW w:w="1378" w:type="dxa"/>
            <w:tcBorders>
              <w:top w:val="nil"/>
              <w:left w:val="nil"/>
              <w:bottom w:val="nil"/>
              <w:right w:val="nil"/>
            </w:tcBorders>
            <w:vAlign w:val="center"/>
          </w:tcPr>
          <w:p w14:paraId="250D947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(222.1)</w:t>
            </w:r>
          </w:p>
        </w:tc>
        <w:tc>
          <w:tcPr>
            <w:tcW w:w="1379" w:type="dxa"/>
            <w:tcBorders>
              <w:top w:val="nil"/>
              <w:left w:val="nil"/>
              <w:bottom w:val="nil"/>
              <w:right w:val="nil"/>
            </w:tcBorders>
            <w:vAlign w:val="center"/>
          </w:tcPr>
          <w:p w14:paraId="1504505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(156.5)</w:t>
            </w:r>
          </w:p>
        </w:tc>
      </w:tr>
      <w:tr w:rsidR="0064611C" w:rsidRPr="00F14751" w14:paraId="740D1FDF" w14:textId="77777777" w:rsidTr="008607F7">
        <w:trPr>
          <w:jc w:val="center"/>
        </w:trPr>
        <w:tc>
          <w:tcPr>
            <w:tcW w:w="2313" w:type="dxa"/>
            <w:tcBorders>
              <w:top w:val="nil"/>
              <w:left w:val="nil"/>
              <w:bottom w:val="nil"/>
              <w:right w:val="nil"/>
            </w:tcBorders>
            <w:vAlign w:val="center"/>
          </w:tcPr>
          <w:p w14:paraId="3649483C"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Gini</w:t>
            </w:r>
          </w:p>
        </w:tc>
        <w:tc>
          <w:tcPr>
            <w:tcW w:w="1378" w:type="dxa"/>
            <w:tcBorders>
              <w:top w:val="nil"/>
              <w:left w:val="nil"/>
              <w:bottom w:val="nil"/>
              <w:right w:val="nil"/>
            </w:tcBorders>
            <w:vAlign w:val="center"/>
          </w:tcPr>
          <w:p w14:paraId="3464F83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1.481**</w:t>
            </w:r>
          </w:p>
        </w:tc>
        <w:tc>
          <w:tcPr>
            <w:tcW w:w="1378" w:type="dxa"/>
            <w:tcBorders>
              <w:top w:val="nil"/>
              <w:left w:val="nil"/>
              <w:bottom w:val="nil"/>
              <w:right w:val="nil"/>
            </w:tcBorders>
            <w:vAlign w:val="center"/>
          </w:tcPr>
          <w:p w14:paraId="20934EB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1.240**</w:t>
            </w:r>
          </w:p>
        </w:tc>
        <w:tc>
          <w:tcPr>
            <w:tcW w:w="1378" w:type="dxa"/>
            <w:tcBorders>
              <w:top w:val="nil"/>
              <w:left w:val="nil"/>
              <w:bottom w:val="nil"/>
              <w:right w:val="nil"/>
            </w:tcBorders>
            <w:vAlign w:val="center"/>
          </w:tcPr>
          <w:p w14:paraId="4E3EA7A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0.941**</w:t>
            </w:r>
          </w:p>
        </w:tc>
        <w:tc>
          <w:tcPr>
            <w:tcW w:w="1378" w:type="dxa"/>
            <w:tcBorders>
              <w:top w:val="nil"/>
              <w:left w:val="nil"/>
              <w:bottom w:val="nil"/>
              <w:right w:val="nil"/>
            </w:tcBorders>
            <w:vAlign w:val="center"/>
          </w:tcPr>
          <w:p w14:paraId="54B38D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0.666*</w:t>
            </w:r>
          </w:p>
        </w:tc>
        <w:tc>
          <w:tcPr>
            <w:tcW w:w="1378" w:type="dxa"/>
            <w:tcBorders>
              <w:top w:val="nil"/>
              <w:left w:val="nil"/>
              <w:bottom w:val="nil"/>
              <w:right w:val="nil"/>
            </w:tcBorders>
            <w:vAlign w:val="center"/>
          </w:tcPr>
          <w:p w14:paraId="07504E3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49.23*</w:t>
            </w:r>
          </w:p>
        </w:tc>
        <w:tc>
          <w:tcPr>
            <w:tcW w:w="1379" w:type="dxa"/>
            <w:tcBorders>
              <w:top w:val="nil"/>
              <w:left w:val="nil"/>
              <w:bottom w:val="nil"/>
              <w:right w:val="nil"/>
            </w:tcBorders>
            <w:vAlign w:val="center"/>
          </w:tcPr>
          <w:p w14:paraId="2ED6732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23.37*</w:t>
            </w:r>
          </w:p>
        </w:tc>
      </w:tr>
      <w:tr w:rsidR="0064611C" w:rsidRPr="00F14751" w14:paraId="2AE65E9A" w14:textId="77777777" w:rsidTr="008607F7">
        <w:trPr>
          <w:jc w:val="center"/>
        </w:trPr>
        <w:tc>
          <w:tcPr>
            <w:tcW w:w="2313" w:type="dxa"/>
            <w:tcBorders>
              <w:top w:val="nil"/>
              <w:left w:val="nil"/>
              <w:bottom w:val="nil"/>
              <w:right w:val="nil"/>
            </w:tcBorders>
            <w:vAlign w:val="center"/>
          </w:tcPr>
          <w:p w14:paraId="368C936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49FF340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(0.454)</w:t>
            </w:r>
          </w:p>
        </w:tc>
        <w:tc>
          <w:tcPr>
            <w:tcW w:w="1378" w:type="dxa"/>
            <w:tcBorders>
              <w:top w:val="nil"/>
              <w:left w:val="nil"/>
              <w:bottom w:val="nil"/>
              <w:right w:val="nil"/>
            </w:tcBorders>
            <w:vAlign w:val="center"/>
          </w:tcPr>
          <w:p w14:paraId="5E7BBC1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(0.380)</w:t>
            </w:r>
          </w:p>
        </w:tc>
        <w:tc>
          <w:tcPr>
            <w:tcW w:w="1378" w:type="dxa"/>
            <w:tcBorders>
              <w:top w:val="nil"/>
              <w:left w:val="nil"/>
              <w:bottom w:val="nil"/>
              <w:right w:val="nil"/>
            </w:tcBorders>
            <w:vAlign w:val="center"/>
          </w:tcPr>
          <w:p w14:paraId="4BEADBF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(0.322)</w:t>
            </w:r>
          </w:p>
        </w:tc>
        <w:tc>
          <w:tcPr>
            <w:tcW w:w="1378" w:type="dxa"/>
            <w:tcBorders>
              <w:top w:val="nil"/>
              <w:left w:val="nil"/>
              <w:bottom w:val="nil"/>
              <w:right w:val="nil"/>
            </w:tcBorders>
            <w:vAlign w:val="center"/>
          </w:tcPr>
          <w:p w14:paraId="0C05CC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(0.262)</w:t>
            </w:r>
          </w:p>
        </w:tc>
        <w:tc>
          <w:tcPr>
            <w:tcW w:w="1378" w:type="dxa"/>
            <w:tcBorders>
              <w:top w:val="nil"/>
              <w:left w:val="nil"/>
              <w:bottom w:val="nil"/>
              <w:right w:val="nil"/>
            </w:tcBorders>
            <w:vAlign w:val="center"/>
          </w:tcPr>
          <w:p w14:paraId="558AE8C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(18.28)</w:t>
            </w:r>
          </w:p>
        </w:tc>
        <w:tc>
          <w:tcPr>
            <w:tcW w:w="1379" w:type="dxa"/>
            <w:tcBorders>
              <w:top w:val="nil"/>
              <w:left w:val="nil"/>
              <w:bottom w:val="nil"/>
              <w:right w:val="nil"/>
            </w:tcBorders>
            <w:vAlign w:val="center"/>
          </w:tcPr>
          <w:p w14:paraId="4D11473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(9.292)</w:t>
            </w:r>
          </w:p>
        </w:tc>
      </w:tr>
      <w:tr w:rsidR="0064611C" w:rsidRPr="00F14751" w14:paraId="607C8482" w14:textId="77777777" w:rsidTr="008607F7">
        <w:trPr>
          <w:jc w:val="center"/>
        </w:trPr>
        <w:tc>
          <w:tcPr>
            <w:tcW w:w="2313" w:type="dxa"/>
            <w:tcBorders>
              <w:top w:val="nil"/>
              <w:left w:val="nil"/>
              <w:bottom w:val="nil"/>
              <w:right w:val="nil"/>
            </w:tcBorders>
            <w:vAlign w:val="center"/>
          </w:tcPr>
          <w:p w14:paraId="62C80E50"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Constant</w:t>
            </w:r>
          </w:p>
        </w:tc>
        <w:tc>
          <w:tcPr>
            <w:tcW w:w="1378" w:type="dxa"/>
            <w:tcBorders>
              <w:top w:val="nil"/>
              <w:left w:val="nil"/>
              <w:bottom w:val="nil"/>
              <w:right w:val="nil"/>
            </w:tcBorders>
            <w:vAlign w:val="center"/>
          </w:tcPr>
          <w:p w14:paraId="2FDA012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10.21</w:t>
            </w:r>
          </w:p>
        </w:tc>
        <w:tc>
          <w:tcPr>
            <w:tcW w:w="1378" w:type="dxa"/>
            <w:tcBorders>
              <w:top w:val="nil"/>
              <w:left w:val="nil"/>
              <w:bottom w:val="nil"/>
              <w:right w:val="nil"/>
            </w:tcBorders>
            <w:vAlign w:val="center"/>
          </w:tcPr>
          <w:p w14:paraId="596A48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13.02</w:t>
            </w:r>
          </w:p>
        </w:tc>
        <w:tc>
          <w:tcPr>
            <w:tcW w:w="1378" w:type="dxa"/>
            <w:tcBorders>
              <w:top w:val="nil"/>
              <w:left w:val="nil"/>
              <w:bottom w:val="nil"/>
              <w:right w:val="nil"/>
            </w:tcBorders>
            <w:vAlign w:val="center"/>
          </w:tcPr>
          <w:p w14:paraId="5D72C7B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7.171</w:t>
            </w:r>
          </w:p>
        </w:tc>
        <w:tc>
          <w:tcPr>
            <w:tcW w:w="1378" w:type="dxa"/>
            <w:tcBorders>
              <w:top w:val="nil"/>
              <w:left w:val="nil"/>
              <w:bottom w:val="nil"/>
              <w:right w:val="nil"/>
            </w:tcBorders>
            <w:vAlign w:val="center"/>
          </w:tcPr>
          <w:p w14:paraId="1764EAD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7.607</w:t>
            </w:r>
          </w:p>
        </w:tc>
        <w:tc>
          <w:tcPr>
            <w:tcW w:w="1378" w:type="dxa"/>
            <w:tcBorders>
              <w:top w:val="nil"/>
              <w:left w:val="nil"/>
              <w:bottom w:val="nil"/>
              <w:right w:val="nil"/>
            </w:tcBorders>
            <w:vAlign w:val="center"/>
          </w:tcPr>
          <w:p w14:paraId="1592CD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-1,110</w:t>
            </w:r>
          </w:p>
        </w:tc>
        <w:tc>
          <w:tcPr>
            <w:tcW w:w="1379" w:type="dxa"/>
            <w:tcBorders>
              <w:top w:val="nil"/>
              <w:left w:val="nil"/>
              <w:bottom w:val="nil"/>
              <w:right w:val="nil"/>
            </w:tcBorders>
            <w:vAlign w:val="center"/>
          </w:tcPr>
          <w:p w14:paraId="3BF27B9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-739.3</w:t>
            </w:r>
          </w:p>
        </w:tc>
      </w:tr>
      <w:tr w:rsidR="0064611C" w:rsidRPr="00F14751" w14:paraId="208DF41F" w14:textId="77777777" w:rsidTr="008607F7">
        <w:trPr>
          <w:jc w:val="center"/>
        </w:trPr>
        <w:tc>
          <w:tcPr>
            <w:tcW w:w="2313" w:type="dxa"/>
            <w:tcBorders>
              <w:top w:val="nil"/>
              <w:left w:val="nil"/>
              <w:bottom w:val="nil"/>
              <w:right w:val="nil"/>
            </w:tcBorders>
            <w:vAlign w:val="center"/>
          </w:tcPr>
          <w:p w14:paraId="23F44698"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6D4507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(33.37)</w:t>
            </w:r>
          </w:p>
        </w:tc>
        <w:tc>
          <w:tcPr>
            <w:tcW w:w="1378" w:type="dxa"/>
            <w:tcBorders>
              <w:top w:val="nil"/>
              <w:left w:val="nil"/>
              <w:bottom w:val="nil"/>
              <w:right w:val="nil"/>
            </w:tcBorders>
            <w:vAlign w:val="center"/>
          </w:tcPr>
          <w:p w14:paraId="0C2ED1D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(28.21)</w:t>
            </w:r>
          </w:p>
        </w:tc>
        <w:tc>
          <w:tcPr>
            <w:tcW w:w="1378" w:type="dxa"/>
            <w:tcBorders>
              <w:top w:val="nil"/>
              <w:left w:val="nil"/>
              <w:bottom w:val="nil"/>
              <w:right w:val="nil"/>
            </w:tcBorders>
            <w:vAlign w:val="center"/>
          </w:tcPr>
          <w:p w14:paraId="7B349A3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(24.50)</w:t>
            </w:r>
          </w:p>
        </w:tc>
        <w:tc>
          <w:tcPr>
            <w:tcW w:w="1378" w:type="dxa"/>
            <w:tcBorders>
              <w:top w:val="nil"/>
              <w:left w:val="nil"/>
              <w:bottom w:val="nil"/>
              <w:right w:val="nil"/>
            </w:tcBorders>
            <w:vAlign w:val="center"/>
          </w:tcPr>
          <w:p w14:paraId="2C0E096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(26.53)</w:t>
            </w:r>
          </w:p>
        </w:tc>
        <w:tc>
          <w:tcPr>
            <w:tcW w:w="1378" w:type="dxa"/>
            <w:tcBorders>
              <w:top w:val="nil"/>
              <w:left w:val="nil"/>
              <w:bottom w:val="nil"/>
              <w:right w:val="nil"/>
            </w:tcBorders>
            <w:vAlign w:val="center"/>
          </w:tcPr>
          <w:p w14:paraId="318B75F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(909.2)</w:t>
            </w:r>
          </w:p>
        </w:tc>
        <w:tc>
          <w:tcPr>
            <w:tcW w:w="1379" w:type="dxa"/>
            <w:tcBorders>
              <w:top w:val="nil"/>
              <w:left w:val="nil"/>
              <w:bottom w:val="nil"/>
              <w:right w:val="nil"/>
            </w:tcBorders>
            <w:vAlign w:val="center"/>
          </w:tcPr>
          <w:p w14:paraId="4E39F5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(588.0)</w:t>
            </w:r>
          </w:p>
        </w:tc>
      </w:tr>
      <w:tr w:rsidR="0064611C" w:rsidRPr="00F14751" w14:paraId="2BDE32BE" w14:textId="77777777" w:rsidTr="008607F7">
        <w:trPr>
          <w:jc w:val="center"/>
        </w:trPr>
        <w:tc>
          <w:tcPr>
            <w:tcW w:w="2313" w:type="dxa"/>
            <w:tcBorders>
              <w:top w:val="nil"/>
              <w:left w:val="nil"/>
              <w:bottom w:val="nil"/>
              <w:right w:val="nil"/>
            </w:tcBorders>
            <w:vAlign w:val="center"/>
          </w:tcPr>
          <w:p w14:paraId="00DB113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vAlign w:val="center"/>
          </w:tcPr>
          <w:p w14:paraId="6F2F6D0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0976726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2010663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302D07D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8" w:type="dxa"/>
            <w:tcBorders>
              <w:top w:val="nil"/>
              <w:left w:val="nil"/>
              <w:bottom w:val="nil"/>
              <w:right w:val="nil"/>
            </w:tcBorders>
            <w:vAlign w:val="center"/>
          </w:tcPr>
          <w:p w14:paraId="4A91C89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c>
          <w:tcPr>
            <w:tcW w:w="1379" w:type="dxa"/>
            <w:tcBorders>
              <w:top w:val="nil"/>
              <w:left w:val="nil"/>
              <w:bottom w:val="nil"/>
              <w:right w:val="nil"/>
            </w:tcBorders>
            <w:vAlign w:val="center"/>
          </w:tcPr>
          <w:p w14:paraId="55C9701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5502EC8F" w14:textId="77777777" w:rsidTr="008607F7">
        <w:trPr>
          <w:jc w:val="center"/>
        </w:trPr>
        <w:tc>
          <w:tcPr>
            <w:tcW w:w="2313" w:type="dxa"/>
            <w:tcBorders>
              <w:top w:val="nil"/>
              <w:left w:val="nil"/>
              <w:bottom w:val="nil"/>
              <w:right w:val="nil"/>
            </w:tcBorders>
            <w:vAlign w:val="center"/>
          </w:tcPr>
          <w:p w14:paraId="064D7DB1"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Observations</w:t>
            </w:r>
          </w:p>
        </w:tc>
        <w:tc>
          <w:tcPr>
            <w:tcW w:w="1378" w:type="dxa"/>
            <w:tcBorders>
              <w:top w:val="nil"/>
              <w:left w:val="nil"/>
              <w:bottom w:val="nil"/>
              <w:right w:val="nil"/>
            </w:tcBorders>
            <w:vAlign w:val="center"/>
          </w:tcPr>
          <w:p w14:paraId="65DB9A8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378" w:type="dxa"/>
            <w:tcBorders>
              <w:top w:val="nil"/>
              <w:left w:val="nil"/>
              <w:bottom w:val="nil"/>
              <w:right w:val="nil"/>
            </w:tcBorders>
            <w:vAlign w:val="center"/>
          </w:tcPr>
          <w:p w14:paraId="34C44C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378" w:type="dxa"/>
            <w:tcBorders>
              <w:top w:val="nil"/>
              <w:left w:val="nil"/>
              <w:bottom w:val="nil"/>
              <w:right w:val="nil"/>
            </w:tcBorders>
            <w:vAlign w:val="center"/>
          </w:tcPr>
          <w:p w14:paraId="69ABC62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378" w:type="dxa"/>
            <w:tcBorders>
              <w:top w:val="nil"/>
              <w:left w:val="nil"/>
              <w:bottom w:val="nil"/>
              <w:right w:val="nil"/>
            </w:tcBorders>
            <w:vAlign w:val="center"/>
          </w:tcPr>
          <w:p w14:paraId="7DDD6B2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378" w:type="dxa"/>
            <w:tcBorders>
              <w:top w:val="nil"/>
              <w:left w:val="nil"/>
              <w:bottom w:val="nil"/>
              <w:right w:val="nil"/>
            </w:tcBorders>
            <w:vAlign w:val="center"/>
          </w:tcPr>
          <w:p w14:paraId="3265B99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c>
          <w:tcPr>
            <w:tcW w:w="1379" w:type="dxa"/>
            <w:tcBorders>
              <w:top w:val="nil"/>
              <w:left w:val="nil"/>
              <w:bottom w:val="nil"/>
              <w:right w:val="nil"/>
            </w:tcBorders>
            <w:vAlign w:val="center"/>
          </w:tcPr>
          <w:p w14:paraId="038D0B9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w:t>
            </w:r>
          </w:p>
        </w:tc>
      </w:tr>
      <w:tr w:rsidR="0064611C" w:rsidRPr="00F14751" w14:paraId="3B888525" w14:textId="77777777" w:rsidTr="008607F7">
        <w:trPr>
          <w:jc w:val="center"/>
        </w:trPr>
        <w:tc>
          <w:tcPr>
            <w:tcW w:w="2313" w:type="dxa"/>
            <w:tcBorders>
              <w:top w:val="nil"/>
              <w:left w:val="nil"/>
              <w:bottom w:val="nil"/>
              <w:right w:val="nil"/>
            </w:tcBorders>
            <w:vAlign w:val="center"/>
          </w:tcPr>
          <w:p w14:paraId="6C3A0D1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R-squared</w:t>
            </w:r>
          </w:p>
        </w:tc>
        <w:tc>
          <w:tcPr>
            <w:tcW w:w="1378" w:type="dxa"/>
            <w:tcBorders>
              <w:top w:val="nil"/>
              <w:left w:val="nil"/>
              <w:bottom w:val="nil"/>
              <w:right w:val="nil"/>
            </w:tcBorders>
            <w:vAlign w:val="center"/>
          </w:tcPr>
          <w:p w14:paraId="0A149E0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0.896</w:t>
            </w:r>
          </w:p>
        </w:tc>
        <w:tc>
          <w:tcPr>
            <w:tcW w:w="1378" w:type="dxa"/>
            <w:tcBorders>
              <w:top w:val="nil"/>
              <w:left w:val="nil"/>
              <w:bottom w:val="nil"/>
              <w:right w:val="nil"/>
            </w:tcBorders>
            <w:vAlign w:val="center"/>
          </w:tcPr>
          <w:p w14:paraId="53FEF31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0.873</w:t>
            </w:r>
          </w:p>
        </w:tc>
        <w:tc>
          <w:tcPr>
            <w:tcW w:w="1378" w:type="dxa"/>
            <w:tcBorders>
              <w:top w:val="nil"/>
              <w:left w:val="nil"/>
              <w:bottom w:val="nil"/>
              <w:right w:val="nil"/>
            </w:tcBorders>
            <w:vAlign w:val="center"/>
          </w:tcPr>
          <w:p w14:paraId="76BFB76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0.863</w:t>
            </w:r>
          </w:p>
        </w:tc>
        <w:tc>
          <w:tcPr>
            <w:tcW w:w="1378" w:type="dxa"/>
            <w:tcBorders>
              <w:top w:val="nil"/>
              <w:left w:val="nil"/>
              <w:bottom w:val="nil"/>
              <w:right w:val="nil"/>
            </w:tcBorders>
            <w:vAlign w:val="center"/>
          </w:tcPr>
          <w:p w14:paraId="33ECD2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0.822</w:t>
            </w:r>
          </w:p>
        </w:tc>
        <w:tc>
          <w:tcPr>
            <w:tcW w:w="1378" w:type="dxa"/>
            <w:tcBorders>
              <w:top w:val="nil"/>
              <w:left w:val="nil"/>
              <w:bottom w:val="nil"/>
              <w:right w:val="nil"/>
            </w:tcBorders>
            <w:vAlign w:val="center"/>
          </w:tcPr>
          <w:p w14:paraId="1F46D7E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0.840</w:t>
            </w:r>
          </w:p>
        </w:tc>
        <w:tc>
          <w:tcPr>
            <w:tcW w:w="1379" w:type="dxa"/>
            <w:tcBorders>
              <w:top w:val="nil"/>
              <w:left w:val="nil"/>
              <w:bottom w:val="nil"/>
              <w:right w:val="nil"/>
            </w:tcBorders>
            <w:vAlign w:val="center"/>
          </w:tcPr>
          <w:p w14:paraId="7BD528B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0.817</w:t>
            </w:r>
          </w:p>
        </w:tc>
      </w:tr>
      <w:tr w:rsidR="0064611C" w:rsidRPr="00F14751" w14:paraId="34F602CD" w14:textId="77777777" w:rsidTr="008607F7">
        <w:trPr>
          <w:jc w:val="center"/>
        </w:trPr>
        <w:tc>
          <w:tcPr>
            <w:tcW w:w="2313" w:type="dxa"/>
            <w:tcBorders>
              <w:top w:val="nil"/>
              <w:left w:val="nil"/>
              <w:bottom w:val="nil"/>
              <w:right w:val="nil"/>
            </w:tcBorders>
            <w:vAlign w:val="center"/>
          </w:tcPr>
          <w:p w14:paraId="7F68B5F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Number of Countries</w:t>
            </w:r>
          </w:p>
        </w:tc>
        <w:tc>
          <w:tcPr>
            <w:tcW w:w="1378" w:type="dxa"/>
            <w:tcBorders>
              <w:top w:val="nil"/>
              <w:left w:val="nil"/>
              <w:bottom w:val="nil"/>
              <w:right w:val="nil"/>
            </w:tcBorders>
            <w:vAlign w:val="center"/>
          </w:tcPr>
          <w:p w14:paraId="6F1A3A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78" w:type="dxa"/>
            <w:tcBorders>
              <w:top w:val="nil"/>
              <w:left w:val="nil"/>
              <w:bottom w:val="nil"/>
              <w:right w:val="nil"/>
            </w:tcBorders>
            <w:vAlign w:val="center"/>
          </w:tcPr>
          <w:p w14:paraId="5C3D2BF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78" w:type="dxa"/>
            <w:tcBorders>
              <w:top w:val="nil"/>
              <w:left w:val="nil"/>
              <w:bottom w:val="nil"/>
              <w:right w:val="nil"/>
            </w:tcBorders>
            <w:vAlign w:val="center"/>
          </w:tcPr>
          <w:p w14:paraId="31CD8A0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78" w:type="dxa"/>
            <w:tcBorders>
              <w:top w:val="nil"/>
              <w:left w:val="nil"/>
              <w:bottom w:val="nil"/>
              <w:right w:val="nil"/>
            </w:tcBorders>
            <w:vAlign w:val="center"/>
          </w:tcPr>
          <w:p w14:paraId="35346D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78" w:type="dxa"/>
            <w:tcBorders>
              <w:top w:val="nil"/>
              <w:left w:val="nil"/>
              <w:bottom w:val="nil"/>
              <w:right w:val="nil"/>
            </w:tcBorders>
            <w:vAlign w:val="center"/>
          </w:tcPr>
          <w:p w14:paraId="375F945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79" w:type="dxa"/>
            <w:tcBorders>
              <w:top w:val="nil"/>
              <w:left w:val="nil"/>
              <w:bottom w:val="nil"/>
              <w:right w:val="nil"/>
            </w:tcBorders>
            <w:vAlign w:val="center"/>
          </w:tcPr>
          <w:p w14:paraId="68CA539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r>
      <w:tr w:rsidR="0064611C" w:rsidRPr="00F14751" w14:paraId="74ADD322" w14:textId="77777777" w:rsidTr="008607F7">
        <w:tblPrEx>
          <w:tblBorders>
            <w:bottom w:val="single" w:sz="6" w:space="0" w:color="auto"/>
          </w:tblBorders>
        </w:tblPrEx>
        <w:trPr>
          <w:jc w:val="center"/>
        </w:trPr>
        <w:tc>
          <w:tcPr>
            <w:tcW w:w="2313" w:type="dxa"/>
            <w:tcBorders>
              <w:top w:val="nil"/>
              <w:left w:val="nil"/>
              <w:bottom w:val="single" w:sz="6" w:space="0" w:color="auto"/>
              <w:right w:val="nil"/>
            </w:tcBorders>
            <w:vAlign w:val="center"/>
          </w:tcPr>
          <w:p w14:paraId="5CD653B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Robust SE</w:t>
            </w:r>
          </w:p>
        </w:tc>
        <w:tc>
          <w:tcPr>
            <w:tcW w:w="1378" w:type="dxa"/>
            <w:tcBorders>
              <w:top w:val="nil"/>
              <w:left w:val="nil"/>
              <w:bottom w:val="single" w:sz="6" w:space="0" w:color="auto"/>
              <w:right w:val="nil"/>
            </w:tcBorders>
            <w:vAlign w:val="center"/>
          </w:tcPr>
          <w:p w14:paraId="2556FDE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78" w:type="dxa"/>
            <w:tcBorders>
              <w:top w:val="nil"/>
              <w:left w:val="nil"/>
              <w:bottom w:val="single" w:sz="6" w:space="0" w:color="auto"/>
              <w:right w:val="nil"/>
            </w:tcBorders>
            <w:vAlign w:val="center"/>
          </w:tcPr>
          <w:p w14:paraId="15587AD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78" w:type="dxa"/>
            <w:tcBorders>
              <w:top w:val="nil"/>
              <w:left w:val="nil"/>
              <w:bottom w:val="single" w:sz="6" w:space="0" w:color="auto"/>
              <w:right w:val="nil"/>
            </w:tcBorders>
            <w:vAlign w:val="center"/>
          </w:tcPr>
          <w:p w14:paraId="7E6E3D3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78" w:type="dxa"/>
            <w:tcBorders>
              <w:top w:val="nil"/>
              <w:left w:val="nil"/>
              <w:bottom w:val="single" w:sz="6" w:space="0" w:color="auto"/>
              <w:right w:val="nil"/>
            </w:tcBorders>
            <w:vAlign w:val="center"/>
          </w:tcPr>
          <w:p w14:paraId="6630158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78" w:type="dxa"/>
            <w:tcBorders>
              <w:top w:val="nil"/>
              <w:left w:val="nil"/>
              <w:bottom w:val="single" w:sz="6" w:space="0" w:color="auto"/>
              <w:right w:val="nil"/>
            </w:tcBorders>
            <w:vAlign w:val="center"/>
          </w:tcPr>
          <w:p w14:paraId="5DB73AF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79" w:type="dxa"/>
            <w:tcBorders>
              <w:top w:val="nil"/>
              <w:left w:val="nil"/>
              <w:bottom w:val="single" w:sz="6" w:space="0" w:color="auto"/>
              <w:right w:val="nil"/>
            </w:tcBorders>
            <w:vAlign w:val="center"/>
          </w:tcPr>
          <w:p w14:paraId="595D8B1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r>
    </w:tbl>
    <w:p w14:paraId="4B89C12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Robust standard errors in parentheses</w:t>
      </w:r>
    </w:p>
    <w:p w14:paraId="7EC2D98A" w14:textId="77777777" w:rsidR="00F543CB" w:rsidRPr="00F14751" w:rsidRDefault="00C21C1D" w:rsidP="008607F7">
      <w:pPr>
        <w:widowControl w:val="0"/>
        <w:autoSpaceDE w:val="0"/>
        <w:autoSpaceDN w:val="0"/>
        <w:adjustRightInd w:val="0"/>
        <w:spacing w:after="0" w:line="240" w:lineRule="auto"/>
        <w:jc w:val="center"/>
        <w:rPr>
          <w:rFonts w:ascii="Times New Roman" w:hAnsi="Times New Roman" w:cs="Times New Roman"/>
          <w:sz w:val="24"/>
          <w:szCs w:val="24"/>
        </w:rPr>
        <w:sectPr w:rsidR="00F543CB" w:rsidRPr="00F14751" w:rsidSect="00F543CB">
          <w:pgSz w:w="12240" w:h="15840"/>
          <w:pgMar w:top="1440" w:right="1440" w:bottom="1440" w:left="1440" w:header="720" w:footer="720" w:gutter="0"/>
          <w:cols w:space="720"/>
          <w:noEndnote/>
          <w:docGrid w:linePitch="299"/>
        </w:sectPr>
      </w:pPr>
      <w:r w:rsidRPr="00F14751">
        <w:rPr>
          <w:rFonts w:ascii="Times New Roman" w:hAnsi="Times New Roman" w:cs="Times New Roman"/>
          <w:sz w:val="24"/>
          <w:szCs w:val="24"/>
        </w:rPr>
        <w:t>*** p&lt;0.01, ** p&lt;0.05, * p&lt;0.1</w:t>
      </w:r>
    </w:p>
    <w:p w14:paraId="14207913" w14:textId="77777777" w:rsidR="0064611C" w:rsidRPr="00EC62E8" w:rsidRDefault="0064611C" w:rsidP="00EC62E8">
      <w:pPr>
        <w:pStyle w:val="NoSpacing"/>
        <w:spacing w:line="360" w:lineRule="auto"/>
        <w:rPr>
          <w:rFonts w:asciiTheme="majorHAnsi" w:hAnsiTheme="majorHAnsi" w:cs="Times New Roman"/>
          <w:sz w:val="24"/>
          <w:szCs w:val="24"/>
        </w:rPr>
      </w:pPr>
      <w:r w:rsidRPr="00EC62E8">
        <w:rPr>
          <w:rFonts w:asciiTheme="majorHAnsi" w:hAnsiTheme="majorHAnsi"/>
          <w:sz w:val="24"/>
        </w:rPr>
        <w:t>Table 10: Estimation results of the FE model for the first group with the measures of inequality as dependent variables. The model includes country and time fixed effects.</w:t>
      </w:r>
    </w:p>
    <w:tbl>
      <w:tblPr>
        <w:tblW w:w="15643" w:type="dxa"/>
        <w:jc w:val="center"/>
        <w:tblLayout w:type="fixed"/>
        <w:tblCellMar>
          <w:left w:w="75" w:type="dxa"/>
          <w:right w:w="75" w:type="dxa"/>
        </w:tblCellMar>
        <w:tblLook w:val="0000" w:firstRow="0" w:lastRow="0" w:firstColumn="0" w:lastColumn="0" w:noHBand="0" w:noVBand="0"/>
      </w:tblPr>
      <w:tblGrid>
        <w:gridCol w:w="1909"/>
        <w:gridCol w:w="1373"/>
        <w:gridCol w:w="1373"/>
        <w:gridCol w:w="1374"/>
        <w:gridCol w:w="1373"/>
        <w:gridCol w:w="1374"/>
        <w:gridCol w:w="1373"/>
        <w:gridCol w:w="1373"/>
        <w:gridCol w:w="1374"/>
        <w:gridCol w:w="1373"/>
        <w:gridCol w:w="1374"/>
      </w:tblGrid>
      <w:tr w:rsidR="0064611C" w:rsidRPr="00F14751" w14:paraId="0A0FD990" w14:textId="77777777" w:rsidTr="008607F7">
        <w:trPr>
          <w:jc w:val="center"/>
        </w:trPr>
        <w:tc>
          <w:tcPr>
            <w:tcW w:w="1909" w:type="dxa"/>
            <w:tcBorders>
              <w:top w:val="single" w:sz="6" w:space="0" w:color="auto"/>
              <w:left w:val="nil"/>
              <w:bottom w:val="nil"/>
              <w:right w:val="nil"/>
            </w:tcBorders>
            <w:vAlign w:val="center"/>
          </w:tcPr>
          <w:p w14:paraId="3CD17DC8"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0"/>
              </w:rPr>
            </w:pPr>
          </w:p>
        </w:tc>
        <w:tc>
          <w:tcPr>
            <w:tcW w:w="1373" w:type="dxa"/>
            <w:tcBorders>
              <w:top w:val="single" w:sz="6" w:space="0" w:color="auto"/>
              <w:left w:val="nil"/>
              <w:bottom w:val="nil"/>
              <w:right w:val="nil"/>
            </w:tcBorders>
            <w:vAlign w:val="center"/>
          </w:tcPr>
          <w:p w14:paraId="4BD33E1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w:t>
            </w:r>
          </w:p>
        </w:tc>
        <w:tc>
          <w:tcPr>
            <w:tcW w:w="1373" w:type="dxa"/>
            <w:tcBorders>
              <w:top w:val="single" w:sz="6" w:space="0" w:color="auto"/>
              <w:left w:val="nil"/>
              <w:bottom w:val="nil"/>
              <w:right w:val="nil"/>
            </w:tcBorders>
            <w:vAlign w:val="center"/>
          </w:tcPr>
          <w:p w14:paraId="0202E44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(2)</w:t>
            </w:r>
          </w:p>
        </w:tc>
        <w:tc>
          <w:tcPr>
            <w:tcW w:w="1374" w:type="dxa"/>
            <w:tcBorders>
              <w:top w:val="single" w:sz="6" w:space="0" w:color="auto"/>
              <w:left w:val="nil"/>
              <w:bottom w:val="nil"/>
              <w:right w:val="nil"/>
            </w:tcBorders>
            <w:vAlign w:val="center"/>
          </w:tcPr>
          <w:p w14:paraId="43FC80C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(3)</w:t>
            </w:r>
          </w:p>
        </w:tc>
        <w:tc>
          <w:tcPr>
            <w:tcW w:w="1373" w:type="dxa"/>
            <w:tcBorders>
              <w:top w:val="single" w:sz="6" w:space="0" w:color="auto"/>
              <w:left w:val="nil"/>
              <w:bottom w:val="nil"/>
              <w:right w:val="nil"/>
            </w:tcBorders>
            <w:vAlign w:val="center"/>
          </w:tcPr>
          <w:p w14:paraId="48E4942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(4)</w:t>
            </w:r>
          </w:p>
        </w:tc>
        <w:tc>
          <w:tcPr>
            <w:tcW w:w="1374" w:type="dxa"/>
            <w:tcBorders>
              <w:top w:val="single" w:sz="6" w:space="0" w:color="auto"/>
              <w:left w:val="nil"/>
              <w:bottom w:val="nil"/>
              <w:right w:val="nil"/>
            </w:tcBorders>
            <w:vAlign w:val="center"/>
          </w:tcPr>
          <w:p w14:paraId="041583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(5)</w:t>
            </w:r>
          </w:p>
        </w:tc>
        <w:tc>
          <w:tcPr>
            <w:tcW w:w="1373" w:type="dxa"/>
            <w:tcBorders>
              <w:top w:val="single" w:sz="6" w:space="0" w:color="auto"/>
              <w:left w:val="nil"/>
              <w:bottom w:val="nil"/>
              <w:right w:val="nil"/>
            </w:tcBorders>
            <w:vAlign w:val="center"/>
          </w:tcPr>
          <w:p w14:paraId="485AEB9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(6)</w:t>
            </w:r>
          </w:p>
        </w:tc>
        <w:tc>
          <w:tcPr>
            <w:tcW w:w="1373" w:type="dxa"/>
            <w:tcBorders>
              <w:top w:val="single" w:sz="6" w:space="0" w:color="auto"/>
              <w:left w:val="nil"/>
              <w:bottom w:val="nil"/>
              <w:right w:val="nil"/>
            </w:tcBorders>
            <w:vAlign w:val="center"/>
          </w:tcPr>
          <w:p w14:paraId="630D497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(7)</w:t>
            </w:r>
          </w:p>
        </w:tc>
        <w:tc>
          <w:tcPr>
            <w:tcW w:w="1374" w:type="dxa"/>
            <w:tcBorders>
              <w:top w:val="single" w:sz="6" w:space="0" w:color="auto"/>
              <w:left w:val="nil"/>
              <w:bottom w:val="nil"/>
              <w:right w:val="nil"/>
            </w:tcBorders>
            <w:vAlign w:val="center"/>
          </w:tcPr>
          <w:p w14:paraId="0FC9126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(8)</w:t>
            </w:r>
          </w:p>
        </w:tc>
        <w:tc>
          <w:tcPr>
            <w:tcW w:w="1373" w:type="dxa"/>
            <w:tcBorders>
              <w:top w:val="single" w:sz="6" w:space="0" w:color="auto"/>
              <w:left w:val="nil"/>
              <w:bottom w:val="nil"/>
              <w:right w:val="nil"/>
            </w:tcBorders>
            <w:vAlign w:val="center"/>
          </w:tcPr>
          <w:p w14:paraId="2FD3088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(9)</w:t>
            </w:r>
          </w:p>
        </w:tc>
        <w:tc>
          <w:tcPr>
            <w:tcW w:w="1374" w:type="dxa"/>
            <w:tcBorders>
              <w:top w:val="single" w:sz="6" w:space="0" w:color="auto"/>
              <w:left w:val="nil"/>
              <w:bottom w:val="nil"/>
              <w:right w:val="nil"/>
            </w:tcBorders>
            <w:vAlign w:val="center"/>
          </w:tcPr>
          <w:p w14:paraId="4DF9FA9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(10)</w:t>
            </w:r>
          </w:p>
        </w:tc>
      </w:tr>
      <w:tr w:rsidR="0064611C" w:rsidRPr="00F14751" w14:paraId="37BF848E" w14:textId="77777777" w:rsidTr="008607F7">
        <w:trPr>
          <w:jc w:val="center"/>
        </w:trPr>
        <w:tc>
          <w:tcPr>
            <w:tcW w:w="1909" w:type="dxa"/>
            <w:tcBorders>
              <w:top w:val="nil"/>
              <w:left w:val="nil"/>
              <w:bottom w:val="single" w:sz="6" w:space="0" w:color="auto"/>
              <w:right w:val="nil"/>
            </w:tcBorders>
            <w:vAlign w:val="center"/>
          </w:tcPr>
          <w:p w14:paraId="1D1A273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0"/>
              </w:rPr>
            </w:pPr>
            <w:r w:rsidRPr="00F14751">
              <w:rPr>
                <w:rFonts w:ascii="Times New Roman" w:hAnsi="Times New Roman" w:cs="Times New Roman"/>
                <w:sz w:val="20"/>
                <w:szCs w:val="20"/>
              </w:rPr>
              <w:t>VARIABLES</w:t>
            </w:r>
          </w:p>
        </w:tc>
        <w:tc>
          <w:tcPr>
            <w:tcW w:w="1373" w:type="dxa"/>
            <w:tcBorders>
              <w:top w:val="nil"/>
              <w:left w:val="nil"/>
              <w:bottom w:val="single" w:sz="6" w:space="0" w:color="auto"/>
              <w:right w:val="nil"/>
            </w:tcBorders>
            <w:vAlign w:val="center"/>
          </w:tcPr>
          <w:p w14:paraId="0F5ED11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Gini</w:t>
            </w:r>
          </w:p>
        </w:tc>
        <w:tc>
          <w:tcPr>
            <w:tcW w:w="1373" w:type="dxa"/>
            <w:tcBorders>
              <w:top w:val="nil"/>
              <w:left w:val="nil"/>
              <w:bottom w:val="single" w:sz="6" w:space="0" w:color="auto"/>
              <w:right w:val="nil"/>
            </w:tcBorders>
            <w:vAlign w:val="center"/>
          </w:tcPr>
          <w:p w14:paraId="4387C84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D1</w:t>
            </w:r>
          </w:p>
        </w:tc>
        <w:tc>
          <w:tcPr>
            <w:tcW w:w="1374" w:type="dxa"/>
            <w:tcBorders>
              <w:top w:val="nil"/>
              <w:left w:val="nil"/>
              <w:bottom w:val="single" w:sz="6" w:space="0" w:color="auto"/>
              <w:right w:val="nil"/>
            </w:tcBorders>
            <w:vAlign w:val="center"/>
          </w:tcPr>
          <w:p w14:paraId="4B1B27B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D2</w:t>
            </w:r>
          </w:p>
        </w:tc>
        <w:tc>
          <w:tcPr>
            <w:tcW w:w="1373" w:type="dxa"/>
            <w:tcBorders>
              <w:top w:val="nil"/>
              <w:left w:val="nil"/>
              <w:bottom w:val="single" w:sz="6" w:space="0" w:color="auto"/>
              <w:right w:val="nil"/>
            </w:tcBorders>
            <w:vAlign w:val="center"/>
          </w:tcPr>
          <w:p w14:paraId="6BD005E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Q1</w:t>
            </w:r>
          </w:p>
        </w:tc>
        <w:tc>
          <w:tcPr>
            <w:tcW w:w="1374" w:type="dxa"/>
            <w:tcBorders>
              <w:top w:val="nil"/>
              <w:left w:val="nil"/>
              <w:bottom w:val="single" w:sz="6" w:space="0" w:color="auto"/>
              <w:right w:val="nil"/>
            </w:tcBorders>
            <w:vAlign w:val="center"/>
          </w:tcPr>
          <w:p w14:paraId="267F480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Q2</w:t>
            </w:r>
          </w:p>
        </w:tc>
        <w:tc>
          <w:tcPr>
            <w:tcW w:w="1373" w:type="dxa"/>
            <w:tcBorders>
              <w:top w:val="nil"/>
              <w:left w:val="nil"/>
              <w:bottom w:val="single" w:sz="6" w:space="0" w:color="auto"/>
              <w:right w:val="nil"/>
            </w:tcBorders>
            <w:vAlign w:val="center"/>
          </w:tcPr>
          <w:p w14:paraId="7BFA4D8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Q3</w:t>
            </w:r>
          </w:p>
        </w:tc>
        <w:tc>
          <w:tcPr>
            <w:tcW w:w="1373" w:type="dxa"/>
            <w:tcBorders>
              <w:top w:val="nil"/>
              <w:left w:val="nil"/>
              <w:bottom w:val="single" w:sz="6" w:space="0" w:color="auto"/>
              <w:right w:val="nil"/>
            </w:tcBorders>
            <w:vAlign w:val="center"/>
          </w:tcPr>
          <w:p w14:paraId="4C7CA4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Q4</w:t>
            </w:r>
          </w:p>
        </w:tc>
        <w:tc>
          <w:tcPr>
            <w:tcW w:w="1374" w:type="dxa"/>
            <w:tcBorders>
              <w:top w:val="nil"/>
              <w:left w:val="nil"/>
              <w:bottom w:val="single" w:sz="6" w:space="0" w:color="auto"/>
              <w:right w:val="nil"/>
            </w:tcBorders>
            <w:vAlign w:val="center"/>
          </w:tcPr>
          <w:p w14:paraId="64B27F4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D9</w:t>
            </w:r>
          </w:p>
        </w:tc>
        <w:tc>
          <w:tcPr>
            <w:tcW w:w="1373" w:type="dxa"/>
            <w:tcBorders>
              <w:top w:val="nil"/>
              <w:left w:val="nil"/>
              <w:bottom w:val="single" w:sz="6" w:space="0" w:color="auto"/>
              <w:right w:val="nil"/>
            </w:tcBorders>
            <w:vAlign w:val="center"/>
          </w:tcPr>
          <w:p w14:paraId="2EC8A99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D10</w:t>
            </w:r>
          </w:p>
        </w:tc>
        <w:tc>
          <w:tcPr>
            <w:tcW w:w="1374" w:type="dxa"/>
            <w:tcBorders>
              <w:top w:val="nil"/>
              <w:left w:val="nil"/>
              <w:bottom w:val="single" w:sz="6" w:space="0" w:color="auto"/>
              <w:right w:val="nil"/>
            </w:tcBorders>
            <w:vAlign w:val="center"/>
          </w:tcPr>
          <w:p w14:paraId="631F02E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Q5</w:t>
            </w:r>
          </w:p>
        </w:tc>
      </w:tr>
      <w:tr w:rsidR="0064611C" w:rsidRPr="00F14751" w14:paraId="3892E4F2" w14:textId="77777777" w:rsidTr="008607F7">
        <w:trPr>
          <w:jc w:val="center"/>
        </w:trPr>
        <w:tc>
          <w:tcPr>
            <w:tcW w:w="1909" w:type="dxa"/>
            <w:tcBorders>
              <w:top w:val="nil"/>
              <w:left w:val="nil"/>
              <w:bottom w:val="nil"/>
              <w:right w:val="nil"/>
            </w:tcBorders>
            <w:vAlign w:val="center"/>
          </w:tcPr>
          <w:p w14:paraId="494D023E"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0"/>
              </w:rPr>
            </w:pPr>
          </w:p>
        </w:tc>
        <w:tc>
          <w:tcPr>
            <w:tcW w:w="1373" w:type="dxa"/>
            <w:tcBorders>
              <w:top w:val="nil"/>
              <w:left w:val="nil"/>
              <w:bottom w:val="nil"/>
              <w:right w:val="nil"/>
            </w:tcBorders>
            <w:vAlign w:val="center"/>
          </w:tcPr>
          <w:p w14:paraId="2A5BE96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3" w:type="dxa"/>
            <w:tcBorders>
              <w:top w:val="nil"/>
              <w:left w:val="nil"/>
              <w:bottom w:val="nil"/>
              <w:right w:val="nil"/>
            </w:tcBorders>
            <w:vAlign w:val="center"/>
          </w:tcPr>
          <w:p w14:paraId="2314F47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4" w:type="dxa"/>
            <w:tcBorders>
              <w:top w:val="nil"/>
              <w:left w:val="nil"/>
              <w:bottom w:val="nil"/>
              <w:right w:val="nil"/>
            </w:tcBorders>
            <w:vAlign w:val="center"/>
          </w:tcPr>
          <w:p w14:paraId="75F29AD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3" w:type="dxa"/>
            <w:tcBorders>
              <w:top w:val="nil"/>
              <w:left w:val="nil"/>
              <w:bottom w:val="nil"/>
              <w:right w:val="nil"/>
            </w:tcBorders>
            <w:vAlign w:val="center"/>
          </w:tcPr>
          <w:p w14:paraId="772A493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4" w:type="dxa"/>
            <w:tcBorders>
              <w:top w:val="nil"/>
              <w:left w:val="nil"/>
              <w:bottom w:val="nil"/>
              <w:right w:val="nil"/>
            </w:tcBorders>
            <w:vAlign w:val="center"/>
          </w:tcPr>
          <w:p w14:paraId="2C47EE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3" w:type="dxa"/>
            <w:tcBorders>
              <w:top w:val="nil"/>
              <w:left w:val="nil"/>
              <w:bottom w:val="nil"/>
              <w:right w:val="nil"/>
            </w:tcBorders>
            <w:vAlign w:val="center"/>
          </w:tcPr>
          <w:p w14:paraId="5EA6684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3" w:type="dxa"/>
            <w:tcBorders>
              <w:top w:val="nil"/>
              <w:left w:val="nil"/>
              <w:bottom w:val="nil"/>
              <w:right w:val="nil"/>
            </w:tcBorders>
            <w:vAlign w:val="center"/>
          </w:tcPr>
          <w:p w14:paraId="30FBEFC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4" w:type="dxa"/>
            <w:tcBorders>
              <w:top w:val="nil"/>
              <w:left w:val="nil"/>
              <w:bottom w:val="nil"/>
              <w:right w:val="nil"/>
            </w:tcBorders>
            <w:vAlign w:val="center"/>
          </w:tcPr>
          <w:p w14:paraId="4C2B23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3" w:type="dxa"/>
            <w:tcBorders>
              <w:top w:val="nil"/>
              <w:left w:val="nil"/>
              <w:bottom w:val="nil"/>
              <w:right w:val="nil"/>
            </w:tcBorders>
            <w:vAlign w:val="center"/>
          </w:tcPr>
          <w:p w14:paraId="2E0A30C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c>
          <w:tcPr>
            <w:tcW w:w="1374" w:type="dxa"/>
            <w:tcBorders>
              <w:top w:val="nil"/>
              <w:left w:val="nil"/>
              <w:bottom w:val="nil"/>
              <w:right w:val="nil"/>
            </w:tcBorders>
            <w:vAlign w:val="center"/>
          </w:tcPr>
          <w:p w14:paraId="57FDA43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p>
        </w:tc>
      </w:tr>
      <w:tr w:rsidR="0064611C" w:rsidRPr="00F14751" w14:paraId="67A84B09" w14:textId="77777777" w:rsidTr="008607F7">
        <w:trPr>
          <w:jc w:val="center"/>
        </w:trPr>
        <w:tc>
          <w:tcPr>
            <w:tcW w:w="1909" w:type="dxa"/>
            <w:tcBorders>
              <w:top w:val="nil"/>
              <w:left w:val="nil"/>
              <w:bottom w:val="nil"/>
              <w:right w:val="nil"/>
            </w:tcBorders>
            <w:vAlign w:val="center"/>
          </w:tcPr>
          <w:p w14:paraId="7665EC81"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SRI</w:t>
            </w:r>
          </w:p>
        </w:tc>
        <w:tc>
          <w:tcPr>
            <w:tcW w:w="1373" w:type="dxa"/>
            <w:tcBorders>
              <w:top w:val="nil"/>
              <w:left w:val="nil"/>
              <w:bottom w:val="nil"/>
              <w:right w:val="nil"/>
            </w:tcBorders>
            <w:vAlign w:val="center"/>
          </w:tcPr>
          <w:p w14:paraId="3F2F13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-0.124</w:t>
            </w:r>
          </w:p>
        </w:tc>
        <w:tc>
          <w:tcPr>
            <w:tcW w:w="1373" w:type="dxa"/>
            <w:tcBorders>
              <w:top w:val="nil"/>
              <w:left w:val="nil"/>
              <w:bottom w:val="nil"/>
              <w:right w:val="nil"/>
            </w:tcBorders>
            <w:vAlign w:val="center"/>
          </w:tcPr>
          <w:p w14:paraId="0C18E61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0.00697</w:t>
            </w:r>
          </w:p>
        </w:tc>
        <w:tc>
          <w:tcPr>
            <w:tcW w:w="1374" w:type="dxa"/>
            <w:tcBorders>
              <w:top w:val="nil"/>
              <w:left w:val="nil"/>
              <w:bottom w:val="nil"/>
              <w:right w:val="nil"/>
            </w:tcBorders>
            <w:vAlign w:val="center"/>
          </w:tcPr>
          <w:p w14:paraId="323ECE2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0.0294**</w:t>
            </w:r>
          </w:p>
        </w:tc>
        <w:tc>
          <w:tcPr>
            <w:tcW w:w="1373" w:type="dxa"/>
            <w:tcBorders>
              <w:top w:val="nil"/>
              <w:left w:val="nil"/>
              <w:bottom w:val="nil"/>
              <w:right w:val="nil"/>
            </w:tcBorders>
            <w:vAlign w:val="center"/>
          </w:tcPr>
          <w:p w14:paraId="2E78707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0.0363*</w:t>
            </w:r>
          </w:p>
        </w:tc>
        <w:tc>
          <w:tcPr>
            <w:tcW w:w="1374" w:type="dxa"/>
            <w:tcBorders>
              <w:top w:val="nil"/>
              <w:left w:val="nil"/>
              <w:bottom w:val="nil"/>
              <w:right w:val="nil"/>
            </w:tcBorders>
            <w:vAlign w:val="center"/>
          </w:tcPr>
          <w:p w14:paraId="5D7E353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0.0537</w:t>
            </w:r>
          </w:p>
        </w:tc>
        <w:tc>
          <w:tcPr>
            <w:tcW w:w="1373" w:type="dxa"/>
            <w:tcBorders>
              <w:top w:val="nil"/>
              <w:left w:val="nil"/>
              <w:bottom w:val="nil"/>
              <w:right w:val="nil"/>
            </w:tcBorders>
            <w:vAlign w:val="center"/>
          </w:tcPr>
          <w:p w14:paraId="4DCCE94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0.0256</w:t>
            </w:r>
          </w:p>
        </w:tc>
        <w:tc>
          <w:tcPr>
            <w:tcW w:w="1373" w:type="dxa"/>
            <w:tcBorders>
              <w:top w:val="nil"/>
              <w:left w:val="nil"/>
              <w:bottom w:val="nil"/>
              <w:right w:val="nil"/>
            </w:tcBorders>
            <w:vAlign w:val="center"/>
          </w:tcPr>
          <w:p w14:paraId="491E489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-0.0333</w:t>
            </w:r>
          </w:p>
        </w:tc>
        <w:tc>
          <w:tcPr>
            <w:tcW w:w="1374" w:type="dxa"/>
            <w:tcBorders>
              <w:top w:val="nil"/>
              <w:left w:val="nil"/>
              <w:bottom w:val="nil"/>
              <w:right w:val="nil"/>
            </w:tcBorders>
            <w:vAlign w:val="center"/>
          </w:tcPr>
          <w:p w14:paraId="29D4D0F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-0.0714</w:t>
            </w:r>
          </w:p>
        </w:tc>
        <w:tc>
          <w:tcPr>
            <w:tcW w:w="1373" w:type="dxa"/>
            <w:tcBorders>
              <w:top w:val="nil"/>
              <w:left w:val="nil"/>
              <w:bottom w:val="nil"/>
              <w:right w:val="nil"/>
            </w:tcBorders>
            <w:vAlign w:val="center"/>
          </w:tcPr>
          <w:p w14:paraId="64610EA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-0.0109</w:t>
            </w:r>
          </w:p>
        </w:tc>
        <w:tc>
          <w:tcPr>
            <w:tcW w:w="1374" w:type="dxa"/>
            <w:tcBorders>
              <w:top w:val="nil"/>
              <w:left w:val="nil"/>
              <w:bottom w:val="nil"/>
              <w:right w:val="nil"/>
            </w:tcBorders>
            <w:vAlign w:val="center"/>
          </w:tcPr>
          <w:p w14:paraId="7A7B4F9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-0.0823</w:t>
            </w:r>
          </w:p>
        </w:tc>
      </w:tr>
      <w:tr w:rsidR="0064611C" w:rsidRPr="00F14751" w14:paraId="70327AFE" w14:textId="77777777" w:rsidTr="008607F7">
        <w:trPr>
          <w:jc w:val="center"/>
        </w:trPr>
        <w:tc>
          <w:tcPr>
            <w:tcW w:w="1909" w:type="dxa"/>
            <w:tcBorders>
              <w:top w:val="nil"/>
              <w:left w:val="nil"/>
              <w:bottom w:val="nil"/>
              <w:right w:val="nil"/>
            </w:tcBorders>
            <w:vAlign w:val="center"/>
          </w:tcPr>
          <w:p w14:paraId="3E537EB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2430581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(0.182)</w:t>
            </w:r>
          </w:p>
        </w:tc>
        <w:tc>
          <w:tcPr>
            <w:tcW w:w="1373" w:type="dxa"/>
            <w:tcBorders>
              <w:top w:val="nil"/>
              <w:left w:val="nil"/>
              <w:bottom w:val="nil"/>
              <w:right w:val="nil"/>
            </w:tcBorders>
            <w:vAlign w:val="center"/>
          </w:tcPr>
          <w:p w14:paraId="6DB14E7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(0.00840)</w:t>
            </w:r>
          </w:p>
        </w:tc>
        <w:tc>
          <w:tcPr>
            <w:tcW w:w="1374" w:type="dxa"/>
            <w:tcBorders>
              <w:top w:val="nil"/>
              <w:left w:val="nil"/>
              <w:bottom w:val="nil"/>
              <w:right w:val="nil"/>
            </w:tcBorders>
            <w:vAlign w:val="center"/>
          </w:tcPr>
          <w:p w14:paraId="461CF83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(0.00990)</w:t>
            </w:r>
          </w:p>
        </w:tc>
        <w:tc>
          <w:tcPr>
            <w:tcW w:w="1373" w:type="dxa"/>
            <w:tcBorders>
              <w:top w:val="nil"/>
              <w:left w:val="nil"/>
              <w:bottom w:val="nil"/>
              <w:right w:val="nil"/>
            </w:tcBorders>
            <w:vAlign w:val="center"/>
          </w:tcPr>
          <w:p w14:paraId="606B118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(0.0166)</w:t>
            </w:r>
          </w:p>
        </w:tc>
        <w:tc>
          <w:tcPr>
            <w:tcW w:w="1374" w:type="dxa"/>
            <w:tcBorders>
              <w:top w:val="nil"/>
              <w:left w:val="nil"/>
              <w:bottom w:val="nil"/>
              <w:right w:val="nil"/>
            </w:tcBorders>
            <w:vAlign w:val="center"/>
          </w:tcPr>
          <w:p w14:paraId="068D113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(0.0384)</w:t>
            </w:r>
          </w:p>
        </w:tc>
        <w:tc>
          <w:tcPr>
            <w:tcW w:w="1373" w:type="dxa"/>
            <w:tcBorders>
              <w:top w:val="nil"/>
              <w:left w:val="nil"/>
              <w:bottom w:val="nil"/>
              <w:right w:val="nil"/>
            </w:tcBorders>
            <w:vAlign w:val="center"/>
          </w:tcPr>
          <w:p w14:paraId="6CDA06E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(0.0578)</w:t>
            </w:r>
          </w:p>
        </w:tc>
        <w:tc>
          <w:tcPr>
            <w:tcW w:w="1373" w:type="dxa"/>
            <w:tcBorders>
              <w:top w:val="nil"/>
              <w:left w:val="nil"/>
              <w:bottom w:val="nil"/>
              <w:right w:val="nil"/>
            </w:tcBorders>
            <w:vAlign w:val="center"/>
          </w:tcPr>
          <w:p w14:paraId="0348A8C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(0.0738)</w:t>
            </w:r>
          </w:p>
        </w:tc>
        <w:tc>
          <w:tcPr>
            <w:tcW w:w="1374" w:type="dxa"/>
            <w:tcBorders>
              <w:top w:val="nil"/>
              <w:left w:val="nil"/>
              <w:bottom w:val="nil"/>
              <w:right w:val="nil"/>
            </w:tcBorders>
            <w:vAlign w:val="center"/>
          </w:tcPr>
          <w:p w14:paraId="157FF61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(0.0401)</w:t>
            </w:r>
          </w:p>
        </w:tc>
        <w:tc>
          <w:tcPr>
            <w:tcW w:w="1373" w:type="dxa"/>
            <w:tcBorders>
              <w:top w:val="nil"/>
              <w:left w:val="nil"/>
              <w:bottom w:val="nil"/>
              <w:right w:val="nil"/>
            </w:tcBorders>
            <w:vAlign w:val="center"/>
          </w:tcPr>
          <w:p w14:paraId="690FDC3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(0.213)</w:t>
            </w:r>
          </w:p>
        </w:tc>
        <w:tc>
          <w:tcPr>
            <w:tcW w:w="1374" w:type="dxa"/>
            <w:tcBorders>
              <w:top w:val="nil"/>
              <w:left w:val="nil"/>
              <w:bottom w:val="nil"/>
              <w:right w:val="nil"/>
            </w:tcBorders>
            <w:vAlign w:val="center"/>
          </w:tcPr>
          <w:p w14:paraId="20802C5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(0.177)</w:t>
            </w:r>
          </w:p>
        </w:tc>
      </w:tr>
      <w:tr w:rsidR="0064611C" w:rsidRPr="00F14751" w14:paraId="2E3C14F8" w14:textId="77777777" w:rsidTr="008607F7">
        <w:trPr>
          <w:jc w:val="center"/>
        </w:trPr>
        <w:tc>
          <w:tcPr>
            <w:tcW w:w="1909" w:type="dxa"/>
            <w:tcBorders>
              <w:top w:val="nil"/>
              <w:left w:val="nil"/>
              <w:bottom w:val="nil"/>
              <w:right w:val="nil"/>
            </w:tcBorders>
            <w:vAlign w:val="center"/>
          </w:tcPr>
          <w:p w14:paraId="5BA55D9B"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Polity</w:t>
            </w:r>
          </w:p>
        </w:tc>
        <w:tc>
          <w:tcPr>
            <w:tcW w:w="1373" w:type="dxa"/>
            <w:tcBorders>
              <w:top w:val="nil"/>
              <w:left w:val="nil"/>
              <w:bottom w:val="nil"/>
              <w:right w:val="nil"/>
            </w:tcBorders>
            <w:vAlign w:val="center"/>
          </w:tcPr>
          <w:p w14:paraId="7204DC8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-0.878</w:t>
            </w:r>
          </w:p>
        </w:tc>
        <w:tc>
          <w:tcPr>
            <w:tcW w:w="1373" w:type="dxa"/>
            <w:tcBorders>
              <w:top w:val="nil"/>
              <w:left w:val="nil"/>
              <w:bottom w:val="nil"/>
              <w:right w:val="nil"/>
            </w:tcBorders>
            <w:vAlign w:val="center"/>
          </w:tcPr>
          <w:p w14:paraId="3F8DCD8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0.0858</w:t>
            </w:r>
          </w:p>
        </w:tc>
        <w:tc>
          <w:tcPr>
            <w:tcW w:w="1374" w:type="dxa"/>
            <w:tcBorders>
              <w:top w:val="nil"/>
              <w:left w:val="nil"/>
              <w:bottom w:val="nil"/>
              <w:right w:val="nil"/>
            </w:tcBorders>
            <w:vAlign w:val="center"/>
          </w:tcPr>
          <w:p w14:paraId="3E11EEB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0.0611</w:t>
            </w:r>
          </w:p>
        </w:tc>
        <w:tc>
          <w:tcPr>
            <w:tcW w:w="1373" w:type="dxa"/>
            <w:tcBorders>
              <w:top w:val="nil"/>
              <w:left w:val="nil"/>
              <w:bottom w:val="nil"/>
              <w:right w:val="nil"/>
            </w:tcBorders>
            <w:vAlign w:val="center"/>
          </w:tcPr>
          <w:p w14:paraId="51007B7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0.147</w:t>
            </w:r>
          </w:p>
        </w:tc>
        <w:tc>
          <w:tcPr>
            <w:tcW w:w="1374" w:type="dxa"/>
            <w:tcBorders>
              <w:top w:val="nil"/>
              <w:left w:val="nil"/>
              <w:bottom w:val="nil"/>
              <w:right w:val="nil"/>
            </w:tcBorders>
            <w:vAlign w:val="center"/>
          </w:tcPr>
          <w:p w14:paraId="1A8D3D8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0.182</w:t>
            </w:r>
          </w:p>
        </w:tc>
        <w:tc>
          <w:tcPr>
            <w:tcW w:w="1373" w:type="dxa"/>
            <w:tcBorders>
              <w:top w:val="nil"/>
              <w:left w:val="nil"/>
              <w:bottom w:val="nil"/>
              <w:right w:val="nil"/>
            </w:tcBorders>
            <w:vAlign w:val="center"/>
          </w:tcPr>
          <w:p w14:paraId="377F225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0.285</w:t>
            </w:r>
          </w:p>
        </w:tc>
        <w:tc>
          <w:tcPr>
            <w:tcW w:w="1373" w:type="dxa"/>
            <w:tcBorders>
              <w:top w:val="nil"/>
              <w:left w:val="nil"/>
              <w:bottom w:val="nil"/>
              <w:right w:val="nil"/>
            </w:tcBorders>
            <w:vAlign w:val="center"/>
          </w:tcPr>
          <w:p w14:paraId="23552E7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0.171</w:t>
            </w:r>
          </w:p>
        </w:tc>
        <w:tc>
          <w:tcPr>
            <w:tcW w:w="1374" w:type="dxa"/>
            <w:tcBorders>
              <w:top w:val="nil"/>
              <w:left w:val="nil"/>
              <w:bottom w:val="nil"/>
              <w:right w:val="nil"/>
            </w:tcBorders>
            <w:vAlign w:val="center"/>
          </w:tcPr>
          <w:p w14:paraId="15E429F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0.00528</w:t>
            </w:r>
          </w:p>
        </w:tc>
        <w:tc>
          <w:tcPr>
            <w:tcW w:w="1373" w:type="dxa"/>
            <w:tcBorders>
              <w:top w:val="nil"/>
              <w:left w:val="nil"/>
              <w:bottom w:val="nil"/>
              <w:right w:val="nil"/>
            </w:tcBorders>
            <w:vAlign w:val="center"/>
          </w:tcPr>
          <w:p w14:paraId="6D2A3B3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-0.790</w:t>
            </w:r>
          </w:p>
        </w:tc>
        <w:tc>
          <w:tcPr>
            <w:tcW w:w="1374" w:type="dxa"/>
            <w:tcBorders>
              <w:top w:val="nil"/>
              <w:left w:val="nil"/>
              <w:bottom w:val="nil"/>
              <w:right w:val="nil"/>
            </w:tcBorders>
            <w:vAlign w:val="center"/>
          </w:tcPr>
          <w:p w14:paraId="082FD64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-0.784</w:t>
            </w:r>
          </w:p>
        </w:tc>
      </w:tr>
      <w:tr w:rsidR="0064611C" w:rsidRPr="00F14751" w14:paraId="4DF09EBA" w14:textId="77777777" w:rsidTr="008607F7">
        <w:trPr>
          <w:jc w:val="center"/>
        </w:trPr>
        <w:tc>
          <w:tcPr>
            <w:tcW w:w="1909" w:type="dxa"/>
            <w:tcBorders>
              <w:top w:val="nil"/>
              <w:left w:val="nil"/>
              <w:bottom w:val="nil"/>
              <w:right w:val="nil"/>
            </w:tcBorders>
            <w:vAlign w:val="center"/>
          </w:tcPr>
          <w:p w14:paraId="51FD4A41"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7D16897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(0.781)</w:t>
            </w:r>
          </w:p>
        </w:tc>
        <w:tc>
          <w:tcPr>
            <w:tcW w:w="1373" w:type="dxa"/>
            <w:tcBorders>
              <w:top w:val="nil"/>
              <w:left w:val="nil"/>
              <w:bottom w:val="nil"/>
              <w:right w:val="nil"/>
            </w:tcBorders>
            <w:vAlign w:val="center"/>
          </w:tcPr>
          <w:p w14:paraId="64A54D2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(0.0787)</w:t>
            </w:r>
          </w:p>
        </w:tc>
        <w:tc>
          <w:tcPr>
            <w:tcW w:w="1374" w:type="dxa"/>
            <w:tcBorders>
              <w:top w:val="nil"/>
              <w:left w:val="nil"/>
              <w:bottom w:val="nil"/>
              <w:right w:val="nil"/>
            </w:tcBorders>
            <w:vAlign w:val="center"/>
          </w:tcPr>
          <w:p w14:paraId="348D118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(0.124)</w:t>
            </w:r>
          </w:p>
        </w:tc>
        <w:tc>
          <w:tcPr>
            <w:tcW w:w="1373" w:type="dxa"/>
            <w:tcBorders>
              <w:top w:val="nil"/>
              <w:left w:val="nil"/>
              <w:bottom w:val="nil"/>
              <w:right w:val="nil"/>
            </w:tcBorders>
            <w:vAlign w:val="center"/>
          </w:tcPr>
          <w:p w14:paraId="22E7464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(0.198)</w:t>
            </w:r>
          </w:p>
        </w:tc>
        <w:tc>
          <w:tcPr>
            <w:tcW w:w="1374" w:type="dxa"/>
            <w:tcBorders>
              <w:top w:val="nil"/>
              <w:left w:val="nil"/>
              <w:bottom w:val="nil"/>
              <w:right w:val="nil"/>
            </w:tcBorders>
            <w:vAlign w:val="center"/>
          </w:tcPr>
          <w:p w14:paraId="1D7F2B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(0.234)</w:t>
            </w:r>
          </w:p>
        </w:tc>
        <w:tc>
          <w:tcPr>
            <w:tcW w:w="1373" w:type="dxa"/>
            <w:tcBorders>
              <w:top w:val="nil"/>
              <w:left w:val="nil"/>
              <w:bottom w:val="nil"/>
              <w:right w:val="nil"/>
            </w:tcBorders>
            <w:vAlign w:val="center"/>
          </w:tcPr>
          <w:p w14:paraId="32AF836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(0.189)</w:t>
            </w:r>
          </w:p>
        </w:tc>
        <w:tc>
          <w:tcPr>
            <w:tcW w:w="1373" w:type="dxa"/>
            <w:tcBorders>
              <w:top w:val="nil"/>
              <w:left w:val="nil"/>
              <w:bottom w:val="nil"/>
              <w:right w:val="nil"/>
            </w:tcBorders>
            <w:vAlign w:val="center"/>
          </w:tcPr>
          <w:p w14:paraId="124FC5A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(0.0835)</w:t>
            </w:r>
          </w:p>
        </w:tc>
        <w:tc>
          <w:tcPr>
            <w:tcW w:w="1374" w:type="dxa"/>
            <w:tcBorders>
              <w:top w:val="nil"/>
              <w:left w:val="nil"/>
              <w:bottom w:val="nil"/>
              <w:right w:val="nil"/>
            </w:tcBorders>
            <w:vAlign w:val="center"/>
          </w:tcPr>
          <w:p w14:paraId="195D7D7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(0.131)</w:t>
            </w:r>
          </w:p>
        </w:tc>
        <w:tc>
          <w:tcPr>
            <w:tcW w:w="1373" w:type="dxa"/>
            <w:tcBorders>
              <w:top w:val="nil"/>
              <w:left w:val="nil"/>
              <w:bottom w:val="nil"/>
              <w:right w:val="nil"/>
            </w:tcBorders>
            <w:vAlign w:val="center"/>
          </w:tcPr>
          <w:p w14:paraId="32A31F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(0.510)</w:t>
            </w:r>
          </w:p>
        </w:tc>
        <w:tc>
          <w:tcPr>
            <w:tcW w:w="1374" w:type="dxa"/>
            <w:tcBorders>
              <w:top w:val="nil"/>
              <w:left w:val="nil"/>
              <w:bottom w:val="nil"/>
              <w:right w:val="nil"/>
            </w:tcBorders>
            <w:vAlign w:val="center"/>
          </w:tcPr>
          <w:p w14:paraId="36ED700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(0.622)</w:t>
            </w:r>
          </w:p>
        </w:tc>
      </w:tr>
      <w:tr w:rsidR="0064611C" w:rsidRPr="00F14751" w14:paraId="69BB1AA0" w14:textId="77777777" w:rsidTr="008607F7">
        <w:trPr>
          <w:jc w:val="center"/>
        </w:trPr>
        <w:tc>
          <w:tcPr>
            <w:tcW w:w="1909" w:type="dxa"/>
            <w:tcBorders>
              <w:top w:val="nil"/>
              <w:left w:val="nil"/>
              <w:bottom w:val="nil"/>
              <w:right w:val="nil"/>
            </w:tcBorders>
            <w:vAlign w:val="center"/>
          </w:tcPr>
          <w:p w14:paraId="2306370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GDP</w:t>
            </w:r>
          </w:p>
        </w:tc>
        <w:tc>
          <w:tcPr>
            <w:tcW w:w="1373" w:type="dxa"/>
            <w:tcBorders>
              <w:top w:val="nil"/>
              <w:left w:val="nil"/>
              <w:bottom w:val="nil"/>
              <w:right w:val="nil"/>
            </w:tcBorders>
            <w:vAlign w:val="center"/>
          </w:tcPr>
          <w:p w14:paraId="4079481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0.153*</w:t>
            </w:r>
          </w:p>
        </w:tc>
        <w:tc>
          <w:tcPr>
            <w:tcW w:w="1373" w:type="dxa"/>
            <w:tcBorders>
              <w:top w:val="nil"/>
              <w:left w:val="nil"/>
              <w:bottom w:val="nil"/>
              <w:right w:val="nil"/>
            </w:tcBorders>
            <w:vAlign w:val="center"/>
          </w:tcPr>
          <w:p w14:paraId="07CF06E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-0.00541</w:t>
            </w:r>
          </w:p>
        </w:tc>
        <w:tc>
          <w:tcPr>
            <w:tcW w:w="1374" w:type="dxa"/>
            <w:tcBorders>
              <w:top w:val="nil"/>
              <w:left w:val="nil"/>
              <w:bottom w:val="nil"/>
              <w:right w:val="nil"/>
            </w:tcBorders>
            <w:vAlign w:val="center"/>
          </w:tcPr>
          <w:p w14:paraId="2C47908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-0.0197</w:t>
            </w:r>
          </w:p>
        </w:tc>
        <w:tc>
          <w:tcPr>
            <w:tcW w:w="1373" w:type="dxa"/>
            <w:tcBorders>
              <w:top w:val="nil"/>
              <w:left w:val="nil"/>
              <w:bottom w:val="nil"/>
              <w:right w:val="nil"/>
            </w:tcBorders>
            <w:vAlign w:val="center"/>
          </w:tcPr>
          <w:p w14:paraId="508033A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-0.0251</w:t>
            </w:r>
          </w:p>
        </w:tc>
        <w:tc>
          <w:tcPr>
            <w:tcW w:w="1374" w:type="dxa"/>
            <w:tcBorders>
              <w:top w:val="nil"/>
              <w:left w:val="nil"/>
              <w:bottom w:val="nil"/>
              <w:right w:val="nil"/>
            </w:tcBorders>
            <w:vAlign w:val="center"/>
          </w:tcPr>
          <w:p w14:paraId="614A78B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-0.0461*</w:t>
            </w:r>
          </w:p>
        </w:tc>
        <w:tc>
          <w:tcPr>
            <w:tcW w:w="1373" w:type="dxa"/>
            <w:tcBorders>
              <w:top w:val="nil"/>
              <w:left w:val="nil"/>
              <w:bottom w:val="nil"/>
              <w:right w:val="nil"/>
            </w:tcBorders>
            <w:vAlign w:val="center"/>
          </w:tcPr>
          <w:p w14:paraId="0106DA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-0.0465*</w:t>
            </w:r>
          </w:p>
        </w:tc>
        <w:tc>
          <w:tcPr>
            <w:tcW w:w="1373" w:type="dxa"/>
            <w:tcBorders>
              <w:top w:val="nil"/>
              <w:left w:val="nil"/>
              <w:bottom w:val="nil"/>
              <w:right w:val="nil"/>
            </w:tcBorders>
            <w:vAlign w:val="center"/>
          </w:tcPr>
          <w:p w14:paraId="7EEBEEC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-0.0236</w:t>
            </w:r>
          </w:p>
        </w:tc>
        <w:tc>
          <w:tcPr>
            <w:tcW w:w="1374" w:type="dxa"/>
            <w:tcBorders>
              <w:top w:val="nil"/>
              <w:left w:val="nil"/>
              <w:bottom w:val="nil"/>
              <w:right w:val="nil"/>
            </w:tcBorders>
            <w:vAlign w:val="center"/>
          </w:tcPr>
          <w:p w14:paraId="3C34DFC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0.0246</w:t>
            </w:r>
          </w:p>
        </w:tc>
        <w:tc>
          <w:tcPr>
            <w:tcW w:w="1373" w:type="dxa"/>
            <w:tcBorders>
              <w:top w:val="nil"/>
              <w:left w:val="nil"/>
              <w:bottom w:val="nil"/>
              <w:right w:val="nil"/>
            </w:tcBorders>
            <w:vAlign w:val="center"/>
          </w:tcPr>
          <w:p w14:paraId="5379A83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0.117</w:t>
            </w:r>
          </w:p>
        </w:tc>
        <w:tc>
          <w:tcPr>
            <w:tcW w:w="1374" w:type="dxa"/>
            <w:tcBorders>
              <w:top w:val="nil"/>
              <w:left w:val="nil"/>
              <w:bottom w:val="nil"/>
              <w:right w:val="nil"/>
            </w:tcBorders>
            <w:vAlign w:val="center"/>
          </w:tcPr>
          <w:p w14:paraId="7D3808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0.141*</w:t>
            </w:r>
          </w:p>
        </w:tc>
      </w:tr>
      <w:tr w:rsidR="0064611C" w:rsidRPr="00F14751" w14:paraId="7F4976ED" w14:textId="77777777" w:rsidTr="008607F7">
        <w:trPr>
          <w:jc w:val="center"/>
        </w:trPr>
        <w:tc>
          <w:tcPr>
            <w:tcW w:w="1909" w:type="dxa"/>
            <w:tcBorders>
              <w:top w:val="nil"/>
              <w:left w:val="nil"/>
              <w:bottom w:val="nil"/>
              <w:right w:val="nil"/>
            </w:tcBorders>
            <w:vAlign w:val="center"/>
          </w:tcPr>
          <w:p w14:paraId="49F964A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7F98716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(0.0650)</w:t>
            </w:r>
          </w:p>
        </w:tc>
        <w:tc>
          <w:tcPr>
            <w:tcW w:w="1373" w:type="dxa"/>
            <w:tcBorders>
              <w:top w:val="nil"/>
              <w:left w:val="nil"/>
              <w:bottom w:val="nil"/>
              <w:right w:val="nil"/>
            </w:tcBorders>
            <w:vAlign w:val="center"/>
          </w:tcPr>
          <w:p w14:paraId="16426DF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(0.00641)</w:t>
            </w:r>
          </w:p>
        </w:tc>
        <w:tc>
          <w:tcPr>
            <w:tcW w:w="1374" w:type="dxa"/>
            <w:tcBorders>
              <w:top w:val="nil"/>
              <w:left w:val="nil"/>
              <w:bottom w:val="nil"/>
              <w:right w:val="nil"/>
            </w:tcBorders>
            <w:vAlign w:val="center"/>
          </w:tcPr>
          <w:p w14:paraId="0D8204A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(0.0106)</w:t>
            </w:r>
          </w:p>
        </w:tc>
        <w:tc>
          <w:tcPr>
            <w:tcW w:w="1373" w:type="dxa"/>
            <w:tcBorders>
              <w:top w:val="nil"/>
              <w:left w:val="nil"/>
              <w:bottom w:val="nil"/>
              <w:right w:val="nil"/>
            </w:tcBorders>
            <w:vAlign w:val="center"/>
          </w:tcPr>
          <w:p w14:paraId="4FF89B8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(0.0159)</w:t>
            </w:r>
          </w:p>
        </w:tc>
        <w:tc>
          <w:tcPr>
            <w:tcW w:w="1374" w:type="dxa"/>
            <w:tcBorders>
              <w:top w:val="nil"/>
              <w:left w:val="nil"/>
              <w:bottom w:val="nil"/>
              <w:right w:val="nil"/>
            </w:tcBorders>
            <w:vAlign w:val="center"/>
          </w:tcPr>
          <w:p w14:paraId="0F72B03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(0.0168)</w:t>
            </w:r>
          </w:p>
        </w:tc>
        <w:tc>
          <w:tcPr>
            <w:tcW w:w="1373" w:type="dxa"/>
            <w:tcBorders>
              <w:top w:val="nil"/>
              <w:left w:val="nil"/>
              <w:bottom w:val="nil"/>
              <w:right w:val="nil"/>
            </w:tcBorders>
            <w:vAlign w:val="center"/>
          </w:tcPr>
          <w:p w14:paraId="3DDE9CE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(0.0193)</w:t>
            </w:r>
          </w:p>
        </w:tc>
        <w:tc>
          <w:tcPr>
            <w:tcW w:w="1373" w:type="dxa"/>
            <w:tcBorders>
              <w:top w:val="nil"/>
              <w:left w:val="nil"/>
              <w:bottom w:val="nil"/>
              <w:right w:val="nil"/>
            </w:tcBorders>
            <w:vAlign w:val="center"/>
          </w:tcPr>
          <w:p w14:paraId="2035ED8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(0.0282)</w:t>
            </w:r>
          </w:p>
        </w:tc>
        <w:tc>
          <w:tcPr>
            <w:tcW w:w="1374" w:type="dxa"/>
            <w:tcBorders>
              <w:top w:val="nil"/>
              <w:left w:val="nil"/>
              <w:bottom w:val="nil"/>
              <w:right w:val="nil"/>
            </w:tcBorders>
            <w:vAlign w:val="center"/>
          </w:tcPr>
          <w:p w14:paraId="4FE578C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(0.0140)</w:t>
            </w:r>
          </w:p>
        </w:tc>
        <w:tc>
          <w:tcPr>
            <w:tcW w:w="1373" w:type="dxa"/>
            <w:tcBorders>
              <w:top w:val="nil"/>
              <w:left w:val="nil"/>
              <w:bottom w:val="nil"/>
              <w:right w:val="nil"/>
            </w:tcBorders>
            <w:vAlign w:val="center"/>
          </w:tcPr>
          <w:p w14:paraId="3157615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(0.0703)</w:t>
            </w:r>
          </w:p>
        </w:tc>
        <w:tc>
          <w:tcPr>
            <w:tcW w:w="1374" w:type="dxa"/>
            <w:tcBorders>
              <w:top w:val="nil"/>
              <w:left w:val="nil"/>
              <w:bottom w:val="nil"/>
              <w:right w:val="nil"/>
            </w:tcBorders>
            <w:vAlign w:val="center"/>
          </w:tcPr>
          <w:p w14:paraId="003EAB9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(0.0593)</w:t>
            </w:r>
          </w:p>
        </w:tc>
      </w:tr>
      <w:tr w:rsidR="0064611C" w:rsidRPr="00F14751" w14:paraId="22381364" w14:textId="77777777" w:rsidTr="008607F7">
        <w:trPr>
          <w:jc w:val="center"/>
        </w:trPr>
        <w:tc>
          <w:tcPr>
            <w:tcW w:w="1909" w:type="dxa"/>
            <w:tcBorders>
              <w:top w:val="nil"/>
              <w:left w:val="nil"/>
              <w:bottom w:val="nil"/>
              <w:right w:val="nil"/>
            </w:tcBorders>
            <w:vAlign w:val="center"/>
          </w:tcPr>
          <w:p w14:paraId="40644F58"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roofErr w:type="spellStart"/>
            <w:r w:rsidRPr="00F14751">
              <w:rPr>
                <w:rFonts w:ascii="Times New Roman" w:hAnsi="Times New Roman" w:cs="Times New Roman"/>
                <w:sz w:val="20"/>
                <w:szCs w:val="24"/>
              </w:rPr>
              <w:t>GDPgrowth</w:t>
            </w:r>
            <w:proofErr w:type="spellEnd"/>
          </w:p>
        </w:tc>
        <w:tc>
          <w:tcPr>
            <w:tcW w:w="1373" w:type="dxa"/>
            <w:tcBorders>
              <w:top w:val="nil"/>
              <w:left w:val="nil"/>
              <w:bottom w:val="nil"/>
              <w:right w:val="nil"/>
            </w:tcBorders>
            <w:vAlign w:val="center"/>
          </w:tcPr>
          <w:p w14:paraId="6344C4C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0.0288</w:t>
            </w:r>
          </w:p>
        </w:tc>
        <w:tc>
          <w:tcPr>
            <w:tcW w:w="1373" w:type="dxa"/>
            <w:tcBorders>
              <w:top w:val="nil"/>
              <w:left w:val="nil"/>
              <w:bottom w:val="nil"/>
              <w:right w:val="nil"/>
            </w:tcBorders>
            <w:vAlign w:val="center"/>
          </w:tcPr>
          <w:p w14:paraId="603CD52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0.00656</w:t>
            </w:r>
          </w:p>
        </w:tc>
        <w:tc>
          <w:tcPr>
            <w:tcW w:w="1374" w:type="dxa"/>
            <w:tcBorders>
              <w:top w:val="nil"/>
              <w:left w:val="nil"/>
              <w:bottom w:val="nil"/>
              <w:right w:val="nil"/>
            </w:tcBorders>
            <w:vAlign w:val="center"/>
          </w:tcPr>
          <w:p w14:paraId="18CA76D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-0.00245</w:t>
            </w:r>
          </w:p>
        </w:tc>
        <w:tc>
          <w:tcPr>
            <w:tcW w:w="1373" w:type="dxa"/>
            <w:tcBorders>
              <w:top w:val="nil"/>
              <w:left w:val="nil"/>
              <w:bottom w:val="nil"/>
              <w:right w:val="nil"/>
            </w:tcBorders>
            <w:vAlign w:val="center"/>
          </w:tcPr>
          <w:p w14:paraId="2A3CD92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0.00411</w:t>
            </w:r>
          </w:p>
        </w:tc>
        <w:tc>
          <w:tcPr>
            <w:tcW w:w="1374" w:type="dxa"/>
            <w:tcBorders>
              <w:top w:val="nil"/>
              <w:left w:val="nil"/>
              <w:bottom w:val="nil"/>
              <w:right w:val="nil"/>
            </w:tcBorders>
            <w:vAlign w:val="center"/>
          </w:tcPr>
          <w:p w14:paraId="7B62E9C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-0.00875</w:t>
            </w:r>
          </w:p>
        </w:tc>
        <w:tc>
          <w:tcPr>
            <w:tcW w:w="1373" w:type="dxa"/>
            <w:tcBorders>
              <w:top w:val="nil"/>
              <w:left w:val="nil"/>
              <w:bottom w:val="nil"/>
              <w:right w:val="nil"/>
            </w:tcBorders>
            <w:vAlign w:val="center"/>
          </w:tcPr>
          <w:p w14:paraId="1CB078B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-0.0118</w:t>
            </w:r>
          </w:p>
        </w:tc>
        <w:tc>
          <w:tcPr>
            <w:tcW w:w="1373" w:type="dxa"/>
            <w:tcBorders>
              <w:top w:val="nil"/>
              <w:left w:val="nil"/>
              <w:bottom w:val="nil"/>
              <w:right w:val="nil"/>
            </w:tcBorders>
            <w:vAlign w:val="center"/>
          </w:tcPr>
          <w:p w14:paraId="391438D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-0.0104</w:t>
            </w:r>
          </w:p>
        </w:tc>
        <w:tc>
          <w:tcPr>
            <w:tcW w:w="1374" w:type="dxa"/>
            <w:tcBorders>
              <w:top w:val="nil"/>
              <w:left w:val="nil"/>
              <w:bottom w:val="nil"/>
              <w:right w:val="nil"/>
            </w:tcBorders>
            <w:vAlign w:val="center"/>
          </w:tcPr>
          <w:p w14:paraId="57D5253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-0.0132</w:t>
            </w:r>
          </w:p>
        </w:tc>
        <w:tc>
          <w:tcPr>
            <w:tcW w:w="1373" w:type="dxa"/>
            <w:tcBorders>
              <w:top w:val="nil"/>
              <w:left w:val="nil"/>
              <w:bottom w:val="nil"/>
              <w:right w:val="nil"/>
            </w:tcBorders>
            <w:vAlign w:val="center"/>
          </w:tcPr>
          <w:p w14:paraId="2702512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0.0400</w:t>
            </w:r>
          </w:p>
        </w:tc>
        <w:tc>
          <w:tcPr>
            <w:tcW w:w="1374" w:type="dxa"/>
            <w:tcBorders>
              <w:top w:val="nil"/>
              <w:left w:val="nil"/>
              <w:bottom w:val="nil"/>
              <w:right w:val="nil"/>
            </w:tcBorders>
            <w:vAlign w:val="center"/>
          </w:tcPr>
          <w:p w14:paraId="1EF1182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0.0268</w:t>
            </w:r>
          </w:p>
        </w:tc>
      </w:tr>
      <w:tr w:rsidR="0064611C" w:rsidRPr="00F14751" w14:paraId="3A0DABBC" w14:textId="77777777" w:rsidTr="008607F7">
        <w:trPr>
          <w:jc w:val="center"/>
        </w:trPr>
        <w:tc>
          <w:tcPr>
            <w:tcW w:w="1909" w:type="dxa"/>
            <w:tcBorders>
              <w:top w:val="nil"/>
              <w:left w:val="nil"/>
              <w:bottom w:val="nil"/>
              <w:right w:val="nil"/>
            </w:tcBorders>
            <w:vAlign w:val="center"/>
          </w:tcPr>
          <w:p w14:paraId="5C4CB5E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05EB18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(0.0809)</w:t>
            </w:r>
          </w:p>
        </w:tc>
        <w:tc>
          <w:tcPr>
            <w:tcW w:w="1373" w:type="dxa"/>
            <w:tcBorders>
              <w:top w:val="nil"/>
              <w:left w:val="nil"/>
              <w:bottom w:val="nil"/>
              <w:right w:val="nil"/>
            </w:tcBorders>
            <w:vAlign w:val="center"/>
          </w:tcPr>
          <w:p w14:paraId="2724B33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(0.00560)</w:t>
            </w:r>
          </w:p>
        </w:tc>
        <w:tc>
          <w:tcPr>
            <w:tcW w:w="1374" w:type="dxa"/>
            <w:tcBorders>
              <w:top w:val="nil"/>
              <w:left w:val="nil"/>
              <w:bottom w:val="nil"/>
              <w:right w:val="nil"/>
            </w:tcBorders>
            <w:vAlign w:val="center"/>
          </w:tcPr>
          <w:p w14:paraId="45FD21C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(0.00608)</w:t>
            </w:r>
          </w:p>
        </w:tc>
        <w:tc>
          <w:tcPr>
            <w:tcW w:w="1373" w:type="dxa"/>
            <w:tcBorders>
              <w:top w:val="nil"/>
              <w:left w:val="nil"/>
              <w:bottom w:val="nil"/>
              <w:right w:val="nil"/>
            </w:tcBorders>
            <w:vAlign w:val="center"/>
          </w:tcPr>
          <w:p w14:paraId="1B05710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(0.00988)</w:t>
            </w:r>
          </w:p>
        </w:tc>
        <w:tc>
          <w:tcPr>
            <w:tcW w:w="1374" w:type="dxa"/>
            <w:tcBorders>
              <w:top w:val="nil"/>
              <w:left w:val="nil"/>
              <w:bottom w:val="nil"/>
              <w:right w:val="nil"/>
            </w:tcBorders>
            <w:vAlign w:val="center"/>
          </w:tcPr>
          <w:p w14:paraId="3ACD4FE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(0.0204)</w:t>
            </w:r>
          </w:p>
        </w:tc>
        <w:tc>
          <w:tcPr>
            <w:tcW w:w="1373" w:type="dxa"/>
            <w:tcBorders>
              <w:top w:val="nil"/>
              <w:left w:val="nil"/>
              <w:bottom w:val="nil"/>
              <w:right w:val="nil"/>
            </w:tcBorders>
            <w:vAlign w:val="center"/>
          </w:tcPr>
          <w:p w14:paraId="717EA27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(0.0258)</w:t>
            </w:r>
          </w:p>
        </w:tc>
        <w:tc>
          <w:tcPr>
            <w:tcW w:w="1373" w:type="dxa"/>
            <w:tcBorders>
              <w:top w:val="nil"/>
              <w:left w:val="nil"/>
              <w:bottom w:val="nil"/>
              <w:right w:val="nil"/>
            </w:tcBorders>
            <w:vAlign w:val="center"/>
          </w:tcPr>
          <w:p w14:paraId="222B716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(0.0267)</w:t>
            </w:r>
          </w:p>
        </w:tc>
        <w:tc>
          <w:tcPr>
            <w:tcW w:w="1374" w:type="dxa"/>
            <w:tcBorders>
              <w:top w:val="nil"/>
              <w:left w:val="nil"/>
              <w:bottom w:val="nil"/>
              <w:right w:val="nil"/>
            </w:tcBorders>
            <w:vAlign w:val="center"/>
          </w:tcPr>
          <w:p w14:paraId="77A9F2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(0.0178)</w:t>
            </w:r>
          </w:p>
        </w:tc>
        <w:tc>
          <w:tcPr>
            <w:tcW w:w="1373" w:type="dxa"/>
            <w:tcBorders>
              <w:top w:val="nil"/>
              <w:left w:val="nil"/>
              <w:bottom w:val="nil"/>
              <w:right w:val="nil"/>
            </w:tcBorders>
            <w:vAlign w:val="center"/>
          </w:tcPr>
          <w:p w14:paraId="4DBBA06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(0.0891)</w:t>
            </w:r>
          </w:p>
        </w:tc>
        <w:tc>
          <w:tcPr>
            <w:tcW w:w="1374" w:type="dxa"/>
            <w:tcBorders>
              <w:top w:val="nil"/>
              <w:left w:val="nil"/>
              <w:bottom w:val="nil"/>
              <w:right w:val="nil"/>
            </w:tcBorders>
            <w:vAlign w:val="center"/>
          </w:tcPr>
          <w:p w14:paraId="320662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(0.0754)</w:t>
            </w:r>
          </w:p>
        </w:tc>
      </w:tr>
      <w:tr w:rsidR="0064611C" w:rsidRPr="00F14751" w14:paraId="7C06A200" w14:textId="77777777" w:rsidTr="008607F7">
        <w:trPr>
          <w:jc w:val="center"/>
        </w:trPr>
        <w:tc>
          <w:tcPr>
            <w:tcW w:w="1909" w:type="dxa"/>
            <w:tcBorders>
              <w:top w:val="nil"/>
              <w:left w:val="nil"/>
              <w:bottom w:val="nil"/>
              <w:right w:val="nil"/>
            </w:tcBorders>
            <w:vAlign w:val="center"/>
          </w:tcPr>
          <w:p w14:paraId="3982276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School</w:t>
            </w:r>
          </w:p>
        </w:tc>
        <w:tc>
          <w:tcPr>
            <w:tcW w:w="1373" w:type="dxa"/>
            <w:tcBorders>
              <w:top w:val="nil"/>
              <w:left w:val="nil"/>
              <w:bottom w:val="nil"/>
              <w:right w:val="nil"/>
            </w:tcBorders>
            <w:vAlign w:val="center"/>
          </w:tcPr>
          <w:p w14:paraId="512DBD8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3.685*</w:t>
            </w:r>
          </w:p>
        </w:tc>
        <w:tc>
          <w:tcPr>
            <w:tcW w:w="1373" w:type="dxa"/>
            <w:tcBorders>
              <w:top w:val="nil"/>
              <w:left w:val="nil"/>
              <w:bottom w:val="nil"/>
              <w:right w:val="nil"/>
            </w:tcBorders>
            <w:vAlign w:val="center"/>
          </w:tcPr>
          <w:p w14:paraId="62CBF51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-0.351*</w:t>
            </w:r>
          </w:p>
        </w:tc>
        <w:tc>
          <w:tcPr>
            <w:tcW w:w="1374" w:type="dxa"/>
            <w:tcBorders>
              <w:top w:val="nil"/>
              <w:left w:val="nil"/>
              <w:bottom w:val="nil"/>
              <w:right w:val="nil"/>
            </w:tcBorders>
            <w:vAlign w:val="center"/>
          </w:tcPr>
          <w:p w14:paraId="4585B3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-0.434</w:t>
            </w:r>
          </w:p>
        </w:tc>
        <w:tc>
          <w:tcPr>
            <w:tcW w:w="1373" w:type="dxa"/>
            <w:tcBorders>
              <w:top w:val="nil"/>
              <w:left w:val="nil"/>
              <w:bottom w:val="nil"/>
              <w:right w:val="nil"/>
            </w:tcBorders>
            <w:vAlign w:val="center"/>
          </w:tcPr>
          <w:p w14:paraId="353EF2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-0.786*</w:t>
            </w:r>
          </w:p>
        </w:tc>
        <w:tc>
          <w:tcPr>
            <w:tcW w:w="1374" w:type="dxa"/>
            <w:tcBorders>
              <w:top w:val="nil"/>
              <w:left w:val="nil"/>
              <w:bottom w:val="nil"/>
              <w:right w:val="nil"/>
            </w:tcBorders>
            <w:vAlign w:val="center"/>
          </w:tcPr>
          <w:p w14:paraId="4AE3E19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-0.915</w:t>
            </w:r>
          </w:p>
        </w:tc>
        <w:tc>
          <w:tcPr>
            <w:tcW w:w="1373" w:type="dxa"/>
            <w:tcBorders>
              <w:top w:val="nil"/>
              <w:left w:val="nil"/>
              <w:bottom w:val="nil"/>
              <w:right w:val="nil"/>
            </w:tcBorders>
            <w:vAlign w:val="center"/>
          </w:tcPr>
          <w:p w14:paraId="23529D4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-0.903</w:t>
            </w:r>
          </w:p>
        </w:tc>
        <w:tc>
          <w:tcPr>
            <w:tcW w:w="1373" w:type="dxa"/>
            <w:tcBorders>
              <w:top w:val="nil"/>
              <w:left w:val="nil"/>
              <w:bottom w:val="nil"/>
              <w:right w:val="nil"/>
            </w:tcBorders>
            <w:vAlign w:val="center"/>
          </w:tcPr>
          <w:p w14:paraId="336949F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-0.371</w:t>
            </w:r>
          </w:p>
        </w:tc>
        <w:tc>
          <w:tcPr>
            <w:tcW w:w="1374" w:type="dxa"/>
            <w:tcBorders>
              <w:top w:val="nil"/>
              <w:left w:val="nil"/>
              <w:bottom w:val="nil"/>
              <w:right w:val="nil"/>
            </w:tcBorders>
            <w:vAlign w:val="center"/>
          </w:tcPr>
          <w:p w14:paraId="694795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0.186</w:t>
            </w:r>
          </w:p>
        </w:tc>
        <w:tc>
          <w:tcPr>
            <w:tcW w:w="1373" w:type="dxa"/>
            <w:tcBorders>
              <w:top w:val="nil"/>
              <w:left w:val="nil"/>
              <w:bottom w:val="nil"/>
              <w:right w:val="nil"/>
            </w:tcBorders>
            <w:vAlign w:val="center"/>
          </w:tcPr>
          <w:p w14:paraId="7A3A350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2.789</w:t>
            </w:r>
          </w:p>
        </w:tc>
        <w:tc>
          <w:tcPr>
            <w:tcW w:w="1374" w:type="dxa"/>
            <w:tcBorders>
              <w:top w:val="nil"/>
              <w:left w:val="nil"/>
              <w:bottom w:val="nil"/>
              <w:right w:val="nil"/>
            </w:tcBorders>
            <w:vAlign w:val="center"/>
          </w:tcPr>
          <w:p w14:paraId="26112D6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2.975</w:t>
            </w:r>
          </w:p>
        </w:tc>
      </w:tr>
      <w:tr w:rsidR="0064611C" w:rsidRPr="00F14751" w14:paraId="6BF1E492" w14:textId="77777777" w:rsidTr="008607F7">
        <w:trPr>
          <w:jc w:val="center"/>
        </w:trPr>
        <w:tc>
          <w:tcPr>
            <w:tcW w:w="1909" w:type="dxa"/>
            <w:tcBorders>
              <w:top w:val="nil"/>
              <w:left w:val="nil"/>
              <w:bottom w:val="nil"/>
              <w:right w:val="nil"/>
            </w:tcBorders>
            <w:vAlign w:val="center"/>
          </w:tcPr>
          <w:p w14:paraId="2581C9F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7F2D0AC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(1.705)</w:t>
            </w:r>
          </w:p>
        </w:tc>
        <w:tc>
          <w:tcPr>
            <w:tcW w:w="1373" w:type="dxa"/>
            <w:tcBorders>
              <w:top w:val="nil"/>
              <w:left w:val="nil"/>
              <w:bottom w:val="nil"/>
              <w:right w:val="nil"/>
            </w:tcBorders>
            <w:vAlign w:val="center"/>
          </w:tcPr>
          <w:p w14:paraId="7E03412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(0.153)</w:t>
            </w:r>
          </w:p>
        </w:tc>
        <w:tc>
          <w:tcPr>
            <w:tcW w:w="1374" w:type="dxa"/>
            <w:tcBorders>
              <w:top w:val="nil"/>
              <w:left w:val="nil"/>
              <w:bottom w:val="nil"/>
              <w:right w:val="nil"/>
            </w:tcBorders>
            <w:vAlign w:val="center"/>
          </w:tcPr>
          <w:p w14:paraId="5DE7F68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(0.226)</w:t>
            </w:r>
          </w:p>
        </w:tc>
        <w:tc>
          <w:tcPr>
            <w:tcW w:w="1373" w:type="dxa"/>
            <w:tcBorders>
              <w:top w:val="nil"/>
              <w:left w:val="nil"/>
              <w:bottom w:val="nil"/>
              <w:right w:val="nil"/>
            </w:tcBorders>
            <w:vAlign w:val="center"/>
          </w:tcPr>
          <w:p w14:paraId="26EA304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(0.364)</w:t>
            </w:r>
          </w:p>
        </w:tc>
        <w:tc>
          <w:tcPr>
            <w:tcW w:w="1374" w:type="dxa"/>
            <w:tcBorders>
              <w:top w:val="nil"/>
              <w:left w:val="nil"/>
              <w:bottom w:val="nil"/>
              <w:right w:val="nil"/>
            </w:tcBorders>
            <w:vAlign w:val="center"/>
          </w:tcPr>
          <w:p w14:paraId="014BD2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(0.487)</w:t>
            </w:r>
          </w:p>
        </w:tc>
        <w:tc>
          <w:tcPr>
            <w:tcW w:w="1373" w:type="dxa"/>
            <w:tcBorders>
              <w:top w:val="nil"/>
              <w:left w:val="nil"/>
              <w:bottom w:val="nil"/>
              <w:right w:val="nil"/>
            </w:tcBorders>
            <w:vAlign w:val="center"/>
          </w:tcPr>
          <w:p w14:paraId="54E445E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(0.455)</w:t>
            </w:r>
          </w:p>
        </w:tc>
        <w:tc>
          <w:tcPr>
            <w:tcW w:w="1373" w:type="dxa"/>
            <w:tcBorders>
              <w:top w:val="nil"/>
              <w:left w:val="nil"/>
              <w:bottom w:val="nil"/>
              <w:right w:val="nil"/>
            </w:tcBorders>
            <w:vAlign w:val="center"/>
          </w:tcPr>
          <w:p w14:paraId="545B0A9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(0.266)</w:t>
            </w:r>
          </w:p>
        </w:tc>
        <w:tc>
          <w:tcPr>
            <w:tcW w:w="1374" w:type="dxa"/>
            <w:tcBorders>
              <w:top w:val="nil"/>
              <w:left w:val="nil"/>
              <w:bottom w:val="nil"/>
              <w:right w:val="nil"/>
            </w:tcBorders>
            <w:vAlign w:val="center"/>
          </w:tcPr>
          <w:p w14:paraId="43B2D77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(0.221)</w:t>
            </w:r>
          </w:p>
        </w:tc>
        <w:tc>
          <w:tcPr>
            <w:tcW w:w="1373" w:type="dxa"/>
            <w:tcBorders>
              <w:top w:val="nil"/>
              <w:left w:val="nil"/>
              <w:bottom w:val="nil"/>
              <w:right w:val="nil"/>
            </w:tcBorders>
            <w:vAlign w:val="center"/>
          </w:tcPr>
          <w:p w14:paraId="3F01C7E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(1.368)</w:t>
            </w:r>
          </w:p>
        </w:tc>
        <w:tc>
          <w:tcPr>
            <w:tcW w:w="1374" w:type="dxa"/>
            <w:tcBorders>
              <w:top w:val="nil"/>
              <w:left w:val="nil"/>
              <w:bottom w:val="nil"/>
              <w:right w:val="nil"/>
            </w:tcBorders>
            <w:vAlign w:val="center"/>
          </w:tcPr>
          <w:p w14:paraId="425FB00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(1.424)</w:t>
            </w:r>
          </w:p>
        </w:tc>
      </w:tr>
      <w:tr w:rsidR="0064611C" w:rsidRPr="00F14751" w14:paraId="6140BD18" w14:textId="77777777" w:rsidTr="008607F7">
        <w:trPr>
          <w:jc w:val="center"/>
        </w:trPr>
        <w:tc>
          <w:tcPr>
            <w:tcW w:w="1909" w:type="dxa"/>
            <w:tcBorders>
              <w:top w:val="nil"/>
              <w:left w:val="nil"/>
              <w:bottom w:val="nil"/>
              <w:right w:val="nil"/>
            </w:tcBorders>
            <w:vAlign w:val="center"/>
          </w:tcPr>
          <w:p w14:paraId="39DAACED"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Death</w:t>
            </w:r>
          </w:p>
        </w:tc>
        <w:tc>
          <w:tcPr>
            <w:tcW w:w="1373" w:type="dxa"/>
            <w:tcBorders>
              <w:top w:val="nil"/>
              <w:left w:val="nil"/>
              <w:bottom w:val="nil"/>
              <w:right w:val="nil"/>
            </w:tcBorders>
            <w:vAlign w:val="center"/>
          </w:tcPr>
          <w:p w14:paraId="1528CB8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-3.549*</w:t>
            </w:r>
          </w:p>
        </w:tc>
        <w:tc>
          <w:tcPr>
            <w:tcW w:w="1373" w:type="dxa"/>
            <w:tcBorders>
              <w:top w:val="nil"/>
              <w:left w:val="nil"/>
              <w:bottom w:val="nil"/>
              <w:right w:val="nil"/>
            </w:tcBorders>
            <w:vAlign w:val="center"/>
          </w:tcPr>
          <w:p w14:paraId="5915B6B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0.498**</w:t>
            </w:r>
          </w:p>
        </w:tc>
        <w:tc>
          <w:tcPr>
            <w:tcW w:w="1374" w:type="dxa"/>
            <w:tcBorders>
              <w:top w:val="nil"/>
              <w:left w:val="nil"/>
              <w:bottom w:val="nil"/>
              <w:right w:val="nil"/>
            </w:tcBorders>
            <w:vAlign w:val="center"/>
          </w:tcPr>
          <w:p w14:paraId="310E6F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0.606**</w:t>
            </w:r>
          </w:p>
        </w:tc>
        <w:tc>
          <w:tcPr>
            <w:tcW w:w="1373" w:type="dxa"/>
            <w:tcBorders>
              <w:top w:val="nil"/>
              <w:left w:val="nil"/>
              <w:bottom w:val="nil"/>
              <w:right w:val="nil"/>
            </w:tcBorders>
            <w:vAlign w:val="center"/>
          </w:tcPr>
          <w:p w14:paraId="11D0D65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1.104**</w:t>
            </w:r>
          </w:p>
        </w:tc>
        <w:tc>
          <w:tcPr>
            <w:tcW w:w="1374" w:type="dxa"/>
            <w:tcBorders>
              <w:top w:val="nil"/>
              <w:left w:val="nil"/>
              <w:bottom w:val="nil"/>
              <w:right w:val="nil"/>
            </w:tcBorders>
            <w:vAlign w:val="center"/>
          </w:tcPr>
          <w:p w14:paraId="13BC44C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0.985*</w:t>
            </w:r>
          </w:p>
        </w:tc>
        <w:tc>
          <w:tcPr>
            <w:tcW w:w="1373" w:type="dxa"/>
            <w:tcBorders>
              <w:top w:val="nil"/>
              <w:left w:val="nil"/>
              <w:bottom w:val="nil"/>
              <w:right w:val="nil"/>
            </w:tcBorders>
            <w:vAlign w:val="center"/>
          </w:tcPr>
          <w:p w14:paraId="38A7CA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0.612</w:t>
            </w:r>
          </w:p>
        </w:tc>
        <w:tc>
          <w:tcPr>
            <w:tcW w:w="1373" w:type="dxa"/>
            <w:tcBorders>
              <w:top w:val="nil"/>
              <w:left w:val="nil"/>
              <w:bottom w:val="nil"/>
              <w:right w:val="nil"/>
            </w:tcBorders>
            <w:vAlign w:val="center"/>
          </w:tcPr>
          <w:p w14:paraId="1803330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-0.280</w:t>
            </w:r>
          </w:p>
        </w:tc>
        <w:tc>
          <w:tcPr>
            <w:tcW w:w="1374" w:type="dxa"/>
            <w:tcBorders>
              <w:top w:val="nil"/>
              <w:left w:val="nil"/>
              <w:bottom w:val="nil"/>
              <w:right w:val="nil"/>
            </w:tcBorders>
            <w:vAlign w:val="center"/>
          </w:tcPr>
          <w:p w14:paraId="4DC96CD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-0.696**</w:t>
            </w:r>
          </w:p>
        </w:tc>
        <w:tc>
          <w:tcPr>
            <w:tcW w:w="1373" w:type="dxa"/>
            <w:tcBorders>
              <w:top w:val="nil"/>
              <w:left w:val="nil"/>
              <w:bottom w:val="nil"/>
              <w:right w:val="nil"/>
            </w:tcBorders>
            <w:vAlign w:val="center"/>
          </w:tcPr>
          <w:p w14:paraId="4361FB2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-1.725</w:t>
            </w:r>
          </w:p>
        </w:tc>
        <w:tc>
          <w:tcPr>
            <w:tcW w:w="1374" w:type="dxa"/>
            <w:tcBorders>
              <w:top w:val="nil"/>
              <w:left w:val="nil"/>
              <w:bottom w:val="nil"/>
              <w:right w:val="nil"/>
            </w:tcBorders>
            <w:vAlign w:val="center"/>
          </w:tcPr>
          <w:p w14:paraId="20EDE39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-2.421</w:t>
            </w:r>
          </w:p>
        </w:tc>
      </w:tr>
      <w:tr w:rsidR="0064611C" w:rsidRPr="00F14751" w14:paraId="2BE732C1" w14:textId="77777777" w:rsidTr="008607F7">
        <w:trPr>
          <w:jc w:val="center"/>
        </w:trPr>
        <w:tc>
          <w:tcPr>
            <w:tcW w:w="1909" w:type="dxa"/>
            <w:tcBorders>
              <w:top w:val="nil"/>
              <w:left w:val="nil"/>
              <w:bottom w:val="nil"/>
              <w:right w:val="nil"/>
            </w:tcBorders>
            <w:vAlign w:val="center"/>
          </w:tcPr>
          <w:p w14:paraId="0BA32620"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0CFA5C6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(1.603)</w:t>
            </w:r>
          </w:p>
        </w:tc>
        <w:tc>
          <w:tcPr>
            <w:tcW w:w="1373" w:type="dxa"/>
            <w:tcBorders>
              <w:top w:val="nil"/>
              <w:left w:val="nil"/>
              <w:bottom w:val="nil"/>
              <w:right w:val="nil"/>
            </w:tcBorders>
            <w:vAlign w:val="center"/>
          </w:tcPr>
          <w:p w14:paraId="7BB715B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(0.114)</w:t>
            </w:r>
          </w:p>
        </w:tc>
        <w:tc>
          <w:tcPr>
            <w:tcW w:w="1374" w:type="dxa"/>
            <w:tcBorders>
              <w:top w:val="nil"/>
              <w:left w:val="nil"/>
              <w:bottom w:val="nil"/>
              <w:right w:val="nil"/>
            </w:tcBorders>
            <w:vAlign w:val="center"/>
          </w:tcPr>
          <w:p w14:paraId="39C9A9F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(0.181)</w:t>
            </w:r>
          </w:p>
        </w:tc>
        <w:tc>
          <w:tcPr>
            <w:tcW w:w="1373" w:type="dxa"/>
            <w:tcBorders>
              <w:top w:val="nil"/>
              <w:left w:val="nil"/>
              <w:bottom w:val="nil"/>
              <w:right w:val="nil"/>
            </w:tcBorders>
            <w:vAlign w:val="center"/>
          </w:tcPr>
          <w:p w14:paraId="088AF6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(0.264)</w:t>
            </w:r>
          </w:p>
        </w:tc>
        <w:tc>
          <w:tcPr>
            <w:tcW w:w="1374" w:type="dxa"/>
            <w:tcBorders>
              <w:top w:val="nil"/>
              <w:left w:val="nil"/>
              <w:bottom w:val="nil"/>
              <w:right w:val="nil"/>
            </w:tcBorders>
            <w:vAlign w:val="center"/>
          </w:tcPr>
          <w:p w14:paraId="5621361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(0.451)</w:t>
            </w:r>
          </w:p>
        </w:tc>
        <w:tc>
          <w:tcPr>
            <w:tcW w:w="1373" w:type="dxa"/>
            <w:tcBorders>
              <w:top w:val="nil"/>
              <w:left w:val="nil"/>
              <w:bottom w:val="nil"/>
              <w:right w:val="nil"/>
            </w:tcBorders>
            <w:vAlign w:val="center"/>
          </w:tcPr>
          <w:p w14:paraId="532428E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(0.451)</w:t>
            </w:r>
          </w:p>
        </w:tc>
        <w:tc>
          <w:tcPr>
            <w:tcW w:w="1373" w:type="dxa"/>
            <w:tcBorders>
              <w:top w:val="nil"/>
              <w:left w:val="nil"/>
              <w:bottom w:val="nil"/>
              <w:right w:val="nil"/>
            </w:tcBorders>
            <w:vAlign w:val="center"/>
          </w:tcPr>
          <w:p w14:paraId="2D411F8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(0.322)</w:t>
            </w:r>
          </w:p>
        </w:tc>
        <w:tc>
          <w:tcPr>
            <w:tcW w:w="1374" w:type="dxa"/>
            <w:tcBorders>
              <w:top w:val="nil"/>
              <w:left w:val="nil"/>
              <w:bottom w:val="nil"/>
              <w:right w:val="nil"/>
            </w:tcBorders>
            <w:vAlign w:val="center"/>
          </w:tcPr>
          <w:p w14:paraId="36622A3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(0.187)</w:t>
            </w:r>
          </w:p>
        </w:tc>
        <w:tc>
          <w:tcPr>
            <w:tcW w:w="1373" w:type="dxa"/>
            <w:tcBorders>
              <w:top w:val="nil"/>
              <w:left w:val="nil"/>
              <w:bottom w:val="nil"/>
              <w:right w:val="nil"/>
            </w:tcBorders>
            <w:vAlign w:val="center"/>
          </w:tcPr>
          <w:p w14:paraId="6EFA937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(1.386)</w:t>
            </w:r>
          </w:p>
        </w:tc>
        <w:tc>
          <w:tcPr>
            <w:tcW w:w="1374" w:type="dxa"/>
            <w:tcBorders>
              <w:top w:val="nil"/>
              <w:left w:val="nil"/>
              <w:bottom w:val="nil"/>
              <w:right w:val="nil"/>
            </w:tcBorders>
            <w:vAlign w:val="center"/>
          </w:tcPr>
          <w:p w14:paraId="1DF71B8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(1.423)</w:t>
            </w:r>
          </w:p>
        </w:tc>
      </w:tr>
      <w:tr w:rsidR="0064611C" w:rsidRPr="00F14751" w14:paraId="755DFA94" w14:textId="77777777" w:rsidTr="008607F7">
        <w:trPr>
          <w:jc w:val="center"/>
        </w:trPr>
        <w:tc>
          <w:tcPr>
            <w:tcW w:w="1909" w:type="dxa"/>
            <w:tcBorders>
              <w:top w:val="nil"/>
              <w:left w:val="nil"/>
              <w:bottom w:val="nil"/>
              <w:right w:val="nil"/>
            </w:tcBorders>
            <w:vAlign w:val="center"/>
          </w:tcPr>
          <w:p w14:paraId="5F92D880"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roofErr w:type="spellStart"/>
            <w:r w:rsidRPr="00F14751">
              <w:rPr>
                <w:rFonts w:ascii="Times New Roman" w:hAnsi="Times New Roman" w:cs="Times New Roman"/>
                <w:sz w:val="20"/>
                <w:szCs w:val="24"/>
              </w:rPr>
              <w:t>UrbanPopgrowth</w:t>
            </w:r>
            <w:proofErr w:type="spellEnd"/>
          </w:p>
        </w:tc>
        <w:tc>
          <w:tcPr>
            <w:tcW w:w="1373" w:type="dxa"/>
            <w:tcBorders>
              <w:top w:val="nil"/>
              <w:left w:val="nil"/>
              <w:bottom w:val="nil"/>
              <w:right w:val="nil"/>
            </w:tcBorders>
            <w:vAlign w:val="center"/>
          </w:tcPr>
          <w:p w14:paraId="1F887DC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1.526</w:t>
            </w:r>
          </w:p>
        </w:tc>
        <w:tc>
          <w:tcPr>
            <w:tcW w:w="1373" w:type="dxa"/>
            <w:tcBorders>
              <w:top w:val="nil"/>
              <w:left w:val="nil"/>
              <w:bottom w:val="nil"/>
              <w:right w:val="nil"/>
            </w:tcBorders>
            <w:vAlign w:val="center"/>
          </w:tcPr>
          <w:p w14:paraId="524E9F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-0.00305</w:t>
            </w:r>
          </w:p>
        </w:tc>
        <w:tc>
          <w:tcPr>
            <w:tcW w:w="1374" w:type="dxa"/>
            <w:tcBorders>
              <w:top w:val="nil"/>
              <w:left w:val="nil"/>
              <w:bottom w:val="nil"/>
              <w:right w:val="nil"/>
            </w:tcBorders>
            <w:vAlign w:val="center"/>
          </w:tcPr>
          <w:p w14:paraId="2D507BE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-0.212</w:t>
            </w:r>
          </w:p>
        </w:tc>
        <w:tc>
          <w:tcPr>
            <w:tcW w:w="1373" w:type="dxa"/>
            <w:tcBorders>
              <w:top w:val="nil"/>
              <w:left w:val="nil"/>
              <w:bottom w:val="nil"/>
              <w:right w:val="nil"/>
            </w:tcBorders>
            <w:vAlign w:val="center"/>
          </w:tcPr>
          <w:p w14:paraId="03AE0E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-0.215</w:t>
            </w:r>
          </w:p>
        </w:tc>
        <w:tc>
          <w:tcPr>
            <w:tcW w:w="1374" w:type="dxa"/>
            <w:tcBorders>
              <w:top w:val="nil"/>
              <w:left w:val="nil"/>
              <w:bottom w:val="nil"/>
              <w:right w:val="nil"/>
            </w:tcBorders>
            <w:vAlign w:val="center"/>
          </w:tcPr>
          <w:p w14:paraId="476B7C2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-0.544</w:t>
            </w:r>
          </w:p>
        </w:tc>
        <w:tc>
          <w:tcPr>
            <w:tcW w:w="1373" w:type="dxa"/>
            <w:tcBorders>
              <w:top w:val="nil"/>
              <w:left w:val="nil"/>
              <w:bottom w:val="nil"/>
              <w:right w:val="nil"/>
            </w:tcBorders>
            <w:vAlign w:val="center"/>
          </w:tcPr>
          <w:p w14:paraId="0187C6B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-0.658</w:t>
            </w:r>
          </w:p>
        </w:tc>
        <w:tc>
          <w:tcPr>
            <w:tcW w:w="1373" w:type="dxa"/>
            <w:tcBorders>
              <w:top w:val="nil"/>
              <w:left w:val="nil"/>
              <w:bottom w:val="nil"/>
              <w:right w:val="nil"/>
            </w:tcBorders>
            <w:vAlign w:val="center"/>
          </w:tcPr>
          <w:p w14:paraId="50DFBB7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-0.0676</w:t>
            </w:r>
          </w:p>
        </w:tc>
        <w:tc>
          <w:tcPr>
            <w:tcW w:w="1374" w:type="dxa"/>
            <w:tcBorders>
              <w:top w:val="nil"/>
              <w:left w:val="nil"/>
              <w:bottom w:val="nil"/>
              <w:right w:val="nil"/>
            </w:tcBorders>
            <w:vAlign w:val="center"/>
          </w:tcPr>
          <w:p w14:paraId="3228962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0.422</w:t>
            </w:r>
          </w:p>
        </w:tc>
        <w:tc>
          <w:tcPr>
            <w:tcW w:w="1373" w:type="dxa"/>
            <w:tcBorders>
              <w:top w:val="nil"/>
              <w:left w:val="nil"/>
              <w:bottom w:val="nil"/>
              <w:right w:val="nil"/>
            </w:tcBorders>
            <w:vAlign w:val="center"/>
          </w:tcPr>
          <w:p w14:paraId="5A15697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1.063</w:t>
            </w:r>
          </w:p>
        </w:tc>
        <w:tc>
          <w:tcPr>
            <w:tcW w:w="1374" w:type="dxa"/>
            <w:tcBorders>
              <w:top w:val="nil"/>
              <w:left w:val="nil"/>
              <w:bottom w:val="nil"/>
              <w:right w:val="nil"/>
            </w:tcBorders>
            <w:vAlign w:val="center"/>
          </w:tcPr>
          <w:p w14:paraId="027C4B3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1.485</w:t>
            </w:r>
          </w:p>
        </w:tc>
      </w:tr>
      <w:tr w:rsidR="0064611C" w:rsidRPr="00F14751" w14:paraId="344A3885" w14:textId="77777777" w:rsidTr="008607F7">
        <w:trPr>
          <w:jc w:val="center"/>
        </w:trPr>
        <w:tc>
          <w:tcPr>
            <w:tcW w:w="1909" w:type="dxa"/>
            <w:tcBorders>
              <w:top w:val="nil"/>
              <w:left w:val="nil"/>
              <w:bottom w:val="nil"/>
              <w:right w:val="nil"/>
            </w:tcBorders>
            <w:vAlign w:val="center"/>
          </w:tcPr>
          <w:p w14:paraId="3163072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3F16A95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(1.552)</w:t>
            </w:r>
          </w:p>
        </w:tc>
        <w:tc>
          <w:tcPr>
            <w:tcW w:w="1373" w:type="dxa"/>
            <w:tcBorders>
              <w:top w:val="nil"/>
              <w:left w:val="nil"/>
              <w:bottom w:val="nil"/>
              <w:right w:val="nil"/>
            </w:tcBorders>
            <w:vAlign w:val="center"/>
          </w:tcPr>
          <w:p w14:paraId="636BCC6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(0.185)</w:t>
            </w:r>
          </w:p>
        </w:tc>
        <w:tc>
          <w:tcPr>
            <w:tcW w:w="1374" w:type="dxa"/>
            <w:tcBorders>
              <w:top w:val="nil"/>
              <w:left w:val="nil"/>
              <w:bottom w:val="nil"/>
              <w:right w:val="nil"/>
            </w:tcBorders>
            <w:vAlign w:val="center"/>
          </w:tcPr>
          <w:p w14:paraId="398D0B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(0.210)</w:t>
            </w:r>
          </w:p>
        </w:tc>
        <w:tc>
          <w:tcPr>
            <w:tcW w:w="1373" w:type="dxa"/>
            <w:tcBorders>
              <w:top w:val="nil"/>
              <w:left w:val="nil"/>
              <w:bottom w:val="nil"/>
              <w:right w:val="nil"/>
            </w:tcBorders>
            <w:vAlign w:val="center"/>
          </w:tcPr>
          <w:p w14:paraId="72F901D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(0.387)</w:t>
            </w:r>
          </w:p>
        </w:tc>
        <w:tc>
          <w:tcPr>
            <w:tcW w:w="1374" w:type="dxa"/>
            <w:tcBorders>
              <w:top w:val="nil"/>
              <w:left w:val="nil"/>
              <w:bottom w:val="nil"/>
              <w:right w:val="nil"/>
            </w:tcBorders>
            <w:vAlign w:val="center"/>
          </w:tcPr>
          <w:p w14:paraId="55C86AE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(0.434)</w:t>
            </w:r>
          </w:p>
        </w:tc>
        <w:tc>
          <w:tcPr>
            <w:tcW w:w="1373" w:type="dxa"/>
            <w:tcBorders>
              <w:top w:val="nil"/>
              <w:left w:val="nil"/>
              <w:bottom w:val="nil"/>
              <w:right w:val="nil"/>
            </w:tcBorders>
            <w:vAlign w:val="center"/>
          </w:tcPr>
          <w:p w14:paraId="04B9D2A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(0.537)</w:t>
            </w:r>
          </w:p>
        </w:tc>
        <w:tc>
          <w:tcPr>
            <w:tcW w:w="1373" w:type="dxa"/>
            <w:tcBorders>
              <w:top w:val="nil"/>
              <w:left w:val="nil"/>
              <w:bottom w:val="nil"/>
              <w:right w:val="nil"/>
            </w:tcBorders>
            <w:vAlign w:val="center"/>
          </w:tcPr>
          <w:p w14:paraId="67D2DC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(0.711)</w:t>
            </w:r>
          </w:p>
        </w:tc>
        <w:tc>
          <w:tcPr>
            <w:tcW w:w="1374" w:type="dxa"/>
            <w:tcBorders>
              <w:top w:val="nil"/>
              <w:left w:val="nil"/>
              <w:bottom w:val="nil"/>
              <w:right w:val="nil"/>
            </w:tcBorders>
            <w:vAlign w:val="center"/>
          </w:tcPr>
          <w:p w14:paraId="1F67F54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(0.664)</w:t>
            </w:r>
          </w:p>
        </w:tc>
        <w:tc>
          <w:tcPr>
            <w:tcW w:w="1373" w:type="dxa"/>
            <w:tcBorders>
              <w:top w:val="nil"/>
              <w:left w:val="nil"/>
              <w:bottom w:val="nil"/>
              <w:right w:val="nil"/>
            </w:tcBorders>
            <w:vAlign w:val="center"/>
          </w:tcPr>
          <w:p w14:paraId="7239228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(1.780)</w:t>
            </w:r>
          </w:p>
        </w:tc>
        <w:tc>
          <w:tcPr>
            <w:tcW w:w="1374" w:type="dxa"/>
            <w:tcBorders>
              <w:top w:val="nil"/>
              <w:left w:val="nil"/>
              <w:bottom w:val="nil"/>
              <w:right w:val="nil"/>
            </w:tcBorders>
            <w:vAlign w:val="center"/>
          </w:tcPr>
          <w:p w14:paraId="14EF1D7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(1.445)</w:t>
            </w:r>
          </w:p>
        </w:tc>
      </w:tr>
      <w:tr w:rsidR="0064611C" w:rsidRPr="00F14751" w14:paraId="06D5A6AB" w14:textId="77777777" w:rsidTr="008607F7">
        <w:trPr>
          <w:jc w:val="center"/>
        </w:trPr>
        <w:tc>
          <w:tcPr>
            <w:tcW w:w="1909" w:type="dxa"/>
            <w:tcBorders>
              <w:top w:val="nil"/>
              <w:left w:val="nil"/>
              <w:bottom w:val="nil"/>
              <w:right w:val="nil"/>
            </w:tcBorders>
            <w:vAlign w:val="center"/>
          </w:tcPr>
          <w:p w14:paraId="1E671B70"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Mercosur</w:t>
            </w:r>
          </w:p>
        </w:tc>
        <w:tc>
          <w:tcPr>
            <w:tcW w:w="1373" w:type="dxa"/>
            <w:tcBorders>
              <w:top w:val="nil"/>
              <w:left w:val="nil"/>
              <w:bottom w:val="nil"/>
              <w:right w:val="nil"/>
            </w:tcBorders>
            <w:vAlign w:val="center"/>
          </w:tcPr>
          <w:p w14:paraId="7494585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-9.527**</w:t>
            </w:r>
          </w:p>
        </w:tc>
        <w:tc>
          <w:tcPr>
            <w:tcW w:w="1373" w:type="dxa"/>
            <w:tcBorders>
              <w:top w:val="nil"/>
              <w:left w:val="nil"/>
              <w:bottom w:val="nil"/>
              <w:right w:val="nil"/>
            </w:tcBorders>
            <w:vAlign w:val="center"/>
          </w:tcPr>
          <w:p w14:paraId="7A0E452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0.677**</w:t>
            </w:r>
          </w:p>
        </w:tc>
        <w:tc>
          <w:tcPr>
            <w:tcW w:w="1374" w:type="dxa"/>
            <w:tcBorders>
              <w:top w:val="nil"/>
              <w:left w:val="nil"/>
              <w:bottom w:val="nil"/>
              <w:right w:val="nil"/>
            </w:tcBorders>
            <w:vAlign w:val="center"/>
          </w:tcPr>
          <w:p w14:paraId="10805FC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0.540*</w:t>
            </w:r>
          </w:p>
        </w:tc>
        <w:tc>
          <w:tcPr>
            <w:tcW w:w="1373" w:type="dxa"/>
            <w:tcBorders>
              <w:top w:val="nil"/>
              <w:left w:val="nil"/>
              <w:bottom w:val="nil"/>
              <w:right w:val="nil"/>
            </w:tcBorders>
            <w:vAlign w:val="center"/>
          </w:tcPr>
          <w:p w14:paraId="27E666E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1.217**</w:t>
            </w:r>
          </w:p>
        </w:tc>
        <w:tc>
          <w:tcPr>
            <w:tcW w:w="1374" w:type="dxa"/>
            <w:tcBorders>
              <w:top w:val="nil"/>
              <w:left w:val="nil"/>
              <w:bottom w:val="nil"/>
              <w:right w:val="nil"/>
            </w:tcBorders>
            <w:vAlign w:val="center"/>
          </w:tcPr>
          <w:p w14:paraId="4D07569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1.813**</w:t>
            </w:r>
          </w:p>
        </w:tc>
        <w:tc>
          <w:tcPr>
            <w:tcW w:w="1373" w:type="dxa"/>
            <w:tcBorders>
              <w:top w:val="nil"/>
              <w:left w:val="nil"/>
              <w:bottom w:val="nil"/>
              <w:right w:val="nil"/>
            </w:tcBorders>
            <w:vAlign w:val="center"/>
          </w:tcPr>
          <w:p w14:paraId="2D916CB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3.034***</w:t>
            </w:r>
          </w:p>
        </w:tc>
        <w:tc>
          <w:tcPr>
            <w:tcW w:w="1373" w:type="dxa"/>
            <w:tcBorders>
              <w:top w:val="nil"/>
              <w:left w:val="nil"/>
              <w:bottom w:val="nil"/>
              <w:right w:val="nil"/>
            </w:tcBorders>
            <w:vAlign w:val="center"/>
          </w:tcPr>
          <w:p w14:paraId="3F04997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3.303***</w:t>
            </w:r>
          </w:p>
        </w:tc>
        <w:tc>
          <w:tcPr>
            <w:tcW w:w="1374" w:type="dxa"/>
            <w:tcBorders>
              <w:top w:val="nil"/>
              <w:left w:val="nil"/>
              <w:bottom w:val="nil"/>
              <w:right w:val="nil"/>
            </w:tcBorders>
            <w:vAlign w:val="center"/>
          </w:tcPr>
          <w:p w14:paraId="2E808D8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0.765</w:t>
            </w:r>
          </w:p>
        </w:tc>
        <w:tc>
          <w:tcPr>
            <w:tcW w:w="1373" w:type="dxa"/>
            <w:tcBorders>
              <w:top w:val="nil"/>
              <w:left w:val="nil"/>
              <w:bottom w:val="nil"/>
              <w:right w:val="nil"/>
            </w:tcBorders>
            <w:vAlign w:val="center"/>
          </w:tcPr>
          <w:p w14:paraId="14C1397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-10.13**</w:t>
            </w:r>
          </w:p>
        </w:tc>
        <w:tc>
          <w:tcPr>
            <w:tcW w:w="1374" w:type="dxa"/>
            <w:tcBorders>
              <w:top w:val="nil"/>
              <w:left w:val="nil"/>
              <w:bottom w:val="nil"/>
              <w:right w:val="nil"/>
            </w:tcBorders>
            <w:vAlign w:val="center"/>
          </w:tcPr>
          <w:p w14:paraId="53C6A5D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-9.366***</w:t>
            </w:r>
          </w:p>
        </w:tc>
      </w:tr>
      <w:tr w:rsidR="0064611C" w:rsidRPr="00F14751" w14:paraId="34352BC0" w14:textId="77777777" w:rsidTr="008607F7">
        <w:trPr>
          <w:jc w:val="center"/>
        </w:trPr>
        <w:tc>
          <w:tcPr>
            <w:tcW w:w="1909" w:type="dxa"/>
            <w:tcBorders>
              <w:top w:val="nil"/>
              <w:left w:val="nil"/>
              <w:bottom w:val="nil"/>
              <w:right w:val="nil"/>
            </w:tcBorders>
            <w:vAlign w:val="center"/>
          </w:tcPr>
          <w:p w14:paraId="4D67950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19CC51F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(2.254)</w:t>
            </w:r>
          </w:p>
        </w:tc>
        <w:tc>
          <w:tcPr>
            <w:tcW w:w="1373" w:type="dxa"/>
            <w:tcBorders>
              <w:top w:val="nil"/>
              <w:left w:val="nil"/>
              <w:bottom w:val="nil"/>
              <w:right w:val="nil"/>
            </w:tcBorders>
            <w:vAlign w:val="center"/>
          </w:tcPr>
          <w:p w14:paraId="4E71E55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(0.210)</w:t>
            </w:r>
          </w:p>
        </w:tc>
        <w:tc>
          <w:tcPr>
            <w:tcW w:w="1374" w:type="dxa"/>
            <w:tcBorders>
              <w:top w:val="nil"/>
              <w:left w:val="nil"/>
              <w:bottom w:val="nil"/>
              <w:right w:val="nil"/>
            </w:tcBorders>
            <w:vAlign w:val="center"/>
          </w:tcPr>
          <w:p w14:paraId="0279498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(0.215)</w:t>
            </w:r>
          </w:p>
        </w:tc>
        <w:tc>
          <w:tcPr>
            <w:tcW w:w="1373" w:type="dxa"/>
            <w:tcBorders>
              <w:top w:val="nil"/>
              <w:left w:val="nil"/>
              <w:bottom w:val="nil"/>
              <w:right w:val="nil"/>
            </w:tcBorders>
            <w:vAlign w:val="center"/>
          </w:tcPr>
          <w:p w14:paraId="0206759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(0.398)</w:t>
            </w:r>
          </w:p>
        </w:tc>
        <w:tc>
          <w:tcPr>
            <w:tcW w:w="1374" w:type="dxa"/>
            <w:tcBorders>
              <w:top w:val="nil"/>
              <w:left w:val="nil"/>
              <w:bottom w:val="nil"/>
              <w:right w:val="nil"/>
            </w:tcBorders>
            <w:vAlign w:val="center"/>
          </w:tcPr>
          <w:p w14:paraId="4CDB03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(0.485)</w:t>
            </w:r>
          </w:p>
        </w:tc>
        <w:tc>
          <w:tcPr>
            <w:tcW w:w="1373" w:type="dxa"/>
            <w:tcBorders>
              <w:top w:val="nil"/>
              <w:left w:val="nil"/>
              <w:bottom w:val="nil"/>
              <w:right w:val="nil"/>
            </w:tcBorders>
            <w:vAlign w:val="center"/>
          </w:tcPr>
          <w:p w14:paraId="091D1D3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(0.599)</w:t>
            </w:r>
          </w:p>
        </w:tc>
        <w:tc>
          <w:tcPr>
            <w:tcW w:w="1373" w:type="dxa"/>
            <w:tcBorders>
              <w:top w:val="nil"/>
              <w:left w:val="nil"/>
              <w:bottom w:val="nil"/>
              <w:right w:val="nil"/>
            </w:tcBorders>
            <w:vAlign w:val="center"/>
          </w:tcPr>
          <w:p w14:paraId="3CF7752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(0.648)</w:t>
            </w:r>
          </w:p>
        </w:tc>
        <w:tc>
          <w:tcPr>
            <w:tcW w:w="1374" w:type="dxa"/>
            <w:tcBorders>
              <w:top w:val="nil"/>
              <w:left w:val="nil"/>
              <w:bottom w:val="nil"/>
              <w:right w:val="nil"/>
            </w:tcBorders>
            <w:vAlign w:val="center"/>
          </w:tcPr>
          <w:p w14:paraId="7C56BB7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(0.435)</w:t>
            </w:r>
          </w:p>
        </w:tc>
        <w:tc>
          <w:tcPr>
            <w:tcW w:w="1373" w:type="dxa"/>
            <w:tcBorders>
              <w:top w:val="nil"/>
              <w:left w:val="nil"/>
              <w:bottom w:val="nil"/>
              <w:right w:val="nil"/>
            </w:tcBorders>
            <w:vAlign w:val="center"/>
          </w:tcPr>
          <w:p w14:paraId="266219E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(2.268)</w:t>
            </w:r>
          </w:p>
        </w:tc>
        <w:tc>
          <w:tcPr>
            <w:tcW w:w="1374" w:type="dxa"/>
            <w:tcBorders>
              <w:top w:val="nil"/>
              <w:left w:val="nil"/>
              <w:bottom w:val="nil"/>
              <w:right w:val="nil"/>
            </w:tcBorders>
            <w:vAlign w:val="center"/>
          </w:tcPr>
          <w:p w14:paraId="1C884E6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(1.985)</w:t>
            </w:r>
          </w:p>
        </w:tc>
      </w:tr>
      <w:tr w:rsidR="0064611C" w:rsidRPr="00F14751" w14:paraId="0095935C" w14:textId="77777777" w:rsidTr="008607F7">
        <w:trPr>
          <w:jc w:val="center"/>
        </w:trPr>
        <w:tc>
          <w:tcPr>
            <w:tcW w:w="1909" w:type="dxa"/>
            <w:tcBorders>
              <w:top w:val="nil"/>
              <w:left w:val="nil"/>
              <w:bottom w:val="nil"/>
              <w:right w:val="nil"/>
            </w:tcBorders>
            <w:vAlign w:val="center"/>
          </w:tcPr>
          <w:p w14:paraId="76DC262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roofErr w:type="spellStart"/>
            <w:r w:rsidRPr="00F14751">
              <w:rPr>
                <w:rFonts w:ascii="Times New Roman" w:hAnsi="Times New Roman" w:cs="Times New Roman"/>
                <w:sz w:val="20"/>
                <w:szCs w:val="24"/>
              </w:rPr>
              <w:t>Unasur</w:t>
            </w:r>
            <w:proofErr w:type="spellEnd"/>
          </w:p>
        </w:tc>
        <w:tc>
          <w:tcPr>
            <w:tcW w:w="1373" w:type="dxa"/>
            <w:tcBorders>
              <w:top w:val="nil"/>
              <w:left w:val="nil"/>
              <w:bottom w:val="nil"/>
              <w:right w:val="nil"/>
            </w:tcBorders>
            <w:vAlign w:val="center"/>
          </w:tcPr>
          <w:p w14:paraId="76B0E2A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-9.260*</w:t>
            </w:r>
          </w:p>
        </w:tc>
        <w:tc>
          <w:tcPr>
            <w:tcW w:w="1373" w:type="dxa"/>
            <w:tcBorders>
              <w:top w:val="nil"/>
              <w:left w:val="nil"/>
              <w:bottom w:val="nil"/>
              <w:right w:val="nil"/>
            </w:tcBorders>
            <w:vAlign w:val="center"/>
          </w:tcPr>
          <w:p w14:paraId="7AF5541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1.364**</w:t>
            </w:r>
          </w:p>
        </w:tc>
        <w:tc>
          <w:tcPr>
            <w:tcW w:w="1374" w:type="dxa"/>
            <w:tcBorders>
              <w:top w:val="nil"/>
              <w:left w:val="nil"/>
              <w:bottom w:val="nil"/>
              <w:right w:val="nil"/>
            </w:tcBorders>
            <w:vAlign w:val="center"/>
          </w:tcPr>
          <w:p w14:paraId="30A74A8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1.142</w:t>
            </w:r>
          </w:p>
        </w:tc>
        <w:tc>
          <w:tcPr>
            <w:tcW w:w="1373" w:type="dxa"/>
            <w:tcBorders>
              <w:top w:val="nil"/>
              <w:left w:val="nil"/>
              <w:bottom w:val="nil"/>
              <w:right w:val="nil"/>
            </w:tcBorders>
            <w:vAlign w:val="center"/>
          </w:tcPr>
          <w:p w14:paraId="1CE2C6A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2.507*</w:t>
            </w:r>
          </w:p>
        </w:tc>
        <w:tc>
          <w:tcPr>
            <w:tcW w:w="1374" w:type="dxa"/>
            <w:tcBorders>
              <w:top w:val="nil"/>
              <w:left w:val="nil"/>
              <w:bottom w:val="nil"/>
              <w:right w:val="nil"/>
            </w:tcBorders>
            <w:vAlign w:val="center"/>
          </w:tcPr>
          <w:p w14:paraId="42EAE10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1.843</w:t>
            </w:r>
          </w:p>
        </w:tc>
        <w:tc>
          <w:tcPr>
            <w:tcW w:w="1373" w:type="dxa"/>
            <w:tcBorders>
              <w:top w:val="nil"/>
              <w:left w:val="nil"/>
              <w:bottom w:val="nil"/>
              <w:right w:val="nil"/>
            </w:tcBorders>
            <w:vAlign w:val="center"/>
          </w:tcPr>
          <w:p w14:paraId="47C8DCB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1.515</w:t>
            </w:r>
          </w:p>
        </w:tc>
        <w:tc>
          <w:tcPr>
            <w:tcW w:w="1373" w:type="dxa"/>
            <w:tcBorders>
              <w:top w:val="nil"/>
              <w:left w:val="nil"/>
              <w:bottom w:val="nil"/>
              <w:right w:val="nil"/>
            </w:tcBorders>
            <w:vAlign w:val="center"/>
          </w:tcPr>
          <w:p w14:paraId="7FC8DB6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0.682</w:t>
            </w:r>
          </w:p>
        </w:tc>
        <w:tc>
          <w:tcPr>
            <w:tcW w:w="1374" w:type="dxa"/>
            <w:tcBorders>
              <w:top w:val="nil"/>
              <w:left w:val="nil"/>
              <w:bottom w:val="nil"/>
              <w:right w:val="nil"/>
            </w:tcBorders>
            <w:vAlign w:val="center"/>
          </w:tcPr>
          <w:p w14:paraId="5797019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0.663</w:t>
            </w:r>
          </w:p>
        </w:tc>
        <w:tc>
          <w:tcPr>
            <w:tcW w:w="1373" w:type="dxa"/>
            <w:tcBorders>
              <w:top w:val="nil"/>
              <w:left w:val="nil"/>
              <w:bottom w:val="nil"/>
              <w:right w:val="nil"/>
            </w:tcBorders>
            <w:vAlign w:val="center"/>
          </w:tcPr>
          <w:p w14:paraId="57242C8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-7.211</w:t>
            </w:r>
          </w:p>
        </w:tc>
        <w:tc>
          <w:tcPr>
            <w:tcW w:w="1374" w:type="dxa"/>
            <w:tcBorders>
              <w:top w:val="nil"/>
              <w:left w:val="nil"/>
              <w:bottom w:val="nil"/>
              <w:right w:val="nil"/>
            </w:tcBorders>
            <w:vAlign w:val="center"/>
          </w:tcPr>
          <w:p w14:paraId="21CE40B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-6.547</w:t>
            </w:r>
          </w:p>
        </w:tc>
      </w:tr>
      <w:tr w:rsidR="0064611C" w:rsidRPr="00F14751" w14:paraId="3E0F78AA" w14:textId="77777777" w:rsidTr="008607F7">
        <w:trPr>
          <w:jc w:val="center"/>
        </w:trPr>
        <w:tc>
          <w:tcPr>
            <w:tcW w:w="1909" w:type="dxa"/>
            <w:tcBorders>
              <w:top w:val="nil"/>
              <w:left w:val="nil"/>
              <w:bottom w:val="nil"/>
              <w:right w:val="nil"/>
            </w:tcBorders>
            <w:vAlign w:val="center"/>
          </w:tcPr>
          <w:p w14:paraId="0542F2F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746F863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(3.618)</w:t>
            </w:r>
          </w:p>
        </w:tc>
        <w:tc>
          <w:tcPr>
            <w:tcW w:w="1373" w:type="dxa"/>
            <w:tcBorders>
              <w:top w:val="nil"/>
              <w:left w:val="nil"/>
              <w:bottom w:val="nil"/>
              <w:right w:val="nil"/>
            </w:tcBorders>
            <w:vAlign w:val="center"/>
          </w:tcPr>
          <w:p w14:paraId="757D79F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(0.381)</w:t>
            </w:r>
          </w:p>
        </w:tc>
        <w:tc>
          <w:tcPr>
            <w:tcW w:w="1374" w:type="dxa"/>
            <w:tcBorders>
              <w:top w:val="nil"/>
              <w:left w:val="nil"/>
              <w:bottom w:val="nil"/>
              <w:right w:val="nil"/>
            </w:tcBorders>
            <w:vAlign w:val="center"/>
          </w:tcPr>
          <w:p w14:paraId="69BD660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(0.638)</w:t>
            </w:r>
          </w:p>
        </w:tc>
        <w:tc>
          <w:tcPr>
            <w:tcW w:w="1373" w:type="dxa"/>
            <w:tcBorders>
              <w:top w:val="nil"/>
              <w:left w:val="nil"/>
              <w:bottom w:val="nil"/>
              <w:right w:val="nil"/>
            </w:tcBorders>
            <w:vAlign w:val="center"/>
          </w:tcPr>
          <w:p w14:paraId="21FFFE4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(0.956)</w:t>
            </w:r>
          </w:p>
        </w:tc>
        <w:tc>
          <w:tcPr>
            <w:tcW w:w="1374" w:type="dxa"/>
            <w:tcBorders>
              <w:top w:val="nil"/>
              <w:left w:val="nil"/>
              <w:bottom w:val="nil"/>
              <w:right w:val="nil"/>
            </w:tcBorders>
            <w:vAlign w:val="center"/>
          </w:tcPr>
          <w:p w14:paraId="74CA943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(0.988)</w:t>
            </w:r>
          </w:p>
        </w:tc>
        <w:tc>
          <w:tcPr>
            <w:tcW w:w="1373" w:type="dxa"/>
            <w:tcBorders>
              <w:top w:val="nil"/>
              <w:left w:val="nil"/>
              <w:bottom w:val="nil"/>
              <w:right w:val="nil"/>
            </w:tcBorders>
            <w:vAlign w:val="center"/>
          </w:tcPr>
          <w:p w14:paraId="1AA4616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(1.223)</w:t>
            </w:r>
          </w:p>
        </w:tc>
        <w:tc>
          <w:tcPr>
            <w:tcW w:w="1373" w:type="dxa"/>
            <w:tcBorders>
              <w:top w:val="nil"/>
              <w:left w:val="nil"/>
              <w:bottom w:val="nil"/>
              <w:right w:val="nil"/>
            </w:tcBorders>
            <w:vAlign w:val="center"/>
          </w:tcPr>
          <w:p w14:paraId="2F38EC5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(1.506)</w:t>
            </w:r>
          </w:p>
        </w:tc>
        <w:tc>
          <w:tcPr>
            <w:tcW w:w="1374" w:type="dxa"/>
            <w:tcBorders>
              <w:top w:val="nil"/>
              <w:left w:val="nil"/>
              <w:bottom w:val="nil"/>
              <w:right w:val="nil"/>
            </w:tcBorders>
            <w:vAlign w:val="center"/>
          </w:tcPr>
          <w:p w14:paraId="35D02D4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(1.330)</w:t>
            </w:r>
          </w:p>
        </w:tc>
        <w:tc>
          <w:tcPr>
            <w:tcW w:w="1373" w:type="dxa"/>
            <w:tcBorders>
              <w:top w:val="nil"/>
              <w:left w:val="nil"/>
              <w:bottom w:val="nil"/>
              <w:right w:val="nil"/>
            </w:tcBorders>
            <w:vAlign w:val="center"/>
          </w:tcPr>
          <w:p w14:paraId="0E66154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(3.886)</w:t>
            </w:r>
          </w:p>
        </w:tc>
        <w:tc>
          <w:tcPr>
            <w:tcW w:w="1374" w:type="dxa"/>
            <w:tcBorders>
              <w:top w:val="nil"/>
              <w:left w:val="nil"/>
              <w:bottom w:val="nil"/>
              <w:right w:val="nil"/>
            </w:tcBorders>
            <w:vAlign w:val="center"/>
          </w:tcPr>
          <w:p w14:paraId="7D4AEA6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(3.277)</w:t>
            </w:r>
          </w:p>
        </w:tc>
      </w:tr>
      <w:tr w:rsidR="0064611C" w:rsidRPr="00F14751" w14:paraId="12BD9A69" w14:textId="77777777" w:rsidTr="008607F7">
        <w:trPr>
          <w:jc w:val="center"/>
        </w:trPr>
        <w:tc>
          <w:tcPr>
            <w:tcW w:w="1909" w:type="dxa"/>
            <w:tcBorders>
              <w:top w:val="nil"/>
              <w:left w:val="nil"/>
              <w:bottom w:val="nil"/>
              <w:right w:val="nil"/>
            </w:tcBorders>
            <w:vAlign w:val="center"/>
          </w:tcPr>
          <w:p w14:paraId="7294E65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roofErr w:type="spellStart"/>
            <w:r w:rsidRPr="00F14751">
              <w:rPr>
                <w:rFonts w:ascii="Times New Roman" w:hAnsi="Times New Roman" w:cs="Times New Roman"/>
                <w:sz w:val="20"/>
                <w:szCs w:val="24"/>
              </w:rPr>
              <w:t>DoP</w:t>
            </w:r>
            <w:proofErr w:type="spellEnd"/>
            <w:r w:rsidRPr="00F14751">
              <w:rPr>
                <w:rFonts w:ascii="Times New Roman" w:hAnsi="Times New Roman" w:cs="Times New Roman"/>
                <w:sz w:val="20"/>
                <w:szCs w:val="24"/>
              </w:rPr>
              <w:t xml:space="preserve"> ($2)</w:t>
            </w:r>
          </w:p>
        </w:tc>
        <w:tc>
          <w:tcPr>
            <w:tcW w:w="1373" w:type="dxa"/>
            <w:tcBorders>
              <w:top w:val="nil"/>
              <w:left w:val="nil"/>
              <w:bottom w:val="nil"/>
              <w:right w:val="nil"/>
            </w:tcBorders>
            <w:vAlign w:val="center"/>
          </w:tcPr>
          <w:p w14:paraId="5555E7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0.0100**</w:t>
            </w:r>
          </w:p>
        </w:tc>
        <w:tc>
          <w:tcPr>
            <w:tcW w:w="1373" w:type="dxa"/>
            <w:tcBorders>
              <w:top w:val="nil"/>
              <w:left w:val="nil"/>
              <w:bottom w:val="nil"/>
              <w:right w:val="nil"/>
            </w:tcBorders>
            <w:vAlign w:val="center"/>
          </w:tcPr>
          <w:p w14:paraId="5B9788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-0.000848*</w:t>
            </w:r>
          </w:p>
        </w:tc>
        <w:tc>
          <w:tcPr>
            <w:tcW w:w="1374" w:type="dxa"/>
            <w:tcBorders>
              <w:top w:val="nil"/>
              <w:left w:val="nil"/>
              <w:bottom w:val="nil"/>
              <w:right w:val="nil"/>
            </w:tcBorders>
            <w:vAlign w:val="center"/>
          </w:tcPr>
          <w:p w14:paraId="5F626F6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-0.00151**</w:t>
            </w:r>
          </w:p>
        </w:tc>
        <w:tc>
          <w:tcPr>
            <w:tcW w:w="1373" w:type="dxa"/>
            <w:tcBorders>
              <w:top w:val="nil"/>
              <w:left w:val="nil"/>
              <w:bottom w:val="nil"/>
              <w:right w:val="nil"/>
            </w:tcBorders>
            <w:vAlign w:val="center"/>
          </w:tcPr>
          <w:p w14:paraId="5E5851C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-0.00236**</w:t>
            </w:r>
          </w:p>
        </w:tc>
        <w:tc>
          <w:tcPr>
            <w:tcW w:w="1374" w:type="dxa"/>
            <w:tcBorders>
              <w:top w:val="nil"/>
              <w:left w:val="nil"/>
              <w:bottom w:val="nil"/>
              <w:right w:val="nil"/>
            </w:tcBorders>
            <w:vAlign w:val="center"/>
          </w:tcPr>
          <w:p w14:paraId="7D46223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-0.00275**</w:t>
            </w:r>
          </w:p>
        </w:tc>
        <w:tc>
          <w:tcPr>
            <w:tcW w:w="1373" w:type="dxa"/>
            <w:tcBorders>
              <w:top w:val="nil"/>
              <w:left w:val="nil"/>
              <w:bottom w:val="nil"/>
              <w:right w:val="nil"/>
            </w:tcBorders>
            <w:vAlign w:val="center"/>
          </w:tcPr>
          <w:p w14:paraId="069ACF6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-0.00206*</w:t>
            </w:r>
          </w:p>
        </w:tc>
        <w:tc>
          <w:tcPr>
            <w:tcW w:w="1373" w:type="dxa"/>
            <w:tcBorders>
              <w:top w:val="nil"/>
              <w:left w:val="nil"/>
              <w:bottom w:val="nil"/>
              <w:right w:val="nil"/>
            </w:tcBorders>
            <w:vAlign w:val="center"/>
          </w:tcPr>
          <w:p w14:paraId="7C126F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-0.000704</w:t>
            </w:r>
          </w:p>
        </w:tc>
        <w:tc>
          <w:tcPr>
            <w:tcW w:w="1374" w:type="dxa"/>
            <w:tcBorders>
              <w:top w:val="nil"/>
              <w:left w:val="nil"/>
              <w:bottom w:val="nil"/>
              <w:right w:val="nil"/>
            </w:tcBorders>
            <w:vAlign w:val="center"/>
          </w:tcPr>
          <w:p w14:paraId="6A4911A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0.000946</w:t>
            </w:r>
          </w:p>
        </w:tc>
        <w:tc>
          <w:tcPr>
            <w:tcW w:w="1373" w:type="dxa"/>
            <w:tcBorders>
              <w:top w:val="nil"/>
              <w:left w:val="nil"/>
              <w:bottom w:val="nil"/>
              <w:right w:val="nil"/>
            </w:tcBorders>
            <w:vAlign w:val="center"/>
          </w:tcPr>
          <w:p w14:paraId="1037B7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0.00692*</w:t>
            </w:r>
          </w:p>
        </w:tc>
        <w:tc>
          <w:tcPr>
            <w:tcW w:w="1374" w:type="dxa"/>
            <w:tcBorders>
              <w:top w:val="nil"/>
              <w:left w:val="nil"/>
              <w:bottom w:val="nil"/>
              <w:right w:val="nil"/>
            </w:tcBorders>
            <w:vAlign w:val="center"/>
          </w:tcPr>
          <w:p w14:paraId="4479E11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0.00787*</w:t>
            </w:r>
          </w:p>
        </w:tc>
      </w:tr>
      <w:tr w:rsidR="0064611C" w:rsidRPr="00F14751" w14:paraId="0F2E2889" w14:textId="77777777" w:rsidTr="008607F7">
        <w:trPr>
          <w:jc w:val="center"/>
        </w:trPr>
        <w:tc>
          <w:tcPr>
            <w:tcW w:w="1909" w:type="dxa"/>
            <w:tcBorders>
              <w:top w:val="nil"/>
              <w:left w:val="nil"/>
              <w:bottom w:val="nil"/>
              <w:right w:val="nil"/>
            </w:tcBorders>
            <w:vAlign w:val="center"/>
          </w:tcPr>
          <w:p w14:paraId="0ED95A3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43664F3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(0.00353)</w:t>
            </w:r>
          </w:p>
        </w:tc>
        <w:tc>
          <w:tcPr>
            <w:tcW w:w="1373" w:type="dxa"/>
            <w:tcBorders>
              <w:top w:val="nil"/>
              <w:left w:val="nil"/>
              <w:bottom w:val="nil"/>
              <w:right w:val="nil"/>
            </w:tcBorders>
            <w:vAlign w:val="center"/>
          </w:tcPr>
          <w:p w14:paraId="46FAA28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(0.000307)</w:t>
            </w:r>
          </w:p>
        </w:tc>
        <w:tc>
          <w:tcPr>
            <w:tcW w:w="1374" w:type="dxa"/>
            <w:tcBorders>
              <w:top w:val="nil"/>
              <w:left w:val="nil"/>
              <w:bottom w:val="nil"/>
              <w:right w:val="nil"/>
            </w:tcBorders>
            <w:vAlign w:val="center"/>
          </w:tcPr>
          <w:p w14:paraId="183A57A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(0.000520)</w:t>
            </w:r>
          </w:p>
        </w:tc>
        <w:tc>
          <w:tcPr>
            <w:tcW w:w="1373" w:type="dxa"/>
            <w:tcBorders>
              <w:top w:val="nil"/>
              <w:left w:val="nil"/>
              <w:bottom w:val="nil"/>
              <w:right w:val="nil"/>
            </w:tcBorders>
            <w:vAlign w:val="center"/>
          </w:tcPr>
          <w:p w14:paraId="1140B0F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(0.000809)</w:t>
            </w:r>
          </w:p>
        </w:tc>
        <w:tc>
          <w:tcPr>
            <w:tcW w:w="1374" w:type="dxa"/>
            <w:tcBorders>
              <w:top w:val="nil"/>
              <w:left w:val="nil"/>
              <w:bottom w:val="nil"/>
              <w:right w:val="nil"/>
            </w:tcBorders>
            <w:vAlign w:val="center"/>
          </w:tcPr>
          <w:p w14:paraId="79D2397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(0.000914)</w:t>
            </w:r>
          </w:p>
        </w:tc>
        <w:tc>
          <w:tcPr>
            <w:tcW w:w="1373" w:type="dxa"/>
            <w:tcBorders>
              <w:top w:val="nil"/>
              <w:left w:val="nil"/>
              <w:bottom w:val="nil"/>
              <w:right w:val="nil"/>
            </w:tcBorders>
            <w:vAlign w:val="center"/>
          </w:tcPr>
          <w:p w14:paraId="10F3717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(0.000758)</w:t>
            </w:r>
          </w:p>
        </w:tc>
        <w:tc>
          <w:tcPr>
            <w:tcW w:w="1373" w:type="dxa"/>
            <w:tcBorders>
              <w:top w:val="nil"/>
              <w:left w:val="nil"/>
              <w:bottom w:val="nil"/>
              <w:right w:val="nil"/>
            </w:tcBorders>
            <w:vAlign w:val="center"/>
          </w:tcPr>
          <w:p w14:paraId="6655613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(0.000702)</w:t>
            </w:r>
          </w:p>
        </w:tc>
        <w:tc>
          <w:tcPr>
            <w:tcW w:w="1374" w:type="dxa"/>
            <w:tcBorders>
              <w:top w:val="nil"/>
              <w:left w:val="nil"/>
              <w:bottom w:val="nil"/>
              <w:right w:val="nil"/>
            </w:tcBorders>
            <w:vAlign w:val="center"/>
          </w:tcPr>
          <w:p w14:paraId="747F332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(0.000458)</w:t>
            </w:r>
          </w:p>
        </w:tc>
        <w:tc>
          <w:tcPr>
            <w:tcW w:w="1373" w:type="dxa"/>
            <w:tcBorders>
              <w:top w:val="nil"/>
              <w:left w:val="nil"/>
              <w:bottom w:val="nil"/>
              <w:right w:val="nil"/>
            </w:tcBorders>
            <w:vAlign w:val="center"/>
          </w:tcPr>
          <w:p w14:paraId="4EDB280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(0.00297)</w:t>
            </w:r>
          </w:p>
        </w:tc>
        <w:tc>
          <w:tcPr>
            <w:tcW w:w="1374" w:type="dxa"/>
            <w:tcBorders>
              <w:top w:val="nil"/>
              <w:left w:val="nil"/>
              <w:bottom w:val="nil"/>
              <w:right w:val="nil"/>
            </w:tcBorders>
            <w:vAlign w:val="center"/>
          </w:tcPr>
          <w:p w14:paraId="489B76E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(0.00287)</w:t>
            </w:r>
          </w:p>
        </w:tc>
      </w:tr>
      <w:tr w:rsidR="0064611C" w:rsidRPr="00F14751" w14:paraId="38F07387" w14:textId="77777777" w:rsidTr="008607F7">
        <w:trPr>
          <w:jc w:val="center"/>
        </w:trPr>
        <w:tc>
          <w:tcPr>
            <w:tcW w:w="1909" w:type="dxa"/>
            <w:tcBorders>
              <w:top w:val="nil"/>
              <w:left w:val="nil"/>
              <w:bottom w:val="nil"/>
              <w:right w:val="nil"/>
            </w:tcBorders>
            <w:vAlign w:val="center"/>
          </w:tcPr>
          <w:p w14:paraId="78D5B95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Constant</w:t>
            </w:r>
          </w:p>
        </w:tc>
        <w:tc>
          <w:tcPr>
            <w:tcW w:w="1373" w:type="dxa"/>
            <w:tcBorders>
              <w:top w:val="nil"/>
              <w:left w:val="nil"/>
              <w:bottom w:val="nil"/>
              <w:right w:val="nil"/>
            </w:tcBorders>
            <w:vAlign w:val="center"/>
          </w:tcPr>
          <w:p w14:paraId="3A34AAA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58.45**</w:t>
            </w:r>
          </w:p>
        </w:tc>
        <w:tc>
          <w:tcPr>
            <w:tcW w:w="1373" w:type="dxa"/>
            <w:tcBorders>
              <w:top w:val="nil"/>
              <w:left w:val="nil"/>
              <w:bottom w:val="nil"/>
              <w:right w:val="nil"/>
            </w:tcBorders>
            <w:vAlign w:val="center"/>
          </w:tcPr>
          <w:p w14:paraId="1182C2E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-1.408</w:t>
            </w:r>
          </w:p>
        </w:tc>
        <w:tc>
          <w:tcPr>
            <w:tcW w:w="1374" w:type="dxa"/>
            <w:tcBorders>
              <w:top w:val="nil"/>
              <w:left w:val="nil"/>
              <w:bottom w:val="nil"/>
              <w:right w:val="nil"/>
            </w:tcBorders>
            <w:vAlign w:val="center"/>
          </w:tcPr>
          <w:p w14:paraId="607CA8C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0.151</w:t>
            </w:r>
          </w:p>
        </w:tc>
        <w:tc>
          <w:tcPr>
            <w:tcW w:w="1373" w:type="dxa"/>
            <w:tcBorders>
              <w:top w:val="nil"/>
              <w:left w:val="nil"/>
              <w:bottom w:val="nil"/>
              <w:right w:val="nil"/>
            </w:tcBorders>
            <w:vAlign w:val="center"/>
          </w:tcPr>
          <w:p w14:paraId="2964D53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-1.257</w:t>
            </w:r>
          </w:p>
        </w:tc>
        <w:tc>
          <w:tcPr>
            <w:tcW w:w="1374" w:type="dxa"/>
            <w:tcBorders>
              <w:top w:val="nil"/>
              <w:left w:val="nil"/>
              <w:bottom w:val="nil"/>
              <w:right w:val="nil"/>
            </w:tcBorders>
            <w:vAlign w:val="center"/>
          </w:tcPr>
          <w:p w14:paraId="1C541B1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5.682</w:t>
            </w:r>
          </w:p>
        </w:tc>
        <w:tc>
          <w:tcPr>
            <w:tcW w:w="1373" w:type="dxa"/>
            <w:tcBorders>
              <w:top w:val="nil"/>
              <w:left w:val="nil"/>
              <w:bottom w:val="nil"/>
              <w:right w:val="nil"/>
            </w:tcBorders>
            <w:vAlign w:val="center"/>
          </w:tcPr>
          <w:p w14:paraId="619FE3B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13.77*</w:t>
            </w:r>
          </w:p>
        </w:tc>
        <w:tc>
          <w:tcPr>
            <w:tcW w:w="1373" w:type="dxa"/>
            <w:tcBorders>
              <w:top w:val="nil"/>
              <w:left w:val="nil"/>
              <w:bottom w:val="nil"/>
              <w:right w:val="nil"/>
            </w:tcBorders>
            <w:vAlign w:val="center"/>
          </w:tcPr>
          <w:p w14:paraId="4DF0FE8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25.24***</w:t>
            </w:r>
          </w:p>
        </w:tc>
        <w:tc>
          <w:tcPr>
            <w:tcW w:w="1374" w:type="dxa"/>
            <w:tcBorders>
              <w:top w:val="nil"/>
              <w:left w:val="nil"/>
              <w:bottom w:val="nil"/>
              <w:right w:val="nil"/>
            </w:tcBorders>
            <w:vAlign w:val="center"/>
          </w:tcPr>
          <w:p w14:paraId="3161BA0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20.15***</w:t>
            </w:r>
          </w:p>
        </w:tc>
        <w:tc>
          <w:tcPr>
            <w:tcW w:w="1373" w:type="dxa"/>
            <w:tcBorders>
              <w:top w:val="nil"/>
              <w:left w:val="nil"/>
              <w:bottom w:val="nil"/>
              <w:right w:val="nil"/>
            </w:tcBorders>
            <w:vAlign w:val="center"/>
          </w:tcPr>
          <w:p w14:paraId="0D2AFD8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36.41</w:t>
            </w:r>
          </w:p>
        </w:tc>
        <w:tc>
          <w:tcPr>
            <w:tcW w:w="1374" w:type="dxa"/>
            <w:tcBorders>
              <w:top w:val="nil"/>
              <w:left w:val="nil"/>
              <w:bottom w:val="nil"/>
              <w:right w:val="nil"/>
            </w:tcBorders>
            <w:vAlign w:val="center"/>
          </w:tcPr>
          <w:p w14:paraId="454D137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56.56**</w:t>
            </w:r>
          </w:p>
        </w:tc>
      </w:tr>
      <w:tr w:rsidR="0064611C" w:rsidRPr="00F14751" w14:paraId="1B4C0801" w14:textId="77777777" w:rsidTr="008607F7">
        <w:trPr>
          <w:jc w:val="center"/>
        </w:trPr>
        <w:tc>
          <w:tcPr>
            <w:tcW w:w="1909" w:type="dxa"/>
            <w:tcBorders>
              <w:top w:val="nil"/>
              <w:left w:val="nil"/>
              <w:bottom w:val="nil"/>
              <w:right w:val="nil"/>
            </w:tcBorders>
            <w:vAlign w:val="center"/>
          </w:tcPr>
          <w:p w14:paraId="7B8CDDD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6626FB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(18.88)</w:t>
            </w:r>
          </w:p>
        </w:tc>
        <w:tc>
          <w:tcPr>
            <w:tcW w:w="1373" w:type="dxa"/>
            <w:tcBorders>
              <w:top w:val="nil"/>
              <w:left w:val="nil"/>
              <w:bottom w:val="nil"/>
              <w:right w:val="nil"/>
            </w:tcBorders>
            <w:vAlign w:val="center"/>
          </w:tcPr>
          <w:p w14:paraId="0087CC7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(1.146)</w:t>
            </w:r>
          </w:p>
        </w:tc>
        <w:tc>
          <w:tcPr>
            <w:tcW w:w="1374" w:type="dxa"/>
            <w:tcBorders>
              <w:top w:val="nil"/>
              <w:left w:val="nil"/>
              <w:bottom w:val="nil"/>
              <w:right w:val="nil"/>
            </w:tcBorders>
            <w:vAlign w:val="center"/>
          </w:tcPr>
          <w:p w14:paraId="74BC3C4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(2.082)</w:t>
            </w:r>
          </w:p>
        </w:tc>
        <w:tc>
          <w:tcPr>
            <w:tcW w:w="1373" w:type="dxa"/>
            <w:tcBorders>
              <w:top w:val="nil"/>
              <w:left w:val="nil"/>
              <w:bottom w:val="nil"/>
              <w:right w:val="nil"/>
            </w:tcBorders>
            <w:vAlign w:val="center"/>
          </w:tcPr>
          <w:p w14:paraId="74619FC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(2.879)</w:t>
            </w:r>
          </w:p>
        </w:tc>
        <w:tc>
          <w:tcPr>
            <w:tcW w:w="1374" w:type="dxa"/>
            <w:tcBorders>
              <w:top w:val="nil"/>
              <w:left w:val="nil"/>
              <w:bottom w:val="nil"/>
              <w:right w:val="nil"/>
            </w:tcBorders>
            <w:vAlign w:val="center"/>
          </w:tcPr>
          <w:p w14:paraId="603C54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(5.083)</w:t>
            </w:r>
          </w:p>
        </w:tc>
        <w:tc>
          <w:tcPr>
            <w:tcW w:w="1373" w:type="dxa"/>
            <w:tcBorders>
              <w:top w:val="nil"/>
              <w:left w:val="nil"/>
              <w:bottom w:val="nil"/>
              <w:right w:val="nil"/>
            </w:tcBorders>
            <w:vAlign w:val="center"/>
          </w:tcPr>
          <w:p w14:paraId="057F315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(5.111)</w:t>
            </w:r>
          </w:p>
        </w:tc>
        <w:tc>
          <w:tcPr>
            <w:tcW w:w="1373" w:type="dxa"/>
            <w:tcBorders>
              <w:top w:val="nil"/>
              <w:left w:val="nil"/>
              <w:bottom w:val="nil"/>
              <w:right w:val="nil"/>
            </w:tcBorders>
            <w:vAlign w:val="center"/>
          </w:tcPr>
          <w:p w14:paraId="7B9581D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(5.258)</w:t>
            </w:r>
          </w:p>
        </w:tc>
        <w:tc>
          <w:tcPr>
            <w:tcW w:w="1374" w:type="dxa"/>
            <w:tcBorders>
              <w:top w:val="nil"/>
              <w:left w:val="nil"/>
              <w:bottom w:val="nil"/>
              <w:right w:val="nil"/>
            </w:tcBorders>
            <w:vAlign w:val="center"/>
          </w:tcPr>
          <w:p w14:paraId="31A40D9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(3.958)</w:t>
            </w:r>
          </w:p>
        </w:tc>
        <w:tc>
          <w:tcPr>
            <w:tcW w:w="1373" w:type="dxa"/>
            <w:tcBorders>
              <w:top w:val="nil"/>
              <w:left w:val="nil"/>
              <w:bottom w:val="nil"/>
              <w:right w:val="nil"/>
            </w:tcBorders>
            <w:vAlign w:val="center"/>
          </w:tcPr>
          <w:p w14:paraId="7DAB5CD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(18.25)</w:t>
            </w:r>
          </w:p>
        </w:tc>
        <w:tc>
          <w:tcPr>
            <w:tcW w:w="1374" w:type="dxa"/>
            <w:tcBorders>
              <w:top w:val="nil"/>
              <w:left w:val="nil"/>
              <w:bottom w:val="nil"/>
              <w:right w:val="nil"/>
            </w:tcBorders>
            <w:vAlign w:val="center"/>
          </w:tcPr>
          <w:p w14:paraId="3216446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(16.84)</w:t>
            </w:r>
          </w:p>
        </w:tc>
      </w:tr>
      <w:tr w:rsidR="0064611C" w:rsidRPr="00F14751" w14:paraId="5B8CACE8" w14:textId="77777777" w:rsidTr="008607F7">
        <w:trPr>
          <w:jc w:val="center"/>
        </w:trPr>
        <w:tc>
          <w:tcPr>
            <w:tcW w:w="1909" w:type="dxa"/>
            <w:tcBorders>
              <w:top w:val="nil"/>
              <w:left w:val="nil"/>
              <w:bottom w:val="nil"/>
              <w:right w:val="nil"/>
            </w:tcBorders>
            <w:vAlign w:val="center"/>
          </w:tcPr>
          <w:p w14:paraId="4EDBD23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p>
        </w:tc>
        <w:tc>
          <w:tcPr>
            <w:tcW w:w="1373" w:type="dxa"/>
            <w:tcBorders>
              <w:top w:val="nil"/>
              <w:left w:val="nil"/>
              <w:bottom w:val="nil"/>
              <w:right w:val="nil"/>
            </w:tcBorders>
            <w:vAlign w:val="center"/>
          </w:tcPr>
          <w:p w14:paraId="621DAA7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3" w:type="dxa"/>
            <w:tcBorders>
              <w:top w:val="nil"/>
              <w:left w:val="nil"/>
              <w:bottom w:val="nil"/>
              <w:right w:val="nil"/>
            </w:tcBorders>
            <w:vAlign w:val="center"/>
          </w:tcPr>
          <w:p w14:paraId="27210FB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4" w:type="dxa"/>
            <w:tcBorders>
              <w:top w:val="nil"/>
              <w:left w:val="nil"/>
              <w:bottom w:val="nil"/>
              <w:right w:val="nil"/>
            </w:tcBorders>
            <w:vAlign w:val="center"/>
          </w:tcPr>
          <w:p w14:paraId="3A65993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3" w:type="dxa"/>
            <w:tcBorders>
              <w:top w:val="nil"/>
              <w:left w:val="nil"/>
              <w:bottom w:val="nil"/>
              <w:right w:val="nil"/>
            </w:tcBorders>
            <w:vAlign w:val="center"/>
          </w:tcPr>
          <w:p w14:paraId="66B34E0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4" w:type="dxa"/>
            <w:tcBorders>
              <w:top w:val="nil"/>
              <w:left w:val="nil"/>
              <w:bottom w:val="nil"/>
              <w:right w:val="nil"/>
            </w:tcBorders>
            <w:vAlign w:val="center"/>
          </w:tcPr>
          <w:p w14:paraId="07C5899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3" w:type="dxa"/>
            <w:tcBorders>
              <w:top w:val="nil"/>
              <w:left w:val="nil"/>
              <w:bottom w:val="nil"/>
              <w:right w:val="nil"/>
            </w:tcBorders>
            <w:vAlign w:val="center"/>
          </w:tcPr>
          <w:p w14:paraId="403B081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3" w:type="dxa"/>
            <w:tcBorders>
              <w:top w:val="nil"/>
              <w:left w:val="nil"/>
              <w:bottom w:val="nil"/>
              <w:right w:val="nil"/>
            </w:tcBorders>
            <w:vAlign w:val="center"/>
          </w:tcPr>
          <w:p w14:paraId="33B15B3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4" w:type="dxa"/>
            <w:tcBorders>
              <w:top w:val="nil"/>
              <w:left w:val="nil"/>
              <w:bottom w:val="nil"/>
              <w:right w:val="nil"/>
            </w:tcBorders>
            <w:vAlign w:val="center"/>
          </w:tcPr>
          <w:p w14:paraId="3604AA5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3" w:type="dxa"/>
            <w:tcBorders>
              <w:top w:val="nil"/>
              <w:left w:val="nil"/>
              <w:bottom w:val="nil"/>
              <w:right w:val="nil"/>
            </w:tcBorders>
            <w:vAlign w:val="center"/>
          </w:tcPr>
          <w:p w14:paraId="6C088EC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c>
          <w:tcPr>
            <w:tcW w:w="1374" w:type="dxa"/>
            <w:tcBorders>
              <w:top w:val="nil"/>
              <w:left w:val="nil"/>
              <w:bottom w:val="nil"/>
              <w:right w:val="nil"/>
            </w:tcBorders>
            <w:vAlign w:val="center"/>
          </w:tcPr>
          <w:p w14:paraId="1F5A05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p>
        </w:tc>
      </w:tr>
      <w:tr w:rsidR="0064611C" w:rsidRPr="00F14751" w14:paraId="5DDC0336" w14:textId="77777777" w:rsidTr="008607F7">
        <w:trPr>
          <w:jc w:val="center"/>
        </w:trPr>
        <w:tc>
          <w:tcPr>
            <w:tcW w:w="1909" w:type="dxa"/>
            <w:tcBorders>
              <w:top w:val="nil"/>
              <w:left w:val="nil"/>
              <w:right w:val="nil"/>
            </w:tcBorders>
            <w:vAlign w:val="center"/>
          </w:tcPr>
          <w:p w14:paraId="3ED21E3E"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Observations</w:t>
            </w:r>
          </w:p>
        </w:tc>
        <w:tc>
          <w:tcPr>
            <w:tcW w:w="1373" w:type="dxa"/>
            <w:tcBorders>
              <w:top w:val="nil"/>
              <w:left w:val="nil"/>
              <w:right w:val="nil"/>
            </w:tcBorders>
            <w:vAlign w:val="center"/>
          </w:tcPr>
          <w:p w14:paraId="1DDF01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3" w:type="dxa"/>
            <w:tcBorders>
              <w:top w:val="nil"/>
              <w:left w:val="nil"/>
              <w:right w:val="nil"/>
            </w:tcBorders>
            <w:vAlign w:val="center"/>
          </w:tcPr>
          <w:p w14:paraId="0F55B23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4" w:type="dxa"/>
            <w:tcBorders>
              <w:top w:val="nil"/>
              <w:left w:val="nil"/>
              <w:right w:val="nil"/>
            </w:tcBorders>
            <w:vAlign w:val="center"/>
          </w:tcPr>
          <w:p w14:paraId="65A2315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3" w:type="dxa"/>
            <w:tcBorders>
              <w:top w:val="nil"/>
              <w:left w:val="nil"/>
              <w:right w:val="nil"/>
            </w:tcBorders>
            <w:vAlign w:val="center"/>
          </w:tcPr>
          <w:p w14:paraId="1A4C60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4" w:type="dxa"/>
            <w:tcBorders>
              <w:top w:val="nil"/>
              <w:left w:val="nil"/>
              <w:right w:val="nil"/>
            </w:tcBorders>
            <w:vAlign w:val="center"/>
          </w:tcPr>
          <w:p w14:paraId="7F17478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3" w:type="dxa"/>
            <w:tcBorders>
              <w:top w:val="nil"/>
              <w:left w:val="nil"/>
              <w:right w:val="nil"/>
            </w:tcBorders>
            <w:vAlign w:val="center"/>
          </w:tcPr>
          <w:p w14:paraId="3B210DC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3" w:type="dxa"/>
            <w:tcBorders>
              <w:top w:val="nil"/>
              <w:left w:val="nil"/>
              <w:right w:val="nil"/>
            </w:tcBorders>
            <w:vAlign w:val="center"/>
          </w:tcPr>
          <w:p w14:paraId="7E1A09B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4" w:type="dxa"/>
            <w:tcBorders>
              <w:top w:val="nil"/>
              <w:left w:val="nil"/>
              <w:right w:val="nil"/>
            </w:tcBorders>
            <w:vAlign w:val="center"/>
          </w:tcPr>
          <w:p w14:paraId="47F3B8C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3" w:type="dxa"/>
            <w:tcBorders>
              <w:top w:val="nil"/>
              <w:left w:val="nil"/>
              <w:right w:val="nil"/>
            </w:tcBorders>
            <w:vAlign w:val="center"/>
          </w:tcPr>
          <w:p w14:paraId="6C056C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c>
          <w:tcPr>
            <w:tcW w:w="1374" w:type="dxa"/>
            <w:tcBorders>
              <w:top w:val="nil"/>
              <w:left w:val="nil"/>
              <w:right w:val="nil"/>
            </w:tcBorders>
            <w:vAlign w:val="center"/>
          </w:tcPr>
          <w:p w14:paraId="27114DA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72</w:t>
            </w:r>
          </w:p>
        </w:tc>
      </w:tr>
      <w:tr w:rsidR="0064611C" w:rsidRPr="00F14751" w14:paraId="3510CEF7" w14:textId="77777777" w:rsidTr="008607F7">
        <w:tblPrEx>
          <w:tblBorders>
            <w:bottom w:val="single" w:sz="6" w:space="0" w:color="auto"/>
          </w:tblBorders>
        </w:tblPrEx>
        <w:trPr>
          <w:jc w:val="center"/>
        </w:trPr>
        <w:tc>
          <w:tcPr>
            <w:tcW w:w="1909" w:type="dxa"/>
            <w:tcBorders>
              <w:top w:val="nil"/>
              <w:left w:val="nil"/>
              <w:bottom w:val="nil"/>
              <w:right w:val="nil"/>
            </w:tcBorders>
            <w:vAlign w:val="center"/>
          </w:tcPr>
          <w:p w14:paraId="5C7413C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R-squared</w:t>
            </w:r>
          </w:p>
        </w:tc>
        <w:tc>
          <w:tcPr>
            <w:tcW w:w="1373" w:type="dxa"/>
            <w:tcBorders>
              <w:top w:val="nil"/>
              <w:left w:val="nil"/>
              <w:bottom w:val="nil"/>
              <w:right w:val="nil"/>
            </w:tcBorders>
            <w:vAlign w:val="center"/>
          </w:tcPr>
          <w:p w14:paraId="6C274EA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0.850</w:t>
            </w:r>
          </w:p>
        </w:tc>
        <w:tc>
          <w:tcPr>
            <w:tcW w:w="1373" w:type="dxa"/>
            <w:tcBorders>
              <w:top w:val="nil"/>
              <w:left w:val="nil"/>
              <w:bottom w:val="nil"/>
              <w:right w:val="nil"/>
            </w:tcBorders>
            <w:vAlign w:val="center"/>
          </w:tcPr>
          <w:p w14:paraId="3B01073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0.827</w:t>
            </w:r>
          </w:p>
        </w:tc>
        <w:tc>
          <w:tcPr>
            <w:tcW w:w="1374" w:type="dxa"/>
            <w:tcBorders>
              <w:top w:val="nil"/>
              <w:left w:val="nil"/>
              <w:bottom w:val="nil"/>
              <w:right w:val="nil"/>
            </w:tcBorders>
            <w:vAlign w:val="center"/>
          </w:tcPr>
          <w:p w14:paraId="317F1C8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0.828</w:t>
            </w:r>
          </w:p>
        </w:tc>
        <w:tc>
          <w:tcPr>
            <w:tcW w:w="1373" w:type="dxa"/>
            <w:tcBorders>
              <w:top w:val="nil"/>
              <w:left w:val="nil"/>
              <w:bottom w:val="nil"/>
              <w:right w:val="nil"/>
            </w:tcBorders>
            <w:vAlign w:val="center"/>
          </w:tcPr>
          <w:p w14:paraId="747551E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0.839</w:t>
            </w:r>
          </w:p>
        </w:tc>
        <w:tc>
          <w:tcPr>
            <w:tcW w:w="1374" w:type="dxa"/>
            <w:tcBorders>
              <w:top w:val="nil"/>
              <w:left w:val="nil"/>
              <w:bottom w:val="nil"/>
              <w:right w:val="nil"/>
            </w:tcBorders>
            <w:vAlign w:val="center"/>
          </w:tcPr>
          <w:p w14:paraId="53D52C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0.829</w:t>
            </w:r>
          </w:p>
        </w:tc>
        <w:tc>
          <w:tcPr>
            <w:tcW w:w="1373" w:type="dxa"/>
            <w:tcBorders>
              <w:top w:val="nil"/>
              <w:left w:val="nil"/>
              <w:bottom w:val="nil"/>
              <w:right w:val="nil"/>
            </w:tcBorders>
            <w:vAlign w:val="center"/>
          </w:tcPr>
          <w:p w14:paraId="340D431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0.813</w:t>
            </w:r>
          </w:p>
        </w:tc>
        <w:tc>
          <w:tcPr>
            <w:tcW w:w="1373" w:type="dxa"/>
            <w:tcBorders>
              <w:top w:val="nil"/>
              <w:left w:val="nil"/>
              <w:bottom w:val="nil"/>
              <w:right w:val="nil"/>
            </w:tcBorders>
            <w:vAlign w:val="center"/>
          </w:tcPr>
          <w:p w14:paraId="7BD2D94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0.720</w:t>
            </w:r>
          </w:p>
        </w:tc>
        <w:tc>
          <w:tcPr>
            <w:tcW w:w="1374" w:type="dxa"/>
            <w:tcBorders>
              <w:top w:val="nil"/>
              <w:left w:val="nil"/>
              <w:bottom w:val="nil"/>
              <w:right w:val="nil"/>
            </w:tcBorders>
            <w:vAlign w:val="center"/>
          </w:tcPr>
          <w:p w14:paraId="62E5C3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0.491</w:t>
            </w:r>
          </w:p>
        </w:tc>
        <w:tc>
          <w:tcPr>
            <w:tcW w:w="1373" w:type="dxa"/>
            <w:tcBorders>
              <w:top w:val="nil"/>
              <w:left w:val="nil"/>
              <w:bottom w:val="nil"/>
              <w:right w:val="nil"/>
            </w:tcBorders>
            <w:vAlign w:val="center"/>
          </w:tcPr>
          <w:p w14:paraId="2384D9D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0.807</w:t>
            </w:r>
          </w:p>
        </w:tc>
        <w:tc>
          <w:tcPr>
            <w:tcW w:w="1374" w:type="dxa"/>
            <w:tcBorders>
              <w:top w:val="nil"/>
              <w:left w:val="nil"/>
              <w:bottom w:val="nil"/>
              <w:right w:val="nil"/>
            </w:tcBorders>
            <w:vAlign w:val="center"/>
          </w:tcPr>
          <w:p w14:paraId="3AA708F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0.841</w:t>
            </w:r>
          </w:p>
        </w:tc>
      </w:tr>
      <w:tr w:rsidR="0064611C" w:rsidRPr="00F14751" w14:paraId="2590E792" w14:textId="77777777" w:rsidTr="008607F7">
        <w:tblPrEx>
          <w:tblBorders>
            <w:bottom w:val="single" w:sz="6" w:space="0" w:color="auto"/>
          </w:tblBorders>
        </w:tblPrEx>
        <w:trPr>
          <w:jc w:val="center"/>
        </w:trPr>
        <w:tc>
          <w:tcPr>
            <w:tcW w:w="1909" w:type="dxa"/>
            <w:tcBorders>
              <w:top w:val="nil"/>
              <w:left w:val="nil"/>
              <w:bottom w:val="nil"/>
              <w:right w:val="nil"/>
            </w:tcBorders>
            <w:vAlign w:val="center"/>
          </w:tcPr>
          <w:p w14:paraId="60E0B9A3"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 xml:space="preserve">Number of </w:t>
            </w:r>
            <w:r w:rsidR="00D3672E" w:rsidRPr="00F14751">
              <w:rPr>
                <w:rFonts w:ascii="Times New Roman" w:hAnsi="Times New Roman" w:cs="Times New Roman"/>
                <w:sz w:val="20"/>
                <w:szCs w:val="24"/>
              </w:rPr>
              <w:t>C</w:t>
            </w:r>
            <w:r w:rsidRPr="00F14751">
              <w:rPr>
                <w:rFonts w:ascii="Times New Roman" w:hAnsi="Times New Roman" w:cs="Times New Roman"/>
                <w:sz w:val="20"/>
                <w:szCs w:val="24"/>
              </w:rPr>
              <w:t>ountries</w:t>
            </w:r>
          </w:p>
        </w:tc>
        <w:tc>
          <w:tcPr>
            <w:tcW w:w="1373" w:type="dxa"/>
            <w:tcBorders>
              <w:top w:val="nil"/>
              <w:left w:val="nil"/>
              <w:bottom w:val="nil"/>
              <w:right w:val="nil"/>
            </w:tcBorders>
            <w:vAlign w:val="center"/>
          </w:tcPr>
          <w:p w14:paraId="283E8F3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3" w:type="dxa"/>
            <w:tcBorders>
              <w:top w:val="nil"/>
              <w:left w:val="nil"/>
              <w:bottom w:val="nil"/>
              <w:right w:val="nil"/>
            </w:tcBorders>
            <w:vAlign w:val="center"/>
          </w:tcPr>
          <w:p w14:paraId="0309D5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4" w:type="dxa"/>
            <w:tcBorders>
              <w:top w:val="nil"/>
              <w:left w:val="nil"/>
              <w:bottom w:val="nil"/>
              <w:right w:val="nil"/>
            </w:tcBorders>
            <w:vAlign w:val="center"/>
          </w:tcPr>
          <w:p w14:paraId="2B562DE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3" w:type="dxa"/>
            <w:tcBorders>
              <w:top w:val="nil"/>
              <w:left w:val="nil"/>
              <w:bottom w:val="nil"/>
              <w:right w:val="nil"/>
            </w:tcBorders>
            <w:vAlign w:val="center"/>
          </w:tcPr>
          <w:p w14:paraId="242ACBC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4" w:type="dxa"/>
            <w:tcBorders>
              <w:top w:val="nil"/>
              <w:left w:val="nil"/>
              <w:bottom w:val="nil"/>
              <w:right w:val="nil"/>
            </w:tcBorders>
            <w:vAlign w:val="center"/>
          </w:tcPr>
          <w:p w14:paraId="18D8AD9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3" w:type="dxa"/>
            <w:tcBorders>
              <w:top w:val="nil"/>
              <w:left w:val="nil"/>
              <w:bottom w:val="nil"/>
              <w:right w:val="nil"/>
            </w:tcBorders>
            <w:vAlign w:val="center"/>
          </w:tcPr>
          <w:p w14:paraId="4B88765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3" w:type="dxa"/>
            <w:tcBorders>
              <w:top w:val="nil"/>
              <w:left w:val="nil"/>
              <w:bottom w:val="nil"/>
              <w:right w:val="nil"/>
            </w:tcBorders>
            <w:vAlign w:val="center"/>
          </w:tcPr>
          <w:p w14:paraId="4D2FA99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4" w:type="dxa"/>
            <w:tcBorders>
              <w:top w:val="nil"/>
              <w:left w:val="nil"/>
              <w:bottom w:val="nil"/>
              <w:right w:val="nil"/>
            </w:tcBorders>
            <w:vAlign w:val="center"/>
          </w:tcPr>
          <w:p w14:paraId="3889C71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3" w:type="dxa"/>
            <w:tcBorders>
              <w:top w:val="nil"/>
              <w:left w:val="nil"/>
              <w:bottom w:val="nil"/>
              <w:right w:val="nil"/>
            </w:tcBorders>
            <w:vAlign w:val="center"/>
          </w:tcPr>
          <w:p w14:paraId="18A8ABC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c>
          <w:tcPr>
            <w:tcW w:w="1374" w:type="dxa"/>
            <w:tcBorders>
              <w:top w:val="nil"/>
              <w:left w:val="nil"/>
              <w:bottom w:val="nil"/>
              <w:right w:val="nil"/>
            </w:tcBorders>
            <w:vAlign w:val="center"/>
          </w:tcPr>
          <w:p w14:paraId="19D1ED7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5</w:t>
            </w:r>
          </w:p>
        </w:tc>
      </w:tr>
      <w:tr w:rsidR="0064611C" w:rsidRPr="00F14751" w14:paraId="5DCAAAC5" w14:textId="77777777" w:rsidTr="008607F7">
        <w:tblPrEx>
          <w:tblBorders>
            <w:bottom w:val="single" w:sz="6" w:space="0" w:color="auto"/>
          </w:tblBorders>
        </w:tblPrEx>
        <w:trPr>
          <w:jc w:val="center"/>
        </w:trPr>
        <w:tc>
          <w:tcPr>
            <w:tcW w:w="1909" w:type="dxa"/>
            <w:tcBorders>
              <w:top w:val="nil"/>
              <w:left w:val="nil"/>
              <w:bottom w:val="single" w:sz="4" w:space="0" w:color="auto"/>
              <w:right w:val="nil"/>
            </w:tcBorders>
            <w:vAlign w:val="center"/>
          </w:tcPr>
          <w:p w14:paraId="43109BFD"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20"/>
                <w:szCs w:val="24"/>
              </w:rPr>
            </w:pPr>
            <w:r w:rsidRPr="00F14751">
              <w:rPr>
                <w:rFonts w:ascii="Times New Roman" w:hAnsi="Times New Roman" w:cs="Times New Roman"/>
                <w:sz w:val="20"/>
                <w:szCs w:val="24"/>
              </w:rPr>
              <w:t>Robust SE</w:t>
            </w:r>
          </w:p>
        </w:tc>
        <w:tc>
          <w:tcPr>
            <w:tcW w:w="1373" w:type="dxa"/>
            <w:tcBorders>
              <w:top w:val="nil"/>
              <w:left w:val="nil"/>
              <w:bottom w:val="single" w:sz="4" w:space="0" w:color="auto"/>
              <w:right w:val="nil"/>
            </w:tcBorders>
            <w:vAlign w:val="center"/>
          </w:tcPr>
          <w:p w14:paraId="6F3D0B7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3" w:type="dxa"/>
            <w:tcBorders>
              <w:top w:val="nil"/>
              <w:left w:val="nil"/>
              <w:bottom w:val="single" w:sz="4" w:space="0" w:color="auto"/>
              <w:right w:val="nil"/>
            </w:tcBorders>
            <w:vAlign w:val="center"/>
          </w:tcPr>
          <w:p w14:paraId="13EE4D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4" w:type="dxa"/>
            <w:tcBorders>
              <w:top w:val="nil"/>
              <w:left w:val="nil"/>
              <w:bottom w:val="single" w:sz="4" w:space="0" w:color="auto"/>
              <w:right w:val="nil"/>
            </w:tcBorders>
            <w:vAlign w:val="center"/>
          </w:tcPr>
          <w:p w14:paraId="3831E6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3" w:type="dxa"/>
            <w:tcBorders>
              <w:top w:val="nil"/>
              <w:left w:val="nil"/>
              <w:bottom w:val="single" w:sz="4" w:space="0" w:color="auto"/>
              <w:right w:val="nil"/>
            </w:tcBorders>
            <w:vAlign w:val="center"/>
          </w:tcPr>
          <w:p w14:paraId="6D5D15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4" w:type="dxa"/>
            <w:tcBorders>
              <w:top w:val="nil"/>
              <w:left w:val="nil"/>
              <w:bottom w:val="single" w:sz="4" w:space="0" w:color="auto"/>
              <w:right w:val="nil"/>
            </w:tcBorders>
            <w:vAlign w:val="center"/>
          </w:tcPr>
          <w:p w14:paraId="2710AC8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3" w:type="dxa"/>
            <w:tcBorders>
              <w:top w:val="nil"/>
              <w:left w:val="nil"/>
              <w:bottom w:val="single" w:sz="4" w:space="0" w:color="auto"/>
              <w:right w:val="nil"/>
            </w:tcBorders>
            <w:vAlign w:val="center"/>
          </w:tcPr>
          <w:p w14:paraId="45B847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3" w:type="dxa"/>
            <w:tcBorders>
              <w:top w:val="nil"/>
              <w:left w:val="nil"/>
              <w:bottom w:val="single" w:sz="4" w:space="0" w:color="auto"/>
              <w:right w:val="nil"/>
            </w:tcBorders>
            <w:vAlign w:val="center"/>
          </w:tcPr>
          <w:p w14:paraId="498CC54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4" w:type="dxa"/>
            <w:tcBorders>
              <w:top w:val="nil"/>
              <w:left w:val="nil"/>
              <w:bottom w:val="single" w:sz="4" w:space="0" w:color="auto"/>
              <w:right w:val="nil"/>
            </w:tcBorders>
            <w:vAlign w:val="center"/>
          </w:tcPr>
          <w:p w14:paraId="38781E6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3" w:type="dxa"/>
            <w:tcBorders>
              <w:top w:val="nil"/>
              <w:left w:val="nil"/>
              <w:bottom w:val="single" w:sz="4" w:space="0" w:color="auto"/>
              <w:right w:val="nil"/>
            </w:tcBorders>
            <w:vAlign w:val="center"/>
          </w:tcPr>
          <w:p w14:paraId="73338D2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c>
          <w:tcPr>
            <w:tcW w:w="1374" w:type="dxa"/>
            <w:tcBorders>
              <w:top w:val="nil"/>
              <w:left w:val="nil"/>
              <w:bottom w:val="single" w:sz="4" w:space="0" w:color="auto"/>
              <w:right w:val="nil"/>
            </w:tcBorders>
            <w:vAlign w:val="center"/>
          </w:tcPr>
          <w:p w14:paraId="1BBA869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4"/>
              </w:rPr>
            </w:pPr>
            <w:r w:rsidRPr="00F14751">
              <w:rPr>
                <w:rFonts w:ascii="Times New Roman" w:hAnsi="Times New Roman" w:cs="Times New Roman"/>
                <w:sz w:val="20"/>
                <w:szCs w:val="24"/>
              </w:rPr>
              <w:t>Yes</w:t>
            </w:r>
          </w:p>
        </w:tc>
      </w:tr>
    </w:tbl>
    <w:p w14:paraId="430625D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pPr>
      <w:r w:rsidRPr="00F14751">
        <w:rPr>
          <w:rFonts w:ascii="Times New Roman" w:hAnsi="Times New Roman" w:cs="Times New Roman"/>
          <w:sz w:val="20"/>
          <w:szCs w:val="20"/>
        </w:rPr>
        <w:t>Robust standard errors in parentheses</w:t>
      </w:r>
    </w:p>
    <w:p w14:paraId="5DE5FCD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20"/>
          <w:szCs w:val="20"/>
        </w:rPr>
        <w:sectPr w:rsidR="0064611C" w:rsidRPr="00F14751" w:rsidSect="00F543CB">
          <w:pgSz w:w="15840" w:h="12240" w:orient="landscape"/>
          <w:pgMar w:top="1440" w:right="1440" w:bottom="1440" w:left="1440" w:header="720" w:footer="720" w:gutter="0"/>
          <w:cols w:space="720"/>
          <w:noEndnote/>
          <w:docGrid w:linePitch="299"/>
        </w:sectPr>
      </w:pPr>
      <w:r w:rsidRPr="00F14751">
        <w:rPr>
          <w:rFonts w:ascii="Times New Roman" w:hAnsi="Times New Roman" w:cs="Times New Roman"/>
          <w:sz w:val="20"/>
          <w:szCs w:val="20"/>
        </w:rPr>
        <w:t>*** p&lt;0.01, ** p&lt;0.05, * p&lt;0.1</w:t>
      </w:r>
    </w:p>
    <w:p w14:paraId="5B20F714" w14:textId="77777777"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szCs w:val="24"/>
        </w:rPr>
        <w:t xml:space="preserve">Table 11: </w:t>
      </w:r>
      <w:r w:rsidRPr="00F14751">
        <w:rPr>
          <w:rFonts w:asciiTheme="majorHAnsi" w:hAnsiTheme="majorHAnsi"/>
          <w:sz w:val="24"/>
        </w:rPr>
        <w:t>Estimation results of the FE model for the first group with the measures of inequality as dependent variables. The model includes country and time fixed effects.</w:t>
      </w:r>
    </w:p>
    <w:tbl>
      <w:tblPr>
        <w:tblW w:w="15643" w:type="dxa"/>
        <w:jc w:val="center"/>
        <w:tblLayout w:type="fixed"/>
        <w:tblCellMar>
          <w:left w:w="75" w:type="dxa"/>
          <w:right w:w="75" w:type="dxa"/>
        </w:tblCellMar>
        <w:tblLook w:val="0000" w:firstRow="0" w:lastRow="0" w:firstColumn="0" w:lastColumn="0" w:noHBand="0" w:noVBand="0"/>
      </w:tblPr>
      <w:tblGrid>
        <w:gridCol w:w="1768"/>
        <w:gridCol w:w="1387"/>
        <w:gridCol w:w="1388"/>
        <w:gridCol w:w="1387"/>
        <w:gridCol w:w="1388"/>
        <w:gridCol w:w="1387"/>
        <w:gridCol w:w="1388"/>
        <w:gridCol w:w="1387"/>
        <w:gridCol w:w="1388"/>
        <w:gridCol w:w="1387"/>
        <w:gridCol w:w="1388"/>
      </w:tblGrid>
      <w:tr w:rsidR="0064611C" w:rsidRPr="00F14751" w14:paraId="08FE18B9" w14:textId="77777777" w:rsidTr="008607F7">
        <w:trPr>
          <w:jc w:val="center"/>
        </w:trPr>
        <w:tc>
          <w:tcPr>
            <w:tcW w:w="1768" w:type="dxa"/>
            <w:tcBorders>
              <w:top w:val="single" w:sz="6" w:space="0" w:color="auto"/>
              <w:left w:val="nil"/>
              <w:bottom w:val="nil"/>
              <w:right w:val="nil"/>
            </w:tcBorders>
            <w:vAlign w:val="center"/>
          </w:tcPr>
          <w:p w14:paraId="1AB39E9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heme="majorHAnsi" w:hAnsiTheme="majorHAnsi"/>
                <w:sz w:val="18"/>
                <w:szCs w:val="20"/>
              </w:rPr>
              <w:br w:type="page"/>
            </w:r>
            <w:r w:rsidRPr="00F14751">
              <w:rPr>
                <w:rFonts w:asciiTheme="majorHAnsi" w:hAnsiTheme="majorHAnsi"/>
                <w:sz w:val="18"/>
                <w:szCs w:val="20"/>
              </w:rPr>
              <w:br w:type="page"/>
            </w:r>
          </w:p>
        </w:tc>
        <w:tc>
          <w:tcPr>
            <w:tcW w:w="1387" w:type="dxa"/>
            <w:tcBorders>
              <w:top w:val="single" w:sz="6" w:space="0" w:color="auto"/>
              <w:left w:val="nil"/>
              <w:bottom w:val="nil"/>
              <w:right w:val="nil"/>
            </w:tcBorders>
            <w:vAlign w:val="center"/>
          </w:tcPr>
          <w:p w14:paraId="77D80F5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w:t>
            </w:r>
          </w:p>
        </w:tc>
        <w:tc>
          <w:tcPr>
            <w:tcW w:w="1388" w:type="dxa"/>
            <w:tcBorders>
              <w:top w:val="single" w:sz="6" w:space="0" w:color="auto"/>
              <w:left w:val="nil"/>
              <w:bottom w:val="nil"/>
              <w:right w:val="nil"/>
            </w:tcBorders>
            <w:vAlign w:val="center"/>
          </w:tcPr>
          <w:p w14:paraId="36D2ADC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w:t>
            </w:r>
          </w:p>
        </w:tc>
        <w:tc>
          <w:tcPr>
            <w:tcW w:w="1387" w:type="dxa"/>
            <w:tcBorders>
              <w:top w:val="single" w:sz="6" w:space="0" w:color="auto"/>
              <w:left w:val="nil"/>
              <w:bottom w:val="nil"/>
              <w:right w:val="nil"/>
            </w:tcBorders>
            <w:vAlign w:val="center"/>
          </w:tcPr>
          <w:p w14:paraId="4B61149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w:t>
            </w:r>
          </w:p>
        </w:tc>
        <w:tc>
          <w:tcPr>
            <w:tcW w:w="1388" w:type="dxa"/>
            <w:tcBorders>
              <w:top w:val="single" w:sz="6" w:space="0" w:color="auto"/>
              <w:left w:val="nil"/>
              <w:bottom w:val="nil"/>
              <w:right w:val="nil"/>
            </w:tcBorders>
            <w:vAlign w:val="center"/>
          </w:tcPr>
          <w:p w14:paraId="665FBD4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(4)</w:t>
            </w:r>
          </w:p>
        </w:tc>
        <w:tc>
          <w:tcPr>
            <w:tcW w:w="1387" w:type="dxa"/>
            <w:tcBorders>
              <w:top w:val="single" w:sz="6" w:space="0" w:color="auto"/>
              <w:left w:val="nil"/>
              <w:bottom w:val="nil"/>
              <w:right w:val="nil"/>
            </w:tcBorders>
            <w:vAlign w:val="center"/>
          </w:tcPr>
          <w:p w14:paraId="01ECE6C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8" w:type="dxa"/>
            <w:tcBorders>
              <w:top w:val="single" w:sz="6" w:space="0" w:color="auto"/>
              <w:left w:val="nil"/>
              <w:bottom w:val="nil"/>
              <w:right w:val="nil"/>
            </w:tcBorders>
            <w:vAlign w:val="center"/>
          </w:tcPr>
          <w:p w14:paraId="785ED4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(6)</w:t>
            </w:r>
          </w:p>
        </w:tc>
        <w:tc>
          <w:tcPr>
            <w:tcW w:w="1387" w:type="dxa"/>
            <w:tcBorders>
              <w:top w:val="single" w:sz="6" w:space="0" w:color="auto"/>
              <w:left w:val="nil"/>
              <w:bottom w:val="nil"/>
              <w:right w:val="nil"/>
            </w:tcBorders>
            <w:vAlign w:val="center"/>
          </w:tcPr>
          <w:p w14:paraId="6913113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w:t>
            </w:r>
          </w:p>
        </w:tc>
        <w:tc>
          <w:tcPr>
            <w:tcW w:w="1388" w:type="dxa"/>
            <w:tcBorders>
              <w:top w:val="single" w:sz="6" w:space="0" w:color="auto"/>
              <w:left w:val="nil"/>
              <w:bottom w:val="nil"/>
              <w:right w:val="nil"/>
            </w:tcBorders>
            <w:vAlign w:val="center"/>
          </w:tcPr>
          <w:p w14:paraId="1B88B70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(8)</w:t>
            </w:r>
          </w:p>
        </w:tc>
        <w:tc>
          <w:tcPr>
            <w:tcW w:w="1387" w:type="dxa"/>
            <w:tcBorders>
              <w:top w:val="single" w:sz="6" w:space="0" w:color="auto"/>
              <w:left w:val="nil"/>
              <w:bottom w:val="nil"/>
              <w:right w:val="nil"/>
            </w:tcBorders>
            <w:vAlign w:val="center"/>
          </w:tcPr>
          <w:p w14:paraId="66E1B8D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(9)</w:t>
            </w:r>
          </w:p>
        </w:tc>
        <w:tc>
          <w:tcPr>
            <w:tcW w:w="1388" w:type="dxa"/>
            <w:tcBorders>
              <w:top w:val="single" w:sz="6" w:space="0" w:color="auto"/>
              <w:left w:val="nil"/>
              <w:bottom w:val="nil"/>
              <w:right w:val="nil"/>
            </w:tcBorders>
            <w:vAlign w:val="center"/>
          </w:tcPr>
          <w:p w14:paraId="7C7E012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(10)</w:t>
            </w:r>
          </w:p>
        </w:tc>
      </w:tr>
      <w:tr w:rsidR="0064611C" w:rsidRPr="00F14751" w14:paraId="3D334442" w14:textId="77777777" w:rsidTr="008607F7">
        <w:trPr>
          <w:jc w:val="center"/>
        </w:trPr>
        <w:tc>
          <w:tcPr>
            <w:tcW w:w="1768" w:type="dxa"/>
            <w:tcBorders>
              <w:top w:val="nil"/>
              <w:left w:val="nil"/>
              <w:bottom w:val="single" w:sz="6" w:space="0" w:color="auto"/>
              <w:right w:val="nil"/>
            </w:tcBorders>
            <w:vAlign w:val="center"/>
          </w:tcPr>
          <w:p w14:paraId="17071A7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VARIABLES</w:t>
            </w:r>
          </w:p>
        </w:tc>
        <w:tc>
          <w:tcPr>
            <w:tcW w:w="1387" w:type="dxa"/>
            <w:tcBorders>
              <w:top w:val="nil"/>
              <w:left w:val="nil"/>
              <w:bottom w:val="single" w:sz="6" w:space="0" w:color="auto"/>
              <w:right w:val="nil"/>
            </w:tcBorders>
            <w:vAlign w:val="center"/>
          </w:tcPr>
          <w:p w14:paraId="069030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Gini</w:t>
            </w:r>
          </w:p>
        </w:tc>
        <w:tc>
          <w:tcPr>
            <w:tcW w:w="1388" w:type="dxa"/>
            <w:tcBorders>
              <w:top w:val="nil"/>
              <w:left w:val="nil"/>
              <w:bottom w:val="single" w:sz="6" w:space="0" w:color="auto"/>
              <w:right w:val="nil"/>
            </w:tcBorders>
            <w:vAlign w:val="center"/>
          </w:tcPr>
          <w:p w14:paraId="64AE4C2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D1</w:t>
            </w:r>
          </w:p>
        </w:tc>
        <w:tc>
          <w:tcPr>
            <w:tcW w:w="1387" w:type="dxa"/>
            <w:tcBorders>
              <w:top w:val="nil"/>
              <w:left w:val="nil"/>
              <w:bottom w:val="single" w:sz="6" w:space="0" w:color="auto"/>
              <w:right w:val="nil"/>
            </w:tcBorders>
            <w:vAlign w:val="center"/>
          </w:tcPr>
          <w:p w14:paraId="0DAC0F7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D2</w:t>
            </w:r>
          </w:p>
        </w:tc>
        <w:tc>
          <w:tcPr>
            <w:tcW w:w="1388" w:type="dxa"/>
            <w:tcBorders>
              <w:top w:val="nil"/>
              <w:left w:val="nil"/>
              <w:bottom w:val="single" w:sz="6" w:space="0" w:color="auto"/>
              <w:right w:val="nil"/>
            </w:tcBorders>
            <w:vAlign w:val="center"/>
          </w:tcPr>
          <w:p w14:paraId="1CD9406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Q1</w:t>
            </w:r>
          </w:p>
        </w:tc>
        <w:tc>
          <w:tcPr>
            <w:tcW w:w="1387" w:type="dxa"/>
            <w:tcBorders>
              <w:top w:val="nil"/>
              <w:left w:val="nil"/>
              <w:bottom w:val="single" w:sz="6" w:space="0" w:color="auto"/>
              <w:right w:val="nil"/>
            </w:tcBorders>
            <w:vAlign w:val="center"/>
          </w:tcPr>
          <w:p w14:paraId="5587E3B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Q2</w:t>
            </w:r>
          </w:p>
        </w:tc>
        <w:tc>
          <w:tcPr>
            <w:tcW w:w="1388" w:type="dxa"/>
            <w:tcBorders>
              <w:top w:val="nil"/>
              <w:left w:val="nil"/>
              <w:bottom w:val="single" w:sz="6" w:space="0" w:color="auto"/>
              <w:right w:val="nil"/>
            </w:tcBorders>
            <w:vAlign w:val="center"/>
          </w:tcPr>
          <w:p w14:paraId="5938B85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Q3</w:t>
            </w:r>
          </w:p>
        </w:tc>
        <w:tc>
          <w:tcPr>
            <w:tcW w:w="1387" w:type="dxa"/>
            <w:tcBorders>
              <w:top w:val="nil"/>
              <w:left w:val="nil"/>
              <w:bottom w:val="single" w:sz="6" w:space="0" w:color="auto"/>
              <w:right w:val="nil"/>
            </w:tcBorders>
            <w:vAlign w:val="center"/>
          </w:tcPr>
          <w:p w14:paraId="7004533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Q4</w:t>
            </w:r>
          </w:p>
        </w:tc>
        <w:tc>
          <w:tcPr>
            <w:tcW w:w="1388" w:type="dxa"/>
            <w:tcBorders>
              <w:top w:val="nil"/>
              <w:left w:val="nil"/>
              <w:bottom w:val="single" w:sz="6" w:space="0" w:color="auto"/>
              <w:right w:val="nil"/>
            </w:tcBorders>
            <w:vAlign w:val="center"/>
          </w:tcPr>
          <w:p w14:paraId="70F969F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D9</w:t>
            </w:r>
          </w:p>
        </w:tc>
        <w:tc>
          <w:tcPr>
            <w:tcW w:w="1387" w:type="dxa"/>
            <w:tcBorders>
              <w:top w:val="nil"/>
              <w:left w:val="nil"/>
              <w:bottom w:val="single" w:sz="6" w:space="0" w:color="auto"/>
              <w:right w:val="nil"/>
            </w:tcBorders>
            <w:vAlign w:val="center"/>
          </w:tcPr>
          <w:p w14:paraId="2B63858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D10</w:t>
            </w:r>
          </w:p>
        </w:tc>
        <w:tc>
          <w:tcPr>
            <w:tcW w:w="1388" w:type="dxa"/>
            <w:tcBorders>
              <w:top w:val="nil"/>
              <w:left w:val="nil"/>
              <w:bottom w:val="single" w:sz="6" w:space="0" w:color="auto"/>
              <w:right w:val="nil"/>
            </w:tcBorders>
            <w:vAlign w:val="center"/>
          </w:tcPr>
          <w:p w14:paraId="24070AB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Q5</w:t>
            </w:r>
          </w:p>
        </w:tc>
      </w:tr>
      <w:tr w:rsidR="0064611C" w:rsidRPr="00F14751" w14:paraId="30D246E4" w14:textId="77777777" w:rsidTr="008607F7">
        <w:trPr>
          <w:jc w:val="center"/>
        </w:trPr>
        <w:tc>
          <w:tcPr>
            <w:tcW w:w="1768" w:type="dxa"/>
            <w:tcBorders>
              <w:top w:val="nil"/>
              <w:left w:val="nil"/>
              <w:right w:val="nil"/>
            </w:tcBorders>
            <w:vAlign w:val="center"/>
          </w:tcPr>
          <w:p w14:paraId="72CE64C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right w:val="nil"/>
            </w:tcBorders>
            <w:vAlign w:val="center"/>
          </w:tcPr>
          <w:p w14:paraId="72FD071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right w:val="nil"/>
            </w:tcBorders>
            <w:vAlign w:val="center"/>
          </w:tcPr>
          <w:p w14:paraId="70063DF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right w:val="nil"/>
            </w:tcBorders>
            <w:vAlign w:val="center"/>
          </w:tcPr>
          <w:p w14:paraId="3A85397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right w:val="nil"/>
            </w:tcBorders>
            <w:vAlign w:val="center"/>
          </w:tcPr>
          <w:p w14:paraId="23FACF1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right w:val="nil"/>
            </w:tcBorders>
            <w:vAlign w:val="center"/>
          </w:tcPr>
          <w:p w14:paraId="67E69F8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right w:val="nil"/>
            </w:tcBorders>
            <w:vAlign w:val="center"/>
          </w:tcPr>
          <w:p w14:paraId="158314E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right w:val="nil"/>
            </w:tcBorders>
            <w:vAlign w:val="center"/>
          </w:tcPr>
          <w:p w14:paraId="60C4A18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right w:val="nil"/>
            </w:tcBorders>
            <w:vAlign w:val="center"/>
          </w:tcPr>
          <w:p w14:paraId="72749A5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right w:val="nil"/>
            </w:tcBorders>
            <w:vAlign w:val="center"/>
          </w:tcPr>
          <w:p w14:paraId="7E51081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right w:val="nil"/>
            </w:tcBorders>
            <w:vAlign w:val="center"/>
          </w:tcPr>
          <w:p w14:paraId="05AF4AB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r>
      <w:tr w:rsidR="0064611C" w:rsidRPr="00F14751" w14:paraId="738417D7" w14:textId="77777777" w:rsidTr="008607F7">
        <w:trPr>
          <w:jc w:val="center"/>
        </w:trPr>
        <w:tc>
          <w:tcPr>
            <w:tcW w:w="1768" w:type="dxa"/>
            <w:tcBorders>
              <w:top w:val="nil"/>
              <w:left w:val="nil"/>
              <w:bottom w:val="nil"/>
              <w:right w:val="nil"/>
            </w:tcBorders>
            <w:vAlign w:val="center"/>
          </w:tcPr>
          <w:p w14:paraId="0DF66EB3"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Trade</w:t>
            </w:r>
          </w:p>
        </w:tc>
        <w:tc>
          <w:tcPr>
            <w:tcW w:w="1387" w:type="dxa"/>
            <w:tcBorders>
              <w:top w:val="nil"/>
              <w:left w:val="nil"/>
              <w:bottom w:val="nil"/>
              <w:right w:val="nil"/>
            </w:tcBorders>
            <w:vAlign w:val="center"/>
          </w:tcPr>
          <w:p w14:paraId="420182A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-0.0692</w:t>
            </w:r>
          </w:p>
        </w:tc>
        <w:tc>
          <w:tcPr>
            <w:tcW w:w="1388" w:type="dxa"/>
            <w:tcBorders>
              <w:top w:val="nil"/>
              <w:left w:val="nil"/>
              <w:bottom w:val="nil"/>
              <w:right w:val="nil"/>
            </w:tcBorders>
            <w:vAlign w:val="center"/>
          </w:tcPr>
          <w:p w14:paraId="4EFDE7E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0.00398</w:t>
            </w:r>
          </w:p>
        </w:tc>
        <w:tc>
          <w:tcPr>
            <w:tcW w:w="1387" w:type="dxa"/>
            <w:tcBorders>
              <w:top w:val="nil"/>
              <w:left w:val="nil"/>
              <w:bottom w:val="nil"/>
              <w:right w:val="nil"/>
            </w:tcBorders>
            <w:vAlign w:val="center"/>
          </w:tcPr>
          <w:p w14:paraId="7DB776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0.00688</w:t>
            </w:r>
          </w:p>
        </w:tc>
        <w:tc>
          <w:tcPr>
            <w:tcW w:w="1388" w:type="dxa"/>
            <w:tcBorders>
              <w:top w:val="nil"/>
              <w:left w:val="nil"/>
              <w:bottom w:val="nil"/>
              <w:right w:val="nil"/>
            </w:tcBorders>
            <w:vAlign w:val="center"/>
          </w:tcPr>
          <w:p w14:paraId="023E22C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0.0109</w:t>
            </w:r>
          </w:p>
        </w:tc>
        <w:tc>
          <w:tcPr>
            <w:tcW w:w="1387" w:type="dxa"/>
            <w:tcBorders>
              <w:top w:val="nil"/>
              <w:left w:val="nil"/>
              <w:bottom w:val="nil"/>
              <w:right w:val="nil"/>
            </w:tcBorders>
            <w:vAlign w:val="center"/>
          </w:tcPr>
          <w:p w14:paraId="24C7D76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0.00238</w:t>
            </w:r>
          </w:p>
        </w:tc>
        <w:tc>
          <w:tcPr>
            <w:tcW w:w="1388" w:type="dxa"/>
            <w:tcBorders>
              <w:top w:val="nil"/>
              <w:left w:val="nil"/>
              <w:bottom w:val="nil"/>
              <w:right w:val="nil"/>
            </w:tcBorders>
            <w:vAlign w:val="center"/>
          </w:tcPr>
          <w:p w14:paraId="21A0228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0.00672</w:t>
            </w:r>
          </w:p>
        </w:tc>
        <w:tc>
          <w:tcPr>
            <w:tcW w:w="1387" w:type="dxa"/>
            <w:tcBorders>
              <w:top w:val="nil"/>
              <w:left w:val="nil"/>
              <w:bottom w:val="nil"/>
              <w:right w:val="nil"/>
            </w:tcBorders>
            <w:vAlign w:val="center"/>
          </w:tcPr>
          <w:p w14:paraId="1758784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0.0291</w:t>
            </w:r>
          </w:p>
        </w:tc>
        <w:tc>
          <w:tcPr>
            <w:tcW w:w="1388" w:type="dxa"/>
            <w:tcBorders>
              <w:top w:val="nil"/>
              <w:left w:val="nil"/>
              <w:bottom w:val="nil"/>
              <w:right w:val="nil"/>
            </w:tcBorders>
            <w:vAlign w:val="center"/>
          </w:tcPr>
          <w:p w14:paraId="380BAF6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0.0439</w:t>
            </w:r>
          </w:p>
        </w:tc>
        <w:tc>
          <w:tcPr>
            <w:tcW w:w="1387" w:type="dxa"/>
            <w:tcBorders>
              <w:top w:val="nil"/>
              <w:left w:val="nil"/>
              <w:bottom w:val="nil"/>
              <w:right w:val="nil"/>
            </w:tcBorders>
            <w:vAlign w:val="center"/>
          </w:tcPr>
          <w:p w14:paraId="335430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-0.0929</w:t>
            </w:r>
          </w:p>
        </w:tc>
        <w:tc>
          <w:tcPr>
            <w:tcW w:w="1388" w:type="dxa"/>
            <w:tcBorders>
              <w:top w:val="nil"/>
              <w:left w:val="nil"/>
              <w:bottom w:val="nil"/>
              <w:right w:val="nil"/>
            </w:tcBorders>
            <w:vAlign w:val="center"/>
          </w:tcPr>
          <w:p w14:paraId="3FC7EAB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-0.0491</w:t>
            </w:r>
          </w:p>
        </w:tc>
      </w:tr>
      <w:tr w:rsidR="0064611C" w:rsidRPr="00F14751" w14:paraId="41A33763" w14:textId="77777777" w:rsidTr="008607F7">
        <w:trPr>
          <w:jc w:val="center"/>
        </w:trPr>
        <w:tc>
          <w:tcPr>
            <w:tcW w:w="1768" w:type="dxa"/>
            <w:tcBorders>
              <w:top w:val="nil"/>
              <w:left w:val="nil"/>
              <w:bottom w:val="nil"/>
              <w:right w:val="nil"/>
            </w:tcBorders>
            <w:vAlign w:val="center"/>
          </w:tcPr>
          <w:p w14:paraId="2D937723"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0D4E401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(0.123)</w:t>
            </w:r>
          </w:p>
        </w:tc>
        <w:tc>
          <w:tcPr>
            <w:tcW w:w="1388" w:type="dxa"/>
            <w:tcBorders>
              <w:top w:val="nil"/>
              <w:left w:val="nil"/>
              <w:bottom w:val="nil"/>
              <w:right w:val="nil"/>
            </w:tcBorders>
            <w:vAlign w:val="center"/>
          </w:tcPr>
          <w:p w14:paraId="0DFCE1E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(0.0164)</w:t>
            </w:r>
          </w:p>
        </w:tc>
        <w:tc>
          <w:tcPr>
            <w:tcW w:w="1387" w:type="dxa"/>
            <w:tcBorders>
              <w:top w:val="nil"/>
              <w:left w:val="nil"/>
              <w:bottom w:val="nil"/>
              <w:right w:val="nil"/>
            </w:tcBorders>
            <w:vAlign w:val="center"/>
          </w:tcPr>
          <w:p w14:paraId="397271C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(0.0152)</w:t>
            </w:r>
          </w:p>
        </w:tc>
        <w:tc>
          <w:tcPr>
            <w:tcW w:w="1388" w:type="dxa"/>
            <w:tcBorders>
              <w:top w:val="nil"/>
              <w:left w:val="nil"/>
              <w:bottom w:val="nil"/>
              <w:right w:val="nil"/>
            </w:tcBorders>
            <w:vAlign w:val="center"/>
          </w:tcPr>
          <w:p w14:paraId="768458A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(0.0310)</w:t>
            </w:r>
          </w:p>
        </w:tc>
        <w:tc>
          <w:tcPr>
            <w:tcW w:w="1387" w:type="dxa"/>
            <w:tcBorders>
              <w:top w:val="nil"/>
              <w:left w:val="nil"/>
              <w:bottom w:val="nil"/>
              <w:right w:val="nil"/>
            </w:tcBorders>
            <w:vAlign w:val="center"/>
          </w:tcPr>
          <w:p w14:paraId="4E49EBB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(0.0201)</w:t>
            </w:r>
          </w:p>
        </w:tc>
        <w:tc>
          <w:tcPr>
            <w:tcW w:w="1388" w:type="dxa"/>
            <w:tcBorders>
              <w:top w:val="nil"/>
              <w:left w:val="nil"/>
              <w:bottom w:val="nil"/>
              <w:right w:val="nil"/>
            </w:tcBorders>
            <w:vAlign w:val="center"/>
          </w:tcPr>
          <w:p w14:paraId="04E3A3D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(0.0310)</w:t>
            </w:r>
          </w:p>
        </w:tc>
        <w:tc>
          <w:tcPr>
            <w:tcW w:w="1387" w:type="dxa"/>
            <w:tcBorders>
              <w:top w:val="nil"/>
              <w:left w:val="nil"/>
              <w:bottom w:val="nil"/>
              <w:right w:val="nil"/>
            </w:tcBorders>
            <w:vAlign w:val="center"/>
          </w:tcPr>
          <w:p w14:paraId="2C1248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(0.0598)</w:t>
            </w:r>
          </w:p>
        </w:tc>
        <w:tc>
          <w:tcPr>
            <w:tcW w:w="1388" w:type="dxa"/>
            <w:tcBorders>
              <w:top w:val="nil"/>
              <w:left w:val="nil"/>
              <w:bottom w:val="nil"/>
              <w:right w:val="nil"/>
            </w:tcBorders>
            <w:vAlign w:val="center"/>
          </w:tcPr>
          <w:p w14:paraId="5480A3F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(0.0397)</w:t>
            </w:r>
          </w:p>
        </w:tc>
        <w:tc>
          <w:tcPr>
            <w:tcW w:w="1387" w:type="dxa"/>
            <w:tcBorders>
              <w:top w:val="nil"/>
              <w:left w:val="nil"/>
              <w:bottom w:val="nil"/>
              <w:right w:val="nil"/>
            </w:tcBorders>
            <w:vAlign w:val="center"/>
          </w:tcPr>
          <w:p w14:paraId="661E0D7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(0.148)</w:t>
            </w:r>
          </w:p>
        </w:tc>
        <w:tc>
          <w:tcPr>
            <w:tcW w:w="1388" w:type="dxa"/>
            <w:tcBorders>
              <w:top w:val="nil"/>
              <w:left w:val="nil"/>
              <w:bottom w:val="nil"/>
              <w:right w:val="nil"/>
            </w:tcBorders>
            <w:vAlign w:val="center"/>
          </w:tcPr>
          <w:p w14:paraId="29F89CC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(0.111)</w:t>
            </w:r>
          </w:p>
        </w:tc>
      </w:tr>
      <w:tr w:rsidR="0064611C" w:rsidRPr="00F14751" w14:paraId="4C6121C0" w14:textId="77777777" w:rsidTr="008607F7">
        <w:trPr>
          <w:jc w:val="center"/>
        </w:trPr>
        <w:tc>
          <w:tcPr>
            <w:tcW w:w="1768" w:type="dxa"/>
            <w:tcBorders>
              <w:top w:val="nil"/>
              <w:left w:val="nil"/>
              <w:bottom w:val="nil"/>
              <w:right w:val="nil"/>
            </w:tcBorders>
            <w:vAlign w:val="center"/>
          </w:tcPr>
          <w:p w14:paraId="2D90BA8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Financial</w:t>
            </w:r>
          </w:p>
        </w:tc>
        <w:tc>
          <w:tcPr>
            <w:tcW w:w="1387" w:type="dxa"/>
            <w:tcBorders>
              <w:top w:val="nil"/>
              <w:left w:val="nil"/>
              <w:bottom w:val="nil"/>
              <w:right w:val="nil"/>
            </w:tcBorders>
            <w:vAlign w:val="center"/>
          </w:tcPr>
          <w:p w14:paraId="2451175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0.0241</w:t>
            </w:r>
          </w:p>
        </w:tc>
        <w:tc>
          <w:tcPr>
            <w:tcW w:w="1388" w:type="dxa"/>
            <w:tcBorders>
              <w:top w:val="nil"/>
              <w:left w:val="nil"/>
              <w:bottom w:val="nil"/>
              <w:right w:val="nil"/>
            </w:tcBorders>
            <w:vAlign w:val="center"/>
          </w:tcPr>
          <w:p w14:paraId="55F99BA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-0.00192</w:t>
            </w:r>
          </w:p>
        </w:tc>
        <w:tc>
          <w:tcPr>
            <w:tcW w:w="1387" w:type="dxa"/>
            <w:tcBorders>
              <w:top w:val="nil"/>
              <w:left w:val="nil"/>
              <w:bottom w:val="nil"/>
              <w:right w:val="nil"/>
            </w:tcBorders>
            <w:vAlign w:val="center"/>
          </w:tcPr>
          <w:p w14:paraId="63D54C3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-0.00366</w:t>
            </w:r>
          </w:p>
        </w:tc>
        <w:tc>
          <w:tcPr>
            <w:tcW w:w="1388" w:type="dxa"/>
            <w:tcBorders>
              <w:top w:val="nil"/>
              <w:left w:val="nil"/>
              <w:bottom w:val="nil"/>
              <w:right w:val="nil"/>
            </w:tcBorders>
            <w:vAlign w:val="center"/>
          </w:tcPr>
          <w:p w14:paraId="08D94E5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-0.00559</w:t>
            </w:r>
          </w:p>
        </w:tc>
        <w:tc>
          <w:tcPr>
            <w:tcW w:w="1387" w:type="dxa"/>
            <w:tcBorders>
              <w:top w:val="nil"/>
              <w:left w:val="nil"/>
              <w:bottom w:val="nil"/>
              <w:right w:val="nil"/>
            </w:tcBorders>
            <w:vAlign w:val="center"/>
          </w:tcPr>
          <w:p w14:paraId="13A0401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-0.00463</w:t>
            </w:r>
          </w:p>
        </w:tc>
        <w:tc>
          <w:tcPr>
            <w:tcW w:w="1388" w:type="dxa"/>
            <w:tcBorders>
              <w:top w:val="nil"/>
              <w:left w:val="nil"/>
              <w:bottom w:val="nil"/>
              <w:right w:val="nil"/>
            </w:tcBorders>
            <w:vAlign w:val="center"/>
          </w:tcPr>
          <w:p w14:paraId="05C6B6C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0.000971</w:t>
            </w:r>
          </w:p>
        </w:tc>
        <w:tc>
          <w:tcPr>
            <w:tcW w:w="1387" w:type="dxa"/>
            <w:tcBorders>
              <w:top w:val="nil"/>
              <w:left w:val="nil"/>
              <w:bottom w:val="nil"/>
              <w:right w:val="nil"/>
            </w:tcBorders>
            <w:vAlign w:val="center"/>
          </w:tcPr>
          <w:p w14:paraId="335F9C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-0.00844</w:t>
            </w:r>
          </w:p>
        </w:tc>
        <w:tc>
          <w:tcPr>
            <w:tcW w:w="1388" w:type="dxa"/>
            <w:tcBorders>
              <w:top w:val="nil"/>
              <w:left w:val="nil"/>
              <w:bottom w:val="nil"/>
              <w:right w:val="nil"/>
            </w:tcBorders>
            <w:vAlign w:val="center"/>
          </w:tcPr>
          <w:p w14:paraId="75F6818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-0.0127</w:t>
            </w:r>
          </w:p>
        </w:tc>
        <w:tc>
          <w:tcPr>
            <w:tcW w:w="1387" w:type="dxa"/>
            <w:tcBorders>
              <w:top w:val="nil"/>
              <w:left w:val="nil"/>
              <w:bottom w:val="nil"/>
              <w:right w:val="nil"/>
            </w:tcBorders>
            <w:vAlign w:val="center"/>
          </w:tcPr>
          <w:p w14:paraId="0CD3C71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0.0304</w:t>
            </w:r>
          </w:p>
        </w:tc>
        <w:tc>
          <w:tcPr>
            <w:tcW w:w="1388" w:type="dxa"/>
            <w:tcBorders>
              <w:top w:val="nil"/>
              <w:left w:val="nil"/>
              <w:bottom w:val="nil"/>
              <w:right w:val="nil"/>
            </w:tcBorders>
            <w:vAlign w:val="center"/>
          </w:tcPr>
          <w:p w14:paraId="3389E69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0.0177</w:t>
            </w:r>
          </w:p>
        </w:tc>
      </w:tr>
      <w:tr w:rsidR="0064611C" w:rsidRPr="00F14751" w14:paraId="336FA1D9" w14:textId="77777777" w:rsidTr="008607F7">
        <w:trPr>
          <w:jc w:val="center"/>
        </w:trPr>
        <w:tc>
          <w:tcPr>
            <w:tcW w:w="1768" w:type="dxa"/>
            <w:tcBorders>
              <w:top w:val="nil"/>
              <w:left w:val="nil"/>
              <w:bottom w:val="nil"/>
              <w:right w:val="nil"/>
            </w:tcBorders>
            <w:vAlign w:val="center"/>
          </w:tcPr>
          <w:p w14:paraId="4558A13C"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742E568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(0.0364)</w:t>
            </w:r>
          </w:p>
        </w:tc>
        <w:tc>
          <w:tcPr>
            <w:tcW w:w="1388" w:type="dxa"/>
            <w:tcBorders>
              <w:top w:val="nil"/>
              <w:left w:val="nil"/>
              <w:bottom w:val="nil"/>
              <w:right w:val="nil"/>
            </w:tcBorders>
            <w:vAlign w:val="center"/>
          </w:tcPr>
          <w:p w14:paraId="30B99F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(0.00390)</w:t>
            </w:r>
          </w:p>
        </w:tc>
        <w:tc>
          <w:tcPr>
            <w:tcW w:w="1387" w:type="dxa"/>
            <w:tcBorders>
              <w:top w:val="nil"/>
              <w:left w:val="nil"/>
              <w:bottom w:val="nil"/>
              <w:right w:val="nil"/>
            </w:tcBorders>
            <w:vAlign w:val="center"/>
          </w:tcPr>
          <w:p w14:paraId="5C2EAF3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(0.00325)</w:t>
            </w:r>
          </w:p>
        </w:tc>
        <w:tc>
          <w:tcPr>
            <w:tcW w:w="1388" w:type="dxa"/>
            <w:tcBorders>
              <w:top w:val="nil"/>
              <w:left w:val="nil"/>
              <w:bottom w:val="nil"/>
              <w:right w:val="nil"/>
            </w:tcBorders>
            <w:vAlign w:val="center"/>
          </w:tcPr>
          <w:p w14:paraId="0603EFB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(0.00668)</w:t>
            </w:r>
          </w:p>
        </w:tc>
        <w:tc>
          <w:tcPr>
            <w:tcW w:w="1387" w:type="dxa"/>
            <w:tcBorders>
              <w:top w:val="nil"/>
              <w:left w:val="nil"/>
              <w:bottom w:val="nil"/>
              <w:right w:val="nil"/>
            </w:tcBorders>
            <w:vAlign w:val="center"/>
          </w:tcPr>
          <w:p w14:paraId="60106EE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(0.00716)</w:t>
            </w:r>
          </w:p>
        </w:tc>
        <w:tc>
          <w:tcPr>
            <w:tcW w:w="1388" w:type="dxa"/>
            <w:tcBorders>
              <w:top w:val="nil"/>
              <w:left w:val="nil"/>
              <w:bottom w:val="nil"/>
              <w:right w:val="nil"/>
            </w:tcBorders>
            <w:vAlign w:val="center"/>
          </w:tcPr>
          <w:p w14:paraId="717ADCC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(0.00939)</w:t>
            </w:r>
          </w:p>
        </w:tc>
        <w:tc>
          <w:tcPr>
            <w:tcW w:w="1387" w:type="dxa"/>
            <w:tcBorders>
              <w:top w:val="nil"/>
              <w:left w:val="nil"/>
              <w:bottom w:val="nil"/>
              <w:right w:val="nil"/>
            </w:tcBorders>
            <w:vAlign w:val="center"/>
          </w:tcPr>
          <w:p w14:paraId="1174576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(0.0119)</w:t>
            </w:r>
          </w:p>
        </w:tc>
        <w:tc>
          <w:tcPr>
            <w:tcW w:w="1388" w:type="dxa"/>
            <w:tcBorders>
              <w:top w:val="nil"/>
              <w:left w:val="nil"/>
              <w:bottom w:val="nil"/>
              <w:right w:val="nil"/>
            </w:tcBorders>
            <w:vAlign w:val="center"/>
          </w:tcPr>
          <w:p w14:paraId="374991D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(0.00703)</w:t>
            </w:r>
          </w:p>
        </w:tc>
        <w:tc>
          <w:tcPr>
            <w:tcW w:w="1387" w:type="dxa"/>
            <w:tcBorders>
              <w:top w:val="nil"/>
              <w:left w:val="nil"/>
              <w:bottom w:val="nil"/>
              <w:right w:val="nil"/>
            </w:tcBorders>
            <w:vAlign w:val="center"/>
          </w:tcPr>
          <w:p w14:paraId="1C6C97E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(0.0379)</w:t>
            </w:r>
          </w:p>
        </w:tc>
        <w:tc>
          <w:tcPr>
            <w:tcW w:w="1388" w:type="dxa"/>
            <w:tcBorders>
              <w:top w:val="nil"/>
              <w:left w:val="nil"/>
              <w:bottom w:val="nil"/>
              <w:right w:val="nil"/>
            </w:tcBorders>
            <w:vAlign w:val="center"/>
          </w:tcPr>
          <w:p w14:paraId="0D0C7E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(0.0321)</w:t>
            </w:r>
          </w:p>
        </w:tc>
      </w:tr>
      <w:tr w:rsidR="0064611C" w:rsidRPr="00F14751" w14:paraId="7DCC0FC1" w14:textId="77777777" w:rsidTr="008607F7">
        <w:trPr>
          <w:jc w:val="center"/>
        </w:trPr>
        <w:tc>
          <w:tcPr>
            <w:tcW w:w="1768" w:type="dxa"/>
            <w:tcBorders>
              <w:top w:val="nil"/>
              <w:left w:val="nil"/>
              <w:bottom w:val="nil"/>
              <w:right w:val="nil"/>
            </w:tcBorders>
            <w:vAlign w:val="center"/>
          </w:tcPr>
          <w:p w14:paraId="5CA0CCA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Tax</w:t>
            </w:r>
          </w:p>
        </w:tc>
        <w:tc>
          <w:tcPr>
            <w:tcW w:w="1387" w:type="dxa"/>
            <w:tcBorders>
              <w:top w:val="nil"/>
              <w:left w:val="nil"/>
              <w:bottom w:val="nil"/>
              <w:right w:val="nil"/>
            </w:tcBorders>
            <w:vAlign w:val="center"/>
          </w:tcPr>
          <w:p w14:paraId="1FD9410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-0.266**</w:t>
            </w:r>
          </w:p>
        </w:tc>
        <w:tc>
          <w:tcPr>
            <w:tcW w:w="1388" w:type="dxa"/>
            <w:tcBorders>
              <w:top w:val="nil"/>
              <w:left w:val="nil"/>
              <w:bottom w:val="nil"/>
              <w:right w:val="nil"/>
            </w:tcBorders>
            <w:vAlign w:val="center"/>
          </w:tcPr>
          <w:p w14:paraId="6CA048C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0.0253**</w:t>
            </w:r>
          </w:p>
        </w:tc>
        <w:tc>
          <w:tcPr>
            <w:tcW w:w="1387" w:type="dxa"/>
            <w:tcBorders>
              <w:top w:val="nil"/>
              <w:left w:val="nil"/>
              <w:bottom w:val="nil"/>
              <w:right w:val="nil"/>
            </w:tcBorders>
            <w:vAlign w:val="center"/>
          </w:tcPr>
          <w:p w14:paraId="5C153D6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0.0412***</w:t>
            </w:r>
          </w:p>
        </w:tc>
        <w:tc>
          <w:tcPr>
            <w:tcW w:w="1388" w:type="dxa"/>
            <w:tcBorders>
              <w:top w:val="nil"/>
              <w:left w:val="nil"/>
              <w:bottom w:val="nil"/>
              <w:right w:val="nil"/>
            </w:tcBorders>
            <w:vAlign w:val="center"/>
          </w:tcPr>
          <w:p w14:paraId="35E1985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0.0665***</w:t>
            </w:r>
          </w:p>
        </w:tc>
        <w:tc>
          <w:tcPr>
            <w:tcW w:w="1387" w:type="dxa"/>
            <w:tcBorders>
              <w:top w:val="nil"/>
              <w:left w:val="nil"/>
              <w:bottom w:val="nil"/>
              <w:right w:val="nil"/>
            </w:tcBorders>
            <w:vAlign w:val="center"/>
          </w:tcPr>
          <w:p w14:paraId="2A9D5DF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0.0810**</w:t>
            </w:r>
          </w:p>
        </w:tc>
        <w:tc>
          <w:tcPr>
            <w:tcW w:w="1388" w:type="dxa"/>
            <w:tcBorders>
              <w:top w:val="nil"/>
              <w:left w:val="nil"/>
              <w:bottom w:val="nil"/>
              <w:right w:val="nil"/>
            </w:tcBorders>
            <w:vAlign w:val="center"/>
          </w:tcPr>
          <w:p w14:paraId="722A1D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0.0550</w:t>
            </w:r>
          </w:p>
        </w:tc>
        <w:tc>
          <w:tcPr>
            <w:tcW w:w="1387" w:type="dxa"/>
            <w:tcBorders>
              <w:top w:val="nil"/>
              <w:left w:val="nil"/>
              <w:bottom w:val="nil"/>
              <w:right w:val="nil"/>
            </w:tcBorders>
            <w:vAlign w:val="center"/>
          </w:tcPr>
          <w:p w14:paraId="54AD2DE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0.0152</w:t>
            </w:r>
          </w:p>
        </w:tc>
        <w:tc>
          <w:tcPr>
            <w:tcW w:w="1388" w:type="dxa"/>
            <w:tcBorders>
              <w:top w:val="nil"/>
              <w:left w:val="nil"/>
              <w:bottom w:val="nil"/>
              <w:right w:val="nil"/>
            </w:tcBorders>
            <w:vAlign w:val="center"/>
          </w:tcPr>
          <w:p w14:paraId="12C6840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-0.0523</w:t>
            </w:r>
          </w:p>
        </w:tc>
        <w:tc>
          <w:tcPr>
            <w:tcW w:w="1387" w:type="dxa"/>
            <w:tcBorders>
              <w:top w:val="nil"/>
              <w:left w:val="nil"/>
              <w:bottom w:val="nil"/>
              <w:right w:val="nil"/>
            </w:tcBorders>
            <w:vAlign w:val="center"/>
          </w:tcPr>
          <w:p w14:paraId="64C3F89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-0.165</w:t>
            </w:r>
          </w:p>
        </w:tc>
        <w:tc>
          <w:tcPr>
            <w:tcW w:w="1388" w:type="dxa"/>
            <w:tcBorders>
              <w:top w:val="nil"/>
              <w:left w:val="nil"/>
              <w:bottom w:val="nil"/>
              <w:right w:val="nil"/>
            </w:tcBorders>
            <w:vAlign w:val="center"/>
          </w:tcPr>
          <w:p w14:paraId="4D241F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-0.218*</w:t>
            </w:r>
          </w:p>
        </w:tc>
      </w:tr>
      <w:tr w:rsidR="0064611C" w:rsidRPr="00F14751" w14:paraId="1F20A6B7" w14:textId="77777777" w:rsidTr="008607F7">
        <w:trPr>
          <w:jc w:val="center"/>
        </w:trPr>
        <w:tc>
          <w:tcPr>
            <w:tcW w:w="1768" w:type="dxa"/>
            <w:tcBorders>
              <w:top w:val="nil"/>
              <w:left w:val="nil"/>
              <w:bottom w:val="nil"/>
              <w:right w:val="nil"/>
            </w:tcBorders>
            <w:vAlign w:val="center"/>
          </w:tcPr>
          <w:p w14:paraId="1885513B"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4D8A107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(0.0877)</w:t>
            </w:r>
          </w:p>
        </w:tc>
        <w:tc>
          <w:tcPr>
            <w:tcW w:w="1388" w:type="dxa"/>
            <w:tcBorders>
              <w:top w:val="nil"/>
              <w:left w:val="nil"/>
              <w:bottom w:val="nil"/>
              <w:right w:val="nil"/>
            </w:tcBorders>
            <w:vAlign w:val="center"/>
          </w:tcPr>
          <w:p w14:paraId="44A74CE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(0.00688)</w:t>
            </w:r>
          </w:p>
        </w:tc>
        <w:tc>
          <w:tcPr>
            <w:tcW w:w="1387" w:type="dxa"/>
            <w:tcBorders>
              <w:top w:val="nil"/>
              <w:left w:val="nil"/>
              <w:bottom w:val="nil"/>
              <w:right w:val="nil"/>
            </w:tcBorders>
            <w:vAlign w:val="center"/>
          </w:tcPr>
          <w:p w14:paraId="613DE3F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(0.00653)</w:t>
            </w:r>
          </w:p>
        </w:tc>
        <w:tc>
          <w:tcPr>
            <w:tcW w:w="1388" w:type="dxa"/>
            <w:tcBorders>
              <w:top w:val="nil"/>
              <w:left w:val="nil"/>
              <w:bottom w:val="nil"/>
              <w:right w:val="nil"/>
            </w:tcBorders>
            <w:vAlign w:val="center"/>
          </w:tcPr>
          <w:p w14:paraId="1E5EDDA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(0.0103)</w:t>
            </w:r>
          </w:p>
        </w:tc>
        <w:tc>
          <w:tcPr>
            <w:tcW w:w="1387" w:type="dxa"/>
            <w:tcBorders>
              <w:top w:val="nil"/>
              <w:left w:val="nil"/>
              <w:bottom w:val="nil"/>
              <w:right w:val="nil"/>
            </w:tcBorders>
            <w:vAlign w:val="center"/>
          </w:tcPr>
          <w:p w14:paraId="386A63F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(0.0181)</w:t>
            </w:r>
          </w:p>
        </w:tc>
        <w:tc>
          <w:tcPr>
            <w:tcW w:w="1388" w:type="dxa"/>
            <w:tcBorders>
              <w:top w:val="nil"/>
              <w:left w:val="nil"/>
              <w:bottom w:val="nil"/>
              <w:right w:val="nil"/>
            </w:tcBorders>
            <w:vAlign w:val="center"/>
          </w:tcPr>
          <w:p w14:paraId="64894D0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(0.0376)</w:t>
            </w:r>
          </w:p>
        </w:tc>
        <w:tc>
          <w:tcPr>
            <w:tcW w:w="1387" w:type="dxa"/>
            <w:tcBorders>
              <w:top w:val="nil"/>
              <w:left w:val="nil"/>
              <w:bottom w:val="nil"/>
              <w:right w:val="nil"/>
            </w:tcBorders>
            <w:vAlign w:val="center"/>
          </w:tcPr>
          <w:p w14:paraId="025CC0A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(0.0612)</w:t>
            </w:r>
          </w:p>
        </w:tc>
        <w:tc>
          <w:tcPr>
            <w:tcW w:w="1388" w:type="dxa"/>
            <w:tcBorders>
              <w:top w:val="nil"/>
              <w:left w:val="nil"/>
              <w:bottom w:val="nil"/>
              <w:right w:val="nil"/>
            </w:tcBorders>
            <w:vAlign w:val="center"/>
          </w:tcPr>
          <w:p w14:paraId="3B57F94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(0.0413)</w:t>
            </w:r>
          </w:p>
        </w:tc>
        <w:tc>
          <w:tcPr>
            <w:tcW w:w="1387" w:type="dxa"/>
            <w:tcBorders>
              <w:top w:val="nil"/>
              <w:left w:val="nil"/>
              <w:bottom w:val="nil"/>
              <w:right w:val="nil"/>
            </w:tcBorders>
            <w:vAlign w:val="center"/>
          </w:tcPr>
          <w:p w14:paraId="3903B3A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(0.139)</w:t>
            </w:r>
          </w:p>
        </w:tc>
        <w:tc>
          <w:tcPr>
            <w:tcW w:w="1388" w:type="dxa"/>
            <w:tcBorders>
              <w:top w:val="nil"/>
              <w:left w:val="nil"/>
              <w:bottom w:val="nil"/>
              <w:right w:val="nil"/>
            </w:tcBorders>
            <w:vAlign w:val="center"/>
          </w:tcPr>
          <w:p w14:paraId="5E0FCC6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(0.101)</w:t>
            </w:r>
          </w:p>
        </w:tc>
      </w:tr>
      <w:tr w:rsidR="0064611C" w:rsidRPr="00F14751" w14:paraId="313AA4A4" w14:textId="77777777" w:rsidTr="008607F7">
        <w:trPr>
          <w:jc w:val="center"/>
        </w:trPr>
        <w:tc>
          <w:tcPr>
            <w:tcW w:w="1768" w:type="dxa"/>
            <w:tcBorders>
              <w:top w:val="nil"/>
              <w:left w:val="nil"/>
              <w:bottom w:val="nil"/>
              <w:right w:val="nil"/>
            </w:tcBorders>
            <w:vAlign w:val="center"/>
          </w:tcPr>
          <w:p w14:paraId="42A88F8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Privatizations</w:t>
            </w:r>
          </w:p>
        </w:tc>
        <w:tc>
          <w:tcPr>
            <w:tcW w:w="1387" w:type="dxa"/>
            <w:tcBorders>
              <w:top w:val="nil"/>
              <w:left w:val="nil"/>
              <w:bottom w:val="nil"/>
              <w:right w:val="nil"/>
            </w:tcBorders>
            <w:vAlign w:val="center"/>
          </w:tcPr>
          <w:p w14:paraId="5796E7B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0.00690</w:t>
            </w:r>
          </w:p>
        </w:tc>
        <w:tc>
          <w:tcPr>
            <w:tcW w:w="1388" w:type="dxa"/>
            <w:tcBorders>
              <w:top w:val="nil"/>
              <w:left w:val="nil"/>
              <w:bottom w:val="nil"/>
              <w:right w:val="nil"/>
            </w:tcBorders>
            <w:vAlign w:val="center"/>
          </w:tcPr>
          <w:p w14:paraId="5345124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0.00268</w:t>
            </w:r>
          </w:p>
        </w:tc>
        <w:tc>
          <w:tcPr>
            <w:tcW w:w="1387" w:type="dxa"/>
            <w:tcBorders>
              <w:top w:val="nil"/>
              <w:left w:val="nil"/>
              <w:bottom w:val="nil"/>
              <w:right w:val="nil"/>
            </w:tcBorders>
            <w:vAlign w:val="center"/>
          </w:tcPr>
          <w:p w14:paraId="1BDA243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0.00755*</w:t>
            </w:r>
          </w:p>
        </w:tc>
        <w:tc>
          <w:tcPr>
            <w:tcW w:w="1388" w:type="dxa"/>
            <w:tcBorders>
              <w:top w:val="nil"/>
              <w:left w:val="nil"/>
              <w:bottom w:val="nil"/>
              <w:right w:val="nil"/>
            </w:tcBorders>
            <w:vAlign w:val="center"/>
          </w:tcPr>
          <w:p w14:paraId="1AAC8C0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0.0102</w:t>
            </w:r>
          </w:p>
        </w:tc>
        <w:tc>
          <w:tcPr>
            <w:tcW w:w="1387" w:type="dxa"/>
            <w:tcBorders>
              <w:top w:val="nil"/>
              <w:left w:val="nil"/>
              <w:bottom w:val="nil"/>
              <w:right w:val="nil"/>
            </w:tcBorders>
            <w:vAlign w:val="center"/>
          </w:tcPr>
          <w:p w14:paraId="6884C2E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0.00756</w:t>
            </w:r>
          </w:p>
        </w:tc>
        <w:tc>
          <w:tcPr>
            <w:tcW w:w="1388" w:type="dxa"/>
            <w:tcBorders>
              <w:top w:val="nil"/>
              <w:left w:val="nil"/>
              <w:bottom w:val="nil"/>
              <w:right w:val="nil"/>
            </w:tcBorders>
            <w:vAlign w:val="center"/>
          </w:tcPr>
          <w:p w14:paraId="48361A5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-0.00940</w:t>
            </w:r>
          </w:p>
        </w:tc>
        <w:tc>
          <w:tcPr>
            <w:tcW w:w="1387" w:type="dxa"/>
            <w:tcBorders>
              <w:top w:val="nil"/>
              <w:left w:val="nil"/>
              <w:bottom w:val="nil"/>
              <w:right w:val="nil"/>
            </w:tcBorders>
            <w:vAlign w:val="center"/>
          </w:tcPr>
          <w:p w14:paraId="5E9E6B0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-0.0299</w:t>
            </w:r>
          </w:p>
        </w:tc>
        <w:tc>
          <w:tcPr>
            <w:tcW w:w="1388" w:type="dxa"/>
            <w:tcBorders>
              <w:top w:val="nil"/>
              <w:left w:val="nil"/>
              <w:bottom w:val="nil"/>
              <w:right w:val="nil"/>
            </w:tcBorders>
            <w:vAlign w:val="center"/>
          </w:tcPr>
          <w:p w14:paraId="7E7DC8E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-0.0276</w:t>
            </w:r>
          </w:p>
        </w:tc>
        <w:tc>
          <w:tcPr>
            <w:tcW w:w="1387" w:type="dxa"/>
            <w:tcBorders>
              <w:top w:val="nil"/>
              <w:left w:val="nil"/>
              <w:bottom w:val="nil"/>
              <w:right w:val="nil"/>
            </w:tcBorders>
            <w:vAlign w:val="center"/>
          </w:tcPr>
          <w:p w14:paraId="3A92524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0.0491</w:t>
            </w:r>
          </w:p>
        </w:tc>
        <w:tc>
          <w:tcPr>
            <w:tcW w:w="1388" w:type="dxa"/>
            <w:tcBorders>
              <w:top w:val="nil"/>
              <w:left w:val="nil"/>
              <w:bottom w:val="nil"/>
              <w:right w:val="nil"/>
            </w:tcBorders>
            <w:vAlign w:val="center"/>
          </w:tcPr>
          <w:p w14:paraId="1A6BB63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0.0215</w:t>
            </w:r>
          </w:p>
        </w:tc>
      </w:tr>
      <w:tr w:rsidR="0064611C" w:rsidRPr="00F14751" w14:paraId="7E3DAACE" w14:textId="77777777" w:rsidTr="008607F7">
        <w:trPr>
          <w:jc w:val="center"/>
        </w:trPr>
        <w:tc>
          <w:tcPr>
            <w:tcW w:w="1768" w:type="dxa"/>
            <w:tcBorders>
              <w:top w:val="nil"/>
              <w:left w:val="nil"/>
              <w:bottom w:val="nil"/>
              <w:right w:val="nil"/>
            </w:tcBorders>
            <w:vAlign w:val="center"/>
          </w:tcPr>
          <w:p w14:paraId="31CAEBB0"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50C09D0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(0.0527)</w:t>
            </w:r>
          </w:p>
        </w:tc>
        <w:tc>
          <w:tcPr>
            <w:tcW w:w="1388" w:type="dxa"/>
            <w:tcBorders>
              <w:top w:val="nil"/>
              <w:left w:val="nil"/>
              <w:bottom w:val="nil"/>
              <w:right w:val="nil"/>
            </w:tcBorders>
            <w:vAlign w:val="center"/>
          </w:tcPr>
          <w:p w14:paraId="0855B49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(0.00230)</w:t>
            </w:r>
          </w:p>
        </w:tc>
        <w:tc>
          <w:tcPr>
            <w:tcW w:w="1387" w:type="dxa"/>
            <w:tcBorders>
              <w:top w:val="nil"/>
              <w:left w:val="nil"/>
              <w:bottom w:val="nil"/>
              <w:right w:val="nil"/>
            </w:tcBorders>
            <w:vAlign w:val="center"/>
          </w:tcPr>
          <w:p w14:paraId="5AFDFFE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(0.00334)</w:t>
            </w:r>
          </w:p>
        </w:tc>
        <w:tc>
          <w:tcPr>
            <w:tcW w:w="1388" w:type="dxa"/>
            <w:tcBorders>
              <w:top w:val="nil"/>
              <w:left w:val="nil"/>
              <w:bottom w:val="nil"/>
              <w:right w:val="nil"/>
            </w:tcBorders>
            <w:vAlign w:val="center"/>
          </w:tcPr>
          <w:p w14:paraId="5D4E8B0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(0.00547)</w:t>
            </w:r>
          </w:p>
        </w:tc>
        <w:tc>
          <w:tcPr>
            <w:tcW w:w="1387" w:type="dxa"/>
            <w:tcBorders>
              <w:top w:val="nil"/>
              <w:left w:val="nil"/>
              <w:bottom w:val="nil"/>
              <w:right w:val="nil"/>
            </w:tcBorders>
            <w:vAlign w:val="center"/>
          </w:tcPr>
          <w:p w14:paraId="29390E3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(0.00932)</w:t>
            </w:r>
          </w:p>
        </w:tc>
        <w:tc>
          <w:tcPr>
            <w:tcW w:w="1388" w:type="dxa"/>
            <w:tcBorders>
              <w:top w:val="nil"/>
              <w:left w:val="nil"/>
              <w:bottom w:val="nil"/>
              <w:right w:val="nil"/>
            </w:tcBorders>
            <w:vAlign w:val="center"/>
          </w:tcPr>
          <w:p w14:paraId="0CE26EE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(0.0156)</w:t>
            </w:r>
          </w:p>
        </w:tc>
        <w:tc>
          <w:tcPr>
            <w:tcW w:w="1387" w:type="dxa"/>
            <w:tcBorders>
              <w:top w:val="nil"/>
              <w:left w:val="nil"/>
              <w:bottom w:val="nil"/>
              <w:right w:val="nil"/>
            </w:tcBorders>
            <w:vAlign w:val="center"/>
          </w:tcPr>
          <w:p w14:paraId="65C56C7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(0.0218)</w:t>
            </w:r>
          </w:p>
        </w:tc>
        <w:tc>
          <w:tcPr>
            <w:tcW w:w="1388" w:type="dxa"/>
            <w:tcBorders>
              <w:top w:val="nil"/>
              <w:left w:val="nil"/>
              <w:bottom w:val="nil"/>
              <w:right w:val="nil"/>
            </w:tcBorders>
            <w:vAlign w:val="center"/>
          </w:tcPr>
          <w:p w14:paraId="61DF9F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(0.0141)</w:t>
            </w:r>
          </w:p>
        </w:tc>
        <w:tc>
          <w:tcPr>
            <w:tcW w:w="1387" w:type="dxa"/>
            <w:tcBorders>
              <w:top w:val="nil"/>
              <w:left w:val="nil"/>
              <w:bottom w:val="nil"/>
              <w:right w:val="nil"/>
            </w:tcBorders>
            <w:vAlign w:val="center"/>
          </w:tcPr>
          <w:p w14:paraId="5AF0EC0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(0.0641)</w:t>
            </w:r>
          </w:p>
        </w:tc>
        <w:tc>
          <w:tcPr>
            <w:tcW w:w="1388" w:type="dxa"/>
            <w:tcBorders>
              <w:top w:val="nil"/>
              <w:left w:val="nil"/>
              <w:bottom w:val="nil"/>
              <w:right w:val="nil"/>
            </w:tcBorders>
            <w:vAlign w:val="center"/>
          </w:tcPr>
          <w:p w14:paraId="679C9C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(0.0503)</w:t>
            </w:r>
          </w:p>
        </w:tc>
      </w:tr>
      <w:tr w:rsidR="0064611C" w:rsidRPr="00F14751" w14:paraId="6F43D106" w14:textId="77777777" w:rsidTr="008607F7">
        <w:trPr>
          <w:jc w:val="center"/>
        </w:trPr>
        <w:tc>
          <w:tcPr>
            <w:tcW w:w="1768" w:type="dxa"/>
            <w:tcBorders>
              <w:top w:val="nil"/>
              <w:left w:val="nil"/>
              <w:bottom w:val="nil"/>
              <w:right w:val="nil"/>
            </w:tcBorders>
            <w:vAlign w:val="center"/>
          </w:tcPr>
          <w:p w14:paraId="1ECE9833"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Labor</w:t>
            </w:r>
          </w:p>
        </w:tc>
        <w:tc>
          <w:tcPr>
            <w:tcW w:w="1387" w:type="dxa"/>
            <w:tcBorders>
              <w:top w:val="nil"/>
              <w:left w:val="nil"/>
              <w:bottom w:val="nil"/>
              <w:right w:val="nil"/>
            </w:tcBorders>
            <w:vAlign w:val="center"/>
          </w:tcPr>
          <w:p w14:paraId="76B19DA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0.270</w:t>
            </w:r>
          </w:p>
        </w:tc>
        <w:tc>
          <w:tcPr>
            <w:tcW w:w="1388" w:type="dxa"/>
            <w:tcBorders>
              <w:top w:val="nil"/>
              <w:left w:val="nil"/>
              <w:bottom w:val="nil"/>
              <w:right w:val="nil"/>
            </w:tcBorders>
            <w:vAlign w:val="center"/>
          </w:tcPr>
          <w:p w14:paraId="16F9708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0.0390</w:t>
            </w:r>
          </w:p>
        </w:tc>
        <w:tc>
          <w:tcPr>
            <w:tcW w:w="1387" w:type="dxa"/>
            <w:tcBorders>
              <w:top w:val="nil"/>
              <w:left w:val="nil"/>
              <w:bottom w:val="nil"/>
              <w:right w:val="nil"/>
            </w:tcBorders>
            <w:vAlign w:val="center"/>
          </w:tcPr>
          <w:p w14:paraId="7A5DA2C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-0.0175</w:t>
            </w:r>
          </w:p>
        </w:tc>
        <w:tc>
          <w:tcPr>
            <w:tcW w:w="1388" w:type="dxa"/>
            <w:tcBorders>
              <w:top w:val="nil"/>
              <w:left w:val="nil"/>
              <w:bottom w:val="nil"/>
              <w:right w:val="nil"/>
            </w:tcBorders>
            <w:vAlign w:val="center"/>
          </w:tcPr>
          <w:p w14:paraId="7539D88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0.0215</w:t>
            </w:r>
          </w:p>
        </w:tc>
        <w:tc>
          <w:tcPr>
            <w:tcW w:w="1387" w:type="dxa"/>
            <w:tcBorders>
              <w:top w:val="nil"/>
              <w:left w:val="nil"/>
              <w:bottom w:val="nil"/>
              <w:right w:val="nil"/>
            </w:tcBorders>
            <w:vAlign w:val="center"/>
          </w:tcPr>
          <w:p w14:paraId="473463D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-0.102</w:t>
            </w:r>
          </w:p>
        </w:tc>
        <w:tc>
          <w:tcPr>
            <w:tcW w:w="1388" w:type="dxa"/>
            <w:tcBorders>
              <w:top w:val="nil"/>
              <w:left w:val="nil"/>
              <w:bottom w:val="nil"/>
              <w:right w:val="nil"/>
            </w:tcBorders>
            <w:vAlign w:val="center"/>
          </w:tcPr>
          <w:p w14:paraId="3FE652B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-0.0953</w:t>
            </w:r>
          </w:p>
        </w:tc>
        <w:tc>
          <w:tcPr>
            <w:tcW w:w="1387" w:type="dxa"/>
            <w:tcBorders>
              <w:top w:val="nil"/>
              <w:left w:val="nil"/>
              <w:bottom w:val="nil"/>
              <w:right w:val="nil"/>
            </w:tcBorders>
            <w:vAlign w:val="center"/>
          </w:tcPr>
          <w:p w14:paraId="020038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-0.116</w:t>
            </w:r>
          </w:p>
        </w:tc>
        <w:tc>
          <w:tcPr>
            <w:tcW w:w="1388" w:type="dxa"/>
            <w:tcBorders>
              <w:top w:val="nil"/>
              <w:left w:val="nil"/>
              <w:bottom w:val="nil"/>
              <w:right w:val="nil"/>
            </w:tcBorders>
            <w:vAlign w:val="center"/>
          </w:tcPr>
          <w:p w14:paraId="5D7546C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-0.0207</w:t>
            </w:r>
          </w:p>
        </w:tc>
        <w:tc>
          <w:tcPr>
            <w:tcW w:w="1387" w:type="dxa"/>
            <w:tcBorders>
              <w:top w:val="nil"/>
              <w:left w:val="nil"/>
              <w:bottom w:val="nil"/>
              <w:right w:val="nil"/>
            </w:tcBorders>
            <w:vAlign w:val="center"/>
          </w:tcPr>
          <w:p w14:paraId="77298B3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0.312</w:t>
            </w:r>
          </w:p>
        </w:tc>
        <w:tc>
          <w:tcPr>
            <w:tcW w:w="1388" w:type="dxa"/>
            <w:tcBorders>
              <w:top w:val="nil"/>
              <w:left w:val="nil"/>
              <w:bottom w:val="nil"/>
              <w:right w:val="nil"/>
            </w:tcBorders>
            <w:vAlign w:val="center"/>
          </w:tcPr>
          <w:p w14:paraId="0FCE0FE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0.291</w:t>
            </w:r>
          </w:p>
        </w:tc>
      </w:tr>
      <w:tr w:rsidR="0064611C" w:rsidRPr="00F14751" w14:paraId="747E1AF1" w14:textId="77777777" w:rsidTr="008607F7">
        <w:trPr>
          <w:jc w:val="center"/>
        </w:trPr>
        <w:tc>
          <w:tcPr>
            <w:tcW w:w="1768" w:type="dxa"/>
            <w:tcBorders>
              <w:top w:val="nil"/>
              <w:left w:val="nil"/>
              <w:bottom w:val="nil"/>
              <w:right w:val="nil"/>
            </w:tcBorders>
            <w:vAlign w:val="center"/>
          </w:tcPr>
          <w:p w14:paraId="17B6CC6B"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5ACCD47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(0.275)</w:t>
            </w:r>
          </w:p>
        </w:tc>
        <w:tc>
          <w:tcPr>
            <w:tcW w:w="1388" w:type="dxa"/>
            <w:tcBorders>
              <w:top w:val="nil"/>
              <w:left w:val="nil"/>
              <w:bottom w:val="nil"/>
              <w:right w:val="nil"/>
            </w:tcBorders>
            <w:vAlign w:val="center"/>
          </w:tcPr>
          <w:p w14:paraId="7EFF26B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(0.0395)</w:t>
            </w:r>
          </w:p>
        </w:tc>
        <w:tc>
          <w:tcPr>
            <w:tcW w:w="1387" w:type="dxa"/>
            <w:tcBorders>
              <w:top w:val="nil"/>
              <w:left w:val="nil"/>
              <w:bottom w:val="nil"/>
              <w:right w:val="nil"/>
            </w:tcBorders>
            <w:vAlign w:val="center"/>
          </w:tcPr>
          <w:p w14:paraId="1D7D9D7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(0.0455)</w:t>
            </w:r>
          </w:p>
        </w:tc>
        <w:tc>
          <w:tcPr>
            <w:tcW w:w="1388" w:type="dxa"/>
            <w:tcBorders>
              <w:top w:val="nil"/>
              <w:left w:val="nil"/>
              <w:bottom w:val="nil"/>
              <w:right w:val="nil"/>
            </w:tcBorders>
            <w:vAlign w:val="center"/>
          </w:tcPr>
          <w:p w14:paraId="770DB2D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(0.0777)</w:t>
            </w:r>
          </w:p>
        </w:tc>
        <w:tc>
          <w:tcPr>
            <w:tcW w:w="1387" w:type="dxa"/>
            <w:tcBorders>
              <w:top w:val="nil"/>
              <w:left w:val="nil"/>
              <w:bottom w:val="nil"/>
              <w:right w:val="nil"/>
            </w:tcBorders>
            <w:vAlign w:val="center"/>
          </w:tcPr>
          <w:p w14:paraId="6393DF0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(0.0710)</w:t>
            </w:r>
          </w:p>
        </w:tc>
        <w:tc>
          <w:tcPr>
            <w:tcW w:w="1388" w:type="dxa"/>
            <w:tcBorders>
              <w:top w:val="nil"/>
              <w:left w:val="nil"/>
              <w:bottom w:val="nil"/>
              <w:right w:val="nil"/>
            </w:tcBorders>
            <w:vAlign w:val="center"/>
          </w:tcPr>
          <w:p w14:paraId="3AE06E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(0.104)</w:t>
            </w:r>
          </w:p>
        </w:tc>
        <w:tc>
          <w:tcPr>
            <w:tcW w:w="1387" w:type="dxa"/>
            <w:tcBorders>
              <w:top w:val="nil"/>
              <w:left w:val="nil"/>
              <w:bottom w:val="nil"/>
              <w:right w:val="nil"/>
            </w:tcBorders>
            <w:vAlign w:val="center"/>
          </w:tcPr>
          <w:p w14:paraId="4EEEC11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(0.142)</w:t>
            </w:r>
          </w:p>
        </w:tc>
        <w:tc>
          <w:tcPr>
            <w:tcW w:w="1388" w:type="dxa"/>
            <w:tcBorders>
              <w:top w:val="nil"/>
              <w:left w:val="nil"/>
              <w:bottom w:val="nil"/>
              <w:right w:val="nil"/>
            </w:tcBorders>
            <w:vAlign w:val="center"/>
          </w:tcPr>
          <w:p w14:paraId="38731B1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(0.100)</w:t>
            </w:r>
          </w:p>
        </w:tc>
        <w:tc>
          <w:tcPr>
            <w:tcW w:w="1387" w:type="dxa"/>
            <w:tcBorders>
              <w:top w:val="nil"/>
              <w:left w:val="nil"/>
              <w:bottom w:val="nil"/>
              <w:right w:val="nil"/>
            </w:tcBorders>
            <w:vAlign w:val="center"/>
          </w:tcPr>
          <w:p w14:paraId="32E281D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(0.356)</w:t>
            </w:r>
          </w:p>
        </w:tc>
        <w:tc>
          <w:tcPr>
            <w:tcW w:w="1388" w:type="dxa"/>
            <w:tcBorders>
              <w:top w:val="nil"/>
              <w:left w:val="nil"/>
              <w:bottom w:val="nil"/>
              <w:right w:val="nil"/>
            </w:tcBorders>
            <w:vAlign w:val="center"/>
          </w:tcPr>
          <w:p w14:paraId="369B079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(0.278)</w:t>
            </w:r>
          </w:p>
        </w:tc>
      </w:tr>
      <w:tr w:rsidR="0064611C" w:rsidRPr="00F14751" w14:paraId="009D10AA" w14:textId="77777777" w:rsidTr="008607F7">
        <w:trPr>
          <w:jc w:val="center"/>
        </w:trPr>
        <w:tc>
          <w:tcPr>
            <w:tcW w:w="1768" w:type="dxa"/>
            <w:tcBorders>
              <w:top w:val="nil"/>
              <w:left w:val="nil"/>
              <w:bottom w:val="nil"/>
              <w:right w:val="nil"/>
            </w:tcBorders>
            <w:vAlign w:val="center"/>
          </w:tcPr>
          <w:p w14:paraId="24DC848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Polity</w:t>
            </w:r>
          </w:p>
        </w:tc>
        <w:tc>
          <w:tcPr>
            <w:tcW w:w="1387" w:type="dxa"/>
            <w:tcBorders>
              <w:top w:val="nil"/>
              <w:left w:val="nil"/>
              <w:bottom w:val="nil"/>
              <w:right w:val="nil"/>
            </w:tcBorders>
            <w:vAlign w:val="center"/>
          </w:tcPr>
          <w:p w14:paraId="3AD4844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-0.577</w:t>
            </w:r>
          </w:p>
        </w:tc>
        <w:tc>
          <w:tcPr>
            <w:tcW w:w="1388" w:type="dxa"/>
            <w:tcBorders>
              <w:top w:val="nil"/>
              <w:left w:val="nil"/>
              <w:bottom w:val="nil"/>
              <w:right w:val="nil"/>
            </w:tcBorders>
            <w:vAlign w:val="center"/>
          </w:tcPr>
          <w:p w14:paraId="05E2BCA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0.0651</w:t>
            </w:r>
          </w:p>
        </w:tc>
        <w:tc>
          <w:tcPr>
            <w:tcW w:w="1387" w:type="dxa"/>
            <w:tcBorders>
              <w:top w:val="nil"/>
              <w:left w:val="nil"/>
              <w:bottom w:val="nil"/>
              <w:right w:val="nil"/>
            </w:tcBorders>
            <w:vAlign w:val="center"/>
          </w:tcPr>
          <w:p w14:paraId="666D3DD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0.0321</w:t>
            </w:r>
          </w:p>
        </w:tc>
        <w:tc>
          <w:tcPr>
            <w:tcW w:w="1388" w:type="dxa"/>
            <w:tcBorders>
              <w:top w:val="nil"/>
              <w:left w:val="nil"/>
              <w:bottom w:val="nil"/>
              <w:right w:val="nil"/>
            </w:tcBorders>
            <w:vAlign w:val="center"/>
          </w:tcPr>
          <w:p w14:paraId="07EA711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0.0972</w:t>
            </w:r>
          </w:p>
        </w:tc>
        <w:tc>
          <w:tcPr>
            <w:tcW w:w="1387" w:type="dxa"/>
            <w:tcBorders>
              <w:top w:val="nil"/>
              <w:left w:val="nil"/>
              <w:bottom w:val="nil"/>
              <w:right w:val="nil"/>
            </w:tcBorders>
            <w:vAlign w:val="center"/>
          </w:tcPr>
          <w:p w14:paraId="48026A1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0.113</w:t>
            </w:r>
          </w:p>
        </w:tc>
        <w:tc>
          <w:tcPr>
            <w:tcW w:w="1388" w:type="dxa"/>
            <w:tcBorders>
              <w:top w:val="nil"/>
              <w:left w:val="nil"/>
              <w:bottom w:val="nil"/>
              <w:right w:val="nil"/>
            </w:tcBorders>
            <w:vAlign w:val="center"/>
          </w:tcPr>
          <w:p w14:paraId="1FAC8DD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0.207</w:t>
            </w:r>
          </w:p>
        </w:tc>
        <w:tc>
          <w:tcPr>
            <w:tcW w:w="1387" w:type="dxa"/>
            <w:tcBorders>
              <w:top w:val="nil"/>
              <w:left w:val="nil"/>
              <w:bottom w:val="nil"/>
              <w:right w:val="nil"/>
            </w:tcBorders>
            <w:vAlign w:val="center"/>
          </w:tcPr>
          <w:p w14:paraId="39C9F4E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0.0917</w:t>
            </w:r>
          </w:p>
        </w:tc>
        <w:tc>
          <w:tcPr>
            <w:tcW w:w="1388" w:type="dxa"/>
            <w:tcBorders>
              <w:top w:val="nil"/>
              <w:left w:val="nil"/>
              <w:bottom w:val="nil"/>
              <w:right w:val="nil"/>
            </w:tcBorders>
            <w:vAlign w:val="center"/>
          </w:tcPr>
          <w:p w14:paraId="13C60C0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-0.00201</w:t>
            </w:r>
          </w:p>
        </w:tc>
        <w:tc>
          <w:tcPr>
            <w:tcW w:w="1387" w:type="dxa"/>
            <w:tcBorders>
              <w:top w:val="nil"/>
              <w:left w:val="nil"/>
              <w:bottom w:val="nil"/>
              <w:right w:val="nil"/>
            </w:tcBorders>
            <w:vAlign w:val="center"/>
          </w:tcPr>
          <w:p w14:paraId="2FC9346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-0.507</w:t>
            </w:r>
          </w:p>
        </w:tc>
        <w:tc>
          <w:tcPr>
            <w:tcW w:w="1388" w:type="dxa"/>
            <w:tcBorders>
              <w:top w:val="nil"/>
              <w:left w:val="nil"/>
              <w:bottom w:val="nil"/>
              <w:right w:val="nil"/>
            </w:tcBorders>
            <w:vAlign w:val="center"/>
          </w:tcPr>
          <w:p w14:paraId="54EC19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-0.509</w:t>
            </w:r>
          </w:p>
        </w:tc>
      </w:tr>
      <w:tr w:rsidR="0064611C" w:rsidRPr="00F14751" w14:paraId="241C15FF" w14:textId="77777777" w:rsidTr="008607F7">
        <w:trPr>
          <w:jc w:val="center"/>
        </w:trPr>
        <w:tc>
          <w:tcPr>
            <w:tcW w:w="1768" w:type="dxa"/>
            <w:tcBorders>
              <w:top w:val="nil"/>
              <w:left w:val="nil"/>
              <w:bottom w:val="nil"/>
              <w:right w:val="nil"/>
            </w:tcBorders>
            <w:vAlign w:val="center"/>
          </w:tcPr>
          <w:p w14:paraId="2495067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0425489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(0.470)</w:t>
            </w:r>
          </w:p>
        </w:tc>
        <w:tc>
          <w:tcPr>
            <w:tcW w:w="1388" w:type="dxa"/>
            <w:tcBorders>
              <w:top w:val="nil"/>
              <w:left w:val="nil"/>
              <w:bottom w:val="nil"/>
              <w:right w:val="nil"/>
            </w:tcBorders>
            <w:vAlign w:val="center"/>
          </w:tcPr>
          <w:p w14:paraId="255D990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(0.0554)</w:t>
            </w:r>
          </w:p>
        </w:tc>
        <w:tc>
          <w:tcPr>
            <w:tcW w:w="1387" w:type="dxa"/>
            <w:tcBorders>
              <w:top w:val="nil"/>
              <w:left w:val="nil"/>
              <w:bottom w:val="nil"/>
              <w:right w:val="nil"/>
            </w:tcBorders>
            <w:vAlign w:val="center"/>
          </w:tcPr>
          <w:p w14:paraId="12C4D2D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(0.0866)</w:t>
            </w:r>
          </w:p>
        </w:tc>
        <w:tc>
          <w:tcPr>
            <w:tcW w:w="1388" w:type="dxa"/>
            <w:tcBorders>
              <w:top w:val="nil"/>
              <w:left w:val="nil"/>
              <w:bottom w:val="nil"/>
              <w:right w:val="nil"/>
            </w:tcBorders>
            <w:vAlign w:val="center"/>
          </w:tcPr>
          <w:p w14:paraId="23DA294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(0.141)</w:t>
            </w:r>
          </w:p>
        </w:tc>
        <w:tc>
          <w:tcPr>
            <w:tcW w:w="1387" w:type="dxa"/>
            <w:tcBorders>
              <w:top w:val="nil"/>
              <w:left w:val="nil"/>
              <w:bottom w:val="nil"/>
              <w:right w:val="nil"/>
            </w:tcBorders>
            <w:vAlign w:val="center"/>
          </w:tcPr>
          <w:p w14:paraId="036EB22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(0.149)</w:t>
            </w:r>
          </w:p>
        </w:tc>
        <w:tc>
          <w:tcPr>
            <w:tcW w:w="1388" w:type="dxa"/>
            <w:tcBorders>
              <w:top w:val="nil"/>
              <w:left w:val="nil"/>
              <w:bottom w:val="nil"/>
              <w:right w:val="nil"/>
            </w:tcBorders>
            <w:vAlign w:val="center"/>
          </w:tcPr>
          <w:p w14:paraId="48B5F93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(0.116)</w:t>
            </w:r>
          </w:p>
        </w:tc>
        <w:tc>
          <w:tcPr>
            <w:tcW w:w="1387" w:type="dxa"/>
            <w:tcBorders>
              <w:top w:val="nil"/>
              <w:left w:val="nil"/>
              <w:bottom w:val="nil"/>
              <w:right w:val="nil"/>
            </w:tcBorders>
            <w:vAlign w:val="center"/>
          </w:tcPr>
          <w:p w14:paraId="0827AB0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(0.0503)</w:t>
            </w:r>
          </w:p>
        </w:tc>
        <w:tc>
          <w:tcPr>
            <w:tcW w:w="1388" w:type="dxa"/>
            <w:tcBorders>
              <w:top w:val="nil"/>
              <w:left w:val="nil"/>
              <w:bottom w:val="nil"/>
              <w:right w:val="nil"/>
            </w:tcBorders>
            <w:vAlign w:val="center"/>
          </w:tcPr>
          <w:p w14:paraId="74D8480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(0.107)</w:t>
            </w:r>
          </w:p>
        </w:tc>
        <w:tc>
          <w:tcPr>
            <w:tcW w:w="1387" w:type="dxa"/>
            <w:tcBorders>
              <w:top w:val="nil"/>
              <w:left w:val="nil"/>
              <w:bottom w:val="nil"/>
              <w:right w:val="nil"/>
            </w:tcBorders>
            <w:vAlign w:val="center"/>
          </w:tcPr>
          <w:p w14:paraId="2850791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(0.243)</w:t>
            </w:r>
          </w:p>
        </w:tc>
        <w:tc>
          <w:tcPr>
            <w:tcW w:w="1388" w:type="dxa"/>
            <w:tcBorders>
              <w:top w:val="nil"/>
              <w:left w:val="nil"/>
              <w:bottom w:val="nil"/>
              <w:right w:val="nil"/>
            </w:tcBorders>
            <w:vAlign w:val="center"/>
          </w:tcPr>
          <w:p w14:paraId="3241DF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(0.345)</w:t>
            </w:r>
          </w:p>
        </w:tc>
      </w:tr>
      <w:tr w:rsidR="0064611C" w:rsidRPr="00F14751" w14:paraId="74C8A260" w14:textId="77777777" w:rsidTr="008607F7">
        <w:trPr>
          <w:jc w:val="center"/>
        </w:trPr>
        <w:tc>
          <w:tcPr>
            <w:tcW w:w="1768" w:type="dxa"/>
            <w:tcBorders>
              <w:top w:val="nil"/>
              <w:left w:val="nil"/>
              <w:bottom w:val="nil"/>
              <w:right w:val="nil"/>
            </w:tcBorders>
            <w:vAlign w:val="center"/>
          </w:tcPr>
          <w:p w14:paraId="64849E2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GDP</w:t>
            </w:r>
          </w:p>
        </w:tc>
        <w:tc>
          <w:tcPr>
            <w:tcW w:w="1387" w:type="dxa"/>
            <w:tcBorders>
              <w:top w:val="nil"/>
              <w:left w:val="nil"/>
              <w:bottom w:val="nil"/>
              <w:right w:val="nil"/>
            </w:tcBorders>
            <w:vAlign w:val="center"/>
          </w:tcPr>
          <w:p w14:paraId="4EB3C85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0.236***</w:t>
            </w:r>
          </w:p>
        </w:tc>
        <w:tc>
          <w:tcPr>
            <w:tcW w:w="1388" w:type="dxa"/>
            <w:tcBorders>
              <w:top w:val="nil"/>
              <w:left w:val="nil"/>
              <w:bottom w:val="nil"/>
              <w:right w:val="nil"/>
            </w:tcBorders>
            <w:vAlign w:val="center"/>
          </w:tcPr>
          <w:p w14:paraId="621A3FD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-0.0158</w:t>
            </w:r>
          </w:p>
        </w:tc>
        <w:tc>
          <w:tcPr>
            <w:tcW w:w="1387" w:type="dxa"/>
            <w:tcBorders>
              <w:top w:val="nil"/>
              <w:left w:val="nil"/>
              <w:bottom w:val="nil"/>
              <w:right w:val="nil"/>
            </w:tcBorders>
            <w:vAlign w:val="center"/>
          </w:tcPr>
          <w:p w14:paraId="24112E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-0.0310**</w:t>
            </w:r>
          </w:p>
        </w:tc>
        <w:tc>
          <w:tcPr>
            <w:tcW w:w="1388" w:type="dxa"/>
            <w:tcBorders>
              <w:top w:val="nil"/>
              <w:left w:val="nil"/>
              <w:bottom w:val="nil"/>
              <w:right w:val="nil"/>
            </w:tcBorders>
            <w:vAlign w:val="center"/>
          </w:tcPr>
          <w:p w14:paraId="42383C1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-0.0468**</w:t>
            </w:r>
          </w:p>
        </w:tc>
        <w:tc>
          <w:tcPr>
            <w:tcW w:w="1387" w:type="dxa"/>
            <w:tcBorders>
              <w:top w:val="nil"/>
              <w:left w:val="nil"/>
              <w:bottom w:val="nil"/>
              <w:right w:val="nil"/>
            </w:tcBorders>
            <w:vAlign w:val="center"/>
          </w:tcPr>
          <w:p w14:paraId="02666D1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-0.0656***</w:t>
            </w:r>
          </w:p>
        </w:tc>
        <w:tc>
          <w:tcPr>
            <w:tcW w:w="1388" w:type="dxa"/>
            <w:tcBorders>
              <w:top w:val="nil"/>
              <w:left w:val="nil"/>
              <w:bottom w:val="nil"/>
              <w:right w:val="nil"/>
            </w:tcBorders>
            <w:vAlign w:val="center"/>
          </w:tcPr>
          <w:p w14:paraId="2E73D55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-0.0624**</w:t>
            </w:r>
          </w:p>
        </w:tc>
        <w:tc>
          <w:tcPr>
            <w:tcW w:w="1387" w:type="dxa"/>
            <w:tcBorders>
              <w:top w:val="nil"/>
              <w:left w:val="nil"/>
              <w:bottom w:val="nil"/>
              <w:right w:val="nil"/>
            </w:tcBorders>
            <w:vAlign w:val="center"/>
          </w:tcPr>
          <w:p w14:paraId="2CCB1C4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-0.0344</w:t>
            </w:r>
          </w:p>
        </w:tc>
        <w:tc>
          <w:tcPr>
            <w:tcW w:w="1388" w:type="dxa"/>
            <w:tcBorders>
              <w:top w:val="nil"/>
              <w:left w:val="nil"/>
              <w:bottom w:val="nil"/>
              <w:right w:val="nil"/>
            </w:tcBorders>
            <w:vAlign w:val="center"/>
          </w:tcPr>
          <w:p w14:paraId="0707D15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0.0298</w:t>
            </w:r>
          </w:p>
        </w:tc>
        <w:tc>
          <w:tcPr>
            <w:tcW w:w="1387" w:type="dxa"/>
            <w:tcBorders>
              <w:top w:val="nil"/>
              <w:left w:val="nil"/>
              <w:bottom w:val="nil"/>
              <w:right w:val="nil"/>
            </w:tcBorders>
            <w:vAlign w:val="center"/>
          </w:tcPr>
          <w:p w14:paraId="51F5D2E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0.180*</w:t>
            </w:r>
          </w:p>
        </w:tc>
        <w:tc>
          <w:tcPr>
            <w:tcW w:w="1388" w:type="dxa"/>
            <w:tcBorders>
              <w:top w:val="nil"/>
              <w:left w:val="nil"/>
              <w:bottom w:val="nil"/>
              <w:right w:val="nil"/>
            </w:tcBorders>
            <w:vAlign w:val="center"/>
          </w:tcPr>
          <w:p w14:paraId="5EA82CB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0.209***</w:t>
            </w:r>
          </w:p>
        </w:tc>
      </w:tr>
      <w:tr w:rsidR="0064611C" w:rsidRPr="00F14751" w14:paraId="2D69D647" w14:textId="77777777" w:rsidTr="008607F7">
        <w:trPr>
          <w:jc w:val="center"/>
        </w:trPr>
        <w:tc>
          <w:tcPr>
            <w:tcW w:w="1768" w:type="dxa"/>
            <w:tcBorders>
              <w:top w:val="nil"/>
              <w:left w:val="nil"/>
              <w:bottom w:val="nil"/>
              <w:right w:val="nil"/>
            </w:tcBorders>
            <w:vAlign w:val="center"/>
          </w:tcPr>
          <w:p w14:paraId="500A2FA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31D3711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(0.0396)</w:t>
            </w:r>
          </w:p>
        </w:tc>
        <w:tc>
          <w:tcPr>
            <w:tcW w:w="1388" w:type="dxa"/>
            <w:tcBorders>
              <w:top w:val="nil"/>
              <w:left w:val="nil"/>
              <w:bottom w:val="nil"/>
              <w:right w:val="nil"/>
            </w:tcBorders>
            <w:vAlign w:val="center"/>
          </w:tcPr>
          <w:p w14:paraId="17A63B2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(0.00866)</w:t>
            </w:r>
          </w:p>
        </w:tc>
        <w:tc>
          <w:tcPr>
            <w:tcW w:w="1387" w:type="dxa"/>
            <w:tcBorders>
              <w:top w:val="nil"/>
              <w:left w:val="nil"/>
              <w:bottom w:val="nil"/>
              <w:right w:val="nil"/>
            </w:tcBorders>
            <w:vAlign w:val="center"/>
          </w:tcPr>
          <w:p w14:paraId="5F37F8B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(0.00911)</w:t>
            </w:r>
          </w:p>
        </w:tc>
        <w:tc>
          <w:tcPr>
            <w:tcW w:w="1388" w:type="dxa"/>
            <w:tcBorders>
              <w:top w:val="nil"/>
              <w:left w:val="nil"/>
              <w:bottom w:val="nil"/>
              <w:right w:val="nil"/>
            </w:tcBorders>
            <w:vAlign w:val="center"/>
          </w:tcPr>
          <w:p w14:paraId="014CA0F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(0.0156)</w:t>
            </w:r>
          </w:p>
        </w:tc>
        <w:tc>
          <w:tcPr>
            <w:tcW w:w="1387" w:type="dxa"/>
            <w:tcBorders>
              <w:top w:val="nil"/>
              <w:left w:val="nil"/>
              <w:bottom w:val="nil"/>
              <w:right w:val="nil"/>
            </w:tcBorders>
            <w:vAlign w:val="center"/>
          </w:tcPr>
          <w:p w14:paraId="73C8684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(0.0106)</w:t>
            </w:r>
          </w:p>
        </w:tc>
        <w:tc>
          <w:tcPr>
            <w:tcW w:w="1388" w:type="dxa"/>
            <w:tcBorders>
              <w:top w:val="nil"/>
              <w:left w:val="nil"/>
              <w:bottom w:val="nil"/>
              <w:right w:val="nil"/>
            </w:tcBorders>
            <w:vAlign w:val="center"/>
          </w:tcPr>
          <w:p w14:paraId="6A54E38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(0.0162)</w:t>
            </w:r>
          </w:p>
        </w:tc>
        <w:tc>
          <w:tcPr>
            <w:tcW w:w="1387" w:type="dxa"/>
            <w:tcBorders>
              <w:top w:val="nil"/>
              <w:left w:val="nil"/>
              <w:bottom w:val="nil"/>
              <w:right w:val="nil"/>
            </w:tcBorders>
            <w:vAlign w:val="center"/>
          </w:tcPr>
          <w:p w14:paraId="55AA7E5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(0.0373)</w:t>
            </w:r>
          </w:p>
        </w:tc>
        <w:tc>
          <w:tcPr>
            <w:tcW w:w="1388" w:type="dxa"/>
            <w:tcBorders>
              <w:top w:val="nil"/>
              <w:left w:val="nil"/>
              <w:bottom w:val="nil"/>
              <w:right w:val="nil"/>
            </w:tcBorders>
            <w:vAlign w:val="center"/>
          </w:tcPr>
          <w:p w14:paraId="08BE0C4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(0.0286)</w:t>
            </w:r>
          </w:p>
        </w:tc>
        <w:tc>
          <w:tcPr>
            <w:tcW w:w="1387" w:type="dxa"/>
            <w:tcBorders>
              <w:top w:val="nil"/>
              <w:left w:val="nil"/>
              <w:bottom w:val="nil"/>
              <w:right w:val="nil"/>
            </w:tcBorders>
            <w:vAlign w:val="center"/>
          </w:tcPr>
          <w:p w14:paraId="7DE9C18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(0.0712)</w:t>
            </w:r>
          </w:p>
        </w:tc>
        <w:tc>
          <w:tcPr>
            <w:tcW w:w="1388" w:type="dxa"/>
            <w:tcBorders>
              <w:top w:val="nil"/>
              <w:left w:val="nil"/>
              <w:bottom w:val="nil"/>
              <w:right w:val="nil"/>
            </w:tcBorders>
            <w:vAlign w:val="center"/>
          </w:tcPr>
          <w:p w14:paraId="0BB1572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(0.0446)</w:t>
            </w:r>
          </w:p>
        </w:tc>
      </w:tr>
      <w:tr w:rsidR="0064611C" w:rsidRPr="00F14751" w14:paraId="75F039FA" w14:textId="77777777" w:rsidTr="008607F7">
        <w:trPr>
          <w:jc w:val="center"/>
        </w:trPr>
        <w:tc>
          <w:tcPr>
            <w:tcW w:w="1768" w:type="dxa"/>
            <w:tcBorders>
              <w:top w:val="nil"/>
              <w:left w:val="nil"/>
              <w:bottom w:val="nil"/>
              <w:right w:val="nil"/>
            </w:tcBorders>
            <w:vAlign w:val="center"/>
          </w:tcPr>
          <w:p w14:paraId="504E2A7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roofErr w:type="spellStart"/>
            <w:r w:rsidRPr="00F14751">
              <w:rPr>
                <w:rFonts w:ascii="Times New Roman" w:hAnsi="Times New Roman" w:cs="Times New Roman"/>
                <w:sz w:val="18"/>
                <w:szCs w:val="20"/>
              </w:rPr>
              <w:t>GDPgrowth</w:t>
            </w:r>
            <w:proofErr w:type="spellEnd"/>
          </w:p>
        </w:tc>
        <w:tc>
          <w:tcPr>
            <w:tcW w:w="1387" w:type="dxa"/>
            <w:tcBorders>
              <w:top w:val="nil"/>
              <w:left w:val="nil"/>
              <w:bottom w:val="nil"/>
              <w:right w:val="nil"/>
            </w:tcBorders>
            <w:vAlign w:val="center"/>
          </w:tcPr>
          <w:p w14:paraId="61C0452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0.0822</w:t>
            </w:r>
          </w:p>
        </w:tc>
        <w:tc>
          <w:tcPr>
            <w:tcW w:w="1388" w:type="dxa"/>
            <w:tcBorders>
              <w:top w:val="nil"/>
              <w:left w:val="nil"/>
              <w:bottom w:val="nil"/>
              <w:right w:val="nil"/>
            </w:tcBorders>
            <w:vAlign w:val="center"/>
          </w:tcPr>
          <w:p w14:paraId="282940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0.00362</w:t>
            </w:r>
          </w:p>
        </w:tc>
        <w:tc>
          <w:tcPr>
            <w:tcW w:w="1387" w:type="dxa"/>
            <w:tcBorders>
              <w:top w:val="nil"/>
              <w:left w:val="nil"/>
              <w:bottom w:val="nil"/>
              <w:right w:val="nil"/>
            </w:tcBorders>
            <w:vAlign w:val="center"/>
          </w:tcPr>
          <w:p w14:paraId="518D375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-0.00724</w:t>
            </w:r>
          </w:p>
        </w:tc>
        <w:tc>
          <w:tcPr>
            <w:tcW w:w="1388" w:type="dxa"/>
            <w:tcBorders>
              <w:top w:val="nil"/>
              <w:left w:val="nil"/>
              <w:bottom w:val="nil"/>
              <w:right w:val="nil"/>
            </w:tcBorders>
            <w:vAlign w:val="center"/>
          </w:tcPr>
          <w:p w14:paraId="3190847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-0.00362</w:t>
            </w:r>
          </w:p>
        </w:tc>
        <w:tc>
          <w:tcPr>
            <w:tcW w:w="1387" w:type="dxa"/>
            <w:tcBorders>
              <w:top w:val="nil"/>
              <w:left w:val="nil"/>
              <w:bottom w:val="nil"/>
              <w:right w:val="nil"/>
            </w:tcBorders>
            <w:vAlign w:val="center"/>
          </w:tcPr>
          <w:p w14:paraId="103648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-0.0210</w:t>
            </w:r>
          </w:p>
        </w:tc>
        <w:tc>
          <w:tcPr>
            <w:tcW w:w="1388" w:type="dxa"/>
            <w:tcBorders>
              <w:top w:val="nil"/>
              <w:left w:val="nil"/>
              <w:bottom w:val="nil"/>
              <w:right w:val="nil"/>
            </w:tcBorders>
            <w:vAlign w:val="center"/>
          </w:tcPr>
          <w:p w14:paraId="0D8497B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-0.0262</w:t>
            </w:r>
          </w:p>
        </w:tc>
        <w:tc>
          <w:tcPr>
            <w:tcW w:w="1387" w:type="dxa"/>
            <w:tcBorders>
              <w:top w:val="nil"/>
              <w:left w:val="nil"/>
              <w:bottom w:val="nil"/>
              <w:right w:val="nil"/>
            </w:tcBorders>
            <w:vAlign w:val="center"/>
          </w:tcPr>
          <w:p w14:paraId="32BC60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-0.0257</w:t>
            </w:r>
          </w:p>
        </w:tc>
        <w:tc>
          <w:tcPr>
            <w:tcW w:w="1388" w:type="dxa"/>
            <w:tcBorders>
              <w:top w:val="nil"/>
              <w:left w:val="nil"/>
              <w:bottom w:val="nil"/>
              <w:right w:val="nil"/>
            </w:tcBorders>
            <w:vAlign w:val="center"/>
          </w:tcPr>
          <w:p w14:paraId="7FC7659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-0.0156</w:t>
            </w:r>
          </w:p>
        </w:tc>
        <w:tc>
          <w:tcPr>
            <w:tcW w:w="1387" w:type="dxa"/>
            <w:tcBorders>
              <w:top w:val="nil"/>
              <w:left w:val="nil"/>
              <w:bottom w:val="nil"/>
              <w:right w:val="nil"/>
            </w:tcBorders>
            <w:vAlign w:val="center"/>
          </w:tcPr>
          <w:p w14:paraId="1F91B9E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0.0921</w:t>
            </w:r>
          </w:p>
        </w:tc>
        <w:tc>
          <w:tcPr>
            <w:tcW w:w="1388" w:type="dxa"/>
            <w:tcBorders>
              <w:top w:val="nil"/>
              <w:left w:val="nil"/>
              <w:bottom w:val="nil"/>
              <w:right w:val="nil"/>
            </w:tcBorders>
            <w:vAlign w:val="center"/>
          </w:tcPr>
          <w:p w14:paraId="3495E7F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0.0765</w:t>
            </w:r>
          </w:p>
        </w:tc>
      </w:tr>
      <w:tr w:rsidR="0064611C" w:rsidRPr="00F14751" w14:paraId="55ED3B95" w14:textId="77777777" w:rsidTr="008607F7">
        <w:trPr>
          <w:jc w:val="center"/>
        </w:trPr>
        <w:tc>
          <w:tcPr>
            <w:tcW w:w="1768" w:type="dxa"/>
            <w:tcBorders>
              <w:top w:val="nil"/>
              <w:left w:val="nil"/>
              <w:bottom w:val="nil"/>
              <w:right w:val="nil"/>
            </w:tcBorders>
            <w:vAlign w:val="center"/>
          </w:tcPr>
          <w:p w14:paraId="1BED30D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7576ABA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(0.0870)</w:t>
            </w:r>
          </w:p>
        </w:tc>
        <w:tc>
          <w:tcPr>
            <w:tcW w:w="1388" w:type="dxa"/>
            <w:tcBorders>
              <w:top w:val="nil"/>
              <w:left w:val="nil"/>
              <w:bottom w:val="nil"/>
              <w:right w:val="nil"/>
            </w:tcBorders>
            <w:vAlign w:val="center"/>
          </w:tcPr>
          <w:p w14:paraId="64A3E47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(0.00423)</w:t>
            </w:r>
          </w:p>
        </w:tc>
        <w:tc>
          <w:tcPr>
            <w:tcW w:w="1387" w:type="dxa"/>
            <w:tcBorders>
              <w:top w:val="nil"/>
              <w:left w:val="nil"/>
              <w:bottom w:val="nil"/>
              <w:right w:val="nil"/>
            </w:tcBorders>
            <w:vAlign w:val="center"/>
          </w:tcPr>
          <w:p w14:paraId="7E803EB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(0.00788)</w:t>
            </w:r>
          </w:p>
        </w:tc>
        <w:tc>
          <w:tcPr>
            <w:tcW w:w="1388" w:type="dxa"/>
            <w:tcBorders>
              <w:top w:val="nil"/>
              <w:left w:val="nil"/>
              <w:bottom w:val="nil"/>
              <w:right w:val="nil"/>
            </w:tcBorders>
            <w:vAlign w:val="center"/>
          </w:tcPr>
          <w:p w14:paraId="18F3912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(0.00943)</w:t>
            </w:r>
          </w:p>
        </w:tc>
        <w:tc>
          <w:tcPr>
            <w:tcW w:w="1387" w:type="dxa"/>
            <w:tcBorders>
              <w:top w:val="nil"/>
              <w:left w:val="nil"/>
              <w:bottom w:val="nil"/>
              <w:right w:val="nil"/>
            </w:tcBorders>
            <w:vAlign w:val="center"/>
          </w:tcPr>
          <w:p w14:paraId="531483D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(0.0249)</w:t>
            </w:r>
          </w:p>
        </w:tc>
        <w:tc>
          <w:tcPr>
            <w:tcW w:w="1388" w:type="dxa"/>
            <w:tcBorders>
              <w:top w:val="nil"/>
              <w:left w:val="nil"/>
              <w:bottom w:val="nil"/>
              <w:right w:val="nil"/>
            </w:tcBorders>
            <w:vAlign w:val="center"/>
          </w:tcPr>
          <w:p w14:paraId="5513E1C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(0.0284)</w:t>
            </w:r>
          </w:p>
        </w:tc>
        <w:tc>
          <w:tcPr>
            <w:tcW w:w="1387" w:type="dxa"/>
            <w:tcBorders>
              <w:top w:val="nil"/>
              <w:left w:val="nil"/>
              <w:bottom w:val="nil"/>
              <w:right w:val="nil"/>
            </w:tcBorders>
            <w:vAlign w:val="center"/>
          </w:tcPr>
          <w:p w14:paraId="76C921A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(0.0261)</w:t>
            </w:r>
          </w:p>
        </w:tc>
        <w:tc>
          <w:tcPr>
            <w:tcW w:w="1388" w:type="dxa"/>
            <w:tcBorders>
              <w:top w:val="nil"/>
              <w:left w:val="nil"/>
              <w:bottom w:val="nil"/>
              <w:right w:val="nil"/>
            </w:tcBorders>
            <w:vAlign w:val="center"/>
          </w:tcPr>
          <w:p w14:paraId="1D1CCA6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(0.0217)</w:t>
            </w:r>
          </w:p>
        </w:tc>
        <w:tc>
          <w:tcPr>
            <w:tcW w:w="1387" w:type="dxa"/>
            <w:tcBorders>
              <w:top w:val="nil"/>
              <w:left w:val="nil"/>
              <w:bottom w:val="nil"/>
              <w:right w:val="nil"/>
            </w:tcBorders>
            <w:vAlign w:val="center"/>
          </w:tcPr>
          <w:p w14:paraId="748D96E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(0.0919)</w:t>
            </w:r>
          </w:p>
        </w:tc>
        <w:tc>
          <w:tcPr>
            <w:tcW w:w="1388" w:type="dxa"/>
            <w:tcBorders>
              <w:top w:val="nil"/>
              <w:left w:val="nil"/>
              <w:bottom w:val="nil"/>
              <w:right w:val="nil"/>
            </w:tcBorders>
            <w:vAlign w:val="center"/>
          </w:tcPr>
          <w:p w14:paraId="76E1F7D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(0.0803)</w:t>
            </w:r>
          </w:p>
        </w:tc>
      </w:tr>
      <w:tr w:rsidR="0064611C" w:rsidRPr="00F14751" w14:paraId="729D7D2F" w14:textId="77777777" w:rsidTr="008607F7">
        <w:trPr>
          <w:jc w:val="center"/>
        </w:trPr>
        <w:tc>
          <w:tcPr>
            <w:tcW w:w="1768" w:type="dxa"/>
            <w:tcBorders>
              <w:top w:val="nil"/>
              <w:left w:val="nil"/>
              <w:bottom w:val="nil"/>
              <w:right w:val="nil"/>
            </w:tcBorders>
            <w:vAlign w:val="center"/>
          </w:tcPr>
          <w:p w14:paraId="0913AC8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School</w:t>
            </w:r>
          </w:p>
        </w:tc>
        <w:tc>
          <w:tcPr>
            <w:tcW w:w="1387" w:type="dxa"/>
            <w:tcBorders>
              <w:top w:val="nil"/>
              <w:left w:val="nil"/>
              <w:bottom w:val="nil"/>
              <w:right w:val="nil"/>
            </w:tcBorders>
            <w:vAlign w:val="center"/>
          </w:tcPr>
          <w:p w14:paraId="52CF8CD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2.803</w:t>
            </w:r>
          </w:p>
        </w:tc>
        <w:tc>
          <w:tcPr>
            <w:tcW w:w="1388" w:type="dxa"/>
            <w:tcBorders>
              <w:top w:val="nil"/>
              <w:left w:val="nil"/>
              <w:bottom w:val="nil"/>
              <w:right w:val="nil"/>
            </w:tcBorders>
            <w:vAlign w:val="center"/>
          </w:tcPr>
          <w:p w14:paraId="7F5BECD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-0.287</w:t>
            </w:r>
          </w:p>
        </w:tc>
        <w:tc>
          <w:tcPr>
            <w:tcW w:w="1387" w:type="dxa"/>
            <w:tcBorders>
              <w:top w:val="nil"/>
              <w:left w:val="nil"/>
              <w:bottom w:val="nil"/>
              <w:right w:val="nil"/>
            </w:tcBorders>
            <w:vAlign w:val="center"/>
          </w:tcPr>
          <w:p w14:paraId="049A36A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-0.328</w:t>
            </w:r>
          </w:p>
        </w:tc>
        <w:tc>
          <w:tcPr>
            <w:tcW w:w="1388" w:type="dxa"/>
            <w:tcBorders>
              <w:top w:val="nil"/>
              <w:left w:val="nil"/>
              <w:bottom w:val="nil"/>
              <w:right w:val="nil"/>
            </w:tcBorders>
            <w:vAlign w:val="center"/>
          </w:tcPr>
          <w:p w14:paraId="2B2E39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-0.616</w:t>
            </w:r>
          </w:p>
        </w:tc>
        <w:tc>
          <w:tcPr>
            <w:tcW w:w="1387" w:type="dxa"/>
            <w:tcBorders>
              <w:top w:val="nil"/>
              <w:left w:val="nil"/>
              <w:bottom w:val="nil"/>
              <w:right w:val="nil"/>
            </w:tcBorders>
            <w:vAlign w:val="center"/>
          </w:tcPr>
          <w:p w14:paraId="2770C32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-0.716</w:t>
            </w:r>
          </w:p>
        </w:tc>
        <w:tc>
          <w:tcPr>
            <w:tcW w:w="1388" w:type="dxa"/>
            <w:tcBorders>
              <w:top w:val="nil"/>
              <w:left w:val="nil"/>
              <w:bottom w:val="nil"/>
              <w:right w:val="nil"/>
            </w:tcBorders>
            <w:vAlign w:val="center"/>
          </w:tcPr>
          <w:p w14:paraId="2BFAFC9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-0.731</w:t>
            </w:r>
          </w:p>
        </w:tc>
        <w:tc>
          <w:tcPr>
            <w:tcW w:w="1387" w:type="dxa"/>
            <w:tcBorders>
              <w:top w:val="nil"/>
              <w:left w:val="nil"/>
              <w:bottom w:val="nil"/>
              <w:right w:val="nil"/>
            </w:tcBorders>
            <w:vAlign w:val="center"/>
          </w:tcPr>
          <w:p w14:paraId="56B915C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-0.171</w:t>
            </w:r>
          </w:p>
        </w:tc>
        <w:tc>
          <w:tcPr>
            <w:tcW w:w="1388" w:type="dxa"/>
            <w:tcBorders>
              <w:top w:val="nil"/>
              <w:left w:val="nil"/>
              <w:bottom w:val="nil"/>
              <w:right w:val="nil"/>
            </w:tcBorders>
            <w:vAlign w:val="center"/>
          </w:tcPr>
          <w:p w14:paraId="1584725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0.256</w:t>
            </w:r>
          </w:p>
        </w:tc>
        <w:tc>
          <w:tcPr>
            <w:tcW w:w="1387" w:type="dxa"/>
            <w:tcBorders>
              <w:top w:val="nil"/>
              <w:left w:val="nil"/>
              <w:bottom w:val="nil"/>
              <w:right w:val="nil"/>
            </w:tcBorders>
            <w:vAlign w:val="center"/>
          </w:tcPr>
          <w:p w14:paraId="15235CA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1.978</w:t>
            </w:r>
          </w:p>
        </w:tc>
        <w:tc>
          <w:tcPr>
            <w:tcW w:w="1388" w:type="dxa"/>
            <w:tcBorders>
              <w:top w:val="nil"/>
              <w:left w:val="nil"/>
              <w:bottom w:val="nil"/>
              <w:right w:val="nil"/>
            </w:tcBorders>
            <w:vAlign w:val="center"/>
          </w:tcPr>
          <w:p w14:paraId="08A665D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2.234</w:t>
            </w:r>
          </w:p>
        </w:tc>
      </w:tr>
      <w:tr w:rsidR="0064611C" w:rsidRPr="00F14751" w14:paraId="3090E58F" w14:textId="77777777" w:rsidTr="008607F7">
        <w:trPr>
          <w:jc w:val="center"/>
        </w:trPr>
        <w:tc>
          <w:tcPr>
            <w:tcW w:w="1768" w:type="dxa"/>
            <w:tcBorders>
              <w:top w:val="nil"/>
              <w:left w:val="nil"/>
              <w:bottom w:val="nil"/>
              <w:right w:val="nil"/>
            </w:tcBorders>
            <w:vAlign w:val="center"/>
          </w:tcPr>
          <w:p w14:paraId="1ED867FE"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6F1A2EB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(1.384)</w:t>
            </w:r>
          </w:p>
        </w:tc>
        <w:tc>
          <w:tcPr>
            <w:tcW w:w="1388" w:type="dxa"/>
            <w:tcBorders>
              <w:top w:val="nil"/>
              <w:left w:val="nil"/>
              <w:bottom w:val="nil"/>
              <w:right w:val="nil"/>
            </w:tcBorders>
            <w:vAlign w:val="center"/>
          </w:tcPr>
          <w:p w14:paraId="5A804D6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(0.157)</w:t>
            </w:r>
          </w:p>
        </w:tc>
        <w:tc>
          <w:tcPr>
            <w:tcW w:w="1387" w:type="dxa"/>
            <w:tcBorders>
              <w:top w:val="nil"/>
              <w:left w:val="nil"/>
              <w:bottom w:val="nil"/>
              <w:right w:val="nil"/>
            </w:tcBorders>
            <w:vAlign w:val="center"/>
          </w:tcPr>
          <w:p w14:paraId="072701C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(0.203)</w:t>
            </w:r>
          </w:p>
        </w:tc>
        <w:tc>
          <w:tcPr>
            <w:tcW w:w="1388" w:type="dxa"/>
            <w:tcBorders>
              <w:top w:val="nil"/>
              <w:left w:val="nil"/>
              <w:bottom w:val="nil"/>
              <w:right w:val="nil"/>
            </w:tcBorders>
            <w:vAlign w:val="center"/>
          </w:tcPr>
          <w:p w14:paraId="7E7BE51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(0.358)</w:t>
            </w:r>
          </w:p>
        </w:tc>
        <w:tc>
          <w:tcPr>
            <w:tcW w:w="1387" w:type="dxa"/>
            <w:tcBorders>
              <w:top w:val="nil"/>
              <w:left w:val="nil"/>
              <w:bottom w:val="nil"/>
              <w:right w:val="nil"/>
            </w:tcBorders>
            <w:vAlign w:val="center"/>
          </w:tcPr>
          <w:p w14:paraId="72108D3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(0.382)</w:t>
            </w:r>
          </w:p>
        </w:tc>
        <w:tc>
          <w:tcPr>
            <w:tcW w:w="1388" w:type="dxa"/>
            <w:tcBorders>
              <w:top w:val="nil"/>
              <w:left w:val="nil"/>
              <w:bottom w:val="nil"/>
              <w:right w:val="nil"/>
            </w:tcBorders>
            <w:vAlign w:val="center"/>
          </w:tcPr>
          <w:p w14:paraId="0006DD3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(0.398)</w:t>
            </w:r>
          </w:p>
        </w:tc>
        <w:tc>
          <w:tcPr>
            <w:tcW w:w="1387" w:type="dxa"/>
            <w:tcBorders>
              <w:top w:val="nil"/>
              <w:left w:val="nil"/>
              <w:bottom w:val="nil"/>
              <w:right w:val="nil"/>
            </w:tcBorders>
            <w:vAlign w:val="center"/>
          </w:tcPr>
          <w:p w14:paraId="226227A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(0.325)</w:t>
            </w:r>
          </w:p>
        </w:tc>
        <w:tc>
          <w:tcPr>
            <w:tcW w:w="1388" w:type="dxa"/>
            <w:tcBorders>
              <w:top w:val="nil"/>
              <w:left w:val="nil"/>
              <w:bottom w:val="nil"/>
              <w:right w:val="nil"/>
            </w:tcBorders>
            <w:vAlign w:val="center"/>
          </w:tcPr>
          <w:p w14:paraId="2A9912B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(0.277)</w:t>
            </w:r>
          </w:p>
        </w:tc>
        <w:tc>
          <w:tcPr>
            <w:tcW w:w="1387" w:type="dxa"/>
            <w:tcBorders>
              <w:top w:val="nil"/>
              <w:left w:val="nil"/>
              <w:bottom w:val="nil"/>
              <w:right w:val="nil"/>
            </w:tcBorders>
            <w:vAlign w:val="center"/>
          </w:tcPr>
          <w:p w14:paraId="4D70733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(1.153)</w:t>
            </w:r>
          </w:p>
        </w:tc>
        <w:tc>
          <w:tcPr>
            <w:tcW w:w="1388" w:type="dxa"/>
            <w:tcBorders>
              <w:top w:val="nil"/>
              <w:left w:val="nil"/>
              <w:bottom w:val="nil"/>
              <w:right w:val="nil"/>
            </w:tcBorders>
            <w:vAlign w:val="center"/>
          </w:tcPr>
          <w:p w14:paraId="6E00D24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(1.164)</w:t>
            </w:r>
          </w:p>
        </w:tc>
      </w:tr>
      <w:tr w:rsidR="0064611C" w:rsidRPr="00F14751" w14:paraId="00A3D96D" w14:textId="77777777" w:rsidTr="008607F7">
        <w:trPr>
          <w:jc w:val="center"/>
        </w:trPr>
        <w:tc>
          <w:tcPr>
            <w:tcW w:w="1768" w:type="dxa"/>
            <w:tcBorders>
              <w:top w:val="nil"/>
              <w:left w:val="nil"/>
              <w:bottom w:val="nil"/>
              <w:right w:val="nil"/>
            </w:tcBorders>
            <w:vAlign w:val="center"/>
          </w:tcPr>
          <w:p w14:paraId="41C37617"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Death</w:t>
            </w:r>
          </w:p>
        </w:tc>
        <w:tc>
          <w:tcPr>
            <w:tcW w:w="1387" w:type="dxa"/>
            <w:tcBorders>
              <w:top w:val="nil"/>
              <w:left w:val="nil"/>
              <w:bottom w:val="nil"/>
              <w:right w:val="nil"/>
            </w:tcBorders>
            <w:vAlign w:val="center"/>
          </w:tcPr>
          <w:p w14:paraId="029633B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-1.636</w:t>
            </w:r>
          </w:p>
        </w:tc>
        <w:tc>
          <w:tcPr>
            <w:tcW w:w="1388" w:type="dxa"/>
            <w:tcBorders>
              <w:top w:val="nil"/>
              <w:left w:val="nil"/>
              <w:bottom w:val="nil"/>
              <w:right w:val="nil"/>
            </w:tcBorders>
            <w:vAlign w:val="center"/>
          </w:tcPr>
          <w:p w14:paraId="574AA16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0.459***</w:t>
            </w:r>
          </w:p>
        </w:tc>
        <w:tc>
          <w:tcPr>
            <w:tcW w:w="1387" w:type="dxa"/>
            <w:tcBorders>
              <w:top w:val="nil"/>
              <w:left w:val="nil"/>
              <w:bottom w:val="nil"/>
              <w:right w:val="nil"/>
            </w:tcBorders>
            <w:vAlign w:val="center"/>
          </w:tcPr>
          <w:p w14:paraId="651F203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0.513*</w:t>
            </w:r>
          </w:p>
        </w:tc>
        <w:tc>
          <w:tcPr>
            <w:tcW w:w="1388" w:type="dxa"/>
            <w:tcBorders>
              <w:top w:val="nil"/>
              <w:left w:val="nil"/>
              <w:bottom w:val="nil"/>
              <w:right w:val="nil"/>
            </w:tcBorders>
            <w:vAlign w:val="center"/>
          </w:tcPr>
          <w:p w14:paraId="7624FF5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0.972**</w:t>
            </w:r>
          </w:p>
        </w:tc>
        <w:tc>
          <w:tcPr>
            <w:tcW w:w="1387" w:type="dxa"/>
            <w:tcBorders>
              <w:top w:val="nil"/>
              <w:left w:val="nil"/>
              <w:bottom w:val="nil"/>
              <w:right w:val="nil"/>
            </w:tcBorders>
            <w:vAlign w:val="center"/>
          </w:tcPr>
          <w:p w14:paraId="04642FA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0.699</w:t>
            </w:r>
          </w:p>
        </w:tc>
        <w:tc>
          <w:tcPr>
            <w:tcW w:w="1388" w:type="dxa"/>
            <w:tcBorders>
              <w:top w:val="nil"/>
              <w:left w:val="nil"/>
              <w:bottom w:val="nil"/>
              <w:right w:val="nil"/>
            </w:tcBorders>
            <w:vAlign w:val="center"/>
          </w:tcPr>
          <w:p w14:paraId="1285EAE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0.0810</w:t>
            </w:r>
          </w:p>
        </w:tc>
        <w:tc>
          <w:tcPr>
            <w:tcW w:w="1387" w:type="dxa"/>
            <w:tcBorders>
              <w:top w:val="nil"/>
              <w:left w:val="nil"/>
              <w:bottom w:val="nil"/>
              <w:right w:val="nil"/>
            </w:tcBorders>
            <w:vAlign w:val="center"/>
          </w:tcPr>
          <w:p w14:paraId="369228D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-1.176</w:t>
            </w:r>
          </w:p>
        </w:tc>
        <w:tc>
          <w:tcPr>
            <w:tcW w:w="1388" w:type="dxa"/>
            <w:tcBorders>
              <w:top w:val="nil"/>
              <w:left w:val="nil"/>
              <w:bottom w:val="nil"/>
              <w:right w:val="nil"/>
            </w:tcBorders>
            <w:vAlign w:val="center"/>
          </w:tcPr>
          <w:p w14:paraId="20368A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-1.307**</w:t>
            </w:r>
          </w:p>
        </w:tc>
        <w:tc>
          <w:tcPr>
            <w:tcW w:w="1387" w:type="dxa"/>
            <w:tcBorders>
              <w:top w:val="nil"/>
              <w:left w:val="nil"/>
              <w:bottom w:val="nil"/>
              <w:right w:val="nil"/>
            </w:tcBorders>
            <w:vAlign w:val="center"/>
          </w:tcPr>
          <w:p w14:paraId="677C0A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0.732</w:t>
            </w:r>
          </w:p>
        </w:tc>
        <w:tc>
          <w:tcPr>
            <w:tcW w:w="1388" w:type="dxa"/>
            <w:tcBorders>
              <w:top w:val="nil"/>
              <w:left w:val="nil"/>
              <w:bottom w:val="nil"/>
              <w:right w:val="nil"/>
            </w:tcBorders>
            <w:vAlign w:val="center"/>
          </w:tcPr>
          <w:p w14:paraId="1CB2564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-0.575</w:t>
            </w:r>
          </w:p>
        </w:tc>
      </w:tr>
      <w:tr w:rsidR="0064611C" w:rsidRPr="00F14751" w14:paraId="77491227" w14:textId="77777777" w:rsidTr="008607F7">
        <w:trPr>
          <w:jc w:val="center"/>
        </w:trPr>
        <w:tc>
          <w:tcPr>
            <w:tcW w:w="1768" w:type="dxa"/>
            <w:tcBorders>
              <w:top w:val="nil"/>
              <w:left w:val="nil"/>
              <w:bottom w:val="nil"/>
              <w:right w:val="nil"/>
            </w:tcBorders>
            <w:vAlign w:val="center"/>
          </w:tcPr>
          <w:p w14:paraId="28D8EDF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252DB52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(2.595)</w:t>
            </w:r>
          </w:p>
        </w:tc>
        <w:tc>
          <w:tcPr>
            <w:tcW w:w="1388" w:type="dxa"/>
            <w:tcBorders>
              <w:top w:val="nil"/>
              <w:left w:val="nil"/>
              <w:bottom w:val="nil"/>
              <w:right w:val="nil"/>
            </w:tcBorders>
            <w:vAlign w:val="center"/>
          </w:tcPr>
          <w:p w14:paraId="658BAD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(0.0975)</w:t>
            </w:r>
          </w:p>
        </w:tc>
        <w:tc>
          <w:tcPr>
            <w:tcW w:w="1387" w:type="dxa"/>
            <w:tcBorders>
              <w:top w:val="nil"/>
              <w:left w:val="nil"/>
              <w:bottom w:val="nil"/>
              <w:right w:val="nil"/>
            </w:tcBorders>
            <w:vAlign w:val="center"/>
          </w:tcPr>
          <w:p w14:paraId="3A7D111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(0.213)</w:t>
            </w:r>
          </w:p>
        </w:tc>
        <w:tc>
          <w:tcPr>
            <w:tcW w:w="1388" w:type="dxa"/>
            <w:tcBorders>
              <w:top w:val="nil"/>
              <w:left w:val="nil"/>
              <w:bottom w:val="nil"/>
              <w:right w:val="nil"/>
            </w:tcBorders>
            <w:vAlign w:val="center"/>
          </w:tcPr>
          <w:p w14:paraId="6B06199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(0.292)</w:t>
            </w:r>
          </w:p>
        </w:tc>
        <w:tc>
          <w:tcPr>
            <w:tcW w:w="1387" w:type="dxa"/>
            <w:tcBorders>
              <w:top w:val="nil"/>
              <w:left w:val="nil"/>
              <w:bottom w:val="nil"/>
              <w:right w:val="nil"/>
            </w:tcBorders>
            <w:vAlign w:val="center"/>
          </w:tcPr>
          <w:p w14:paraId="64118FF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(0.571)</w:t>
            </w:r>
          </w:p>
        </w:tc>
        <w:tc>
          <w:tcPr>
            <w:tcW w:w="1388" w:type="dxa"/>
            <w:tcBorders>
              <w:top w:val="nil"/>
              <w:left w:val="nil"/>
              <w:bottom w:val="nil"/>
              <w:right w:val="nil"/>
            </w:tcBorders>
            <w:vAlign w:val="center"/>
          </w:tcPr>
          <w:p w14:paraId="10CC371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(0.716)</w:t>
            </w:r>
          </w:p>
        </w:tc>
        <w:tc>
          <w:tcPr>
            <w:tcW w:w="1387" w:type="dxa"/>
            <w:tcBorders>
              <w:top w:val="nil"/>
              <w:left w:val="nil"/>
              <w:bottom w:val="nil"/>
              <w:right w:val="nil"/>
            </w:tcBorders>
            <w:vAlign w:val="center"/>
          </w:tcPr>
          <w:p w14:paraId="056B4B9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(0.850)</w:t>
            </w:r>
          </w:p>
        </w:tc>
        <w:tc>
          <w:tcPr>
            <w:tcW w:w="1388" w:type="dxa"/>
            <w:tcBorders>
              <w:top w:val="nil"/>
              <w:left w:val="nil"/>
              <w:bottom w:val="nil"/>
              <w:right w:val="nil"/>
            </w:tcBorders>
            <w:vAlign w:val="center"/>
          </w:tcPr>
          <w:p w14:paraId="003EF96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(0.402)</w:t>
            </w:r>
          </w:p>
        </w:tc>
        <w:tc>
          <w:tcPr>
            <w:tcW w:w="1387" w:type="dxa"/>
            <w:tcBorders>
              <w:top w:val="nil"/>
              <w:left w:val="nil"/>
              <w:bottom w:val="nil"/>
              <w:right w:val="nil"/>
            </w:tcBorders>
            <w:vAlign w:val="center"/>
          </w:tcPr>
          <w:p w14:paraId="0AF3BF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(2.773)</w:t>
            </w:r>
          </w:p>
        </w:tc>
        <w:tc>
          <w:tcPr>
            <w:tcW w:w="1388" w:type="dxa"/>
            <w:tcBorders>
              <w:top w:val="nil"/>
              <w:left w:val="nil"/>
              <w:bottom w:val="nil"/>
              <w:right w:val="nil"/>
            </w:tcBorders>
            <w:vAlign w:val="center"/>
          </w:tcPr>
          <w:p w14:paraId="43FA60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(2.394)</w:t>
            </w:r>
          </w:p>
        </w:tc>
      </w:tr>
      <w:tr w:rsidR="0064611C" w:rsidRPr="00F14751" w14:paraId="3F0ABBE3" w14:textId="77777777" w:rsidTr="008607F7">
        <w:trPr>
          <w:jc w:val="center"/>
        </w:trPr>
        <w:tc>
          <w:tcPr>
            <w:tcW w:w="1768" w:type="dxa"/>
            <w:tcBorders>
              <w:top w:val="nil"/>
              <w:left w:val="nil"/>
              <w:bottom w:val="nil"/>
              <w:right w:val="nil"/>
            </w:tcBorders>
            <w:vAlign w:val="center"/>
          </w:tcPr>
          <w:p w14:paraId="494A555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roofErr w:type="spellStart"/>
            <w:r w:rsidRPr="00F14751">
              <w:rPr>
                <w:rFonts w:ascii="Times New Roman" w:hAnsi="Times New Roman" w:cs="Times New Roman"/>
                <w:sz w:val="18"/>
                <w:szCs w:val="20"/>
              </w:rPr>
              <w:t>UrbanPopgrowth</w:t>
            </w:r>
            <w:proofErr w:type="spellEnd"/>
          </w:p>
        </w:tc>
        <w:tc>
          <w:tcPr>
            <w:tcW w:w="1387" w:type="dxa"/>
            <w:tcBorders>
              <w:top w:val="nil"/>
              <w:left w:val="nil"/>
              <w:bottom w:val="nil"/>
              <w:right w:val="nil"/>
            </w:tcBorders>
            <w:vAlign w:val="center"/>
          </w:tcPr>
          <w:p w14:paraId="43B87EC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1.803</w:t>
            </w:r>
          </w:p>
        </w:tc>
        <w:tc>
          <w:tcPr>
            <w:tcW w:w="1388" w:type="dxa"/>
            <w:tcBorders>
              <w:top w:val="nil"/>
              <w:left w:val="nil"/>
              <w:bottom w:val="nil"/>
              <w:right w:val="nil"/>
            </w:tcBorders>
            <w:vAlign w:val="center"/>
          </w:tcPr>
          <w:p w14:paraId="17E3D35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0.0603</w:t>
            </w:r>
          </w:p>
        </w:tc>
        <w:tc>
          <w:tcPr>
            <w:tcW w:w="1387" w:type="dxa"/>
            <w:tcBorders>
              <w:top w:val="nil"/>
              <w:left w:val="nil"/>
              <w:bottom w:val="nil"/>
              <w:right w:val="nil"/>
            </w:tcBorders>
            <w:vAlign w:val="center"/>
          </w:tcPr>
          <w:p w14:paraId="1A30461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-0.182</w:t>
            </w:r>
          </w:p>
        </w:tc>
        <w:tc>
          <w:tcPr>
            <w:tcW w:w="1388" w:type="dxa"/>
            <w:tcBorders>
              <w:top w:val="nil"/>
              <w:left w:val="nil"/>
              <w:bottom w:val="nil"/>
              <w:right w:val="nil"/>
            </w:tcBorders>
            <w:vAlign w:val="center"/>
          </w:tcPr>
          <w:p w14:paraId="48FCC54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-0.122</w:t>
            </w:r>
          </w:p>
        </w:tc>
        <w:tc>
          <w:tcPr>
            <w:tcW w:w="1387" w:type="dxa"/>
            <w:tcBorders>
              <w:top w:val="nil"/>
              <w:left w:val="nil"/>
              <w:bottom w:val="nil"/>
              <w:right w:val="nil"/>
            </w:tcBorders>
            <w:vAlign w:val="center"/>
          </w:tcPr>
          <w:p w14:paraId="2428289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-0.619</w:t>
            </w:r>
          </w:p>
        </w:tc>
        <w:tc>
          <w:tcPr>
            <w:tcW w:w="1388" w:type="dxa"/>
            <w:tcBorders>
              <w:top w:val="nil"/>
              <w:left w:val="nil"/>
              <w:bottom w:val="nil"/>
              <w:right w:val="nil"/>
            </w:tcBorders>
            <w:vAlign w:val="center"/>
          </w:tcPr>
          <w:p w14:paraId="33AA7B8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-0.841</w:t>
            </w:r>
          </w:p>
        </w:tc>
        <w:tc>
          <w:tcPr>
            <w:tcW w:w="1387" w:type="dxa"/>
            <w:tcBorders>
              <w:top w:val="nil"/>
              <w:left w:val="nil"/>
              <w:bottom w:val="nil"/>
              <w:right w:val="nil"/>
            </w:tcBorders>
            <w:vAlign w:val="center"/>
          </w:tcPr>
          <w:p w14:paraId="2E52C7B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-0.308</w:t>
            </w:r>
          </w:p>
        </w:tc>
        <w:tc>
          <w:tcPr>
            <w:tcW w:w="1388" w:type="dxa"/>
            <w:tcBorders>
              <w:top w:val="nil"/>
              <w:left w:val="nil"/>
              <w:bottom w:val="nil"/>
              <w:right w:val="nil"/>
            </w:tcBorders>
            <w:vAlign w:val="center"/>
          </w:tcPr>
          <w:p w14:paraId="38C5464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0.354</w:t>
            </w:r>
          </w:p>
        </w:tc>
        <w:tc>
          <w:tcPr>
            <w:tcW w:w="1387" w:type="dxa"/>
            <w:tcBorders>
              <w:top w:val="nil"/>
              <w:left w:val="nil"/>
              <w:bottom w:val="nil"/>
              <w:right w:val="nil"/>
            </w:tcBorders>
            <w:vAlign w:val="center"/>
          </w:tcPr>
          <w:p w14:paraId="0325B02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1.537</w:t>
            </w:r>
          </w:p>
        </w:tc>
        <w:tc>
          <w:tcPr>
            <w:tcW w:w="1388" w:type="dxa"/>
            <w:tcBorders>
              <w:top w:val="nil"/>
              <w:left w:val="nil"/>
              <w:bottom w:val="nil"/>
              <w:right w:val="nil"/>
            </w:tcBorders>
            <w:vAlign w:val="center"/>
          </w:tcPr>
          <w:p w14:paraId="57E31E3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1.891</w:t>
            </w:r>
          </w:p>
        </w:tc>
      </w:tr>
      <w:tr w:rsidR="0064611C" w:rsidRPr="00F14751" w14:paraId="0445D1AA" w14:textId="77777777" w:rsidTr="008607F7">
        <w:trPr>
          <w:jc w:val="center"/>
        </w:trPr>
        <w:tc>
          <w:tcPr>
            <w:tcW w:w="1768" w:type="dxa"/>
            <w:tcBorders>
              <w:top w:val="nil"/>
              <w:left w:val="nil"/>
              <w:bottom w:val="nil"/>
              <w:right w:val="nil"/>
            </w:tcBorders>
            <w:vAlign w:val="center"/>
          </w:tcPr>
          <w:p w14:paraId="19D6BBC6"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5DEE594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(1.323)</w:t>
            </w:r>
          </w:p>
        </w:tc>
        <w:tc>
          <w:tcPr>
            <w:tcW w:w="1388" w:type="dxa"/>
            <w:tcBorders>
              <w:top w:val="nil"/>
              <w:left w:val="nil"/>
              <w:bottom w:val="nil"/>
              <w:right w:val="nil"/>
            </w:tcBorders>
            <w:vAlign w:val="center"/>
          </w:tcPr>
          <w:p w14:paraId="1BE38AB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(0.149)</w:t>
            </w:r>
          </w:p>
        </w:tc>
        <w:tc>
          <w:tcPr>
            <w:tcW w:w="1387" w:type="dxa"/>
            <w:tcBorders>
              <w:top w:val="nil"/>
              <w:left w:val="nil"/>
              <w:bottom w:val="nil"/>
              <w:right w:val="nil"/>
            </w:tcBorders>
            <w:vAlign w:val="center"/>
          </w:tcPr>
          <w:p w14:paraId="034CDEA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(0.147)</w:t>
            </w:r>
          </w:p>
        </w:tc>
        <w:tc>
          <w:tcPr>
            <w:tcW w:w="1388" w:type="dxa"/>
            <w:tcBorders>
              <w:top w:val="nil"/>
              <w:left w:val="nil"/>
              <w:bottom w:val="nil"/>
              <w:right w:val="nil"/>
            </w:tcBorders>
            <w:vAlign w:val="center"/>
          </w:tcPr>
          <w:p w14:paraId="3707710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(0.280)</w:t>
            </w:r>
          </w:p>
        </w:tc>
        <w:tc>
          <w:tcPr>
            <w:tcW w:w="1387" w:type="dxa"/>
            <w:tcBorders>
              <w:top w:val="nil"/>
              <w:left w:val="nil"/>
              <w:bottom w:val="nil"/>
              <w:right w:val="nil"/>
            </w:tcBorders>
            <w:vAlign w:val="center"/>
          </w:tcPr>
          <w:p w14:paraId="338826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(0.362)</w:t>
            </w:r>
          </w:p>
        </w:tc>
        <w:tc>
          <w:tcPr>
            <w:tcW w:w="1388" w:type="dxa"/>
            <w:tcBorders>
              <w:top w:val="nil"/>
              <w:left w:val="nil"/>
              <w:bottom w:val="nil"/>
              <w:right w:val="nil"/>
            </w:tcBorders>
            <w:vAlign w:val="center"/>
          </w:tcPr>
          <w:p w14:paraId="092AE7B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(0.483)</w:t>
            </w:r>
          </w:p>
        </w:tc>
        <w:tc>
          <w:tcPr>
            <w:tcW w:w="1387" w:type="dxa"/>
            <w:tcBorders>
              <w:top w:val="nil"/>
              <w:left w:val="nil"/>
              <w:bottom w:val="nil"/>
              <w:right w:val="nil"/>
            </w:tcBorders>
            <w:vAlign w:val="center"/>
          </w:tcPr>
          <w:p w14:paraId="4E087F1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(0.553)</w:t>
            </w:r>
          </w:p>
        </w:tc>
        <w:tc>
          <w:tcPr>
            <w:tcW w:w="1388" w:type="dxa"/>
            <w:tcBorders>
              <w:top w:val="nil"/>
              <w:left w:val="nil"/>
              <w:bottom w:val="nil"/>
              <w:right w:val="nil"/>
            </w:tcBorders>
            <w:vAlign w:val="center"/>
          </w:tcPr>
          <w:p w14:paraId="3700A23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(0.520)</w:t>
            </w:r>
          </w:p>
        </w:tc>
        <w:tc>
          <w:tcPr>
            <w:tcW w:w="1387" w:type="dxa"/>
            <w:tcBorders>
              <w:top w:val="nil"/>
              <w:left w:val="nil"/>
              <w:bottom w:val="nil"/>
              <w:right w:val="nil"/>
            </w:tcBorders>
            <w:vAlign w:val="center"/>
          </w:tcPr>
          <w:p w14:paraId="2E5C2AC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(1.498)</w:t>
            </w:r>
          </w:p>
        </w:tc>
        <w:tc>
          <w:tcPr>
            <w:tcW w:w="1388" w:type="dxa"/>
            <w:tcBorders>
              <w:top w:val="nil"/>
              <w:left w:val="nil"/>
              <w:bottom w:val="nil"/>
              <w:right w:val="nil"/>
            </w:tcBorders>
            <w:vAlign w:val="center"/>
          </w:tcPr>
          <w:p w14:paraId="20E174A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(1.264)</w:t>
            </w:r>
          </w:p>
        </w:tc>
      </w:tr>
      <w:tr w:rsidR="0064611C" w:rsidRPr="00F14751" w14:paraId="29E76AE5" w14:textId="77777777" w:rsidTr="008607F7">
        <w:trPr>
          <w:jc w:val="center"/>
        </w:trPr>
        <w:tc>
          <w:tcPr>
            <w:tcW w:w="1768" w:type="dxa"/>
            <w:tcBorders>
              <w:top w:val="nil"/>
              <w:left w:val="nil"/>
              <w:bottom w:val="nil"/>
              <w:right w:val="nil"/>
            </w:tcBorders>
            <w:vAlign w:val="center"/>
          </w:tcPr>
          <w:p w14:paraId="05891EC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Mercosur</w:t>
            </w:r>
          </w:p>
        </w:tc>
        <w:tc>
          <w:tcPr>
            <w:tcW w:w="1387" w:type="dxa"/>
            <w:tcBorders>
              <w:top w:val="nil"/>
              <w:left w:val="nil"/>
              <w:bottom w:val="nil"/>
              <w:right w:val="nil"/>
            </w:tcBorders>
            <w:vAlign w:val="center"/>
          </w:tcPr>
          <w:p w14:paraId="786F999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-2.299</w:t>
            </w:r>
          </w:p>
        </w:tc>
        <w:tc>
          <w:tcPr>
            <w:tcW w:w="1388" w:type="dxa"/>
            <w:tcBorders>
              <w:top w:val="nil"/>
              <w:left w:val="nil"/>
              <w:bottom w:val="nil"/>
              <w:right w:val="nil"/>
            </w:tcBorders>
            <w:vAlign w:val="center"/>
          </w:tcPr>
          <w:p w14:paraId="6C63AD5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0.774**</w:t>
            </w:r>
          </w:p>
        </w:tc>
        <w:tc>
          <w:tcPr>
            <w:tcW w:w="1387" w:type="dxa"/>
            <w:tcBorders>
              <w:top w:val="nil"/>
              <w:left w:val="nil"/>
              <w:bottom w:val="nil"/>
              <w:right w:val="nil"/>
            </w:tcBorders>
            <w:vAlign w:val="center"/>
          </w:tcPr>
          <w:p w14:paraId="46FCBB4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-0.186</w:t>
            </w:r>
          </w:p>
        </w:tc>
        <w:tc>
          <w:tcPr>
            <w:tcW w:w="1388" w:type="dxa"/>
            <w:tcBorders>
              <w:top w:val="nil"/>
              <w:left w:val="nil"/>
              <w:bottom w:val="nil"/>
              <w:right w:val="nil"/>
            </w:tcBorders>
            <w:vAlign w:val="center"/>
          </w:tcPr>
          <w:p w14:paraId="68A9EF0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0.588</w:t>
            </w:r>
          </w:p>
        </w:tc>
        <w:tc>
          <w:tcPr>
            <w:tcW w:w="1387" w:type="dxa"/>
            <w:tcBorders>
              <w:top w:val="nil"/>
              <w:left w:val="nil"/>
              <w:bottom w:val="nil"/>
              <w:right w:val="nil"/>
            </w:tcBorders>
            <w:vAlign w:val="center"/>
          </w:tcPr>
          <w:p w14:paraId="5A42F37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-0.129</w:t>
            </w:r>
          </w:p>
        </w:tc>
        <w:tc>
          <w:tcPr>
            <w:tcW w:w="1388" w:type="dxa"/>
            <w:tcBorders>
              <w:top w:val="nil"/>
              <w:left w:val="nil"/>
              <w:bottom w:val="nil"/>
              <w:right w:val="nil"/>
            </w:tcBorders>
            <w:vAlign w:val="center"/>
          </w:tcPr>
          <w:p w14:paraId="55842BD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1.300</w:t>
            </w:r>
          </w:p>
        </w:tc>
        <w:tc>
          <w:tcPr>
            <w:tcW w:w="1387" w:type="dxa"/>
            <w:tcBorders>
              <w:top w:val="nil"/>
              <w:left w:val="nil"/>
              <w:bottom w:val="nil"/>
              <w:right w:val="nil"/>
            </w:tcBorders>
            <w:vAlign w:val="center"/>
          </w:tcPr>
          <w:p w14:paraId="4A920B9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1.017</w:t>
            </w:r>
          </w:p>
        </w:tc>
        <w:tc>
          <w:tcPr>
            <w:tcW w:w="1388" w:type="dxa"/>
            <w:tcBorders>
              <w:top w:val="nil"/>
              <w:left w:val="nil"/>
              <w:bottom w:val="nil"/>
              <w:right w:val="nil"/>
            </w:tcBorders>
            <w:vAlign w:val="center"/>
          </w:tcPr>
          <w:p w14:paraId="5FD3030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-0.201</w:t>
            </w:r>
          </w:p>
        </w:tc>
        <w:tc>
          <w:tcPr>
            <w:tcW w:w="1387" w:type="dxa"/>
            <w:tcBorders>
              <w:top w:val="nil"/>
              <w:left w:val="nil"/>
              <w:bottom w:val="nil"/>
              <w:right w:val="nil"/>
            </w:tcBorders>
            <w:vAlign w:val="center"/>
          </w:tcPr>
          <w:p w14:paraId="3D27403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-2.575</w:t>
            </w:r>
          </w:p>
        </w:tc>
        <w:tc>
          <w:tcPr>
            <w:tcW w:w="1388" w:type="dxa"/>
            <w:tcBorders>
              <w:top w:val="nil"/>
              <w:left w:val="nil"/>
              <w:bottom w:val="nil"/>
              <w:right w:val="nil"/>
            </w:tcBorders>
            <w:vAlign w:val="center"/>
          </w:tcPr>
          <w:p w14:paraId="25D650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-2.775</w:t>
            </w:r>
          </w:p>
        </w:tc>
      </w:tr>
      <w:tr w:rsidR="0064611C" w:rsidRPr="00F14751" w14:paraId="5BE647ED" w14:textId="77777777" w:rsidTr="008607F7">
        <w:trPr>
          <w:jc w:val="center"/>
        </w:trPr>
        <w:tc>
          <w:tcPr>
            <w:tcW w:w="1768" w:type="dxa"/>
            <w:tcBorders>
              <w:top w:val="nil"/>
              <w:left w:val="nil"/>
              <w:bottom w:val="nil"/>
              <w:right w:val="nil"/>
            </w:tcBorders>
            <w:vAlign w:val="center"/>
          </w:tcPr>
          <w:p w14:paraId="2DFCAE88"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51C05AF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(3.401)</w:t>
            </w:r>
          </w:p>
        </w:tc>
        <w:tc>
          <w:tcPr>
            <w:tcW w:w="1388" w:type="dxa"/>
            <w:tcBorders>
              <w:top w:val="nil"/>
              <w:left w:val="nil"/>
              <w:bottom w:val="nil"/>
              <w:right w:val="nil"/>
            </w:tcBorders>
            <w:vAlign w:val="center"/>
          </w:tcPr>
          <w:p w14:paraId="5B6F95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(0.249)</w:t>
            </w:r>
          </w:p>
        </w:tc>
        <w:tc>
          <w:tcPr>
            <w:tcW w:w="1387" w:type="dxa"/>
            <w:tcBorders>
              <w:top w:val="nil"/>
              <w:left w:val="nil"/>
              <w:bottom w:val="nil"/>
              <w:right w:val="nil"/>
            </w:tcBorders>
            <w:vAlign w:val="center"/>
          </w:tcPr>
          <w:p w14:paraId="62D920C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(0.280)</w:t>
            </w:r>
          </w:p>
        </w:tc>
        <w:tc>
          <w:tcPr>
            <w:tcW w:w="1388" w:type="dxa"/>
            <w:tcBorders>
              <w:top w:val="nil"/>
              <w:left w:val="nil"/>
              <w:bottom w:val="nil"/>
              <w:right w:val="nil"/>
            </w:tcBorders>
            <w:vAlign w:val="center"/>
          </w:tcPr>
          <w:p w14:paraId="3ECC9D9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(0.304)</w:t>
            </w:r>
          </w:p>
        </w:tc>
        <w:tc>
          <w:tcPr>
            <w:tcW w:w="1387" w:type="dxa"/>
            <w:tcBorders>
              <w:top w:val="nil"/>
              <w:left w:val="nil"/>
              <w:bottom w:val="nil"/>
              <w:right w:val="nil"/>
            </w:tcBorders>
            <w:vAlign w:val="center"/>
          </w:tcPr>
          <w:p w14:paraId="4AC73F8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(0.858)</w:t>
            </w:r>
          </w:p>
        </w:tc>
        <w:tc>
          <w:tcPr>
            <w:tcW w:w="1388" w:type="dxa"/>
            <w:tcBorders>
              <w:top w:val="nil"/>
              <w:left w:val="nil"/>
              <w:bottom w:val="nil"/>
              <w:right w:val="nil"/>
            </w:tcBorders>
            <w:vAlign w:val="center"/>
          </w:tcPr>
          <w:p w14:paraId="58DD71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(1.211)</w:t>
            </w:r>
          </w:p>
        </w:tc>
        <w:tc>
          <w:tcPr>
            <w:tcW w:w="1387" w:type="dxa"/>
            <w:tcBorders>
              <w:top w:val="nil"/>
              <w:left w:val="nil"/>
              <w:bottom w:val="nil"/>
              <w:right w:val="nil"/>
            </w:tcBorders>
            <w:vAlign w:val="center"/>
          </w:tcPr>
          <w:p w14:paraId="4249598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(1.249)</w:t>
            </w:r>
          </w:p>
        </w:tc>
        <w:tc>
          <w:tcPr>
            <w:tcW w:w="1388" w:type="dxa"/>
            <w:tcBorders>
              <w:top w:val="nil"/>
              <w:left w:val="nil"/>
              <w:bottom w:val="nil"/>
              <w:right w:val="nil"/>
            </w:tcBorders>
            <w:vAlign w:val="center"/>
          </w:tcPr>
          <w:p w14:paraId="12FC4A6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(1.224)</w:t>
            </w:r>
          </w:p>
        </w:tc>
        <w:tc>
          <w:tcPr>
            <w:tcW w:w="1387" w:type="dxa"/>
            <w:tcBorders>
              <w:top w:val="nil"/>
              <w:left w:val="nil"/>
              <w:bottom w:val="nil"/>
              <w:right w:val="nil"/>
            </w:tcBorders>
            <w:vAlign w:val="center"/>
          </w:tcPr>
          <w:p w14:paraId="73BF8B1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(4.241)</w:t>
            </w:r>
          </w:p>
        </w:tc>
        <w:tc>
          <w:tcPr>
            <w:tcW w:w="1388" w:type="dxa"/>
            <w:tcBorders>
              <w:top w:val="nil"/>
              <w:left w:val="nil"/>
              <w:bottom w:val="nil"/>
              <w:right w:val="nil"/>
            </w:tcBorders>
            <w:vAlign w:val="center"/>
          </w:tcPr>
          <w:p w14:paraId="1647CF3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(3.187)</w:t>
            </w:r>
          </w:p>
        </w:tc>
      </w:tr>
      <w:tr w:rsidR="0064611C" w:rsidRPr="00F14751" w14:paraId="369CB6E0"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2C62371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roofErr w:type="spellStart"/>
            <w:r w:rsidRPr="00F14751">
              <w:rPr>
                <w:rFonts w:ascii="Times New Roman" w:hAnsi="Times New Roman" w:cs="Times New Roman"/>
                <w:sz w:val="18"/>
                <w:szCs w:val="20"/>
              </w:rPr>
              <w:t>Unasur</w:t>
            </w:r>
            <w:proofErr w:type="spellEnd"/>
          </w:p>
        </w:tc>
        <w:tc>
          <w:tcPr>
            <w:tcW w:w="1387" w:type="dxa"/>
            <w:tcBorders>
              <w:top w:val="nil"/>
              <w:left w:val="nil"/>
              <w:bottom w:val="nil"/>
              <w:right w:val="nil"/>
            </w:tcBorders>
            <w:vAlign w:val="center"/>
          </w:tcPr>
          <w:p w14:paraId="4EE8986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-2.942</w:t>
            </w:r>
          </w:p>
        </w:tc>
        <w:tc>
          <w:tcPr>
            <w:tcW w:w="1388" w:type="dxa"/>
            <w:tcBorders>
              <w:top w:val="nil"/>
              <w:left w:val="nil"/>
              <w:bottom w:val="nil"/>
              <w:right w:val="nil"/>
            </w:tcBorders>
            <w:vAlign w:val="center"/>
          </w:tcPr>
          <w:p w14:paraId="4C2C0EA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1.172*</w:t>
            </w:r>
          </w:p>
        </w:tc>
        <w:tc>
          <w:tcPr>
            <w:tcW w:w="1387" w:type="dxa"/>
            <w:tcBorders>
              <w:top w:val="nil"/>
              <w:left w:val="nil"/>
              <w:bottom w:val="nil"/>
              <w:right w:val="nil"/>
            </w:tcBorders>
            <w:vAlign w:val="center"/>
          </w:tcPr>
          <w:p w14:paraId="513ABE9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0.867</w:t>
            </w:r>
          </w:p>
        </w:tc>
        <w:tc>
          <w:tcPr>
            <w:tcW w:w="1388" w:type="dxa"/>
            <w:tcBorders>
              <w:top w:val="nil"/>
              <w:left w:val="nil"/>
              <w:bottom w:val="nil"/>
              <w:right w:val="nil"/>
            </w:tcBorders>
            <w:vAlign w:val="center"/>
          </w:tcPr>
          <w:p w14:paraId="55AF4B6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2.039*</w:t>
            </w:r>
          </w:p>
        </w:tc>
        <w:tc>
          <w:tcPr>
            <w:tcW w:w="1387" w:type="dxa"/>
            <w:tcBorders>
              <w:top w:val="nil"/>
              <w:left w:val="nil"/>
              <w:bottom w:val="nil"/>
              <w:right w:val="nil"/>
            </w:tcBorders>
            <w:vAlign w:val="center"/>
          </w:tcPr>
          <w:p w14:paraId="40EB808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1.508</w:t>
            </w:r>
          </w:p>
        </w:tc>
        <w:tc>
          <w:tcPr>
            <w:tcW w:w="1388" w:type="dxa"/>
            <w:tcBorders>
              <w:top w:val="nil"/>
              <w:left w:val="nil"/>
              <w:bottom w:val="nil"/>
              <w:right w:val="nil"/>
            </w:tcBorders>
            <w:vAlign w:val="center"/>
          </w:tcPr>
          <w:p w14:paraId="25ADE4E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0.241</w:t>
            </w:r>
          </w:p>
        </w:tc>
        <w:tc>
          <w:tcPr>
            <w:tcW w:w="1387" w:type="dxa"/>
            <w:tcBorders>
              <w:top w:val="nil"/>
              <w:left w:val="nil"/>
              <w:bottom w:val="nil"/>
              <w:right w:val="nil"/>
            </w:tcBorders>
            <w:vAlign w:val="center"/>
          </w:tcPr>
          <w:p w14:paraId="1B32439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-2.868</w:t>
            </w:r>
          </w:p>
        </w:tc>
        <w:tc>
          <w:tcPr>
            <w:tcW w:w="1388" w:type="dxa"/>
            <w:tcBorders>
              <w:top w:val="nil"/>
              <w:left w:val="nil"/>
              <w:bottom w:val="nil"/>
              <w:right w:val="nil"/>
            </w:tcBorders>
            <w:vAlign w:val="center"/>
          </w:tcPr>
          <w:p w14:paraId="7256AB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-3.190</w:t>
            </w:r>
          </w:p>
        </w:tc>
        <w:tc>
          <w:tcPr>
            <w:tcW w:w="1387" w:type="dxa"/>
            <w:tcBorders>
              <w:top w:val="nil"/>
              <w:left w:val="nil"/>
              <w:bottom w:val="nil"/>
              <w:right w:val="nil"/>
            </w:tcBorders>
            <w:vAlign w:val="center"/>
          </w:tcPr>
          <w:p w14:paraId="01F0C7B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2.270</w:t>
            </w:r>
          </w:p>
        </w:tc>
        <w:tc>
          <w:tcPr>
            <w:tcW w:w="1388" w:type="dxa"/>
            <w:tcBorders>
              <w:top w:val="nil"/>
              <w:left w:val="nil"/>
              <w:bottom w:val="nil"/>
              <w:right w:val="nil"/>
            </w:tcBorders>
            <w:vAlign w:val="center"/>
          </w:tcPr>
          <w:p w14:paraId="0D2A9B8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-0.920</w:t>
            </w:r>
          </w:p>
        </w:tc>
      </w:tr>
      <w:tr w:rsidR="0064611C" w:rsidRPr="00F14751" w14:paraId="59341B44"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3520886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3C1CDA1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(8.706)</w:t>
            </w:r>
          </w:p>
        </w:tc>
        <w:tc>
          <w:tcPr>
            <w:tcW w:w="1388" w:type="dxa"/>
            <w:tcBorders>
              <w:top w:val="nil"/>
              <w:left w:val="nil"/>
              <w:bottom w:val="nil"/>
              <w:right w:val="nil"/>
            </w:tcBorders>
            <w:vAlign w:val="center"/>
          </w:tcPr>
          <w:p w14:paraId="39E6761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(0.496)</w:t>
            </w:r>
          </w:p>
        </w:tc>
        <w:tc>
          <w:tcPr>
            <w:tcW w:w="1387" w:type="dxa"/>
            <w:tcBorders>
              <w:top w:val="nil"/>
              <w:left w:val="nil"/>
              <w:bottom w:val="nil"/>
              <w:right w:val="nil"/>
            </w:tcBorders>
            <w:vAlign w:val="center"/>
          </w:tcPr>
          <w:p w14:paraId="594C7D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(0.573)</w:t>
            </w:r>
          </w:p>
        </w:tc>
        <w:tc>
          <w:tcPr>
            <w:tcW w:w="1388" w:type="dxa"/>
            <w:tcBorders>
              <w:top w:val="nil"/>
              <w:left w:val="nil"/>
              <w:bottom w:val="nil"/>
              <w:right w:val="nil"/>
            </w:tcBorders>
            <w:vAlign w:val="center"/>
          </w:tcPr>
          <w:p w14:paraId="667F7B8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(0.852)</w:t>
            </w:r>
          </w:p>
        </w:tc>
        <w:tc>
          <w:tcPr>
            <w:tcW w:w="1387" w:type="dxa"/>
            <w:tcBorders>
              <w:top w:val="nil"/>
              <w:left w:val="nil"/>
              <w:bottom w:val="nil"/>
              <w:right w:val="nil"/>
            </w:tcBorders>
            <w:vAlign w:val="center"/>
          </w:tcPr>
          <w:p w14:paraId="43B367D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(1.775)</w:t>
            </w:r>
          </w:p>
        </w:tc>
        <w:tc>
          <w:tcPr>
            <w:tcW w:w="1388" w:type="dxa"/>
            <w:tcBorders>
              <w:top w:val="nil"/>
              <w:left w:val="nil"/>
              <w:bottom w:val="nil"/>
              <w:right w:val="nil"/>
            </w:tcBorders>
            <w:vAlign w:val="center"/>
          </w:tcPr>
          <w:p w14:paraId="54A2EBC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(2.443)</w:t>
            </w:r>
          </w:p>
        </w:tc>
        <w:tc>
          <w:tcPr>
            <w:tcW w:w="1387" w:type="dxa"/>
            <w:tcBorders>
              <w:top w:val="nil"/>
              <w:left w:val="nil"/>
              <w:bottom w:val="nil"/>
              <w:right w:val="nil"/>
            </w:tcBorders>
            <w:vAlign w:val="center"/>
          </w:tcPr>
          <w:p w14:paraId="093D3C1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(3.906)</w:t>
            </w:r>
          </w:p>
        </w:tc>
        <w:tc>
          <w:tcPr>
            <w:tcW w:w="1388" w:type="dxa"/>
            <w:tcBorders>
              <w:top w:val="nil"/>
              <w:left w:val="nil"/>
              <w:bottom w:val="nil"/>
              <w:right w:val="nil"/>
            </w:tcBorders>
            <w:vAlign w:val="center"/>
          </w:tcPr>
          <w:p w14:paraId="0D371A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(2.327)</w:t>
            </w:r>
          </w:p>
        </w:tc>
        <w:tc>
          <w:tcPr>
            <w:tcW w:w="1387" w:type="dxa"/>
            <w:tcBorders>
              <w:top w:val="nil"/>
              <w:left w:val="nil"/>
              <w:bottom w:val="nil"/>
              <w:right w:val="nil"/>
            </w:tcBorders>
            <w:vAlign w:val="center"/>
          </w:tcPr>
          <w:p w14:paraId="1606E39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(10.58)</w:t>
            </w:r>
          </w:p>
        </w:tc>
        <w:tc>
          <w:tcPr>
            <w:tcW w:w="1388" w:type="dxa"/>
            <w:tcBorders>
              <w:top w:val="nil"/>
              <w:left w:val="nil"/>
              <w:bottom w:val="nil"/>
              <w:right w:val="nil"/>
            </w:tcBorders>
            <w:vAlign w:val="center"/>
          </w:tcPr>
          <w:p w14:paraId="21551C8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(8.476)</w:t>
            </w:r>
          </w:p>
        </w:tc>
      </w:tr>
      <w:tr w:rsidR="0064611C" w:rsidRPr="00F14751" w14:paraId="7B82241B"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3F06F0B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roofErr w:type="spellStart"/>
            <w:r w:rsidRPr="00F14751">
              <w:rPr>
                <w:rFonts w:ascii="Times New Roman" w:hAnsi="Times New Roman" w:cs="Times New Roman"/>
                <w:sz w:val="18"/>
                <w:szCs w:val="20"/>
              </w:rPr>
              <w:t>Dop</w:t>
            </w:r>
            <w:proofErr w:type="spellEnd"/>
            <w:r w:rsidRPr="00F14751">
              <w:rPr>
                <w:rFonts w:ascii="Times New Roman" w:hAnsi="Times New Roman" w:cs="Times New Roman"/>
                <w:sz w:val="18"/>
                <w:szCs w:val="20"/>
              </w:rPr>
              <w:t xml:space="preserve"> ($2)</w:t>
            </w:r>
          </w:p>
        </w:tc>
        <w:tc>
          <w:tcPr>
            <w:tcW w:w="1387" w:type="dxa"/>
            <w:tcBorders>
              <w:top w:val="nil"/>
              <w:left w:val="nil"/>
              <w:bottom w:val="nil"/>
              <w:right w:val="nil"/>
            </w:tcBorders>
            <w:vAlign w:val="center"/>
          </w:tcPr>
          <w:p w14:paraId="084CB33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0.00832**</w:t>
            </w:r>
          </w:p>
        </w:tc>
        <w:tc>
          <w:tcPr>
            <w:tcW w:w="1388" w:type="dxa"/>
            <w:tcBorders>
              <w:top w:val="nil"/>
              <w:left w:val="nil"/>
              <w:bottom w:val="nil"/>
              <w:right w:val="nil"/>
            </w:tcBorders>
            <w:vAlign w:val="center"/>
          </w:tcPr>
          <w:p w14:paraId="0183CA3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-0.000679**</w:t>
            </w:r>
          </w:p>
        </w:tc>
        <w:tc>
          <w:tcPr>
            <w:tcW w:w="1387" w:type="dxa"/>
            <w:tcBorders>
              <w:top w:val="nil"/>
              <w:left w:val="nil"/>
              <w:bottom w:val="nil"/>
              <w:right w:val="nil"/>
            </w:tcBorders>
            <w:vAlign w:val="center"/>
          </w:tcPr>
          <w:p w14:paraId="37F1E1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-0.00129**</w:t>
            </w:r>
          </w:p>
        </w:tc>
        <w:tc>
          <w:tcPr>
            <w:tcW w:w="1388" w:type="dxa"/>
            <w:tcBorders>
              <w:top w:val="nil"/>
              <w:left w:val="nil"/>
              <w:bottom w:val="nil"/>
              <w:right w:val="nil"/>
            </w:tcBorders>
            <w:vAlign w:val="center"/>
          </w:tcPr>
          <w:p w14:paraId="5576CB3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-0.00197**</w:t>
            </w:r>
          </w:p>
        </w:tc>
        <w:tc>
          <w:tcPr>
            <w:tcW w:w="1387" w:type="dxa"/>
            <w:tcBorders>
              <w:top w:val="nil"/>
              <w:left w:val="nil"/>
              <w:bottom w:val="nil"/>
              <w:right w:val="nil"/>
            </w:tcBorders>
            <w:vAlign w:val="center"/>
          </w:tcPr>
          <w:p w14:paraId="495E3C3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-0.00231**</w:t>
            </w:r>
          </w:p>
        </w:tc>
        <w:tc>
          <w:tcPr>
            <w:tcW w:w="1388" w:type="dxa"/>
            <w:tcBorders>
              <w:top w:val="nil"/>
              <w:left w:val="nil"/>
              <w:bottom w:val="nil"/>
              <w:right w:val="nil"/>
            </w:tcBorders>
            <w:vAlign w:val="center"/>
          </w:tcPr>
          <w:p w14:paraId="3F39F2C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-0.00169**</w:t>
            </w:r>
          </w:p>
        </w:tc>
        <w:tc>
          <w:tcPr>
            <w:tcW w:w="1387" w:type="dxa"/>
            <w:tcBorders>
              <w:top w:val="nil"/>
              <w:left w:val="nil"/>
              <w:bottom w:val="nil"/>
              <w:right w:val="nil"/>
            </w:tcBorders>
            <w:vAlign w:val="center"/>
          </w:tcPr>
          <w:p w14:paraId="2D22ED5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-0.000454</w:t>
            </w:r>
          </w:p>
        </w:tc>
        <w:tc>
          <w:tcPr>
            <w:tcW w:w="1388" w:type="dxa"/>
            <w:tcBorders>
              <w:top w:val="nil"/>
              <w:left w:val="nil"/>
              <w:bottom w:val="nil"/>
              <w:right w:val="nil"/>
            </w:tcBorders>
            <w:vAlign w:val="center"/>
          </w:tcPr>
          <w:p w14:paraId="2FF72B6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0.000798*</w:t>
            </w:r>
          </w:p>
        </w:tc>
        <w:tc>
          <w:tcPr>
            <w:tcW w:w="1387" w:type="dxa"/>
            <w:tcBorders>
              <w:top w:val="nil"/>
              <w:left w:val="nil"/>
              <w:bottom w:val="nil"/>
              <w:right w:val="nil"/>
            </w:tcBorders>
            <w:vAlign w:val="center"/>
          </w:tcPr>
          <w:p w14:paraId="38489BE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0.00562**</w:t>
            </w:r>
          </w:p>
        </w:tc>
        <w:tc>
          <w:tcPr>
            <w:tcW w:w="1388" w:type="dxa"/>
            <w:tcBorders>
              <w:top w:val="nil"/>
              <w:left w:val="nil"/>
              <w:bottom w:val="nil"/>
              <w:right w:val="nil"/>
            </w:tcBorders>
            <w:vAlign w:val="center"/>
          </w:tcPr>
          <w:p w14:paraId="5491E16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0.00642***</w:t>
            </w:r>
          </w:p>
        </w:tc>
      </w:tr>
      <w:tr w:rsidR="0064611C" w:rsidRPr="00F14751" w14:paraId="192A774A"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4AB01645"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605335A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(0.00184)</w:t>
            </w:r>
          </w:p>
        </w:tc>
        <w:tc>
          <w:tcPr>
            <w:tcW w:w="1388" w:type="dxa"/>
            <w:tcBorders>
              <w:top w:val="nil"/>
              <w:left w:val="nil"/>
              <w:bottom w:val="nil"/>
              <w:right w:val="nil"/>
            </w:tcBorders>
            <w:vAlign w:val="center"/>
          </w:tcPr>
          <w:p w14:paraId="733E005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(0.000203)</w:t>
            </w:r>
          </w:p>
        </w:tc>
        <w:tc>
          <w:tcPr>
            <w:tcW w:w="1387" w:type="dxa"/>
            <w:tcBorders>
              <w:top w:val="nil"/>
              <w:left w:val="nil"/>
              <w:bottom w:val="nil"/>
              <w:right w:val="nil"/>
            </w:tcBorders>
            <w:vAlign w:val="center"/>
          </w:tcPr>
          <w:p w14:paraId="2C9EE33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(0.000350)</w:t>
            </w:r>
          </w:p>
        </w:tc>
        <w:tc>
          <w:tcPr>
            <w:tcW w:w="1388" w:type="dxa"/>
            <w:tcBorders>
              <w:top w:val="nil"/>
              <w:left w:val="nil"/>
              <w:bottom w:val="nil"/>
              <w:right w:val="nil"/>
            </w:tcBorders>
            <w:vAlign w:val="center"/>
          </w:tcPr>
          <w:p w14:paraId="667E987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(0.000512)</w:t>
            </w:r>
          </w:p>
        </w:tc>
        <w:tc>
          <w:tcPr>
            <w:tcW w:w="1387" w:type="dxa"/>
            <w:tcBorders>
              <w:top w:val="nil"/>
              <w:left w:val="nil"/>
              <w:bottom w:val="nil"/>
              <w:right w:val="nil"/>
            </w:tcBorders>
            <w:vAlign w:val="center"/>
          </w:tcPr>
          <w:p w14:paraId="21AB893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(0.000604)</w:t>
            </w:r>
          </w:p>
        </w:tc>
        <w:tc>
          <w:tcPr>
            <w:tcW w:w="1388" w:type="dxa"/>
            <w:tcBorders>
              <w:top w:val="nil"/>
              <w:left w:val="nil"/>
              <w:bottom w:val="nil"/>
              <w:right w:val="nil"/>
            </w:tcBorders>
            <w:vAlign w:val="center"/>
          </w:tcPr>
          <w:p w14:paraId="4CBAB14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(0.000451)</w:t>
            </w:r>
          </w:p>
        </w:tc>
        <w:tc>
          <w:tcPr>
            <w:tcW w:w="1387" w:type="dxa"/>
            <w:tcBorders>
              <w:top w:val="nil"/>
              <w:left w:val="nil"/>
              <w:bottom w:val="nil"/>
              <w:right w:val="nil"/>
            </w:tcBorders>
            <w:vAlign w:val="center"/>
          </w:tcPr>
          <w:p w14:paraId="312EFB0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(0.000405)</w:t>
            </w:r>
          </w:p>
        </w:tc>
        <w:tc>
          <w:tcPr>
            <w:tcW w:w="1388" w:type="dxa"/>
            <w:tcBorders>
              <w:top w:val="nil"/>
              <w:left w:val="nil"/>
              <w:bottom w:val="nil"/>
              <w:right w:val="nil"/>
            </w:tcBorders>
            <w:vAlign w:val="center"/>
          </w:tcPr>
          <w:p w14:paraId="726040E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(0.000344)</w:t>
            </w:r>
          </w:p>
        </w:tc>
        <w:tc>
          <w:tcPr>
            <w:tcW w:w="1387" w:type="dxa"/>
            <w:tcBorders>
              <w:top w:val="nil"/>
              <w:left w:val="nil"/>
              <w:bottom w:val="nil"/>
              <w:right w:val="nil"/>
            </w:tcBorders>
            <w:vAlign w:val="center"/>
          </w:tcPr>
          <w:p w14:paraId="71A6110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(0.00132)</w:t>
            </w:r>
          </w:p>
        </w:tc>
        <w:tc>
          <w:tcPr>
            <w:tcW w:w="1388" w:type="dxa"/>
            <w:tcBorders>
              <w:top w:val="nil"/>
              <w:left w:val="nil"/>
              <w:bottom w:val="nil"/>
              <w:right w:val="nil"/>
            </w:tcBorders>
            <w:vAlign w:val="center"/>
          </w:tcPr>
          <w:p w14:paraId="0AE89F0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(0.00139)</w:t>
            </w:r>
          </w:p>
        </w:tc>
      </w:tr>
      <w:tr w:rsidR="0064611C" w:rsidRPr="00F14751" w14:paraId="399B24FD"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0D2F02E4"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Constant</w:t>
            </w:r>
          </w:p>
        </w:tc>
        <w:tc>
          <w:tcPr>
            <w:tcW w:w="1387" w:type="dxa"/>
            <w:tcBorders>
              <w:top w:val="nil"/>
              <w:left w:val="nil"/>
              <w:bottom w:val="nil"/>
              <w:right w:val="nil"/>
            </w:tcBorders>
            <w:vAlign w:val="center"/>
          </w:tcPr>
          <w:p w14:paraId="5F8E905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28.69</w:t>
            </w:r>
          </w:p>
        </w:tc>
        <w:tc>
          <w:tcPr>
            <w:tcW w:w="1388" w:type="dxa"/>
            <w:tcBorders>
              <w:top w:val="nil"/>
              <w:left w:val="nil"/>
              <w:bottom w:val="nil"/>
              <w:right w:val="nil"/>
            </w:tcBorders>
            <w:vAlign w:val="center"/>
          </w:tcPr>
          <w:p w14:paraId="7B4507B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-4.265</w:t>
            </w:r>
          </w:p>
        </w:tc>
        <w:tc>
          <w:tcPr>
            <w:tcW w:w="1387" w:type="dxa"/>
            <w:tcBorders>
              <w:top w:val="nil"/>
              <w:left w:val="nil"/>
              <w:bottom w:val="nil"/>
              <w:right w:val="nil"/>
            </w:tcBorders>
            <w:vAlign w:val="center"/>
          </w:tcPr>
          <w:p w14:paraId="2245DFB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1.679</w:t>
            </w:r>
          </w:p>
        </w:tc>
        <w:tc>
          <w:tcPr>
            <w:tcW w:w="1388" w:type="dxa"/>
            <w:tcBorders>
              <w:top w:val="nil"/>
              <w:left w:val="nil"/>
              <w:bottom w:val="nil"/>
              <w:right w:val="nil"/>
            </w:tcBorders>
            <w:vAlign w:val="center"/>
          </w:tcPr>
          <w:p w14:paraId="6DA3EFB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-2.585</w:t>
            </w:r>
          </w:p>
        </w:tc>
        <w:tc>
          <w:tcPr>
            <w:tcW w:w="1387" w:type="dxa"/>
            <w:tcBorders>
              <w:top w:val="nil"/>
              <w:left w:val="nil"/>
              <w:bottom w:val="nil"/>
              <w:right w:val="nil"/>
            </w:tcBorders>
            <w:vAlign w:val="center"/>
          </w:tcPr>
          <w:p w14:paraId="452FBB2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14.49</w:t>
            </w:r>
          </w:p>
        </w:tc>
        <w:tc>
          <w:tcPr>
            <w:tcW w:w="1388" w:type="dxa"/>
            <w:tcBorders>
              <w:top w:val="nil"/>
              <w:left w:val="nil"/>
              <w:bottom w:val="nil"/>
              <w:right w:val="nil"/>
            </w:tcBorders>
            <w:vAlign w:val="center"/>
          </w:tcPr>
          <w:p w14:paraId="532AF32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24.11**</w:t>
            </w:r>
          </w:p>
        </w:tc>
        <w:tc>
          <w:tcPr>
            <w:tcW w:w="1387" w:type="dxa"/>
            <w:tcBorders>
              <w:top w:val="nil"/>
              <w:left w:val="nil"/>
              <w:bottom w:val="nil"/>
              <w:right w:val="nil"/>
            </w:tcBorders>
            <w:vAlign w:val="center"/>
          </w:tcPr>
          <w:p w14:paraId="31BFC77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38.90**</w:t>
            </w:r>
          </w:p>
        </w:tc>
        <w:tc>
          <w:tcPr>
            <w:tcW w:w="1388" w:type="dxa"/>
            <w:tcBorders>
              <w:top w:val="nil"/>
              <w:left w:val="nil"/>
              <w:bottom w:val="nil"/>
              <w:right w:val="nil"/>
            </w:tcBorders>
            <w:vAlign w:val="center"/>
          </w:tcPr>
          <w:p w14:paraId="2552CF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24.91**</w:t>
            </w:r>
          </w:p>
        </w:tc>
        <w:tc>
          <w:tcPr>
            <w:tcW w:w="1387" w:type="dxa"/>
            <w:tcBorders>
              <w:top w:val="nil"/>
              <w:left w:val="nil"/>
              <w:bottom w:val="nil"/>
              <w:right w:val="nil"/>
            </w:tcBorders>
            <w:vAlign w:val="center"/>
          </w:tcPr>
          <w:p w14:paraId="74E01A3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0.178</w:t>
            </w:r>
          </w:p>
        </w:tc>
        <w:tc>
          <w:tcPr>
            <w:tcW w:w="1388" w:type="dxa"/>
            <w:tcBorders>
              <w:top w:val="nil"/>
              <w:left w:val="nil"/>
              <w:bottom w:val="nil"/>
              <w:right w:val="nil"/>
            </w:tcBorders>
            <w:vAlign w:val="center"/>
          </w:tcPr>
          <w:p w14:paraId="545AC74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25.09</w:t>
            </w:r>
          </w:p>
        </w:tc>
      </w:tr>
      <w:tr w:rsidR="0064611C" w:rsidRPr="00F14751" w14:paraId="7F913D9F"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0FE6DAF9"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266B4CD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(30.91)</w:t>
            </w:r>
          </w:p>
        </w:tc>
        <w:tc>
          <w:tcPr>
            <w:tcW w:w="1388" w:type="dxa"/>
            <w:tcBorders>
              <w:top w:val="nil"/>
              <w:left w:val="nil"/>
              <w:bottom w:val="nil"/>
              <w:right w:val="nil"/>
            </w:tcBorders>
            <w:vAlign w:val="center"/>
          </w:tcPr>
          <w:p w14:paraId="7D707BE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(2.893)</w:t>
            </w:r>
          </w:p>
        </w:tc>
        <w:tc>
          <w:tcPr>
            <w:tcW w:w="1387" w:type="dxa"/>
            <w:tcBorders>
              <w:top w:val="nil"/>
              <w:left w:val="nil"/>
              <w:bottom w:val="nil"/>
              <w:right w:val="nil"/>
            </w:tcBorders>
            <w:vAlign w:val="center"/>
          </w:tcPr>
          <w:p w14:paraId="5F4EEB1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(4.783)</w:t>
            </w:r>
          </w:p>
        </w:tc>
        <w:tc>
          <w:tcPr>
            <w:tcW w:w="1388" w:type="dxa"/>
            <w:tcBorders>
              <w:top w:val="nil"/>
              <w:left w:val="nil"/>
              <w:bottom w:val="nil"/>
              <w:right w:val="nil"/>
            </w:tcBorders>
            <w:vAlign w:val="center"/>
          </w:tcPr>
          <w:p w14:paraId="719CDF63"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(7.283)</w:t>
            </w:r>
          </w:p>
        </w:tc>
        <w:tc>
          <w:tcPr>
            <w:tcW w:w="1387" w:type="dxa"/>
            <w:tcBorders>
              <w:top w:val="nil"/>
              <w:left w:val="nil"/>
              <w:bottom w:val="nil"/>
              <w:right w:val="nil"/>
            </w:tcBorders>
            <w:vAlign w:val="center"/>
          </w:tcPr>
          <w:p w14:paraId="2A32CE9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(7.543)</w:t>
            </w:r>
          </w:p>
        </w:tc>
        <w:tc>
          <w:tcPr>
            <w:tcW w:w="1388" w:type="dxa"/>
            <w:tcBorders>
              <w:top w:val="nil"/>
              <w:left w:val="nil"/>
              <w:bottom w:val="nil"/>
              <w:right w:val="nil"/>
            </w:tcBorders>
            <w:vAlign w:val="center"/>
          </w:tcPr>
          <w:p w14:paraId="7A2CCAA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(8.394)</w:t>
            </w:r>
          </w:p>
        </w:tc>
        <w:tc>
          <w:tcPr>
            <w:tcW w:w="1387" w:type="dxa"/>
            <w:tcBorders>
              <w:top w:val="nil"/>
              <w:left w:val="nil"/>
              <w:bottom w:val="nil"/>
              <w:right w:val="nil"/>
            </w:tcBorders>
            <w:vAlign w:val="center"/>
          </w:tcPr>
          <w:p w14:paraId="23683BC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(11.64)</w:t>
            </w:r>
          </w:p>
        </w:tc>
        <w:tc>
          <w:tcPr>
            <w:tcW w:w="1388" w:type="dxa"/>
            <w:tcBorders>
              <w:top w:val="nil"/>
              <w:left w:val="nil"/>
              <w:bottom w:val="nil"/>
              <w:right w:val="nil"/>
            </w:tcBorders>
            <w:vAlign w:val="center"/>
          </w:tcPr>
          <w:p w14:paraId="70CAB8C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(7.999)</w:t>
            </w:r>
          </w:p>
        </w:tc>
        <w:tc>
          <w:tcPr>
            <w:tcW w:w="1387" w:type="dxa"/>
            <w:tcBorders>
              <w:top w:val="nil"/>
              <w:left w:val="nil"/>
              <w:bottom w:val="nil"/>
              <w:right w:val="nil"/>
            </w:tcBorders>
            <w:vAlign w:val="center"/>
          </w:tcPr>
          <w:p w14:paraId="2C1FA8E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(33.66)</w:t>
            </w:r>
          </w:p>
        </w:tc>
        <w:tc>
          <w:tcPr>
            <w:tcW w:w="1388" w:type="dxa"/>
            <w:tcBorders>
              <w:top w:val="nil"/>
              <w:left w:val="nil"/>
              <w:bottom w:val="nil"/>
              <w:right w:val="nil"/>
            </w:tcBorders>
            <w:vAlign w:val="center"/>
          </w:tcPr>
          <w:p w14:paraId="55A03EA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(27.67)</w:t>
            </w:r>
          </w:p>
        </w:tc>
      </w:tr>
      <w:tr w:rsidR="0064611C" w:rsidRPr="00F14751" w14:paraId="5FD77072"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01F6079C"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p>
        </w:tc>
        <w:tc>
          <w:tcPr>
            <w:tcW w:w="1387" w:type="dxa"/>
            <w:tcBorders>
              <w:top w:val="nil"/>
              <w:left w:val="nil"/>
              <w:bottom w:val="nil"/>
              <w:right w:val="nil"/>
            </w:tcBorders>
            <w:vAlign w:val="center"/>
          </w:tcPr>
          <w:p w14:paraId="568E8F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bottom w:val="nil"/>
              <w:right w:val="nil"/>
            </w:tcBorders>
            <w:vAlign w:val="center"/>
          </w:tcPr>
          <w:p w14:paraId="3615222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bottom w:val="nil"/>
              <w:right w:val="nil"/>
            </w:tcBorders>
            <w:vAlign w:val="center"/>
          </w:tcPr>
          <w:p w14:paraId="63CC22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bottom w:val="nil"/>
              <w:right w:val="nil"/>
            </w:tcBorders>
            <w:vAlign w:val="center"/>
          </w:tcPr>
          <w:p w14:paraId="2945744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bottom w:val="nil"/>
              <w:right w:val="nil"/>
            </w:tcBorders>
            <w:vAlign w:val="center"/>
          </w:tcPr>
          <w:p w14:paraId="68897A3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bottom w:val="nil"/>
              <w:right w:val="nil"/>
            </w:tcBorders>
            <w:vAlign w:val="center"/>
          </w:tcPr>
          <w:p w14:paraId="7D21737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bottom w:val="nil"/>
              <w:right w:val="nil"/>
            </w:tcBorders>
            <w:vAlign w:val="center"/>
          </w:tcPr>
          <w:p w14:paraId="0757183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bottom w:val="nil"/>
              <w:right w:val="nil"/>
            </w:tcBorders>
            <w:vAlign w:val="center"/>
          </w:tcPr>
          <w:p w14:paraId="3347A46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7" w:type="dxa"/>
            <w:tcBorders>
              <w:top w:val="nil"/>
              <w:left w:val="nil"/>
              <w:bottom w:val="nil"/>
              <w:right w:val="nil"/>
            </w:tcBorders>
            <w:vAlign w:val="center"/>
          </w:tcPr>
          <w:p w14:paraId="5E7B01B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c>
          <w:tcPr>
            <w:tcW w:w="1388" w:type="dxa"/>
            <w:tcBorders>
              <w:top w:val="nil"/>
              <w:left w:val="nil"/>
              <w:bottom w:val="nil"/>
              <w:right w:val="nil"/>
            </w:tcBorders>
            <w:vAlign w:val="center"/>
          </w:tcPr>
          <w:p w14:paraId="2FFEDFAB"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p>
        </w:tc>
      </w:tr>
      <w:tr w:rsidR="0064611C" w:rsidRPr="00F14751" w14:paraId="247492A3"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6701B0A2"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Observations</w:t>
            </w:r>
          </w:p>
        </w:tc>
        <w:tc>
          <w:tcPr>
            <w:tcW w:w="1387" w:type="dxa"/>
            <w:tcBorders>
              <w:top w:val="nil"/>
              <w:left w:val="nil"/>
              <w:bottom w:val="nil"/>
              <w:right w:val="nil"/>
            </w:tcBorders>
            <w:vAlign w:val="center"/>
          </w:tcPr>
          <w:p w14:paraId="46E2344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8" w:type="dxa"/>
            <w:tcBorders>
              <w:top w:val="nil"/>
              <w:left w:val="nil"/>
              <w:bottom w:val="nil"/>
              <w:right w:val="nil"/>
            </w:tcBorders>
            <w:vAlign w:val="center"/>
          </w:tcPr>
          <w:p w14:paraId="6EFC8A8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7" w:type="dxa"/>
            <w:tcBorders>
              <w:top w:val="nil"/>
              <w:left w:val="nil"/>
              <w:bottom w:val="nil"/>
              <w:right w:val="nil"/>
            </w:tcBorders>
            <w:vAlign w:val="center"/>
          </w:tcPr>
          <w:p w14:paraId="695BCEE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8" w:type="dxa"/>
            <w:tcBorders>
              <w:top w:val="nil"/>
              <w:left w:val="nil"/>
              <w:bottom w:val="nil"/>
              <w:right w:val="nil"/>
            </w:tcBorders>
            <w:vAlign w:val="center"/>
          </w:tcPr>
          <w:p w14:paraId="021DA76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7" w:type="dxa"/>
            <w:tcBorders>
              <w:top w:val="nil"/>
              <w:left w:val="nil"/>
              <w:bottom w:val="nil"/>
              <w:right w:val="nil"/>
            </w:tcBorders>
            <w:vAlign w:val="center"/>
          </w:tcPr>
          <w:p w14:paraId="46AAC27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8" w:type="dxa"/>
            <w:tcBorders>
              <w:top w:val="nil"/>
              <w:left w:val="nil"/>
              <w:bottom w:val="nil"/>
              <w:right w:val="nil"/>
            </w:tcBorders>
            <w:vAlign w:val="center"/>
          </w:tcPr>
          <w:p w14:paraId="1FF3896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7" w:type="dxa"/>
            <w:tcBorders>
              <w:top w:val="nil"/>
              <w:left w:val="nil"/>
              <w:bottom w:val="nil"/>
              <w:right w:val="nil"/>
            </w:tcBorders>
            <w:vAlign w:val="center"/>
          </w:tcPr>
          <w:p w14:paraId="5CEC19E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8" w:type="dxa"/>
            <w:tcBorders>
              <w:top w:val="nil"/>
              <w:left w:val="nil"/>
              <w:bottom w:val="nil"/>
              <w:right w:val="nil"/>
            </w:tcBorders>
            <w:vAlign w:val="center"/>
          </w:tcPr>
          <w:p w14:paraId="68AA7DB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7" w:type="dxa"/>
            <w:tcBorders>
              <w:top w:val="nil"/>
              <w:left w:val="nil"/>
              <w:bottom w:val="nil"/>
              <w:right w:val="nil"/>
            </w:tcBorders>
            <w:vAlign w:val="center"/>
          </w:tcPr>
          <w:p w14:paraId="6FA4FA2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c>
          <w:tcPr>
            <w:tcW w:w="1388" w:type="dxa"/>
            <w:tcBorders>
              <w:top w:val="nil"/>
              <w:left w:val="nil"/>
              <w:bottom w:val="nil"/>
              <w:right w:val="nil"/>
            </w:tcBorders>
            <w:vAlign w:val="center"/>
          </w:tcPr>
          <w:p w14:paraId="271D272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72</w:t>
            </w:r>
          </w:p>
        </w:tc>
      </w:tr>
      <w:tr w:rsidR="0064611C" w:rsidRPr="00F14751" w14:paraId="3DC87D39"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272A2DEA"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R-squared</w:t>
            </w:r>
          </w:p>
        </w:tc>
        <w:tc>
          <w:tcPr>
            <w:tcW w:w="1387" w:type="dxa"/>
            <w:tcBorders>
              <w:top w:val="nil"/>
              <w:left w:val="nil"/>
              <w:bottom w:val="nil"/>
              <w:right w:val="nil"/>
            </w:tcBorders>
            <w:vAlign w:val="center"/>
          </w:tcPr>
          <w:p w14:paraId="1830346A"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0.889</w:t>
            </w:r>
          </w:p>
        </w:tc>
        <w:tc>
          <w:tcPr>
            <w:tcW w:w="1388" w:type="dxa"/>
            <w:tcBorders>
              <w:top w:val="nil"/>
              <w:left w:val="nil"/>
              <w:bottom w:val="nil"/>
              <w:right w:val="nil"/>
            </w:tcBorders>
            <w:vAlign w:val="center"/>
          </w:tcPr>
          <w:p w14:paraId="0C57882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0.871</w:t>
            </w:r>
          </w:p>
        </w:tc>
        <w:tc>
          <w:tcPr>
            <w:tcW w:w="1387" w:type="dxa"/>
            <w:tcBorders>
              <w:top w:val="nil"/>
              <w:left w:val="nil"/>
              <w:bottom w:val="nil"/>
              <w:right w:val="nil"/>
            </w:tcBorders>
            <w:vAlign w:val="center"/>
          </w:tcPr>
          <w:p w14:paraId="150ED1C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0.883</w:t>
            </w:r>
          </w:p>
        </w:tc>
        <w:tc>
          <w:tcPr>
            <w:tcW w:w="1388" w:type="dxa"/>
            <w:tcBorders>
              <w:top w:val="nil"/>
              <w:left w:val="nil"/>
              <w:bottom w:val="nil"/>
              <w:right w:val="nil"/>
            </w:tcBorders>
            <w:vAlign w:val="center"/>
          </w:tcPr>
          <w:p w14:paraId="74928D1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0.888</w:t>
            </w:r>
          </w:p>
        </w:tc>
        <w:tc>
          <w:tcPr>
            <w:tcW w:w="1387" w:type="dxa"/>
            <w:tcBorders>
              <w:top w:val="nil"/>
              <w:left w:val="nil"/>
              <w:bottom w:val="nil"/>
              <w:right w:val="nil"/>
            </w:tcBorders>
            <w:vAlign w:val="center"/>
          </w:tcPr>
          <w:p w14:paraId="353AB3D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0.878</w:t>
            </w:r>
          </w:p>
        </w:tc>
        <w:tc>
          <w:tcPr>
            <w:tcW w:w="1388" w:type="dxa"/>
            <w:tcBorders>
              <w:top w:val="nil"/>
              <w:left w:val="nil"/>
              <w:bottom w:val="nil"/>
              <w:right w:val="nil"/>
            </w:tcBorders>
            <w:vAlign w:val="center"/>
          </w:tcPr>
          <w:p w14:paraId="28124A4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0.847</w:t>
            </w:r>
          </w:p>
        </w:tc>
        <w:tc>
          <w:tcPr>
            <w:tcW w:w="1387" w:type="dxa"/>
            <w:tcBorders>
              <w:top w:val="nil"/>
              <w:left w:val="nil"/>
              <w:bottom w:val="nil"/>
              <w:right w:val="nil"/>
            </w:tcBorders>
            <w:vAlign w:val="center"/>
          </w:tcPr>
          <w:p w14:paraId="60B7387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0.760</w:t>
            </w:r>
          </w:p>
        </w:tc>
        <w:tc>
          <w:tcPr>
            <w:tcW w:w="1388" w:type="dxa"/>
            <w:tcBorders>
              <w:top w:val="nil"/>
              <w:left w:val="nil"/>
              <w:bottom w:val="nil"/>
              <w:right w:val="nil"/>
            </w:tcBorders>
            <w:vAlign w:val="center"/>
          </w:tcPr>
          <w:p w14:paraId="6FFEF8EF"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0.549</w:t>
            </w:r>
          </w:p>
        </w:tc>
        <w:tc>
          <w:tcPr>
            <w:tcW w:w="1387" w:type="dxa"/>
            <w:tcBorders>
              <w:top w:val="nil"/>
              <w:left w:val="nil"/>
              <w:bottom w:val="nil"/>
              <w:right w:val="nil"/>
            </w:tcBorders>
            <w:vAlign w:val="center"/>
          </w:tcPr>
          <w:p w14:paraId="23A0EDC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0.844</w:t>
            </w:r>
          </w:p>
        </w:tc>
        <w:tc>
          <w:tcPr>
            <w:tcW w:w="1388" w:type="dxa"/>
            <w:tcBorders>
              <w:top w:val="nil"/>
              <w:left w:val="nil"/>
              <w:bottom w:val="nil"/>
              <w:right w:val="nil"/>
            </w:tcBorders>
            <w:vAlign w:val="center"/>
          </w:tcPr>
          <w:p w14:paraId="6FCD9B3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0.879</w:t>
            </w:r>
          </w:p>
        </w:tc>
      </w:tr>
      <w:tr w:rsidR="0064611C" w:rsidRPr="00F14751" w14:paraId="76B2B114" w14:textId="77777777" w:rsidTr="008607F7">
        <w:tblPrEx>
          <w:tblBorders>
            <w:bottom w:val="single" w:sz="6" w:space="0" w:color="auto"/>
          </w:tblBorders>
        </w:tblPrEx>
        <w:trPr>
          <w:jc w:val="center"/>
        </w:trPr>
        <w:tc>
          <w:tcPr>
            <w:tcW w:w="1768" w:type="dxa"/>
            <w:tcBorders>
              <w:top w:val="nil"/>
              <w:left w:val="nil"/>
              <w:bottom w:val="nil"/>
              <w:right w:val="nil"/>
            </w:tcBorders>
            <w:vAlign w:val="center"/>
          </w:tcPr>
          <w:p w14:paraId="4F78D171" w14:textId="77777777" w:rsidR="0064611C" w:rsidRPr="00F14751" w:rsidRDefault="00D3672E"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Number of C</w:t>
            </w:r>
            <w:r w:rsidR="0064611C" w:rsidRPr="00F14751">
              <w:rPr>
                <w:rFonts w:ascii="Times New Roman" w:hAnsi="Times New Roman" w:cs="Times New Roman"/>
                <w:sz w:val="18"/>
                <w:szCs w:val="20"/>
              </w:rPr>
              <w:t>ountries</w:t>
            </w:r>
          </w:p>
        </w:tc>
        <w:tc>
          <w:tcPr>
            <w:tcW w:w="1387" w:type="dxa"/>
            <w:tcBorders>
              <w:top w:val="nil"/>
              <w:left w:val="nil"/>
              <w:bottom w:val="nil"/>
              <w:right w:val="nil"/>
            </w:tcBorders>
            <w:vAlign w:val="center"/>
          </w:tcPr>
          <w:p w14:paraId="6907BECE"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8" w:type="dxa"/>
            <w:tcBorders>
              <w:top w:val="nil"/>
              <w:left w:val="nil"/>
              <w:bottom w:val="nil"/>
              <w:right w:val="nil"/>
            </w:tcBorders>
            <w:vAlign w:val="center"/>
          </w:tcPr>
          <w:p w14:paraId="692FCE1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7" w:type="dxa"/>
            <w:tcBorders>
              <w:top w:val="nil"/>
              <w:left w:val="nil"/>
              <w:bottom w:val="nil"/>
              <w:right w:val="nil"/>
            </w:tcBorders>
            <w:vAlign w:val="center"/>
          </w:tcPr>
          <w:p w14:paraId="6A02E9E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8" w:type="dxa"/>
            <w:tcBorders>
              <w:top w:val="nil"/>
              <w:left w:val="nil"/>
              <w:bottom w:val="nil"/>
              <w:right w:val="nil"/>
            </w:tcBorders>
            <w:vAlign w:val="center"/>
          </w:tcPr>
          <w:p w14:paraId="0CD3313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7" w:type="dxa"/>
            <w:tcBorders>
              <w:top w:val="nil"/>
              <w:left w:val="nil"/>
              <w:bottom w:val="nil"/>
              <w:right w:val="nil"/>
            </w:tcBorders>
            <w:vAlign w:val="center"/>
          </w:tcPr>
          <w:p w14:paraId="1D12A6C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8" w:type="dxa"/>
            <w:tcBorders>
              <w:top w:val="nil"/>
              <w:left w:val="nil"/>
              <w:bottom w:val="nil"/>
              <w:right w:val="nil"/>
            </w:tcBorders>
            <w:vAlign w:val="center"/>
          </w:tcPr>
          <w:p w14:paraId="6F93E2F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7" w:type="dxa"/>
            <w:tcBorders>
              <w:top w:val="nil"/>
              <w:left w:val="nil"/>
              <w:bottom w:val="nil"/>
              <w:right w:val="nil"/>
            </w:tcBorders>
            <w:vAlign w:val="center"/>
          </w:tcPr>
          <w:p w14:paraId="17765DE5"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8" w:type="dxa"/>
            <w:tcBorders>
              <w:top w:val="nil"/>
              <w:left w:val="nil"/>
              <w:bottom w:val="nil"/>
              <w:right w:val="nil"/>
            </w:tcBorders>
            <w:vAlign w:val="center"/>
          </w:tcPr>
          <w:p w14:paraId="32FCD6F6"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7" w:type="dxa"/>
            <w:tcBorders>
              <w:top w:val="nil"/>
              <w:left w:val="nil"/>
              <w:bottom w:val="nil"/>
              <w:right w:val="nil"/>
            </w:tcBorders>
            <w:vAlign w:val="center"/>
          </w:tcPr>
          <w:p w14:paraId="28CF5AC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c>
          <w:tcPr>
            <w:tcW w:w="1388" w:type="dxa"/>
            <w:tcBorders>
              <w:top w:val="nil"/>
              <w:left w:val="nil"/>
              <w:bottom w:val="nil"/>
              <w:right w:val="nil"/>
            </w:tcBorders>
            <w:vAlign w:val="center"/>
          </w:tcPr>
          <w:p w14:paraId="35D99194"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5</w:t>
            </w:r>
          </w:p>
        </w:tc>
      </w:tr>
      <w:tr w:rsidR="0064611C" w:rsidRPr="00F14751" w14:paraId="285DE9B1" w14:textId="77777777" w:rsidTr="008607F7">
        <w:tblPrEx>
          <w:tblBorders>
            <w:bottom w:val="single" w:sz="6" w:space="0" w:color="auto"/>
          </w:tblBorders>
        </w:tblPrEx>
        <w:trPr>
          <w:jc w:val="center"/>
        </w:trPr>
        <w:tc>
          <w:tcPr>
            <w:tcW w:w="1768" w:type="dxa"/>
            <w:tcBorders>
              <w:top w:val="nil"/>
              <w:left w:val="nil"/>
              <w:bottom w:val="single" w:sz="4" w:space="0" w:color="auto"/>
              <w:right w:val="nil"/>
            </w:tcBorders>
            <w:vAlign w:val="center"/>
          </w:tcPr>
          <w:p w14:paraId="4040560F" w14:textId="77777777" w:rsidR="0064611C" w:rsidRPr="00F14751" w:rsidRDefault="0064611C" w:rsidP="008607F7">
            <w:pPr>
              <w:widowControl w:val="0"/>
              <w:autoSpaceDE w:val="0"/>
              <w:autoSpaceDN w:val="0"/>
              <w:adjustRightInd w:val="0"/>
              <w:spacing w:after="0" w:line="240" w:lineRule="auto"/>
              <w:rPr>
                <w:rFonts w:ascii="Times New Roman" w:hAnsi="Times New Roman" w:cs="Times New Roman"/>
                <w:sz w:val="18"/>
                <w:szCs w:val="20"/>
              </w:rPr>
            </w:pPr>
            <w:r w:rsidRPr="00F14751">
              <w:rPr>
                <w:rFonts w:ascii="Times New Roman" w:hAnsi="Times New Roman" w:cs="Times New Roman"/>
                <w:sz w:val="18"/>
                <w:szCs w:val="20"/>
              </w:rPr>
              <w:t>Robust SE</w:t>
            </w:r>
          </w:p>
        </w:tc>
        <w:tc>
          <w:tcPr>
            <w:tcW w:w="1387" w:type="dxa"/>
            <w:tcBorders>
              <w:top w:val="nil"/>
              <w:left w:val="nil"/>
              <w:bottom w:val="single" w:sz="4" w:space="0" w:color="auto"/>
              <w:right w:val="nil"/>
            </w:tcBorders>
            <w:vAlign w:val="center"/>
          </w:tcPr>
          <w:p w14:paraId="7F3258C9"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8" w:type="dxa"/>
            <w:tcBorders>
              <w:top w:val="nil"/>
              <w:left w:val="nil"/>
              <w:bottom w:val="single" w:sz="4" w:space="0" w:color="auto"/>
              <w:right w:val="nil"/>
            </w:tcBorders>
            <w:vAlign w:val="center"/>
          </w:tcPr>
          <w:p w14:paraId="498500F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7" w:type="dxa"/>
            <w:tcBorders>
              <w:top w:val="nil"/>
              <w:left w:val="nil"/>
              <w:bottom w:val="single" w:sz="4" w:space="0" w:color="auto"/>
              <w:right w:val="nil"/>
            </w:tcBorders>
            <w:vAlign w:val="center"/>
          </w:tcPr>
          <w:p w14:paraId="0E82FDF1"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8" w:type="dxa"/>
            <w:tcBorders>
              <w:top w:val="nil"/>
              <w:left w:val="nil"/>
              <w:bottom w:val="single" w:sz="4" w:space="0" w:color="auto"/>
              <w:right w:val="nil"/>
            </w:tcBorders>
            <w:vAlign w:val="center"/>
          </w:tcPr>
          <w:p w14:paraId="5254C3D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7" w:type="dxa"/>
            <w:tcBorders>
              <w:top w:val="nil"/>
              <w:left w:val="nil"/>
              <w:bottom w:val="single" w:sz="4" w:space="0" w:color="auto"/>
              <w:right w:val="nil"/>
            </w:tcBorders>
            <w:vAlign w:val="center"/>
          </w:tcPr>
          <w:p w14:paraId="18E9FF47"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8" w:type="dxa"/>
            <w:tcBorders>
              <w:top w:val="nil"/>
              <w:left w:val="nil"/>
              <w:bottom w:val="single" w:sz="4" w:space="0" w:color="auto"/>
              <w:right w:val="nil"/>
            </w:tcBorders>
            <w:vAlign w:val="center"/>
          </w:tcPr>
          <w:p w14:paraId="63F2F70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7" w:type="dxa"/>
            <w:tcBorders>
              <w:top w:val="nil"/>
              <w:left w:val="nil"/>
              <w:bottom w:val="single" w:sz="4" w:space="0" w:color="auto"/>
              <w:right w:val="nil"/>
            </w:tcBorders>
            <w:vAlign w:val="center"/>
          </w:tcPr>
          <w:p w14:paraId="7AFC604C"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8" w:type="dxa"/>
            <w:tcBorders>
              <w:top w:val="nil"/>
              <w:left w:val="nil"/>
              <w:bottom w:val="single" w:sz="4" w:space="0" w:color="auto"/>
              <w:right w:val="nil"/>
            </w:tcBorders>
            <w:vAlign w:val="center"/>
          </w:tcPr>
          <w:p w14:paraId="3F0734C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7" w:type="dxa"/>
            <w:tcBorders>
              <w:top w:val="nil"/>
              <w:left w:val="nil"/>
              <w:bottom w:val="single" w:sz="4" w:space="0" w:color="auto"/>
              <w:right w:val="nil"/>
            </w:tcBorders>
            <w:vAlign w:val="center"/>
          </w:tcPr>
          <w:p w14:paraId="127F8E62"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c>
          <w:tcPr>
            <w:tcW w:w="1388" w:type="dxa"/>
            <w:tcBorders>
              <w:top w:val="nil"/>
              <w:left w:val="nil"/>
              <w:bottom w:val="single" w:sz="4" w:space="0" w:color="auto"/>
              <w:right w:val="nil"/>
            </w:tcBorders>
            <w:vAlign w:val="center"/>
          </w:tcPr>
          <w:p w14:paraId="4285F6E8"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Yes</w:t>
            </w:r>
          </w:p>
        </w:tc>
      </w:tr>
    </w:tbl>
    <w:p w14:paraId="35DAE2C0"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Robust standard errors in parentheses</w:t>
      </w:r>
    </w:p>
    <w:p w14:paraId="2939A31D" w14:textId="77777777" w:rsidR="0064611C" w:rsidRPr="00F14751" w:rsidRDefault="0064611C" w:rsidP="008607F7">
      <w:pPr>
        <w:widowControl w:val="0"/>
        <w:autoSpaceDE w:val="0"/>
        <w:autoSpaceDN w:val="0"/>
        <w:adjustRightInd w:val="0"/>
        <w:spacing w:after="0" w:line="240" w:lineRule="auto"/>
        <w:jc w:val="center"/>
        <w:rPr>
          <w:rFonts w:ascii="Times New Roman" w:hAnsi="Times New Roman" w:cs="Times New Roman"/>
          <w:sz w:val="18"/>
          <w:szCs w:val="20"/>
        </w:rPr>
      </w:pPr>
      <w:r w:rsidRPr="00F14751">
        <w:rPr>
          <w:rFonts w:ascii="Times New Roman" w:hAnsi="Times New Roman" w:cs="Times New Roman"/>
          <w:sz w:val="18"/>
          <w:szCs w:val="20"/>
        </w:rPr>
        <w:t>*** p&lt;0.01, ** p&lt;0.05, * p&lt;0.1</w:t>
      </w:r>
    </w:p>
    <w:p w14:paraId="23334E54" w14:textId="77777777" w:rsidR="0064611C" w:rsidRPr="00F14751" w:rsidRDefault="0064611C" w:rsidP="00C8508E">
      <w:pPr>
        <w:jc w:val="both"/>
        <w:rPr>
          <w:rFonts w:asciiTheme="majorHAnsi" w:hAnsiTheme="majorHAnsi"/>
          <w:sz w:val="24"/>
          <w:szCs w:val="24"/>
        </w:rPr>
        <w:sectPr w:rsidR="0064611C" w:rsidRPr="00F14751" w:rsidSect="0054568F">
          <w:pgSz w:w="15840" w:h="12240" w:orient="landscape"/>
          <w:pgMar w:top="1440" w:right="1440" w:bottom="1440" w:left="1440" w:header="708" w:footer="708" w:gutter="0"/>
          <w:cols w:space="708"/>
          <w:docGrid w:linePitch="360"/>
        </w:sectPr>
      </w:pPr>
    </w:p>
    <w:p w14:paraId="0250A83D" w14:textId="13E0ABBD" w:rsidR="0064611C" w:rsidRPr="00154D4B" w:rsidRDefault="0064611C" w:rsidP="00C8508E">
      <w:pPr>
        <w:pStyle w:val="NoSpacing"/>
        <w:spacing w:line="360" w:lineRule="auto"/>
        <w:jc w:val="both"/>
        <w:rPr>
          <w:rFonts w:asciiTheme="majorHAnsi" w:hAnsiTheme="majorHAnsi"/>
          <w:b/>
          <w:sz w:val="24"/>
        </w:rPr>
      </w:pPr>
      <w:r w:rsidRPr="00154D4B">
        <w:rPr>
          <w:rFonts w:asciiTheme="majorHAnsi" w:hAnsiTheme="majorHAnsi"/>
          <w:b/>
          <w:sz w:val="24"/>
        </w:rPr>
        <w:t xml:space="preserve">6.3 </w:t>
      </w:r>
      <w:r w:rsidR="00154D4B">
        <w:rPr>
          <w:rFonts w:asciiTheme="majorHAnsi" w:hAnsiTheme="majorHAnsi" w:cs="Times New Roman"/>
          <w:b/>
          <w:sz w:val="24"/>
        </w:rPr>
        <w:t xml:space="preserve">Results for </w:t>
      </w:r>
      <w:r w:rsidR="00154D4B" w:rsidRPr="00154D4B">
        <w:rPr>
          <w:rFonts w:asciiTheme="majorHAnsi" w:hAnsiTheme="majorHAnsi" w:cs="Times New Roman"/>
          <w:b/>
          <w:sz w:val="24"/>
        </w:rPr>
        <w:t>Low Poverty and Low Inequality Countries</w:t>
      </w:r>
    </w:p>
    <w:p w14:paraId="64043147" w14:textId="43232CD4"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rPr>
        <w:t>This section presents the results for the second group</w:t>
      </w:r>
      <w:r w:rsidR="00F256A9" w:rsidRPr="00F14751">
        <w:rPr>
          <w:rFonts w:asciiTheme="majorHAnsi" w:hAnsiTheme="majorHAnsi"/>
          <w:sz w:val="24"/>
        </w:rPr>
        <w:t xml:space="preserve">. This group consists </w:t>
      </w:r>
      <w:r w:rsidR="004C3F1C">
        <w:rPr>
          <w:rFonts w:asciiTheme="majorHAnsi" w:hAnsiTheme="majorHAnsi"/>
          <w:sz w:val="24"/>
        </w:rPr>
        <w:t xml:space="preserve">of countries </w:t>
      </w:r>
      <w:r w:rsidR="004C3F1C" w:rsidRPr="00F14751">
        <w:rPr>
          <w:rFonts w:asciiTheme="majorHAnsi" w:hAnsiTheme="majorHAnsi"/>
          <w:sz w:val="24"/>
        </w:rPr>
        <w:t xml:space="preserve">which have both </w:t>
      </w:r>
      <w:r w:rsidR="004C3F1C">
        <w:rPr>
          <w:rFonts w:asciiTheme="majorHAnsi" w:hAnsiTheme="majorHAnsi"/>
          <w:sz w:val="24"/>
        </w:rPr>
        <w:t xml:space="preserve">low </w:t>
      </w:r>
      <w:r w:rsidR="004C3F1C" w:rsidRPr="00F14751">
        <w:rPr>
          <w:rFonts w:asciiTheme="majorHAnsi" w:hAnsiTheme="majorHAnsi"/>
          <w:sz w:val="24"/>
        </w:rPr>
        <w:t xml:space="preserve">poverty and </w:t>
      </w:r>
      <w:r w:rsidR="004C3F1C">
        <w:rPr>
          <w:rFonts w:asciiTheme="majorHAnsi" w:hAnsiTheme="majorHAnsi"/>
          <w:sz w:val="24"/>
        </w:rPr>
        <w:t>low</w:t>
      </w:r>
      <w:r w:rsidR="004C3F1C" w:rsidRPr="00F14751">
        <w:rPr>
          <w:rFonts w:asciiTheme="majorHAnsi" w:hAnsiTheme="majorHAnsi"/>
          <w:sz w:val="24"/>
        </w:rPr>
        <w:t xml:space="preserve"> inequality</w:t>
      </w:r>
      <w:r w:rsidRPr="00F14751">
        <w:rPr>
          <w:rFonts w:asciiTheme="majorHAnsi" w:hAnsiTheme="majorHAnsi"/>
          <w:sz w:val="24"/>
        </w:rPr>
        <w:t xml:space="preserve">. </w:t>
      </w:r>
      <w:r w:rsidR="00F256A9" w:rsidRPr="00F14751">
        <w:rPr>
          <w:rFonts w:asciiTheme="majorHAnsi" w:hAnsiTheme="majorHAnsi"/>
          <w:sz w:val="24"/>
        </w:rPr>
        <w:t>These are</w:t>
      </w:r>
      <w:r w:rsidRPr="00F14751">
        <w:rPr>
          <w:rFonts w:asciiTheme="majorHAnsi" w:hAnsiTheme="majorHAnsi"/>
          <w:sz w:val="24"/>
        </w:rPr>
        <w:t xml:space="preserve"> Uruguay, Chile, Costa Rica, Mexico and the Dominican Republic.</w:t>
      </w:r>
    </w:p>
    <w:p w14:paraId="0FE358DF" w14:textId="77777777" w:rsidR="0064611C" w:rsidRPr="00346E08" w:rsidRDefault="0064611C" w:rsidP="00C8508E">
      <w:pPr>
        <w:pStyle w:val="NoSpacing"/>
        <w:spacing w:line="360" w:lineRule="auto"/>
        <w:jc w:val="both"/>
        <w:rPr>
          <w:rFonts w:asciiTheme="majorHAnsi" w:hAnsiTheme="majorHAnsi"/>
          <w:sz w:val="24"/>
        </w:rPr>
      </w:pPr>
    </w:p>
    <w:p w14:paraId="58610812" w14:textId="6F58B9D9" w:rsidR="00206B4E" w:rsidRDefault="00346E08" w:rsidP="00C8508E">
      <w:pPr>
        <w:pStyle w:val="NoSpacing"/>
        <w:spacing w:line="360" w:lineRule="auto"/>
        <w:jc w:val="both"/>
        <w:rPr>
          <w:rFonts w:asciiTheme="majorHAnsi" w:hAnsiTheme="majorHAnsi"/>
          <w:sz w:val="24"/>
        </w:rPr>
      </w:pPr>
      <w:r>
        <w:rPr>
          <w:rFonts w:asciiTheme="majorHAnsi" w:hAnsiTheme="majorHAnsi"/>
          <w:sz w:val="24"/>
        </w:rPr>
        <w:t xml:space="preserve">The results in table 12 suggest that structural reforms, in general, </w:t>
      </w:r>
      <w:r w:rsidR="007C7EA9">
        <w:rPr>
          <w:rFonts w:asciiTheme="majorHAnsi" w:hAnsiTheme="majorHAnsi"/>
          <w:sz w:val="24"/>
        </w:rPr>
        <w:t>particularly i</w:t>
      </w:r>
      <w:r>
        <w:rPr>
          <w:rFonts w:asciiTheme="majorHAnsi" w:hAnsiTheme="majorHAnsi"/>
          <w:sz w:val="24"/>
        </w:rPr>
        <w:t xml:space="preserve">ncrease the depth of poverty. </w:t>
      </w:r>
      <w:r w:rsidR="00206B4E">
        <w:rPr>
          <w:rFonts w:asciiTheme="majorHAnsi" w:hAnsiTheme="majorHAnsi"/>
          <w:sz w:val="24"/>
        </w:rPr>
        <w:t xml:space="preserve">This positive effect is mainly caused by trade reforms. The other reforms do not have any significant effect on poverty (see table 13). The other results in table 13 suggest that urban population growth and being a member of the free-trade-agreement Mercosur both increase the extent and depth of poverty. </w:t>
      </w:r>
    </w:p>
    <w:p w14:paraId="3FE524C9" w14:textId="77777777" w:rsidR="00206B4E" w:rsidRDefault="00206B4E" w:rsidP="00C8508E">
      <w:pPr>
        <w:pStyle w:val="NoSpacing"/>
        <w:spacing w:line="360" w:lineRule="auto"/>
        <w:jc w:val="both"/>
        <w:rPr>
          <w:rFonts w:asciiTheme="majorHAnsi" w:hAnsiTheme="majorHAnsi"/>
          <w:sz w:val="24"/>
        </w:rPr>
      </w:pPr>
    </w:p>
    <w:p w14:paraId="1D5C8F15" w14:textId="559B28E8" w:rsidR="00206B4E" w:rsidRDefault="00C22A77" w:rsidP="00C8508E">
      <w:pPr>
        <w:pStyle w:val="NoSpacing"/>
        <w:spacing w:line="360" w:lineRule="auto"/>
        <w:jc w:val="both"/>
        <w:rPr>
          <w:rFonts w:asciiTheme="majorHAnsi" w:hAnsiTheme="majorHAnsi"/>
          <w:sz w:val="24"/>
        </w:rPr>
      </w:pPr>
      <w:r>
        <w:rPr>
          <w:rFonts w:asciiTheme="majorHAnsi" w:hAnsiTheme="majorHAnsi"/>
          <w:sz w:val="24"/>
        </w:rPr>
        <w:t xml:space="preserve">Looking at the distributional effects, structural reforms, in general, </w:t>
      </w:r>
      <w:r w:rsidR="00206B4E">
        <w:rPr>
          <w:rFonts w:asciiTheme="majorHAnsi" w:hAnsiTheme="majorHAnsi"/>
          <w:sz w:val="24"/>
        </w:rPr>
        <w:t>decrease inequality by shifting income from the rich to the middle class (see table 14). This negative effect is mainly caused by privatizations which shift income from the rich to the rest of the population</w:t>
      </w:r>
      <w:r w:rsidR="00EC62E8">
        <w:rPr>
          <w:rFonts w:asciiTheme="majorHAnsi" w:hAnsiTheme="majorHAnsi"/>
          <w:sz w:val="24"/>
        </w:rPr>
        <w:t xml:space="preserve"> (see table 15)</w:t>
      </w:r>
      <w:r w:rsidR="00206B4E">
        <w:rPr>
          <w:rFonts w:asciiTheme="majorHAnsi" w:hAnsiTheme="majorHAnsi"/>
          <w:sz w:val="24"/>
        </w:rPr>
        <w:t xml:space="preserve">. The distributional effects of the other reforms are not clear. </w:t>
      </w:r>
      <w:r w:rsidR="00BD1208">
        <w:rPr>
          <w:rFonts w:asciiTheme="majorHAnsi" w:hAnsiTheme="majorHAnsi"/>
          <w:sz w:val="24"/>
        </w:rPr>
        <w:t>An increase in the average years of schooling seems to reduce inequality. Urban population growth, which increases poverty, increases inequality</w:t>
      </w:r>
      <w:r w:rsidR="00A40A33">
        <w:rPr>
          <w:rFonts w:asciiTheme="majorHAnsi" w:hAnsiTheme="majorHAnsi"/>
          <w:sz w:val="24"/>
        </w:rPr>
        <w:t xml:space="preserve"> in countries were the levels of both poverty and inequality are low</w:t>
      </w:r>
      <w:r w:rsidR="00BD1208">
        <w:rPr>
          <w:rFonts w:asciiTheme="majorHAnsi" w:hAnsiTheme="majorHAnsi"/>
          <w:sz w:val="24"/>
        </w:rPr>
        <w:t>.</w:t>
      </w:r>
    </w:p>
    <w:p w14:paraId="7110B3CE" w14:textId="77777777" w:rsidR="00EC62E8" w:rsidRDefault="00EC62E8" w:rsidP="00C8508E">
      <w:pPr>
        <w:pStyle w:val="NoSpacing"/>
        <w:spacing w:line="360" w:lineRule="auto"/>
        <w:jc w:val="both"/>
        <w:rPr>
          <w:rFonts w:asciiTheme="majorHAnsi" w:hAnsiTheme="majorHAnsi"/>
          <w:sz w:val="24"/>
        </w:rPr>
      </w:pPr>
    </w:p>
    <w:p w14:paraId="28CEDE66" w14:textId="67362B2E" w:rsidR="00EC62E8" w:rsidRDefault="00353D0B" w:rsidP="00A40A33">
      <w:pPr>
        <w:pStyle w:val="NoSpacing"/>
        <w:tabs>
          <w:tab w:val="center" w:pos="4680"/>
        </w:tabs>
        <w:spacing w:line="360" w:lineRule="auto"/>
        <w:jc w:val="both"/>
        <w:rPr>
          <w:rFonts w:asciiTheme="majorHAnsi" w:hAnsiTheme="majorHAnsi"/>
          <w:sz w:val="24"/>
        </w:rPr>
      </w:pPr>
      <w:r>
        <w:rPr>
          <w:rFonts w:asciiTheme="majorHAnsi" w:hAnsiTheme="majorHAnsi"/>
          <w:sz w:val="24"/>
        </w:rPr>
        <w:t>In contrast to the previous section, privatizations</w:t>
      </w:r>
      <w:r w:rsidR="00A40A33">
        <w:rPr>
          <w:rFonts w:asciiTheme="majorHAnsi" w:hAnsiTheme="majorHAnsi"/>
          <w:sz w:val="24"/>
        </w:rPr>
        <w:t xml:space="preserve"> have a significant negative effect on inequality. </w:t>
      </w:r>
      <w:r w:rsidR="00793FA1">
        <w:rPr>
          <w:rFonts w:asciiTheme="majorHAnsi" w:hAnsiTheme="majorHAnsi"/>
          <w:sz w:val="24"/>
        </w:rPr>
        <w:t>For t</w:t>
      </w:r>
      <w:r w:rsidR="00EC62E8">
        <w:rPr>
          <w:rFonts w:asciiTheme="majorHAnsi" w:hAnsiTheme="majorHAnsi"/>
          <w:sz w:val="24"/>
        </w:rPr>
        <w:t>ax reforms, which had a significant</w:t>
      </w:r>
      <w:r>
        <w:rPr>
          <w:rFonts w:asciiTheme="majorHAnsi" w:hAnsiTheme="majorHAnsi"/>
          <w:sz w:val="24"/>
        </w:rPr>
        <w:t xml:space="preserve"> negative </w:t>
      </w:r>
      <w:r w:rsidR="00EC62E8">
        <w:rPr>
          <w:rFonts w:asciiTheme="majorHAnsi" w:hAnsiTheme="majorHAnsi"/>
          <w:sz w:val="24"/>
        </w:rPr>
        <w:t xml:space="preserve">effect on inequality </w:t>
      </w:r>
      <w:r>
        <w:rPr>
          <w:rFonts w:asciiTheme="majorHAnsi" w:hAnsiTheme="majorHAnsi"/>
          <w:sz w:val="24"/>
        </w:rPr>
        <w:t>in the two previous sections,</w:t>
      </w:r>
      <w:r w:rsidR="00793FA1">
        <w:rPr>
          <w:rFonts w:asciiTheme="majorHAnsi" w:hAnsiTheme="majorHAnsi"/>
          <w:sz w:val="24"/>
        </w:rPr>
        <w:t xml:space="preserve"> </w:t>
      </w:r>
      <w:r w:rsidR="00A40A33">
        <w:rPr>
          <w:rFonts w:asciiTheme="majorHAnsi" w:hAnsiTheme="majorHAnsi"/>
          <w:sz w:val="24"/>
        </w:rPr>
        <w:t xml:space="preserve">the distributional effects are much less significant. </w:t>
      </w:r>
    </w:p>
    <w:p w14:paraId="2D77E2AE" w14:textId="77777777" w:rsidR="00EC62E8" w:rsidRDefault="00EC62E8" w:rsidP="00C8508E">
      <w:pPr>
        <w:pStyle w:val="NoSpacing"/>
        <w:spacing w:line="360" w:lineRule="auto"/>
        <w:jc w:val="both"/>
        <w:rPr>
          <w:rFonts w:asciiTheme="majorHAnsi" w:hAnsiTheme="majorHAnsi"/>
          <w:sz w:val="24"/>
        </w:rPr>
      </w:pPr>
    </w:p>
    <w:p w14:paraId="21EF7752" w14:textId="1021F29C" w:rsidR="0064611C" w:rsidRDefault="0064611C" w:rsidP="00206B4E">
      <w:pPr>
        <w:tabs>
          <w:tab w:val="left" w:pos="2417"/>
        </w:tabs>
        <w:jc w:val="both"/>
        <w:rPr>
          <w:rFonts w:asciiTheme="majorHAnsi" w:hAnsiTheme="majorHAnsi"/>
          <w:sz w:val="24"/>
        </w:rPr>
      </w:pPr>
    </w:p>
    <w:p w14:paraId="59CA25E3" w14:textId="77777777" w:rsidR="00206B4E" w:rsidRPr="00F14751" w:rsidRDefault="00206B4E" w:rsidP="00206B4E">
      <w:pPr>
        <w:tabs>
          <w:tab w:val="left" w:pos="2417"/>
        </w:tabs>
        <w:jc w:val="both"/>
        <w:rPr>
          <w:rFonts w:asciiTheme="majorHAnsi" w:hAnsiTheme="majorHAnsi"/>
          <w:sz w:val="24"/>
        </w:rPr>
      </w:pPr>
    </w:p>
    <w:p w14:paraId="3C713CF9" w14:textId="77777777" w:rsidR="00C22A77" w:rsidRDefault="00C22A77">
      <w:pPr>
        <w:rPr>
          <w:rFonts w:asciiTheme="majorHAnsi" w:hAnsiTheme="majorHAnsi"/>
          <w:sz w:val="24"/>
        </w:rPr>
      </w:pPr>
      <w:r>
        <w:rPr>
          <w:rFonts w:asciiTheme="majorHAnsi" w:hAnsiTheme="majorHAnsi"/>
          <w:sz w:val="24"/>
        </w:rPr>
        <w:br w:type="page"/>
      </w:r>
    </w:p>
    <w:p w14:paraId="7AC1412E" w14:textId="0C0BD183"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rPr>
        <w:t>Table 12: Estimation results of the FE model for the second group with the measures of poverty as dependent variables. The model includes country and time fixed effects.</w:t>
      </w:r>
    </w:p>
    <w:tbl>
      <w:tblPr>
        <w:tblW w:w="10605" w:type="dxa"/>
        <w:jc w:val="center"/>
        <w:tblLayout w:type="fixed"/>
        <w:tblCellMar>
          <w:left w:w="75" w:type="dxa"/>
          <w:right w:w="75" w:type="dxa"/>
        </w:tblCellMar>
        <w:tblLook w:val="0000" w:firstRow="0" w:lastRow="0" w:firstColumn="0" w:lastColumn="0" w:noHBand="0" w:noVBand="0"/>
      </w:tblPr>
      <w:tblGrid>
        <w:gridCol w:w="2241"/>
        <w:gridCol w:w="1394"/>
        <w:gridCol w:w="1394"/>
        <w:gridCol w:w="1394"/>
        <w:gridCol w:w="1394"/>
        <w:gridCol w:w="1394"/>
        <w:gridCol w:w="1394"/>
      </w:tblGrid>
      <w:tr w:rsidR="0064611C" w:rsidRPr="00F14751" w14:paraId="11FE1ABA" w14:textId="77777777" w:rsidTr="006B126F">
        <w:trPr>
          <w:jc w:val="center"/>
        </w:trPr>
        <w:tc>
          <w:tcPr>
            <w:tcW w:w="2241" w:type="dxa"/>
            <w:tcBorders>
              <w:top w:val="single" w:sz="6" w:space="0" w:color="auto"/>
              <w:left w:val="nil"/>
              <w:bottom w:val="nil"/>
              <w:right w:val="nil"/>
            </w:tcBorders>
            <w:vAlign w:val="center"/>
          </w:tcPr>
          <w:p w14:paraId="62EE795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single" w:sz="6" w:space="0" w:color="auto"/>
              <w:left w:val="nil"/>
              <w:bottom w:val="nil"/>
              <w:right w:val="nil"/>
            </w:tcBorders>
            <w:vAlign w:val="center"/>
          </w:tcPr>
          <w:p w14:paraId="71B30E7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w:t>
            </w:r>
          </w:p>
        </w:tc>
        <w:tc>
          <w:tcPr>
            <w:tcW w:w="1394" w:type="dxa"/>
            <w:tcBorders>
              <w:top w:val="single" w:sz="6" w:space="0" w:color="auto"/>
              <w:left w:val="nil"/>
              <w:bottom w:val="nil"/>
              <w:right w:val="nil"/>
            </w:tcBorders>
            <w:vAlign w:val="center"/>
          </w:tcPr>
          <w:p w14:paraId="7D4007E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w:t>
            </w:r>
          </w:p>
        </w:tc>
        <w:tc>
          <w:tcPr>
            <w:tcW w:w="1394" w:type="dxa"/>
            <w:tcBorders>
              <w:top w:val="single" w:sz="6" w:space="0" w:color="auto"/>
              <w:left w:val="nil"/>
              <w:bottom w:val="nil"/>
              <w:right w:val="nil"/>
            </w:tcBorders>
            <w:vAlign w:val="center"/>
          </w:tcPr>
          <w:p w14:paraId="1C7D47F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w:t>
            </w:r>
          </w:p>
        </w:tc>
        <w:tc>
          <w:tcPr>
            <w:tcW w:w="1394" w:type="dxa"/>
            <w:tcBorders>
              <w:top w:val="single" w:sz="6" w:space="0" w:color="auto"/>
              <w:left w:val="nil"/>
              <w:bottom w:val="nil"/>
              <w:right w:val="nil"/>
            </w:tcBorders>
            <w:vAlign w:val="center"/>
          </w:tcPr>
          <w:p w14:paraId="0D3DECF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w:t>
            </w:r>
          </w:p>
        </w:tc>
        <w:tc>
          <w:tcPr>
            <w:tcW w:w="1394" w:type="dxa"/>
            <w:tcBorders>
              <w:top w:val="single" w:sz="6" w:space="0" w:color="auto"/>
              <w:left w:val="nil"/>
              <w:bottom w:val="nil"/>
              <w:right w:val="nil"/>
            </w:tcBorders>
            <w:vAlign w:val="center"/>
          </w:tcPr>
          <w:p w14:paraId="1BB7FE8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4" w:type="dxa"/>
            <w:tcBorders>
              <w:top w:val="single" w:sz="6" w:space="0" w:color="auto"/>
              <w:left w:val="nil"/>
              <w:bottom w:val="nil"/>
              <w:right w:val="nil"/>
            </w:tcBorders>
            <w:vAlign w:val="center"/>
          </w:tcPr>
          <w:p w14:paraId="7CACF34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w:t>
            </w:r>
          </w:p>
        </w:tc>
      </w:tr>
      <w:tr w:rsidR="0064611C" w:rsidRPr="00F14751" w14:paraId="2FD18403" w14:textId="77777777" w:rsidTr="006B126F">
        <w:trPr>
          <w:jc w:val="center"/>
        </w:trPr>
        <w:tc>
          <w:tcPr>
            <w:tcW w:w="2241" w:type="dxa"/>
            <w:tcBorders>
              <w:top w:val="nil"/>
              <w:left w:val="nil"/>
              <w:bottom w:val="single" w:sz="6" w:space="0" w:color="auto"/>
              <w:right w:val="nil"/>
            </w:tcBorders>
            <w:vAlign w:val="center"/>
          </w:tcPr>
          <w:p w14:paraId="5C5417E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VARIABLES</w:t>
            </w:r>
          </w:p>
        </w:tc>
        <w:tc>
          <w:tcPr>
            <w:tcW w:w="1394" w:type="dxa"/>
            <w:tcBorders>
              <w:top w:val="nil"/>
              <w:left w:val="nil"/>
              <w:bottom w:val="single" w:sz="6" w:space="0" w:color="auto"/>
              <w:right w:val="nil"/>
            </w:tcBorders>
            <w:vAlign w:val="center"/>
          </w:tcPr>
          <w:p w14:paraId="2126CE7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($2)</w:t>
            </w:r>
          </w:p>
        </w:tc>
        <w:tc>
          <w:tcPr>
            <w:tcW w:w="1394" w:type="dxa"/>
            <w:tcBorders>
              <w:top w:val="nil"/>
              <w:left w:val="nil"/>
              <w:bottom w:val="single" w:sz="6" w:space="0" w:color="auto"/>
              <w:right w:val="nil"/>
            </w:tcBorders>
            <w:vAlign w:val="center"/>
          </w:tcPr>
          <w:p w14:paraId="68CA9BB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($1.25)</w:t>
            </w:r>
          </w:p>
        </w:tc>
        <w:tc>
          <w:tcPr>
            <w:tcW w:w="1394" w:type="dxa"/>
            <w:tcBorders>
              <w:top w:val="nil"/>
              <w:left w:val="nil"/>
              <w:bottom w:val="single" w:sz="6" w:space="0" w:color="auto"/>
              <w:right w:val="nil"/>
            </w:tcBorders>
            <w:vAlign w:val="center"/>
          </w:tcPr>
          <w:p w14:paraId="3FC5A7E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($2)</w:t>
            </w:r>
          </w:p>
        </w:tc>
        <w:tc>
          <w:tcPr>
            <w:tcW w:w="1394" w:type="dxa"/>
            <w:tcBorders>
              <w:top w:val="nil"/>
              <w:left w:val="nil"/>
              <w:bottom w:val="single" w:sz="6" w:space="0" w:color="auto"/>
              <w:right w:val="nil"/>
            </w:tcBorders>
            <w:vAlign w:val="center"/>
          </w:tcPr>
          <w:p w14:paraId="1CC8427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($1.25)</w:t>
            </w:r>
          </w:p>
        </w:tc>
        <w:tc>
          <w:tcPr>
            <w:tcW w:w="1394" w:type="dxa"/>
            <w:tcBorders>
              <w:top w:val="nil"/>
              <w:left w:val="nil"/>
              <w:bottom w:val="single" w:sz="6" w:space="0" w:color="auto"/>
              <w:right w:val="nil"/>
            </w:tcBorders>
            <w:vAlign w:val="center"/>
          </w:tcPr>
          <w:p w14:paraId="49AB4D8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($2)</w:t>
            </w:r>
          </w:p>
        </w:tc>
        <w:tc>
          <w:tcPr>
            <w:tcW w:w="1394" w:type="dxa"/>
            <w:tcBorders>
              <w:top w:val="nil"/>
              <w:left w:val="nil"/>
              <w:bottom w:val="single" w:sz="6" w:space="0" w:color="auto"/>
              <w:right w:val="nil"/>
            </w:tcBorders>
            <w:vAlign w:val="center"/>
          </w:tcPr>
          <w:p w14:paraId="4BCA6D5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($1.25)</w:t>
            </w:r>
          </w:p>
        </w:tc>
      </w:tr>
      <w:tr w:rsidR="0064611C" w:rsidRPr="00F14751" w14:paraId="7012E1B3" w14:textId="77777777" w:rsidTr="006B126F">
        <w:trPr>
          <w:jc w:val="center"/>
        </w:trPr>
        <w:tc>
          <w:tcPr>
            <w:tcW w:w="2241" w:type="dxa"/>
            <w:tcBorders>
              <w:top w:val="nil"/>
              <w:left w:val="nil"/>
              <w:bottom w:val="nil"/>
              <w:right w:val="nil"/>
            </w:tcBorders>
            <w:vAlign w:val="center"/>
          </w:tcPr>
          <w:p w14:paraId="13C2460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1F05335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258F5E4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0821BE0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1184481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1ACE9EF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03B5C9F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7D350034" w14:textId="77777777" w:rsidTr="006B126F">
        <w:trPr>
          <w:jc w:val="center"/>
        </w:trPr>
        <w:tc>
          <w:tcPr>
            <w:tcW w:w="2241" w:type="dxa"/>
            <w:tcBorders>
              <w:top w:val="nil"/>
              <w:left w:val="nil"/>
              <w:bottom w:val="nil"/>
              <w:right w:val="nil"/>
            </w:tcBorders>
            <w:vAlign w:val="center"/>
          </w:tcPr>
          <w:p w14:paraId="1F69745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SRI</w:t>
            </w:r>
          </w:p>
        </w:tc>
        <w:tc>
          <w:tcPr>
            <w:tcW w:w="1394" w:type="dxa"/>
            <w:tcBorders>
              <w:top w:val="nil"/>
              <w:left w:val="nil"/>
              <w:bottom w:val="nil"/>
              <w:right w:val="nil"/>
            </w:tcBorders>
            <w:vAlign w:val="center"/>
          </w:tcPr>
          <w:p w14:paraId="2BA1A94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0.285</w:t>
            </w:r>
          </w:p>
        </w:tc>
        <w:tc>
          <w:tcPr>
            <w:tcW w:w="1394" w:type="dxa"/>
            <w:tcBorders>
              <w:top w:val="nil"/>
              <w:left w:val="nil"/>
              <w:bottom w:val="nil"/>
              <w:right w:val="nil"/>
            </w:tcBorders>
            <w:vAlign w:val="center"/>
          </w:tcPr>
          <w:p w14:paraId="73E85AB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0.151</w:t>
            </w:r>
          </w:p>
        </w:tc>
        <w:tc>
          <w:tcPr>
            <w:tcW w:w="1394" w:type="dxa"/>
            <w:tcBorders>
              <w:top w:val="nil"/>
              <w:left w:val="nil"/>
              <w:bottom w:val="nil"/>
              <w:right w:val="nil"/>
            </w:tcBorders>
            <w:vAlign w:val="center"/>
          </w:tcPr>
          <w:p w14:paraId="33EE033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0.140*</w:t>
            </w:r>
          </w:p>
        </w:tc>
        <w:tc>
          <w:tcPr>
            <w:tcW w:w="1394" w:type="dxa"/>
            <w:tcBorders>
              <w:top w:val="nil"/>
              <w:left w:val="nil"/>
              <w:bottom w:val="nil"/>
              <w:right w:val="nil"/>
            </w:tcBorders>
            <w:vAlign w:val="center"/>
          </w:tcPr>
          <w:p w14:paraId="4CFE26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0.0905***</w:t>
            </w:r>
          </w:p>
        </w:tc>
        <w:tc>
          <w:tcPr>
            <w:tcW w:w="1394" w:type="dxa"/>
            <w:tcBorders>
              <w:top w:val="nil"/>
              <w:left w:val="nil"/>
              <w:bottom w:val="nil"/>
              <w:right w:val="nil"/>
            </w:tcBorders>
            <w:vAlign w:val="center"/>
          </w:tcPr>
          <w:p w14:paraId="4D264DA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2.708</w:t>
            </w:r>
          </w:p>
        </w:tc>
        <w:tc>
          <w:tcPr>
            <w:tcW w:w="1394" w:type="dxa"/>
            <w:tcBorders>
              <w:top w:val="nil"/>
              <w:left w:val="nil"/>
              <w:bottom w:val="nil"/>
              <w:right w:val="nil"/>
            </w:tcBorders>
            <w:vAlign w:val="center"/>
          </w:tcPr>
          <w:p w14:paraId="517E815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1.290***</w:t>
            </w:r>
          </w:p>
        </w:tc>
      </w:tr>
      <w:tr w:rsidR="0064611C" w:rsidRPr="00F14751" w14:paraId="307D352B" w14:textId="77777777" w:rsidTr="006B126F">
        <w:trPr>
          <w:jc w:val="center"/>
        </w:trPr>
        <w:tc>
          <w:tcPr>
            <w:tcW w:w="2241" w:type="dxa"/>
            <w:tcBorders>
              <w:top w:val="nil"/>
              <w:left w:val="nil"/>
              <w:bottom w:val="nil"/>
              <w:right w:val="nil"/>
            </w:tcBorders>
            <w:vAlign w:val="center"/>
          </w:tcPr>
          <w:p w14:paraId="7555D90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7973D16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(0.233)</w:t>
            </w:r>
          </w:p>
        </w:tc>
        <w:tc>
          <w:tcPr>
            <w:tcW w:w="1394" w:type="dxa"/>
            <w:tcBorders>
              <w:top w:val="nil"/>
              <w:left w:val="nil"/>
              <w:bottom w:val="nil"/>
              <w:right w:val="nil"/>
            </w:tcBorders>
            <w:vAlign w:val="center"/>
          </w:tcPr>
          <w:p w14:paraId="6B358A5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(0.0923)</w:t>
            </w:r>
          </w:p>
        </w:tc>
        <w:tc>
          <w:tcPr>
            <w:tcW w:w="1394" w:type="dxa"/>
            <w:tcBorders>
              <w:top w:val="nil"/>
              <w:left w:val="nil"/>
              <w:bottom w:val="nil"/>
              <w:right w:val="nil"/>
            </w:tcBorders>
            <w:vAlign w:val="center"/>
          </w:tcPr>
          <w:p w14:paraId="000882A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(0.0607)</w:t>
            </w:r>
          </w:p>
        </w:tc>
        <w:tc>
          <w:tcPr>
            <w:tcW w:w="1394" w:type="dxa"/>
            <w:tcBorders>
              <w:top w:val="nil"/>
              <w:left w:val="nil"/>
              <w:bottom w:val="nil"/>
              <w:right w:val="nil"/>
            </w:tcBorders>
            <w:vAlign w:val="center"/>
          </w:tcPr>
          <w:p w14:paraId="6187D9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(0.0136)</w:t>
            </w:r>
          </w:p>
        </w:tc>
        <w:tc>
          <w:tcPr>
            <w:tcW w:w="1394" w:type="dxa"/>
            <w:tcBorders>
              <w:top w:val="nil"/>
              <w:left w:val="nil"/>
              <w:bottom w:val="nil"/>
              <w:right w:val="nil"/>
            </w:tcBorders>
            <w:vAlign w:val="center"/>
          </w:tcPr>
          <w:p w14:paraId="33C1A82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(2.528)</w:t>
            </w:r>
          </w:p>
        </w:tc>
        <w:tc>
          <w:tcPr>
            <w:tcW w:w="1394" w:type="dxa"/>
            <w:tcBorders>
              <w:top w:val="nil"/>
              <w:left w:val="nil"/>
              <w:bottom w:val="nil"/>
              <w:right w:val="nil"/>
            </w:tcBorders>
            <w:vAlign w:val="center"/>
          </w:tcPr>
          <w:p w14:paraId="275CDC5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(0.195)</w:t>
            </w:r>
          </w:p>
        </w:tc>
      </w:tr>
      <w:tr w:rsidR="0064611C" w:rsidRPr="00F14751" w14:paraId="0DA82965" w14:textId="77777777" w:rsidTr="006B126F">
        <w:trPr>
          <w:jc w:val="center"/>
        </w:trPr>
        <w:tc>
          <w:tcPr>
            <w:tcW w:w="2241" w:type="dxa"/>
            <w:tcBorders>
              <w:top w:val="nil"/>
              <w:left w:val="nil"/>
              <w:bottom w:val="nil"/>
              <w:right w:val="nil"/>
            </w:tcBorders>
            <w:vAlign w:val="center"/>
          </w:tcPr>
          <w:p w14:paraId="4E6D845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Polity</w:t>
            </w:r>
          </w:p>
        </w:tc>
        <w:tc>
          <w:tcPr>
            <w:tcW w:w="1394" w:type="dxa"/>
            <w:tcBorders>
              <w:top w:val="nil"/>
              <w:left w:val="nil"/>
              <w:bottom w:val="nil"/>
              <w:right w:val="nil"/>
            </w:tcBorders>
            <w:vAlign w:val="center"/>
          </w:tcPr>
          <w:p w14:paraId="5A7BEA8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0.180</w:t>
            </w:r>
          </w:p>
        </w:tc>
        <w:tc>
          <w:tcPr>
            <w:tcW w:w="1394" w:type="dxa"/>
            <w:tcBorders>
              <w:top w:val="nil"/>
              <w:left w:val="nil"/>
              <w:bottom w:val="nil"/>
              <w:right w:val="nil"/>
            </w:tcBorders>
            <w:vAlign w:val="center"/>
          </w:tcPr>
          <w:p w14:paraId="5EE0475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0.270**</w:t>
            </w:r>
          </w:p>
        </w:tc>
        <w:tc>
          <w:tcPr>
            <w:tcW w:w="1394" w:type="dxa"/>
            <w:tcBorders>
              <w:top w:val="nil"/>
              <w:left w:val="nil"/>
              <w:bottom w:val="nil"/>
              <w:right w:val="nil"/>
            </w:tcBorders>
            <w:vAlign w:val="center"/>
          </w:tcPr>
          <w:p w14:paraId="5D1D540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0.159</w:t>
            </w:r>
          </w:p>
        </w:tc>
        <w:tc>
          <w:tcPr>
            <w:tcW w:w="1394" w:type="dxa"/>
            <w:tcBorders>
              <w:top w:val="nil"/>
              <w:left w:val="nil"/>
              <w:bottom w:val="nil"/>
              <w:right w:val="nil"/>
            </w:tcBorders>
            <w:vAlign w:val="center"/>
          </w:tcPr>
          <w:p w14:paraId="492C99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0.0945</w:t>
            </w:r>
          </w:p>
        </w:tc>
        <w:tc>
          <w:tcPr>
            <w:tcW w:w="1394" w:type="dxa"/>
            <w:tcBorders>
              <w:top w:val="nil"/>
              <w:left w:val="nil"/>
              <w:bottom w:val="nil"/>
              <w:right w:val="nil"/>
            </w:tcBorders>
            <w:vAlign w:val="center"/>
          </w:tcPr>
          <w:p w14:paraId="4EFD6C5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6.701*</w:t>
            </w:r>
          </w:p>
        </w:tc>
        <w:tc>
          <w:tcPr>
            <w:tcW w:w="1394" w:type="dxa"/>
            <w:tcBorders>
              <w:top w:val="nil"/>
              <w:left w:val="nil"/>
              <w:bottom w:val="nil"/>
              <w:right w:val="nil"/>
            </w:tcBorders>
            <w:vAlign w:val="center"/>
          </w:tcPr>
          <w:p w14:paraId="6B328F1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1.634*</w:t>
            </w:r>
          </w:p>
        </w:tc>
      </w:tr>
      <w:tr w:rsidR="0064611C" w:rsidRPr="00F14751" w14:paraId="4EF57BC7" w14:textId="77777777" w:rsidTr="006B126F">
        <w:trPr>
          <w:jc w:val="center"/>
        </w:trPr>
        <w:tc>
          <w:tcPr>
            <w:tcW w:w="2241" w:type="dxa"/>
            <w:tcBorders>
              <w:top w:val="nil"/>
              <w:left w:val="nil"/>
              <w:bottom w:val="nil"/>
              <w:right w:val="nil"/>
            </w:tcBorders>
            <w:vAlign w:val="center"/>
          </w:tcPr>
          <w:p w14:paraId="0748B87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0BD9B6F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(0.606)</w:t>
            </w:r>
          </w:p>
        </w:tc>
        <w:tc>
          <w:tcPr>
            <w:tcW w:w="1394" w:type="dxa"/>
            <w:tcBorders>
              <w:top w:val="nil"/>
              <w:left w:val="nil"/>
              <w:bottom w:val="nil"/>
              <w:right w:val="nil"/>
            </w:tcBorders>
            <w:vAlign w:val="center"/>
          </w:tcPr>
          <w:p w14:paraId="3A4C5C9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(0.0768)</w:t>
            </w:r>
          </w:p>
        </w:tc>
        <w:tc>
          <w:tcPr>
            <w:tcW w:w="1394" w:type="dxa"/>
            <w:tcBorders>
              <w:top w:val="nil"/>
              <w:left w:val="nil"/>
              <w:bottom w:val="nil"/>
              <w:right w:val="nil"/>
            </w:tcBorders>
            <w:vAlign w:val="center"/>
          </w:tcPr>
          <w:p w14:paraId="1E88342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(0.0903)</w:t>
            </w:r>
          </w:p>
        </w:tc>
        <w:tc>
          <w:tcPr>
            <w:tcW w:w="1394" w:type="dxa"/>
            <w:tcBorders>
              <w:top w:val="nil"/>
              <w:left w:val="nil"/>
              <w:bottom w:val="nil"/>
              <w:right w:val="nil"/>
            </w:tcBorders>
            <w:vAlign w:val="center"/>
          </w:tcPr>
          <w:p w14:paraId="6A45208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(0.0525)</w:t>
            </w:r>
          </w:p>
        </w:tc>
        <w:tc>
          <w:tcPr>
            <w:tcW w:w="1394" w:type="dxa"/>
            <w:tcBorders>
              <w:top w:val="nil"/>
              <w:left w:val="nil"/>
              <w:bottom w:val="nil"/>
              <w:right w:val="nil"/>
            </w:tcBorders>
            <w:vAlign w:val="center"/>
          </w:tcPr>
          <w:p w14:paraId="78FD672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(2.825)</w:t>
            </w:r>
          </w:p>
        </w:tc>
        <w:tc>
          <w:tcPr>
            <w:tcW w:w="1394" w:type="dxa"/>
            <w:tcBorders>
              <w:top w:val="nil"/>
              <w:left w:val="nil"/>
              <w:bottom w:val="nil"/>
              <w:right w:val="nil"/>
            </w:tcBorders>
            <w:vAlign w:val="center"/>
          </w:tcPr>
          <w:p w14:paraId="2C6C39E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(0.642)</w:t>
            </w:r>
          </w:p>
        </w:tc>
      </w:tr>
      <w:tr w:rsidR="0064611C" w:rsidRPr="00F14751" w14:paraId="10F53BD6" w14:textId="77777777" w:rsidTr="006B126F">
        <w:trPr>
          <w:jc w:val="center"/>
        </w:trPr>
        <w:tc>
          <w:tcPr>
            <w:tcW w:w="2241" w:type="dxa"/>
            <w:tcBorders>
              <w:top w:val="nil"/>
              <w:left w:val="nil"/>
              <w:bottom w:val="nil"/>
              <w:right w:val="nil"/>
            </w:tcBorders>
            <w:vAlign w:val="center"/>
          </w:tcPr>
          <w:p w14:paraId="3A9A519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GDP</w:t>
            </w:r>
          </w:p>
        </w:tc>
        <w:tc>
          <w:tcPr>
            <w:tcW w:w="1394" w:type="dxa"/>
            <w:tcBorders>
              <w:top w:val="nil"/>
              <w:left w:val="nil"/>
              <w:bottom w:val="nil"/>
              <w:right w:val="nil"/>
            </w:tcBorders>
            <w:vAlign w:val="center"/>
          </w:tcPr>
          <w:p w14:paraId="4D39E97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-0.124</w:t>
            </w:r>
          </w:p>
        </w:tc>
        <w:tc>
          <w:tcPr>
            <w:tcW w:w="1394" w:type="dxa"/>
            <w:tcBorders>
              <w:top w:val="nil"/>
              <w:left w:val="nil"/>
              <w:bottom w:val="nil"/>
              <w:right w:val="nil"/>
            </w:tcBorders>
            <w:vAlign w:val="center"/>
          </w:tcPr>
          <w:p w14:paraId="41BDAC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-0.0391</w:t>
            </w:r>
          </w:p>
        </w:tc>
        <w:tc>
          <w:tcPr>
            <w:tcW w:w="1394" w:type="dxa"/>
            <w:tcBorders>
              <w:top w:val="nil"/>
              <w:left w:val="nil"/>
              <w:bottom w:val="nil"/>
              <w:right w:val="nil"/>
            </w:tcBorders>
            <w:vAlign w:val="center"/>
          </w:tcPr>
          <w:p w14:paraId="248DC98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-0.0350</w:t>
            </w:r>
          </w:p>
        </w:tc>
        <w:tc>
          <w:tcPr>
            <w:tcW w:w="1394" w:type="dxa"/>
            <w:tcBorders>
              <w:top w:val="nil"/>
              <w:left w:val="nil"/>
              <w:bottom w:val="nil"/>
              <w:right w:val="nil"/>
            </w:tcBorders>
            <w:vAlign w:val="center"/>
          </w:tcPr>
          <w:p w14:paraId="6E788B9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-0.00808</w:t>
            </w:r>
          </w:p>
        </w:tc>
        <w:tc>
          <w:tcPr>
            <w:tcW w:w="1394" w:type="dxa"/>
            <w:tcBorders>
              <w:top w:val="nil"/>
              <w:left w:val="nil"/>
              <w:bottom w:val="nil"/>
              <w:right w:val="nil"/>
            </w:tcBorders>
            <w:vAlign w:val="center"/>
          </w:tcPr>
          <w:p w14:paraId="21901A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-0.732</w:t>
            </w:r>
          </w:p>
        </w:tc>
        <w:tc>
          <w:tcPr>
            <w:tcW w:w="1394" w:type="dxa"/>
            <w:tcBorders>
              <w:top w:val="nil"/>
              <w:left w:val="nil"/>
              <w:bottom w:val="nil"/>
              <w:right w:val="nil"/>
            </w:tcBorders>
            <w:vAlign w:val="center"/>
          </w:tcPr>
          <w:p w14:paraId="30503B0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-0.0715</w:t>
            </w:r>
          </w:p>
        </w:tc>
      </w:tr>
      <w:tr w:rsidR="0064611C" w:rsidRPr="00F14751" w14:paraId="2A4FFD06" w14:textId="77777777" w:rsidTr="006B126F">
        <w:trPr>
          <w:jc w:val="center"/>
        </w:trPr>
        <w:tc>
          <w:tcPr>
            <w:tcW w:w="2241" w:type="dxa"/>
            <w:tcBorders>
              <w:top w:val="nil"/>
              <w:left w:val="nil"/>
              <w:bottom w:val="nil"/>
              <w:right w:val="nil"/>
            </w:tcBorders>
            <w:vAlign w:val="center"/>
          </w:tcPr>
          <w:p w14:paraId="2B052E6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00D0E41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(0.114)</w:t>
            </w:r>
          </w:p>
        </w:tc>
        <w:tc>
          <w:tcPr>
            <w:tcW w:w="1394" w:type="dxa"/>
            <w:tcBorders>
              <w:top w:val="nil"/>
              <w:left w:val="nil"/>
              <w:bottom w:val="nil"/>
              <w:right w:val="nil"/>
            </w:tcBorders>
            <w:vAlign w:val="center"/>
          </w:tcPr>
          <w:p w14:paraId="68CBA1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(0.0591)</w:t>
            </w:r>
          </w:p>
        </w:tc>
        <w:tc>
          <w:tcPr>
            <w:tcW w:w="1394" w:type="dxa"/>
            <w:tcBorders>
              <w:top w:val="nil"/>
              <w:left w:val="nil"/>
              <w:bottom w:val="nil"/>
              <w:right w:val="nil"/>
            </w:tcBorders>
            <w:vAlign w:val="center"/>
          </w:tcPr>
          <w:p w14:paraId="66FA90E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(0.0434)</w:t>
            </w:r>
          </w:p>
        </w:tc>
        <w:tc>
          <w:tcPr>
            <w:tcW w:w="1394" w:type="dxa"/>
            <w:tcBorders>
              <w:top w:val="nil"/>
              <w:left w:val="nil"/>
              <w:bottom w:val="nil"/>
              <w:right w:val="nil"/>
            </w:tcBorders>
            <w:vAlign w:val="center"/>
          </w:tcPr>
          <w:p w14:paraId="3594E51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(0.0187)</w:t>
            </w:r>
          </w:p>
        </w:tc>
        <w:tc>
          <w:tcPr>
            <w:tcW w:w="1394" w:type="dxa"/>
            <w:tcBorders>
              <w:top w:val="nil"/>
              <w:left w:val="nil"/>
              <w:bottom w:val="nil"/>
              <w:right w:val="nil"/>
            </w:tcBorders>
            <w:vAlign w:val="center"/>
          </w:tcPr>
          <w:p w14:paraId="2C25D65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(1.336)</w:t>
            </w:r>
          </w:p>
        </w:tc>
        <w:tc>
          <w:tcPr>
            <w:tcW w:w="1394" w:type="dxa"/>
            <w:tcBorders>
              <w:top w:val="nil"/>
              <w:left w:val="nil"/>
              <w:bottom w:val="nil"/>
              <w:right w:val="nil"/>
            </w:tcBorders>
            <w:vAlign w:val="center"/>
          </w:tcPr>
          <w:p w14:paraId="429D5EF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(0.231)</w:t>
            </w:r>
          </w:p>
        </w:tc>
      </w:tr>
      <w:tr w:rsidR="0064611C" w:rsidRPr="00F14751" w14:paraId="36C6AB6F" w14:textId="77777777" w:rsidTr="006B126F">
        <w:trPr>
          <w:jc w:val="center"/>
        </w:trPr>
        <w:tc>
          <w:tcPr>
            <w:tcW w:w="2241" w:type="dxa"/>
            <w:tcBorders>
              <w:top w:val="nil"/>
              <w:left w:val="nil"/>
              <w:bottom w:val="nil"/>
              <w:right w:val="nil"/>
            </w:tcBorders>
            <w:vAlign w:val="center"/>
          </w:tcPr>
          <w:p w14:paraId="59AA8ED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GDPgrowth</w:t>
            </w:r>
            <w:proofErr w:type="spellEnd"/>
          </w:p>
        </w:tc>
        <w:tc>
          <w:tcPr>
            <w:tcW w:w="1394" w:type="dxa"/>
            <w:tcBorders>
              <w:top w:val="nil"/>
              <w:left w:val="nil"/>
              <w:bottom w:val="nil"/>
              <w:right w:val="nil"/>
            </w:tcBorders>
            <w:vAlign w:val="center"/>
          </w:tcPr>
          <w:p w14:paraId="7F37C39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-0.0494</w:t>
            </w:r>
          </w:p>
        </w:tc>
        <w:tc>
          <w:tcPr>
            <w:tcW w:w="1394" w:type="dxa"/>
            <w:tcBorders>
              <w:top w:val="nil"/>
              <w:left w:val="nil"/>
              <w:bottom w:val="nil"/>
              <w:right w:val="nil"/>
            </w:tcBorders>
            <w:vAlign w:val="center"/>
          </w:tcPr>
          <w:p w14:paraId="195896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-0.0373</w:t>
            </w:r>
          </w:p>
        </w:tc>
        <w:tc>
          <w:tcPr>
            <w:tcW w:w="1394" w:type="dxa"/>
            <w:tcBorders>
              <w:top w:val="nil"/>
              <w:left w:val="nil"/>
              <w:bottom w:val="nil"/>
              <w:right w:val="nil"/>
            </w:tcBorders>
            <w:vAlign w:val="center"/>
          </w:tcPr>
          <w:p w14:paraId="76A419E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-0.0150</w:t>
            </w:r>
          </w:p>
        </w:tc>
        <w:tc>
          <w:tcPr>
            <w:tcW w:w="1394" w:type="dxa"/>
            <w:tcBorders>
              <w:top w:val="nil"/>
              <w:left w:val="nil"/>
              <w:bottom w:val="nil"/>
              <w:right w:val="nil"/>
            </w:tcBorders>
            <w:vAlign w:val="center"/>
          </w:tcPr>
          <w:p w14:paraId="1083B30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0.00649</w:t>
            </w:r>
          </w:p>
        </w:tc>
        <w:tc>
          <w:tcPr>
            <w:tcW w:w="1394" w:type="dxa"/>
            <w:tcBorders>
              <w:top w:val="nil"/>
              <w:left w:val="nil"/>
              <w:bottom w:val="nil"/>
              <w:right w:val="nil"/>
            </w:tcBorders>
            <w:vAlign w:val="center"/>
          </w:tcPr>
          <w:p w14:paraId="2776E47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-1.682</w:t>
            </w:r>
          </w:p>
        </w:tc>
        <w:tc>
          <w:tcPr>
            <w:tcW w:w="1394" w:type="dxa"/>
            <w:tcBorders>
              <w:top w:val="nil"/>
              <w:left w:val="nil"/>
              <w:bottom w:val="nil"/>
              <w:right w:val="nil"/>
            </w:tcBorders>
            <w:vAlign w:val="center"/>
          </w:tcPr>
          <w:p w14:paraId="1726639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-0.177</w:t>
            </w:r>
          </w:p>
        </w:tc>
      </w:tr>
      <w:tr w:rsidR="0064611C" w:rsidRPr="00F14751" w14:paraId="36808B39" w14:textId="77777777" w:rsidTr="006B126F">
        <w:trPr>
          <w:jc w:val="center"/>
        </w:trPr>
        <w:tc>
          <w:tcPr>
            <w:tcW w:w="2241" w:type="dxa"/>
            <w:tcBorders>
              <w:top w:val="nil"/>
              <w:left w:val="nil"/>
              <w:bottom w:val="nil"/>
              <w:right w:val="nil"/>
            </w:tcBorders>
            <w:vAlign w:val="center"/>
          </w:tcPr>
          <w:p w14:paraId="7EABA18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1960C0F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(0.160)</w:t>
            </w:r>
          </w:p>
        </w:tc>
        <w:tc>
          <w:tcPr>
            <w:tcW w:w="1394" w:type="dxa"/>
            <w:tcBorders>
              <w:top w:val="nil"/>
              <w:left w:val="nil"/>
              <w:bottom w:val="nil"/>
              <w:right w:val="nil"/>
            </w:tcBorders>
            <w:vAlign w:val="center"/>
          </w:tcPr>
          <w:p w14:paraId="2FD68B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(0.0846)</w:t>
            </w:r>
          </w:p>
        </w:tc>
        <w:tc>
          <w:tcPr>
            <w:tcW w:w="1394" w:type="dxa"/>
            <w:tcBorders>
              <w:top w:val="nil"/>
              <w:left w:val="nil"/>
              <w:bottom w:val="nil"/>
              <w:right w:val="nil"/>
            </w:tcBorders>
            <w:vAlign w:val="center"/>
          </w:tcPr>
          <w:p w14:paraId="54B794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(0.0619)</w:t>
            </w:r>
          </w:p>
        </w:tc>
        <w:tc>
          <w:tcPr>
            <w:tcW w:w="1394" w:type="dxa"/>
            <w:tcBorders>
              <w:top w:val="nil"/>
              <w:left w:val="nil"/>
              <w:bottom w:val="nil"/>
              <w:right w:val="nil"/>
            </w:tcBorders>
            <w:vAlign w:val="center"/>
          </w:tcPr>
          <w:p w14:paraId="21C9CE3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(0.0296)</w:t>
            </w:r>
          </w:p>
        </w:tc>
        <w:tc>
          <w:tcPr>
            <w:tcW w:w="1394" w:type="dxa"/>
            <w:tcBorders>
              <w:top w:val="nil"/>
              <w:left w:val="nil"/>
              <w:bottom w:val="nil"/>
              <w:right w:val="nil"/>
            </w:tcBorders>
            <w:vAlign w:val="center"/>
          </w:tcPr>
          <w:p w14:paraId="55F9FA2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(1.611)</w:t>
            </w:r>
          </w:p>
        </w:tc>
        <w:tc>
          <w:tcPr>
            <w:tcW w:w="1394" w:type="dxa"/>
            <w:tcBorders>
              <w:top w:val="nil"/>
              <w:left w:val="nil"/>
              <w:bottom w:val="nil"/>
              <w:right w:val="nil"/>
            </w:tcBorders>
            <w:vAlign w:val="center"/>
          </w:tcPr>
          <w:p w14:paraId="71FDF3D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(0.224)</w:t>
            </w:r>
          </w:p>
        </w:tc>
      </w:tr>
      <w:tr w:rsidR="0064611C" w:rsidRPr="00F14751" w14:paraId="2AA18084" w14:textId="77777777" w:rsidTr="006B126F">
        <w:trPr>
          <w:jc w:val="center"/>
        </w:trPr>
        <w:tc>
          <w:tcPr>
            <w:tcW w:w="2241" w:type="dxa"/>
            <w:tcBorders>
              <w:top w:val="nil"/>
              <w:left w:val="nil"/>
              <w:bottom w:val="nil"/>
              <w:right w:val="nil"/>
            </w:tcBorders>
            <w:vAlign w:val="center"/>
          </w:tcPr>
          <w:p w14:paraId="7C69D6F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School</w:t>
            </w:r>
          </w:p>
        </w:tc>
        <w:tc>
          <w:tcPr>
            <w:tcW w:w="1394" w:type="dxa"/>
            <w:tcBorders>
              <w:top w:val="nil"/>
              <w:left w:val="nil"/>
              <w:bottom w:val="nil"/>
              <w:right w:val="nil"/>
            </w:tcBorders>
            <w:vAlign w:val="center"/>
          </w:tcPr>
          <w:p w14:paraId="0368594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2.490</w:t>
            </w:r>
          </w:p>
        </w:tc>
        <w:tc>
          <w:tcPr>
            <w:tcW w:w="1394" w:type="dxa"/>
            <w:tcBorders>
              <w:top w:val="nil"/>
              <w:left w:val="nil"/>
              <w:bottom w:val="nil"/>
              <w:right w:val="nil"/>
            </w:tcBorders>
            <w:vAlign w:val="center"/>
          </w:tcPr>
          <w:p w14:paraId="553514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0.302</w:t>
            </w:r>
          </w:p>
        </w:tc>
        <w:tc>
          <w:tcPr>
            <w:tcW w:w="1394" w:type="dxa"/>
            <w:tcBorders>
              <w:top w:val="nil"/>
              <w:left w:val="nil"/>
              <w:bottom w:val="nil"/>
              <w:right w:val="nil"/>
            </w:tcBorders>
            <w:vAlign w:val="center"/>
          </w:tcPr>
          <w:p w14:paraId="70592B0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0.640</w:t>
            </w:r>
          </w:p>
        </w:tc>
        <w:tc>
          <w:tcPr>
            <w:tcW w:w="1394" w:type="dxa"/>
            <w:tcBorders>
              <w:top w:val="nil"/>
              <w:left w:val="nil"/>
              <w:bottom w:val="nil"/>
              <w:right w:val="nil"/>
            </w:tcBorders>
            <w:vAlign w:val="center"/>
          </w:tcPr>
          <w:p w14:paraId="27D3E5C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0.233</w:t>
            </w:r>
          </w:p>
        </w:tc>
        <w:tc>
          <w:tcPr>
            <w:tcW w:w="1394" w:type="dxa"/>
            <w:tcBorders>
              <w:top w:val="nil"/>
              <w:left w:val="nil"/>
              <w:bottom w:val="nil"/>
              <w:right w:val="nil"/>
            </w:tcBorders>
            <w:vAlign w:val="center"/>
          </w:tcPr>
          <w:p w14:paraId="072325D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1.860</w:t>
            </w:r>
          </w:p>
        </w:tc>
        <w:tc>
          <w:tcPr>
            <w:tcW w:w="1394" w:type="dxa"/>
            <w:tcBorders>
              <w:top w:val="nil"/>
              <w:left w:val="nil"/>
              <w:bottom w:val="nil"/>
              <w:right w:val="nil"/>
            </w:tcBorders>
            <w:vAlign w:val="center"/>
          </w:tcPr>
          <w:p w14:paraId="6A6E759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-0.965</w:t>
            </w:r>
          </w:p>
        </w:tc>
      </w:tr>
      <w:tr w:rsidR="0064611C" w:rsidRPr="00F14751" w14:paraId="049683BE" w14:textId="77777777" w:rsidTr="006B126F">
        <w:trPr>
          <w:jc w:val="center"/>
        </w:trPr>
        <w:tc>
          <w:tcPr>
            <w:tcW w:w="2241" w:type="dxa"/>
            <w:tcBorders>
              <w:top w:val="nil"/>
              <w:left w:val="nil"/>
              <w:bottom w:val="nil"/>
              <w:right w:val="nil"/>
            </w:tcBorders>
            <w:vAlign w:val="center"/>
          </w:tcPr>
          <w:p w14:paraId="10CC01F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7D73916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(4.205)</w:t>
            </w:r>
          </w:p>
        </w:tc>
        <w:tc>
          <w:tcPr>
            <w:tcW w:w="1394" w:type="dxa"/>
            <w:tcBorders>
              <w:top w:val="nil"/>
              <w:left w:val="nil"/>
              <w:bottom w:val="nil"/>
              <w:right w:val="nil"/>
            </w:tcBorders>
            <w:vAlign w:val="center"/>
          </w:tcPr>
          <w:p w14:paraId="559D28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(2.030)</w:t>
            </w:r>
          </w:p>
        </w:tc>
        <w:tc>
          <w:tcPr>
            <w:tcW w:w="1394" w:type="dxa"/>
            <w:tcBorders>
              <w:top w:val="nil"/>
              <w:left w:val="nil"/>
              <w:bottom w:val="nil"/>
              <w:right w:val="nil"/>
            </w:tcBorders>
            <w:vAlign w:val="center"/>
          </w:tcPr>
          <w:p w14:paraId="0930566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(1.463)</w:t>
            </w:r>
          </w:p>
        </w:tc>
        <w:tc>
          <w:tcPr>
            <w:tcW w:w="1394" w:type="dxa"/>
            <w:tcBorders>
              <w:top w:val="nil"/>
              <w:left w:val="nil"/>
              <w:bottom w:val="nil"/>
              <w:right w:val="nil"/>
            </w:tcBorders>
            <w:vAlign w:val="center"/>
          </w:tcPr>
          <w:p w14:paraId="1E6F069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(0.775)</w:t>
            </w:r>
          </w:p>
        </w:tc>
        <w:tc>
          <w:tcPr>
            <w:tcW w:w="1394" w:type="dxa"/>
            <w:tcBorders>
              <w:top w:val="nil"/>
              <w:left w:val="nil"/>
              <w:bottom w:val="nil"/>
              <w:right w:val="nil"/>
            </w:tcBorders>
            <w:vAlign w:val="center"/>
          </w:tcPr>
          <w:p w14:paraId="245D3EB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(42.79)</w:t>
            </w:r>
          </w:p>
        </w:tc>
        <w:tc>
          <w:tcPr>
            <w:tcW w:w="1394" w:type="dxa"/>
            <w:tcBorders>
              <w:top w:val="nil"/>
              <w:left w:val="nil"/>
              <w:bottom w:val="nil"/>
              <w:right w:val="nil"/>
            </w:tcBorders>
            <w:vAlign w:val="center"/>
          </w:tcPr>
          <w:p w14:paraId="283B43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(7.216)</w:t>
            </w:r>
          </w:p>
        </w:tc>
      </w:tr>
      <w:tr w:rsidR="0064611C" w:rsidRPr="00F14751" w14:paraId="32038024" w14:textId="77777777" w:rsidTr="006B126F">
        <w:trPr>
          <w:jc w:val="center"/>
        </w:trPr>
        <w:tc>
          <w:tcPr>
            <w:tcW w:w="2241" w:type="dxa"/>
            <w:tcBorders>
              <w:top w:val="nil"/>
              <w:left w:val="nil"/>
              <w:bottom w:val="nil"/>
              <w:right w:val="nil"/>
            </w:tcBorders>
            <w:vAlign w:val="center"/>
          </w:tcPr>
          <w:p w14:paraId="1D48CD0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Death</w:t>
            </w:r>
          </w:p>
        </w:tc>
        <w:tc>
          <w:tcPr>
            <w:tcW w:w="1394" w:type="dxa"/>
            <w:tcBorders>
              <w:top w:val="nil"/>
              <w:left w:val="nil"/>
              <w:bottom w:val="nil"/>
              <w:right w:val="nil"/>
            </w:tcBorders>
            <w:vAlign w:val="center"/>
          </w:tcPr>
          <w:p w14:paraId="0CEDE6C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0.329</w:t>
            </w:r>
          </w:p>
        </w:tc>
        <w:tc>
          <w:tcPr>
            <w:tcW w:w="1394" w:type="dxa"/>
            <w:tcBorders>
              <w:top w:val="nil"/>
              <w:left w:val="nil"/>
              <w:bottom w:val="nil"/>
              <w:right w:val="nil"/>
            </w:tcBorders>
            <w:vAlign w:val="center"/>
          </w:tcPr>
          <w:p w14:paraId="1DBA147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-0.685</w:t>
            </w:r>
          </w:p>
        </w:tc>
        <w:tc>
          <w:tcPr>
            <w:tcW w:w="1394" w:type="dxa"/>
            <w:tcBorders>
              <w:top w:val="nil"/>
              <w:left w:val="nil"/>
              <w:bottom w:val="nil"/>
              <w:right w:val="nil"/>
            </w:tcBorders>
            <w:vAlign w:val="center"/>
          </w:tcPr>
          <w:p w14:paraId="06B0D6D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-1.124</w:t>
            </w:r>
          </w:p>
        </w:tc>
        <w:tc>
          <w:tcPr>
            <w:tcW w:w="1394" w:type="dxa"/>
            <w:tcBorders>
              <w:top w:val="nil"/>
              <w:left w:val="nil"/>
              <w:bottom w:val="nil"/>
              <w:right w:val="nil"/>
            </w:tcBorders>
            <w:vAlign w:val="center"/>
          </w:tcPr>
          <w:p w14:paraId="492F420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-1.966</w:t>
            </w:r>
          </w:p>
        </w:tc>
        <w:tc>
          <w:tcPr>
            <w:tcW w:w="1394" w:type="dxa"/>
            <w:tcBorders>
              <w:top w:val="nil"/>
              <w:left w:val="nil"/>
              <w:bottom w:val="nil"/>
              <w:right w:val="nil"/>
            </w:tcBorders>
            <w:vAlign w:val="center"/>
          </w:tcPr>
          <w:p w14:paraId="350623A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-8.698</w:t>
            </w:r>
          </w:p>
        </w:tc>
        <w:tc>
          <w:tcPr>
            <w:tcW w:w="1394" w:type="dxa"/>
            <w:tcBorders>
              <w:top w:val="nil"/>
              <w:left w:val="nil"/>
              <w:bottom w:val="nil"/>
              <w:right w:val="nil"/>
            </w:tcBorders>
            <w:vAlign w:val="center"/>
          </w:tcPr>
          <w:p w14:paraId="4791735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-25.50**</w:t>
            </w:r>
          </w:p>
        </w:tc>
      </w:tr>
      <w:tr w:rsidR="0064611C" w:rsidRPr="00F14751" w14:paraId="1F6C4D79" w14:textId="77777777" w:rsidTr="006B126F">
        <w:trPr>
          <w:jc w:val="center"/>
        </w:trPr>
        <w:tc>
          <w:tcPr>
            <w:tcW w:w="2241" w:type="dxa"/>
            <w:tcBorders>
              <w:top w:val="nil"/>
              <w:left w:val="nil"/>
              <w:bottom w:val="nil"/>
              <w:right w:val="nil"/>
            </w:tcBorders>
            <w:vAlign w:val="center"/>
          </w:tcPr>
          <w:p w14:paraId="4B57B84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7F443A8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(7.203)</w:t>
            </w:r>
          </w:p>
        </w:tc>
        <w:tc>
          <w:tcPr>
            <w:tcW w:w="1394" w:type="dxa"/>
            <w:tcBorders>
              <w:top w:val="nil"/>
              <w:left w:val="nil"/>
              <w:bottom w:val="nil"/>
              <w:right w:val="nil"/>
            </w:tcBorders>
            <w:vAlign w:val="center"/>
          </w:tcPr>
          <w:p w14:paraId="7787221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(2.944)</w:t>
            </w:r>
          </w:p>
        </w:tc>
        <w:tc>
          <w:tcPr>
            <w:tcW w:w="1394" w:type="dxa"/>
            <w:tcBorders>
              <w:top w:val="nil"/>
              <w:left w:val="nil"/>
              <w:bottom w:val="nil"/>
              <w:right w:val="nil"/>
            </w:tcBorders>
            <w:vAlign w:val="center"/>
          </w:tcPr>
          <w:p w14:paraId="1634AC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(2.439)</w:t>
            </w:r>
          </w:p>
        </w:tc>
        <w:tc>
          <w:tcPr>
            <w:tcW w:w="1394" w:type="dxa"/>
            <w:tcBorders>
              <w:top w:val="nil"/>
              <w:left w:val="nil"/>
              <w:bottom w:val="nil"/>
              <w:right w:val="nil"/>
            </w:tcBorders>
            <w:vAlign w:val="center"/>
          </w:tcPr>
          <w:p w14:paraId="7DBCD9C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(1.078)</w:t>
            </w:r>
          </w:p>
        </w:tc>
        <w:tc>
          <w:tcPr>
            <w:tcW w:w="1394" w:type="dxa"/>
            <w:tcBorders>
              <w:top w:val="nil"/>
              <w:left w:val="nil"/>
              <w:bottom w:val="nil"/>
              <w:right w:val="nil"/>
            </w:tcBorders>
            <w:vAlign w:val="center"/>
          </w:tcPr>
          <w:p w14:paraId="50FBE5C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(58.01)</w:t>
            </w:r>
          </w:p>
        </w:tc>
        <w:tc>
          <w:tcPr>
            <w:tcW w:w="1394" w:type="dxa"/>
            <w:tcBorders>
              <w:top w:val="nil"/>
              <w:left w:val="nil"/>
              <w:bottom w:val="nil"/>
              <w:right w:val="nil"/>
            </w:tcBorders>
            <w:vAlign w:val="center"/>
          </w:tcPr>
          <w:p w14:paraId="6AAA397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(8.455)</w:t>
            </w:r>
          </w:p>
        </w:tc>
      </w:tr>
      <w:tr w:rsidR="0064611C" w:rsidRPr="00F14751" w14:paraId="37A6100F" w14:textId="77777777" w:rsidTr="006B126F">
        <w:trPr>
          <w:jc w:val="center"/>
        </w:trPr>
        <w:tc>
          <w:tcPr>
            <w:tcW w:w="2241" w:type="dxa"/>
            <w:tcBorders>
              <w:top w:val="nil"/>
              <w:left w:val="nil"/>
              <w:bottom w:val="nil"/>
              <w:right w:val="nil"/>
            </w:tcBorders>
            <w:vAlign w:val="center"/>
          </w:tcPr>
          <w:p w14:paraId="18E4E55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UrbanPopgrowth</w:t>
            </w:r>
            <w:proofErr w:type="spellEnd"/>
          </w:p>
        </w:tc>
        <w:tc>
          <w:tcPr>
            <w:tcW w:w="1394" w:type="dxa"/>
            <w:tcBorders>
              <w:top w:val="nil"/>
              <w:left w:val="nil"/>
              <w:bottom w:val="nil"/>
              <w:right w:val="nil"/>
            </w:tcBorders>
            <w:vAlign w:val="center"/>
          </w:tcPr>
          <w:p w14:paraId="203FE2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0.291</w:t>
            </w:r>
          </w:p>
        </w:tc>
        <w:tc>
          <w:tcPr>
            <w:tcW w:w="1394" w:type="dxa"/>
            <w:tcBorders>
              <w:top w:val="nil"/>
              <w:left w:val="nil"/>
              <w:bottom w:val="nil"/>
              <w:right w:val="nil"/>
            </w:tcBorders>
            <w:vAlign w:val="center"/>
          </w:tcPr>
          <w:p w14:paraId="4DDE279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0.395</w:t>
            </w:r>
          </w:p>
        </w:tc>
        <w:tc>
          <w:tcPr>
            <w:tcW w:w="1394" w:type="dxa"/>
            <w:tcBorders>
              <w:top w:val="nil"/>
              <w:left w:val="nil"/>
              <w:bottom w:val="nil"/>
              <w:right w:val="nil"/>
            </w:tcBorders>
            <w:vAlign w:val="center"/>
          </w:tcPr>
          <w:p w14:paraId="5EA0D9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0.385</w:t>
            </w:r>
          </w:p>
        </w:tc>
        <w:tc>
          <w:tcPr>
            <w:tcW w:w="1394" w:type="dxa"/>
            <w:tcBorders>
              <w:top w:val="nil"/>
              <w:left w:val="nil"/>
              <w:bottom w:val="nil"/>
              <w:right w:val="nil"/>
            </w:tcBorders>
            <w:vAlign w:val="center"/>
          </w:tcPr>
          <w:p w14:paraId="5BD0EF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0.446**</w:t>
            </w:r>
          </w:p>
        </w:tc>
        <w:tc>
          <w:tcPr>
            <w:tcW w:w="1394" w:type="dxa"/>
            <w:tcBorders>
              <w:top w:val="nil"/>
              <w:left w:val="nil"/>
              <w:bottom w:val="nil"/>
              <w:right w:val="nil"/>
            </w:tcBorders>
            <w:vAlign w:val="center"/>
          </w:tcPr>
          <w:p w14:paraId="79768F2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-0.157</w:t>
            </w:r>
          </w:p>
        </w:tc>
        <w:tc>
          <w:tcPr>
            <w:tcW w:w="1394" w:type="dxa"/>
            <w:tcBorders>
              <w:top w:val="nil"/>
              <w:left w:val="nil"/>
              <w:bottom w:val="nil"/>
              <w:right w:val="nil"/>
            </w:tcBorders>
            <w:vAlign w:val="center"/>
          </w:tcPr>
          <w:p w14:paraId="545E105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2.350</w:t>
            </w:r>
          </w:p>
        </w:tc>
      </w:tr>
      <w:tr w:rsidR="0064611C" w:rsidRPr="00F14751" w14:paraId="563C4FE2" w14:textId="77777777" w:rsidTr="006B126F">
        <w:trPr>
          <w:jc w:val="center"/>
        </w:trPr>
        <w:tc>
          <w:tcPr>
            <w:tcW w:w="2241" w:type="dxa"/>
            <w:tcBorders>
              <w:top w:val="nil"/>
              <w:left w:val="nil"/>
              <w:bottom w:val="nil"/>
              <w:right w:val="nil"/>
            </w:tcBorders>
            <w:vAlign w:val="center"/>
          </w:tcPr>
          <w:p w14:paraId="78C2CE3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646EDC3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(1.295)</w:t>
            </w:r>
          </w:p>
        </w:tc>
        <w:tc>
          <w:tcPr>
            <w:tcW w:w="1394" w:type="dxa"/>
            <w:tcBorders>
              <w:top w:val="nil"/>
              <w:left w:val="nil"/>
              <w:bottom w:val="nil"/>
              <w:right w:val="nil"/>
            </w:tcBorders>
            <w:vAlign w:val="center"/>
          </w:tcPr>
          <w:p w14:paraId="0C0407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(0.665)</w:t>
            </w:r>
          </w:p>
        </w:tc>
        <w:tc>
          <w:tcPr>
            <w:tcW w:w="1394" w:type="dxa"/>
            <w:tcBorders>
              <w:top w:val="nil"/>
              <w:left w:val="nil"/>
              <w:bottom w:val="nil"/>
              <w:right w:val="nil"/>
            </w:tcBorders>
            <w:vAlign w:val="center"/>
          </w:tcPr>
          <w:p w14:paraId="11A160B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(0.456)</w:t>
            </w:r>
          </w:p>
        </w:tc>
        <w:tc>
          <w:tcPr>
            <w:tcW w:w="1394" w:type="dxa"/>
            <w:tcBorders>
              <w:top w:val="nil"/>
              <w:left w:val="nil"/>
              <w:bottom w:val="nil"/>
              <w:right w:val="nil"/>
            </w:tcBorders>
            <w:vAlign w:val="center"/>
          </w:tcPr>
          <w:p w14:paraId="77083FC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(0.123)</w:t>
            </w:r>
          </w:p>
        </w:tc>
        <w:tc>
          <w:tcPr>
            <w:tcW w:w="1394" w:type="dxa"/>
            <w:tcBorders>
              <w:top w:val="nil"/>
              <w:left w:val="nil"/>
              <w:bottom w:val="nil"/>
              <w:right w:val="nil"/>
            </w:tcBorders>
            <w:vAlign w:val="center"/>
          </w:tcPr>
          <w:p w14:paraId="12843D7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(15.26)</w:t>
            </w:r>
          </w:p>
        </w:tc>
        <w:tc>
          <w:tcPr>
            <w:tcW w:w="1394" w:type="dxa"/>
            <w:tcBorders>
              <w:top w:val="nil"/>
              <w:left w:val="nil"/>
              <w:bottom w:val="nil"/>
              <w:right w:val="nil"/>
            </w:tcBorders>
            <w:vAlign w:val="center"/>
          </w:tcPr>
          <w:p w14:paraId="7637D0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(1.130)</w:t>
            </w:r>
          </w:p>
        </w:tc>
      </w:tr>
      <w:tr w:rsidR="0064611C" w:rsidRPr="00F14751" w14:paraId="513B45DF" w14:textId="77777777" w:rsidTr="006B126F">
        <w:trPr>
          <w:jc w:val="center"/>
        </w:trPr>
        <w:tc>
          <w:tcPr>
            <w:tcW w:w="2241" w:type="dxa"/>
            <w:tcBorders>
              <w:top w:val="nil"/>
              <w:left w:val="nil"/>
              <w:bottom w:val="nil"/>
              <w:right w:val="nil"/>
            </w:tcBorders>
            <w:vAlign w:val="center"/>
          </w:tcPr>
          <w:p w14:paraId="62D1730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Mercosur</w:t>
            </w:r>
          </w:p>
        </w:tc>
        <w:tc>
          <w:tcPr>
            <w:tcW w:w="1394" w:type="dxa"/>
            <w:tcBorders>
              <w:top w:val="nil"/>
              <w:left w:val="nil"/>
              <w:bottom w:val="nil"/>
              <w:right w:val="nil"/>
            </w:tcBorders>
            <w:vAlign w:val="center"/>
          </w:tcPr>
          <w:p w14:paraId="1836E34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11.07*</w:t>
            </w:r>
          </w:p>
        </w:tc>
        <w:tc>
          <w:tcPr>
            <w:tcW w:w="1394" w:type="dxa"/>
            <w:tcBorders>
              <w:top w:val="nil"/>
              <w:left w:val="nil"/>
              <w:bottom w:val="nil"/>
              <w:right w:val="nil"/>
            </w:tcBorders>
            <w:vAlign w:val="center"/>
          </w:tcPr>
          <w:p w14:paraId="0CB91D4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6.438**</w:t>
            </w:r>
          </w:p>
        </w:tc>
        <w:tc>
          <w:tcPr>
            <w:tcW w:w="1394" w:type="dxa"/>
            <w:tcBorders>
              <w:top w:val="nil"/>
              <w:left w:val="nil"/>
              <w:bottom w:val="nil"/>
              <w:right w:val="nil"/>
            </w:tcBorders>
            <w:vAlign w:val="center"/>
          </w:tcPr>
          <w:p w14:paraId="34A570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5.373**</w:t>
            </w:r>
          </w:p>
        </w:tc>
        <w:tc>
          <w:tcPr>
            <w:tcW w:w="1394" w:type="dxa"/>
            <w:tcBorders>
              <w:top w:val="nil"/>
              <w:left w:val="nil"/>
              <w:bottom w:val="nil"/>
              <w:right w:val="nil"/>
            </w:tcBorders>
            <w:vAlign w:val="center"/>
          </w:tcPr>
          <w:p w14:paraId="49CE70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3.430***</w:t>
            </w:r>
          </w:p>
        </w:tc>
        <w:tc>
          <w:tcPr>
            <w:tcW w:w="1394" w:type="dxa"/>
            <w:tcBorders>
              <w:top w:val="nil"/>
              <w:left w:val="nil"/>
              <w:bottom w:val="nil"/>
              <w:right w:val="nil"/>
            </w:tcBorders>
            <w:vAlign w:val="center"/>
          </w:tcPr>
          <w:p w14:paraId="0FB72C0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135.0**</w:t>
            </w:r>
          </w:p>
        </w:tc>
        <w:tc>
          <w:tcPr>
            <w:tcW w:w="1394" w:type="dxa"/>
            <w:tcBorders>
              <w:top w:val="nil"/>
              <w:left w:val="nil"/>
              <w:bottom w:val="nil"/>
              <w:right w:val="nil"/>
            </w:tcBorders>
            <w:vAlign w:val="center"/>
          </w:tcPr>
          <w:p w14:paraId="01205A7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45.02***</w:t>
            </w:r>
          </w:p>
        </w:tc>
      </w:tr>
      <w:tr w:rsidR="0064611C" w:rsidRPr="00F14751" w14:paraId="12854FF8" w14:textId="77777777" w:rsidTr="006B126F">
        <w:trPr>
          <w:jc w:val="center"/>
        </w:trPr>
        <w:tc>
          <w:tcPr>
            <w:tcW w:w="2241" w:type="dxa"/>
            <w:tcBorders>
              <w:top w:val="nil"/>
              <w:left w:val="nil"/>
              <w:bottom w:val="nil"/>
              <w:right w:val="nil"/>
            </w:tcBorders>
            <w:vAlign w:val="center"/>
          </w:tcPr>
          <w:p w14:paraId="69F4502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5CB3F32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(4.794)</w:t>
            </w:r>
          </w:p>
        </w:tc>
        <w:tc>
          <w:tcPr>
            <w:tcW w:w="1394" w:type="dxa"/>
            <w:tcBorders>
              <w:top w:val="nil"/>
              <w:left w:val="nil"/>
              <w:bottom w:val="nil"/>
              <w:right w:val="nil"/>
            </w:tcBorders>
            <w:vAlign w:val="center"/>
          </w:tcPr>
          <w:p w14:paraId="7E8443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(1.888)</w:t>
            </w:r>
          </w:p>
        </w:tc>
        <w:tc>
          <w:tcPr>
            <w:tcW w:w="1394" w:type="dxa"/>
            <w:tcBorders>
              <w:top w:val="nil"/>
              <w:left w:val="nil"/>
              <w:bottom w:val="nil"/>
              <w:right w:val="nil"/>
            </w:tcBorders>
            <w:vAlign w:val="center"/>
          </w:tcPr>
          <w:p w14:paraId="3320B2B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(1.347)</w:t>
            </w:r>
          </w:p>
        </w:tc>
        <w:tc>
          <w:tcPr>
            <w:tcW w:w="1394" w:type="dxa"/>
            <w:tcBorders>
              <w:top w:val="nil"/>
              <w:left w:val="nil"/>
              <w:bottom w:val="nil"/>
              <w:right w:val="nil"/>
            </w:tcBorders>
            <w:vAlign w:val="center"/>
          </w:tcPr>
          <w:p w14:paraId="08751A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(0.593)</w:t>
            </w:r>
          </w:p>
        </w:tc>
        <w:tc>
          <w:tcPr>
            <w:tcW w:w="1394" w:type="dxa"/>
            <w:tcBorders>
              <w:top w:val="nil"/>
              <w:left w:val="nil"/>
              <w:bottom w:val="nil"/>
              <w:right w:val="nil"/>
            </w:tcBorders>
            <w:vAlign w:val="center"/>
          </w:tcPr>
          <w:p w14:paraId="0F8F424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(46.28)</w:t>
            </w:r>
          </w:p>
        </w:tc>
        <w:tc>
          <w:tcPr>
            <w:tcW w:w="1394" w:type="dxa"/>
            <w:tcBorders>
              <w:top w:val="nil"/>
              <w:left w:val="nil"/>
              <w:bottom w:val="nil"/>
              <w:right w:val="nil"/>
            </w:tcBorders>
            <w:vAlign w:val="center"/>
          </w:tcPr>
          <w:p w14:paraId="05EDE56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(2.731)</w:t>
            </w:r>
          </w:p>
        </w:tc>
      </w:tr>
      <w:tr w:rsidR="0064611C" w:rsidRPr="00F14751" w14:paraId="2E15CEC7" w14:textId="77777777" w:rsidTr="006B126F">
        <w:trPr>
          <w:jc w:val="center"/>
        </w:trPr>
        <w:tc>
          <w:tcPr>
            <w:tcW w:w="2241" w:type="dxa"/>
            <w:tcBorders>
              <w:top w:val="nil"/>
              <w:left w:val="nil"/>
              <w:bottom w:val="nil"/>
              <w:right w:val="nil"/>
            </w:tcBorders>
            <w:vAlign w:val="center"/>
          </w:tcPr>
          <w:p w14:paraId="1F59AA7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Unasur</w:t>
            </w:r>
            <w:proofErr w:type="spellEnd"/>
          </w:p>
        </w:tc>
        <w:tc>
          <w:tcPr>
            <w:tcW w:w="1394" w:type="dxa"/>
            <w:tcBorders>
              <w:top w:val="nil"/>
              <w:left w:val="nil"/>
              <w:bottom w:val="nil"/>
              <w:right w:val="nil"/>
            </w:tcBorders>
            <w:vAlign w:val="center"/>
          </w:tcPr>
          <w:p w14:paraId="4DEE95F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3.523</w:t>
            </w:r>
          </w:p>
        </w:tc>
        <w:tc>
          <w:tcPr>
            <w:tcW w:w="1394" w:type="dxa"/>
            <w:tcBorders>
              <w:top w:val="nil"/>
              <w:left w:val="nil"/>
              <w:bottom w:val="nil"/>
              <w:right w:val="nil"/>
            </w:tcBorders>
            <w:vAlign w:val="center"/>
          </w:tcPr>
          <w:p w14:paraId="54FBF7A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2.150*</w:t>
            </w:r>
          </w:p>
        </w:tc>
        <w:tc>
          <w:tcPr>
            <w:tcW w:w="1394" w:type="dxa"/>
            <w:tcBorders>
              <w:top w:val="nil"/>
              <w:left w:val="nil"/>
              <w:bottom w:val="nil"/>
              <w:right w:val="nil"/>
            </w:tcBorders>
            <w:vAlign w:val="center"/>
          </w:tcPr>
          <w:p w14:paraId="6159849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1.541*</w:t>
            </w:r>
          </w:p>
        </w:tc>
        <w:tc>
          <w:tcPr>
            <w:tcW w:w="1394" w:type="dxa"/>
            <w:tcBorders>
              <w:top w:val="nil"/>
              <w:left w:val="nil"/>
              <w:bottom w:val="nil"/>
              <w:right w:val="nil"/>
            </w:tcBorders>
            <w:vAlign w:val="center"/>
          </w:tcPr>
          <w:p w14:paraId="424129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0.643*</w:t>
            </w:r>
          </w:p>
        </w:tc>
        <w:tc>
          <w:tcPr>
            <w:tcW w:w="1394" w:type="dxa"/>
            <w:tcBorders>
              <w:top w:val="nil"/>
              <w:left w:val="nil"/>
              <w:bottom w:val="nil"/>
              <w:right w:val="nil"/>
            </w:tcBorders>
            <w:vAlign w:val="center"/>
          </w:tcPr>
          <w:p w14:paraId="58E471C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39.43</w:t>
            </w:r>
          </w:p>
        </w:tc>
        <w:tc>
          <w:tcPr>
            <w:tcW w:w="1394" w:type="dxa"/>
            <w:tcBorders>
              <w:top w:val="nil"/>
              <w:left w:val="nil"/>
              <w:bottom w:val="nil"/>
              <w:right w:val="nil"/>
            </w:tcBorders>
            <w:vAlign w:val="center"/>
          </w:tcPr>
          <w:p w14:paraId="4EEE7B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5.505</w:t>
            </w:r>
          </w:p>
        </w:tc>
      </w:tr>
      <w:tr w:rsidR="0064611C" w:rsidRPr="00F14751" w14:paraId="75013EBF" w14:textId="77777777" w:rsidTr="006B126F">
        <w:trPr>
          <w:jc w:val="center"/>
        </w:trPr>
        <w:tc>
          <w:tcPr>
            <w:tcW w:w="2241" w:type="dxa"/>
            <w:tcBorders>
              <w:top w:val="nil"/>
              <w:left w:val="nil"/>
              <w:bottom w:val="nil"/>
              <w:right w:val="nil"/>
            </w:tcBorders>
            <w:vAlign w:val="center"/>
          </w:tcPr>
          <w:p w14:paraId="15AA764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4788F8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(1.909)</w:t>
            </w:r>
          </w:p>
        </w:tc>
        <w:tc>
          <w:tcPr>
            <w:tcW w:w="1394" w:type="dxa"/>
            <w:tcBorders>
              <w:top w:val="nil"/>
              <w:left w:val="nil"/>
              <w:bottom w:val="nil"/>
              <w:right w:val="nil"/>
            </w:tcBorders>
            <w:vAlign w:val="center"/>
          </w:tcPr>
          <w:p w14:paraId="6CB078D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(0.903)</w:t>
            </w:r>
          </w:p>
        </w:tc>
        <w:tc>
          <w:tcPr>
            <w:tcW w:w="1394" w:type="dxa"/>
            <w:tcBorders>
              <w:top w:val="nil"/>
              <w:left w:val="nil"/>
              <w:bottom w:val="nil"/>
              <w:right w:val="nil"/>
            </w:tcBorders>
            <w:vAlign w:val="center"/>
          </w:tcPr>
          <w:p w14:paraId="4918D6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(0.681)</w:t>
            </w:r>
          </w:p>
        </w:tc>
        <w:tc>
          <w:tcPr>
            <w:tcW w:w="1394" w:type="dxa"/>
            <w:tcBorders>
              <w:top w:val="nil"/>
              <w:left w:val="nil"/>
              <w:bottom w:val="nil"/>
              <w:right w:val="nil"/>
            </w:tcBorders>
            <w:vAlign w:val="center"/>
          </w:tcPr>
          <w:p w14:paraId="58DF4E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(0.295)</w:t>
            </w:r>
          </w:p>
        </w:tc>
        <w:tc>
          <w:tcPr>
            <w:tcW w:w="1394" w:type="dxa"/>
            <w:tcBorders>
              <w:top w:val="nil"/>
              <w:left w:val="nil"/>
              <w:bottom w:val="nil"/>
              <w:right w:val="nil"/>
            </w:tcBorders>
            <w:vAlign w:val="center"/>
          </w:tcPr>
          <w:p w14:paraId="09CBDB0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(21.99)</w:t>
            </w:r>
          </w:p>
        </w:tc>
        <w:tc>
          <w:tcPr>
            <w:tcW w:w="1394" w:type="dxa"/>
            <w:tcBorders>
              <w:top w:val="nil"/>
              <w:left w:val="nil"/>
              <w:bottom w:val="nil"/>
              <w:right w:val="nil"/>
            </w:tcBorders>
            <w:vAlign w:val="center"/>
          </w:tcPr>
          <w:p w14:paraId="6C9D98F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(3.159)</w:t>
            </w:r>
          </w:p>
        </w:tc>
      </w:tr>
      <w:tr w:rsidR="0064611C" w:rsidRPr="00F14751" w14:paraId="1A4F074E" w14:textId="77777777" w:rsidTr="006B126F">
        <w:trPr>
          <w:jc w:val="center"/>
        </w:trPr>
        <w:tc>
          <w:tcPr>
            <w:tcW w:w="2241" w:type="dxa"/>
            <w:tcBorders>
              <w:top w:val="nil"/>
              <w:left w:val="nil"/>
              <w:bottom w:val="nil"/>
              <w:right w:val="nil"/>
            </w:tcBorders>
            <w:vAlign w:val="center"/>
          </w:tcPr>
          <w:p w14:paraId="4BD1267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Gini</w:t>
            </w:r>
          </w:p>
        </w:tc>
        <w:tc>
          <w:tcPr>
            <w:tcW w:w="1394" w:type="dxa"/>
            <w:tcBorders>
              <w:top w:val="nil"/>
              <w:left w:val="nil"/>
              <w:bottom w:val="nil"/>
              <w:right w:val="nil"/>
            </w:tcBorders>
            <w:vAlign w:val="center"/>
          </w:tcPr>
          <w:p w14:paraId="31BE620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0.517*</w:t>
            </w:r>
          </w:p>
        </w:tc>
        <w:tc>
          <w:tcPr>
            <w:tcW w:w="1394" w:type="dxa"/>
            <w:tcBorders>
              <w:top w:val="nil"/>
              <w:left w:val="nil"/>
              <w:bottom w:val="nil"/>
              <w:right w:val="nil"/>
            </w:tcBorders>
            <w:vAlign w:val="center"/>
          </w:tcPr>
          <w:p w14:paraId="6FC461F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0.251</w:t>
            </w:r>
          </w:p>
        </w:tc>
        <w:tc>
          <w:tcPr>
            <w:tcW w:w="1394" w:type="dxa"/>
            <w:tcBorders>
              <w:top w:val="nil"/>
              <w:left w:val="nil"/>
              <w:bottom w:val="nil"/>
              <w:right w:val="nil"/>
            </w:tcBorders>
            <w:vAlign w:val="center"/>
          </w:tcPr>
          <w:p w14:paraId="5BF01BD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0.226*</w:t>
            </w:r>
          </w:p>
        </w:tc>
        <w:tc>
          <w:tcPr>
            <w:tcW w:w="1394" w:type="dxa"/>
            <w:tcBorders>
              <w:top w:val="nil"/>
              <w:left w:val="nil"/>
              <w:bottom w:val="nil"/>
              <w:right w:val="nil"/>
            </w:tcBorders>
            <w:vAlign w:val="center"/>
          </w:tcPr>
          <w:p w14:paraId="256A28A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0.128**</w:t>
            </w:r>
          </w:p>
        </w:tc>
        <w:tc>
          <w:tcPr>
            <w:tcW w:w="1394" w:type="dxa"/>
            <w:tcBorders>
              <w:top w:val="nil"/>
              <w:left w:val="nil"/>
              <w:bottom w:val="nil"/>
              <w:right w:val="nil"/>
            </w:tcBorders>
            <w:vAlign w:val="center"/>
          </w:tcPr>
          <w:p w14:paraId="74A77FE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3.733</w:t>
            </w:r>
          </w:p>
        </w:tc>
        <w:tc>
          <w:tcPr>
            <w:tcW w:w="1394" w:type="dxa"/>
            <w:tcBorders>
              <w:top w:val="nil"/>
              <w:left w:val="nil"/>
              <w:bottom w:val="nil"/>
              <w:right w:val="nil"/>
            </w:tcBorders>
            <w:vAlign w:val="center"/>
          </w:tcPr>
          <w:p w14:paraId="58E312A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0.958**</w:t>
            </w:r>
          </w:p>
        </w:tc>
      </w:tr>
      <w:tr w:rsidR="0064611C" w:rsidRPr="00F14751" w14:paraId="4097FF5C" w14:textId="77777777" w:rsidTr="006B126F">
        <w:trPr>
          <w:jc w:val="center"/>
        </w:trPr>
        <w:tc>
          <w:tcPr>
            <w:tcW w:w="2241" w:type="dxa"/>
            <w:tcBorders>
              <w:top w:val="nil"/>
              <w:left w:val="nil"/>
              <w:bottom w:val="nil"/>
              <w:right w:val="nil"/>
            </w:tcBorders>
            <w:vAlign w:val="center"/>
          </w:tcPr>
          <w:p w14:paraId="64D7FA2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4CA37F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(0.231)</w:t>
            </w:r>
          </w:p>
        </w:tc>
        <w:tc>
          <w:tcPr>
            <w:tcW w:w="1394" w:type="dxa"/>
            <w:tcBorders>
              <w:top w:val="nil"/>
              <w:left w:val="nil"/>
              <w:bottom w:val="nil"/>
              <w:right w:val="nil"/>
            </w:tcBorders>
            <w:vAlign w:val="center"/>
          </w:tcPr>
          <w:p w14:paraId="376713A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(0.124)</w:t>
            </w:r>
          </w:p>
        </w:tc>
        <w:tc>
          <w:tcPr>
            <w:tcW w:w="1394" w:type="dxa"/>
            <w:tcBorders>
              <w:top w:val="nil"/>
              <w:left w:val="nil"/>
              <w:bottom w:val="nil"/>
              <w:right w:val="nil"/>
            </w:tcBorders>
            <w:vAlign w:val="center"/>
          </w:tcPr>
          <w:p w14:paraId="086AB44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(0.0840)</w:t>
            </w:r>
          </w:p>
        </w:tc>
        <w:tc>
          <w:tcPr>
            <w:tcW w:w="1394" w:type="dxa"/>
            <w:tcBorders>
              <w:top w:val="nil"/>
              <w:left w:val="nil"/>
              <w:bottom w:val="nil"/>
              <w:right w:val="nil"/>
            </w:tcBorders>
            <w:vAlign w:val="center"/>
          </w:tcPr>
          <w:p w14:paraId="0092FF3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(0.0283)</w:t>
            </w:r>
          </w:p>
        </w:tc>
        <w:tc>
          <w:tcPr>
            <w:tcW w:w="1394" w:type="dxa"/>
            <w:tcBorders>
              <w:top w:val="nil"/>
              <w:left w:val="nil"/>
              <w:bottom w:val="nil"/>
              <w:right w:val="nil"/>
            </w:tcBorders>
            <w:vAlign w:val="center"/>
          </w:tcPr>
          <w:p w14:paraId="2256427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(2.820)</w:t>
            </w:r>
          </w:p>
        </w:tc>
        <w:tc>
          <w:tcPr>
            <w:tcW w:w="1394" w:type="dxa"/>
            <w:tcBorders>
              <w:top w:val="nil"/>
              <w:left w:val="nil"/>
              <w:bottom w:val="nil"/>
              <w:right w:val="nil"/>
            </w:tcBorders>
            <w:vAlign w:val="center"/>
          </w:tcPr>
          <w:p w14:paraId="623FB1E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(0.294)</w:t>
            </w:r>
          </w:p>
        </w:tc>
      </w:tr>
      <w:tr w:rsidR="0064611C" w:rsidRPr="00F14751" w14:paraId="07192E85" w14:textId="77777777" w:rsidTr="006B126F">
        <w:trPr>
          <w:jc w:val="center"/>
        </w:trPr>
        <w:tc>
          <w:tcPr>
            <w:tcW w:w="2241" w:type="dxa"/>
            <w:tcBorders>
              <w:top w:val="nil"/>
              <w:left w:val="nil"/>
              <w:bottom w:val="nil"/>
              <w:right w:val="nil"/>
            </w:tcBorders>
            <w:vAlign w:val="center"/>
          </w:tcPr>
          <w:p w14:paraId="222C3CE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Constant</w:t>
            </w:r>
          </w:p>
        </w:tc>
        <w:tc>
          <w:tcPr>
            <w:tcW w:w="1394" w:type="dxa"/>
            <w:tcBorders>
              <w:top w:val="nil"/>
              <w:left w:val="nil"/>
              <w:bottom w:val="nil"/>
              <w:right w:val="nil"/>
            </w:tcBorders>
            <w:vAlign w:val="center"/>
          </w:tcPr>
          <w:p w14:paraId="1628FA2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-32.84</w:t>
            </w:r>
          </w:p>
        </w:tc>
        <w:tc>
          <w:tcPr>
            <w:tcW w:w="1394" w:type="dxa"/>
            <w:tcBorders>
              <w:top w:val="nil"/>
              <w:left w:val="nil"/>
              <w:bottom w:val="nil"/>
              <w:right w:val="nil"/>
            </w:tcBorders>
            <w:vAlign w:val="center"/>
          </w:tcPr>
          <w:p w14:paraId="3D127A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-7.451</w:t>
            </w:r>
          </w:p>
        </w:tc>
        <w:tc>
          <w:tcPr>
            <w:tcW w:w="1394" w:type="dxa"/>
            <w:tcBorders>
              <w:top w:val="nil"/>
              <w:left w:val="nil"/>
              <w:bottom w:val="nil"/>
              <w:right w:val="nil"/>
            </w:tcBorders>
            <w:vAlign w:val="center"/>
          </w:tcPr>
          <w:p w14:paraId="08E4C9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-6.732</w:t>
            </w:r>
          </w:p>
        </w:tc>
        <w:tc>
          <w:tcPr>
            <w:tcW w:w="1394" w:type="dxa"/>
            <w:tcBorders>
              <w:top w:val="nil"/>
              <w:left w:val="nil"/>
              <w:bottom w:val="nil"/>
              <w:right w:val="nil"/>
            </w:tcBorders>
            <w:vAlign w:val="center"/>
          </w:tcPr>
          <w:p w14:paraId="4C15774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3.055</w:t>
            </w:r>
          </w:p>
        </w:tc>
        <w:tc>
          <w:tcPr>
            <w:tcW w:w="1394" w:type="dxa"/>
            <w:tcBorders>
              <w:top w:val="nil"/>
              <w:left w:val="nil"/>
              <w:bottom w:val="nil"/>
              <w:right w:val="nil"/>
            </w:tcBorders>
            <w:vAlign w:val="center"/>
          </w:tcPr>
          <w:p w14:paraId="6E8D89B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-95.30</w:t>
            </w:r>
          </w:p>
        </w:tc>
        <w:tc>
          <w:tcPr>
            <w:tcW w:w="1394" w:type="dxa"/>
            <w:tcBorders>
              <w:top w:val="nil"/>
              <w:left w:val="nil"/>
              <w:bottom w:val="nil"/>
              <w:right w:val="nil"/>
            </w:tcBorders>
            <w:vAlign w:val="center"/>
          </w:tcPr>
          <w:p w14:paraId="46E981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88.50</w:t>
            </w:r>
          </w:p>
        </w:tc>
      </w:tr>
      <w:tr w:rsidR="0064611C" w:rsidRPr="00F14751" w14:paraId="160C6859" w14:textId="77777777" w:rsidTr="006B126F">
        <w:trPr>
          <w:jc w:val="center"/>
        </w:trPr>
        <w:tc>
          <w:tcPr>
            <w:tcW w:w="2241" w:type="dxa"/>
            <w:tcBorders>
              <w:top w:val="nil"/>
              <w:left w:val="nil"/>
              <w:bottom w:val="nil"/>
              <w:right w:val="nil"/>
            </w:tcBorders>
            <w:vAlign w:val="center"/>
          </w:tcPr>
          <w:p w14:paraId="6C1A47D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474293F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(74.27)</w:t>
            </w:r>
          </w:p>
        </w:tc>
        <w:tc>
          <w:tcPr>
            <w:tcW w:w="1394" w:type="dxa"/>
            <w:tcBorders>
              <w:top w:val="nil"/>
              <w:left w:val="nil"/>
              <w:bottom w:val="nil"/>
              <w:right w:val="nil"/>
            </w:tcBorders>
            <w:vAlign w:val="center"/>
          </w:tcPr>
          <w:p w14:paraId="60333F9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(35.41)</w:t>
            </w:r>
          </w:p>
        </w:tc>
        <w:tc>
          <w:tcPr>
            <w:tcW w:w="1394" w:type="dxa"/>
            <w:tcBorders>
              <w:top w:val="nil"/>
              <w:left w:val="nil"/>
              <w:bottom w:val="nil"/>
              <w:right w:val="nil"/>
            </w:tcBorders>
            <w:vAlign w:val="center"/>
          </w:tcPr>
          <w:p w14:paraId="291CAF4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(26.81)</w:t>
            </w:r>
          </w:p>
        </w:tc>
        <w:tc>
          <w:tcPr>
            <w:tcW w:w="1394" w:type="dxa"/>
            <w:tcBorders>
              <w:top w:val="nil"/>
              <w:left w:val="nil"/>
              <w:bottom w:val="nil"/>
              <w:right w:val="nil"/>
            </w:tcBorders>
            <w:vAlign w:val="center"/>
          </w:tcPr>
          <w:p w14:paraId="4C7BE0B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(10.70)</w:t>
            </w:r>
          </w:p>
        </w:tc>
        <w:tc>
          <w:tcPr>
            <w:tcW w:w="1394" w:type="dxa"/>
            <w:tcBorders>
              <w:top w:val="nil"/>
              <w:left w:val="nil"/>
              <w:bottom w:val="nil"/>
              <w:right w:val="nil"/>
            </w:tcBorders>
            <w:vAlign w:val="center"/>
          </w:tcPr>
          <w:p w14:paraId="4768F51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(733.4)</w:t>
            </w:r>
          </w:p>
        </w:tc>
        <w:tc>
          <w:tcPr>
            <w:tcW w:w="1394" w:type="dxa"/>
            <w:tcBorders>
              <w:top w:val="nil"/>
              <w:left w:val="nil"/>
              <w:bottom w:val="nil"/>
              <w:right w:val="nil"/>
            </w:tcBorders>
            <w:vAlign w:val="center"/>
          </w:tcPr>
          <w:p w14:paraId="208E818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(85.31)</w:t>
            </w:r>
          </w:p>
        </w:tc>
      </w:tr>
      <w:tr w:rsidR="0064611C" w:rsidRPr="00F14751" w14:paraId="6252E837" w14:textId="77777777" w:rsidTr="006B126F">
        <w:trPr>
          <w:jc w:val="center"/>
        </w:trPr>
        <w:tc>
          <w:tcPr>
            <w:tcW w:w="2241" w:type="dxa"/>
            <w:tcBorders>
              <w:top w:val="nil"/>
              <w:left w:val="nil"/>
              <w:bottom w:val="nil"/>
              <w:right w:val="nil"/>
            </w:tcBorders>
            <w:vAlign w:val="center"/>
          </w:tcPr>
          <w:p w14:paraId="750BD04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nil"/>
              <w:left w:val="nil"/>
              <w:bottom w:val="nil"/>
              <w:right w:val="nil"/>
            </w:tcBorders>
            <w:vAlign w:val="center"/>
          </w:tcPr>
          <w:p w14:paraId="614346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6CF2D5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3AFE885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51C0E23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6FB45B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94" w:type="dxa"/>
            <w:tcBorders>
              <w:top w:val="nil"/>
              <w:left w:val="nil"/>
              <w:bottom w:val="nil"/>
              <w:right w:val="nil"/>
            </w:tcBorders>
            <w:vAlign w:val="center"/>
          </w:tcPr>
          <w:p w14:paraId="752D34E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09D4AA1B" w14:textId="77777777" w:rsidTr="006B126F">
        <w:trPr>
          <w:jc w:val="center"/>
        </w:trPr>
        <w:tc>
          <w:tcPr>
            <w:tcW w:w="2241" w:type="dxa"/>
            <w:tcBorders>
              <w:top w:val="nil"/>
              <w:left w:val="nil"/>
              <w:bottom w:val="nil"/>
              <w:right w:val="nil"/>
            </w:tcBorders>
            <w:vAlign w:val="center"/>
          </w:tcPr>
          <w:p w14:paraId="21A37AA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Observations</w:t>
            </w:r>
          </w:p>
        </w:tc>
        <w:tc>
          <w:tcPr>
            <w:tcW w:w="1394" w:type="dxa"/>
            <w:tcBorders>
              <w:top w:val="nil"/>
              <w:left w:val="nil"/>
              <w:bottom w:val="nil"/>
              <w:right w:val="nil"/>
            </w:tcBorders>
            <w:vAlign w:val="center"/>
          </w:tcPr>
          <w:p w14:paraId="17A4DEA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w:t>
            </w:r>
          </w:p>
        </w:tc>
        <w:tc>
          <w:tcPr>
            <w:tcW w:w="1394" w:type="dxa"/>
            <w:tcBorders>
              <w:top w:val="nil"/>
              <w:left w:val="nil"/>
              <w:bottom w:val="nil"/>
              <w:right w:val="nil"/>
            </w:tcBorders>
            <w:vAlign w:val="center"/>
          </w:tcPr>
          <w:p w14:paraId="2AFEE7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w:t>
            </w:r>
          </w:p>
        </w:tc>
        <w:tc>
          <w:tcPr>
            <w:tcW w:w="1394" w:type="dxa"/>
            <w:tcBorders>
              <w:top w:val="nil"/>
              <w:left w:val="nil"/>
              <w:bottom w:val="nil"/>
              <w:right w:val="nil"/>
            </w:tcBorders>
            <w:vAlign w:val="center"/>
          </w:tcPr>
          <w:p w14:paraId="1008534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w:t>
            </w:r>
          </w:p>
        </w:tc>
        <w:tc>
          <w:tcPr>
            <w:tcW w:w="1394" w:type="dxa"/>
            <w:tcBorders>
              <w:top w:val="nil"/>
              <w:left w:val="nil"/>
              <w:bottom w:val="nil"/>
              <w:right w:val="nil"/>
            </w:tcBorders>
            <w:vAlign w:val="center"/>
          </w:tcPr>
          <w:p w14:paraId="2A70353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w:t>
            </w:r>
          </w:p>
        </w:tc>
        <w:tc>
          <w:tcPr>
            <w:tcW w:w="1394" w:type="dxa"/>
            <w:tcBorders>
              <w:top w:val="nil"/>
              <w:left w:val="nil"/>
              <w:bottom w:val="nil"/>
              <w:right w:val="nil"/>
            </w:tcBorders>
            <w:vAlign w:val="center"/>
          </w:tcPr>
          <w:p w14:paraId="2DB772E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w:t>
            </w:r>
          </w:p>
        </w:tc>
        <w:tc>
          <w:tcPr>
            <w:tcW w:w="1394" w:type="dxa"/>
            <w:tcBorders>
              <w:top w:val="nil"/>
              <w:left w:val="nil"/>
              <w:bottom w:val="nil"/>
              <w:right w:val="nil"/>
            </w:tcBorders>
            <w:vAlign w:val="center"/>
          </w:tcPr>
          <w:p w14:paraId="71C0BB0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76</w:t>
            </w:r>
          </w:p>
        </w:tc>
      </w:tr>
      <w:tr w:rsidR="0064611C" w:rsidRPr="00F14751" w14:paraId="21EBFE67" w14:textId="77777777" w:rsidTr="006B126F">
        <w:trPr>
          <w:jc w:val="center"/>
        </w:trPr>
        <w:tc>
          <w:tcPr>
            <w:tcW w:w="2241" w:type="dxa"/>
            <w:tcBorders>
              <w:top w:val="nil"/>
              <w:left w:val="nil"/>
              <w:bottom w:val="nil"/>
              <w:right w:val="nil"/>
            </w:tcBorders>
            <w:vAlign w:val="center"/>
          </w:tcPr>
          <w:p w14:paraId="3E8E934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R-squared</w:t>
            </w:r>
          </w:p>
        </w:tc>
        <w:tc>
          <w:tcPr>
            <w:tcW w:w="1394" w:type="dxa"/>
            <w:tcBorders>
              <w:top w:val="nil"/>
              <w:left w:val="nil"/>
              <w:bottom w:val="nil"/>
              <w:right w:val="nil"/>
            </w:tcBorders>
            <w:vAlign w:val="center"/>
          </w:tcPr>
          <w:p w14:paraId="7EB480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0.761</w:t>
            </w:r>
          </w:p>
        </w:tc>
        <w:tc>
          <w:tcPr>
            <w:tcW w:w="1394" w:type="dxa"/>
            <w:tcBorders>
              <w:top w:val="nil"/>
              <w:left w:val="nil"/>
              <w:bottom w:val="nil"/>
              <w:right w:val="nil"/>
            </w:tcBorders>
            <w:vAlign w:val="center"/>
          </w:tcPr>
          <w:p w14:paraId="6DA539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0.818</w:t>
            </w:r>
          </w:p>
        </w:tc>
        <w:tc>
          <w:tcPr>
            <w:tcW w:w="1394" w:type="dxa"/>
            <w:tcBorders>
              <w:top w:val="nil"/>
              <w:left w:val="nil"/>
              <w:bottom w:val="nil"/>
              <w:right w:val="nil"/>
            </w:tcBorders>
            <w:vAlign w:val="center"/>
          </w:tcPr>
          <w:p w14:paraId="76ACFAC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0.843</w:t>
            </w:r>
          </w:p>
        </w:tc>
        <w:tc>
          <w:tcPr>
            <w:tcW w:w="1394" w:type="dxa"/>
            <w:tcBorders>
              <w:top w:val="nil"/>
              <w:left w:val="nil"/>
              <w:bottom w:val="nil"/>
              <w:right w:val="nil"/>
            </w:tcBorders>
            <w:vAlign w:val="center"/>
          </w:tcPr>
          <w:p w14:paraId="651D02C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0.876</w:t>
            </w:r>
          </w:p>
        </w:tc>
        <w:tc>
          <w:tcPr>
            <w:tcW w:w="1394" w:type="dxa"/>
            <w:tcBorders>
              <w:top w:val="nil"/>
              <w:left w:val="nil"/>
              <w:bottom w:val="nil"/>
              <w:right w:val="nil"/>
            </w:tcBorders>
            <w:vAlign w:val="center"/>
          </w:tcPr>
          <w:p w14:paraId="250144F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0.769</w:t>
            </w:r>
          </w:p>
        </w:tc>
        <w:tc>
          <w:tcPr>
            <w:tcW w:w="1394" w:type="dxa"/>
            <w:tcBorders>
              <w:top w:val="nil"/>
              <w:left w:val="nil"/>
              <w:bottom w:val="nil"/>
              <w:right w:val="nil"/>
            </w:tcBorders>
            <w:vAlign w:val="center"/>
          </w:tcPr>
          <w:p w14:paraId="3CBFB76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0.918</w:t>
            </w:r>
          </w:p>
        </w:tc>
      </w:tr>
      <w:tr w:rsidR="0064611C" w:rsidRPr="00F14751" w14:paraId="0BDF77B3" w14:textId="77777777" w:rsidTr="006B126F">
        <w:trPr>
          <w:jc w:val="center"/>
        </w:trPr>
        <w:tc>
          <w:tcPr>
            <w:tcW w:w="2241" w:type="dxa"/>
            <w:tcBorders>
              <w:top w:val="nil"/>
              <w:left w:val="nil"/>
              <w:bottom w:val="nil"/>
              <w:right w:val="nil"/>
            </w:tcBorders>
            <w:vAlign w:val="center"/>
          </w:tcPr>
          <w:p w14:paraId="758B854A" w14:textId="77777777" w:rsidR="0064611C" w:rsidRPr="00F14751" w:rsidRDefault="00D3672E"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Number of C</w:t>
            </w:r>
            <w:r w:rsidR="0064611C" w:rsidRPr="00F14751">
              <w:rPr>
                <w:rFonts w:ascii="Times New Roman" w:hAnsi="Times New Roman" w:cs="Times New Roman"/>
                <w:sz w:val="24"/>
                <w:szCs w:val="24"/>
              </w:rPr>
              <w:t>ountries</w:t>
            </w:r>
          </w:p>
        </w:tc>
        <w:tc>
          <w:tcPr>
            <w:tcW w:w="1394" w:type="dxa"/>
            <w:tcBorders>
              <w:top w:val="nil"/>
              <w:left w:val="nil"/>
              <w:bottom w:val="nil"/>
              <w:right w:val="nil"/>
            </w:tcBorders>
            <w:vAlign w:val="center"/>
          </w:tcPr>
          <w:p w14:paraId="048559D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4" w:type="dxa"/>
            <w:tcBorders>
              <w:top w:val="nil"/>
              <w:left w:val="nil"/>
              <w:bottom w:val="nil"/>
              <w:right w:val="nil"/>
            </w:tcBorders>
            <w:vAlign w:val="center"/>
          </w:tcPr>
          <w:p w14:paraId="0AD4BE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4" w:type="dxa"/>
            <w:tcBorders>
              <w:top w:val="nil"/>
              <w:left w:val="nil"/>
              <w:bottom w:val="nil"/>
              <w:right w:val="nil"/>
            </w:tcBorders>
            <w:vAlign w:val="center"/>
          </w:tcPr>
          <w:p w14:paraId="1E95CCC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4" w:type="dxa"/>
            <w:tcBorders>
              <w:top w:val="nil"/>
              <w:left w:val="nil"/>
              <w:bottom w:val="nil"/>
              <w:right w:val="nil"/>
            </w:tcBorders>
            <w:vAlign w:val="center"/>
          </w:tcPr>
          <w:p w14:paraId="73DE576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4" w:type="dxa"/>
            <w:tcBorders>
              <w:top w:val="nil"/>
              <w:left w:val="nil"/>
              <w:bottom w:val="nil"/>
              <w:right w:val="nil"/>
            </w:tcBorders>
            <w:vAlign w:val="center"/>
          </w:tcPr>
          <w:p w14:paraId="33CB9AC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94" w:type="dxa"/>
            <w:tcBorders>
              <w:top w:val="nil"/>
              <w:left w:val="nil"/>
              <w:bottom w:val="nil"/>
              <w:right w:val="nil"/>
            </w:tcBorders>
            <w:vAlign w:val="center"/>
          </w:tcPr>
          <w:p w14:paraId="24FCA8A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r>
      <w:tr w:rsidR="0064611C" w:rsidRPr="00F14751" w14:paraId="4D3FC0FC" w14:textId="77777777" w:rsidTr="006B126F">
        <w:tblPrEx>
          <w:tblBorders>
            <w:bottom w:val="single" w:sz="6" w:space="0" w:color="auto"/>
          </w:tblBorders>
        </w:tblPrEx>
        <w:trPr>
          <w:jc w:val="center"/>
        </w:trPr>
        <w:tc>
          <w:tcPr>
            <w:tcW w:w="2241" w:type="dxa"/>
            <w:tcBorders>
              <w:top w:val="nil"/>
              <w:left w:val="nil"/>
              <w:bottom w:val="single" w:sz="6" w:space="0" w:color="auto"/>
              <w:right w:val="nil"/>
            </w:tcBorders>
            <w:vAlign w:val="center"/>
          </w:tcPr>
          <w:p w14:paraId="16FFBDC2"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Robust SE</w:t>
            </w:r>
          </w:p>
        </w:tc>
        <w:tc>
          <w:tcPr>
            <w:tcW w:w="1394" w:type="dxa"/>
            <w:tcBorders>
              <w:top w:val="nil"/>
              <w:left w:val="nil"/>
              <w:bottom w:val="single" w:sz="6" w:space="0" w:color="auto"/>
              <w:right w:val="nil"/>
            </w:tcBorders>
            <w:vAlign w:val="center"/>
          </w:tcPr>
          <w:p w14:paraId="6C1F8A0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4" w:type="dxa"/>
            <w:tcBorders>
              <w:top w:val="nil"/>
              <w:left w:val="nil"/>
              <w:bottom w:val="single" w:sz="6" w:space="0" w:color="auto"/>
              <w:right w:val="nil"/>
            </w:tcBorders>
            <w:vAlign w:val="center"/>
          </w:tcPr>
          <w:p w14:paraId="10FE09A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4" w:type="dxa"/>
            <w:tcBorders>
              <w:top w:val="nil"/>
              <w:left w:val="nil"/>
              <w:bottom w:val="single" w:sz="6" w:space="0" w:color="auto"/>
              <w:right w:val="nil"/>
            </w:tcBorders>
            <w:vAlign w:val="center"/>
          </w:tcPr>
          <w:p w14:paraId="7CC4210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4" w:type="dxa"/>
            <w:tcBorders>
              <w:top w:val="nil"/>
              <w:left w:val="nil"/>
              <w:bottom w:val="single" w:sz="6" w:space="0" w:color="auto"/>
              <w:right w:val="nil"/>
            </w:tcBorders>
            <w:vAlign w:val="center"/>
          </w:tcPr>
          <w:p w14:paraId="0B34FF7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4" w:type="dxa"/>
            <w:tcBorders>
              <w:top w:val="nil"/>
              <w:left w:val="nil"/>
              <w:bottom w:val="single" w:sz="6" w:space="0" w:color="auto"/>
              <w:right w:val="nil"/>
            </w:tcBorders>
            <w:vAlign w:val="center"/>
          </w:tcPr>
          <w:p w14:paraId="0B382E2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94" w:type="dxa"/>
            <w:tcBorders>
              <w:top w:val="nil"/>
              <w:left w:val="nil"/>
              <w:bottom w:val="single" w:sz="6" w:space="0" w:color="auto"/>
              <w:right w:val="nil"/>
            </w:tcBorders>
            <w:vAlign w:val="center"/>
          </w:tcPr>
          <w:p w14:paraId="054F461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r>
    </w:tbl>
    <w:p w14:paraId="21DB4FF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Robust standard errors in parentheses</w:t>
      </w:r>
    </w:p>
    <w:p w14:paraId="7597E7C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 p&lt;0.01, ** p&lt;0.05, * p&lt;0.1</w:t>
      </w:r>
    </w:p>
    <w:p w14:paraId="5FA3EC2D" w14:textId="77777777" w:rsidR="0064611C" w:rsidRPr="00F14751" w:rsidRDefault="0064611C" w:rsidP="00C8508E">
      <w:pPr>
        <w:jc w:val="both"/>
        <w:rPr>
          <w:rFonts w:asciiTheme="majorHAnsi" w:hAnsiTheme="majorHAnsi"/>
          <w:sz w:val="24"/>
        </w:rPr>
      </w:pPr>
      <w:r w:rsidRPr="00F14751">
        <w:rPr>
          <w:rFonts w:asciiTheme="majorHAnsi" w:hAnsiTheme="majorHAnsi"/>
          <w:sz w:val="24"/>
        </w:rPr>
        <w:br w:type="page"/>
      </w:r>
    </w:p>
    <w:p w14:paraId="2EA85264" w14:textId="77777777"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rPr>
        <w:t>Table 13: Estimation results of the FE model for the second group with the measures of poverty as dependent variables. The model includes country and time fixed effects.</w:t>
      </w:r>
    </w:p>
    <w:tbl>
      <w:tblPr>
        <w:tblW w:w="10605" w:type="dxa"/>
        <w:jc w:val="center"/>
        <w:tblLayout w:type="fixed"/>
        <w:tblCellMar>
          <w:left w:w="75" w:type="dxa"/>
          <w:right w:w="75" w:type="dxa"/>
        </w:tblCellMar>
        <w:tblLook w:val="0000" w:firstRow="0" w:lastRow="0" w:firstColumn="0" w:lastColumn="0" w:noHBand="0" w:noVBand="0"/>
      </w:tblPr>
      <w:tblGrid>
        <w:gridCol w:w="2313"/>
        <w:gridCol w:w="1382"/>
        <w:gridCol w:w="1382"/>
        <w:gridCol w:w="1382"/>
        <w:gridCol w:w="1382"/>
        <w:gridCol w:w="1382"/>
        <w:gridCol w:w="1382"/>
      </w:tblGrid>
      <w:tr w:rsidR="0064611C" w:rsidRPr="00F14751" w14:paraId="75777F64" w14:textId="77777777" w:rsidTr="006B126F">
        <w:trPr>
          <w:jc w:val="center"/>
        </w:trPr>
        <w:tc>
          <w:tcPr>
            <w:tcW w:w="2313" w:type="dxa"/>
            <w:tcBorders>
              <w:top w:val="single" w:sz="6" w:space="0" w:color="auto"/>
              <w:left w:val="nil"/>
              <w:bottom w:val="nil"/>
              <w:right w:val="nil"/>
            </w:tcBorders>
            <w:vAlign w:val="center"/>
          </w:tcPr>
          <w:p w14:paraId="0A6D8A3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6" w:space="0" w:color="auto"/>
              <w:left w:val="nil"/>
              <w:bottom w:val="nil"/>
              <w:right w:val="nil"/>
            </w:tcBorders>
            <w:vAlign w:val="center"/>
          </w:tcPr>
          <w:p w14:paraId="275C293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w:t>
            </w:r>
          </w:p>
        </w:tc>
        <w:tc>
          <w:tcPr>
            <w:tcW w:w="1382" w:type="dxa"/>
            <w:tcBorders>
              <w:top w:val="single" w:sz="6" w:space="0" w:color="auto"/>
              <w:left w:val="nil"/>
              <w:bottom w:val="nil"/>
              <w:right w:val="nil"/>
            </w:tcBorders>
            <w:vAlign w:val="center"/>
          </w:tcPr>
          <w:p w14:paraId="15A4DBA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w:t>
            </w:r>
          </w:p>
        </w:tc>
        <w:tc>
          <w:tcPr>
            <w:tcW w:w="1382" w:type="dxa"/>
            <w:tcBorders>
              <w:top w:val="single" w:sz="6" w:space="0" w:color="auto"/>
              <w:left w:val="nil"/>
              <w:bottom w:val="nil"/>
              <w:right w:val="nil"/>
            </w:tcBorders>
            <w:vAlign w:val="center"/>
          </w:tcPr>
          <w:p w14:paraId="708C290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w:t>
            </w:r>
          </w:p>
        </w:tc>
        <w:tc>
          <w:tcPr>
            <w:tcW w:w="1382" w:type="dxa"/>
            <w:tcBorders>
              <w:top w:val="single" w:sz="6" w:space="0" w:color="auto"/>
              <w:left w:val="nil"/>
              <w:bottom w:val="nil"/>
              <w:right w:val="nil"/>
            </w:tcBorders>
            <w:vAlign w:val="center"/>
          </w:tcPr>
          <w:p w14:paraId="4C0EDF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w:t>
            </w:r>
          </w:p>
        </w:tc>
        <w:tc>
          <w:tcPr>
            <w:tcW w:w="1382" w:type="dxa"/>
            <w:tcBorders>
              <w:top w:val="single" w:sz="6" w:space="0" w:color="auto"/>
              <w:left w:val="nil"/>
              <w:bottom w:val="nil"/>
              <w:right w:val="nil"/>
            </w:tcBorders>
            <w:vAlign w:val="center"/>
          </w:tcPr>
          <w:p w14:paraId="71A83D6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82" w:type="dxa"/>
            <w:tcBorders>
              <w:top w:val="single" w:sz="6" w:space="0" w:color="auto"/>
              <w:left w:val="nil"/>
              <w:bottom w:val="nil"/>
              <w:right w:val="nil"/>
            </w:tcBorders>
            <w:vAlign w:val="center"/>
          </w:tcPr>
          <w:p w14:paraId="5E476EE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w:t>
            </w:r>
          </w:p>
        </w:tc>
      </w:tr>
      <w:tr w:rsidR="0064611C" w:rsidRPr="00F14751" w14:paraId="63FB3169" w14:textId="77777777" w:rsidTr="006B126F">
        <w:trPr>
          <w:jc w:val="center"/>
        </w:trPr>
        <w:tc>
          <w:tcPr>
            <w:tcW w:w="2313" w:type="dxa"/>
            <w:tcBorders>
              <w:top w:val="nil"/>
              <w:left w:val="nil"/>
              <w:bottom w:val="single" w:sz="6" w:space="0" w:color="auto"/>
              <w:right w:val="nil"/>
            </w:tcBorders>
            <w:vAlign w:val="center"/>
          </w:tcPr>
          <w:p w14:paraId="045F24D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VARIABLES</w:t>
            </w:r>
          </w:p>
        </w:tc>
        <w:tc>
          <w:tcPr>
            <w:tcW w:w="1382" w:type="dxa"/>
            <w:tcBorders>
              <w:top w:val="nil"/>
              <w:left w:val="nil"/>
              <w:bottom w:val="single" w:sz="6" w:space="0" w:color="auto"/>
              <w:right w:val="nil"/>
            </w:tcBorders>
            <w:vAlign w:val="center"/>
          </w:tcPr>
          <w:p w14:paraId="51158D0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($2)</w:t>
            </w:r>
          </w:p>
        </w:tc>
        <w:tc>
          <w:tcPr>
            <w:tcW w:w="1382" w:type="dxa"/>
            <w:tcBorders>
              <w:top w:val="nil"/>
              <w:left w:val="nil"/>
              <w:bottom w:val="single" w:sz="6" w:space="0" w:color="auto"/>
              <w:right w:val="nil"/>
            </w:tcBorders>
            <w:vAlign w:val="center"/>
          </w:tcPr>
          <w:p w14:paraId="42D0D4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PHR ($1.25)</w:t>
            </w:r>
          </w:p>
        </w:tc>
        <w:tc>
          <w:tcPr>
            <w:tcW w:w="1382" w:type="dxa"/>
            <w:tcBorders>
              <w:top w:val="nil"/>
              <w:left w:val="nil"/>
              <w:bottom w:val="single" w:sz="6" w:space="0" w:color="auto"/>
              <w:right w:val="nil"/>
            </w:tcBorders>
            <w:vAlign w:val="center"/>
          </w:tcPr>
          <w:p w14:paraId="607A2B6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($2)</w:t>
            </w:r>
          </w:p>
        </w:tc>
        <w:tc>
          <w:tcPr>
            <w:tcW w:w="1382" w:type="dxa"/>
            <w:tcBorders>
              <w:top w:val="nil"/>
              <w:left w:val="nil"/>
              <w:bottom w:val="single" w:sz="6" w:space="0" w:color="auto"/>
              <w:right w:val="nil"/>
            </w:tcBorders>
            <w:vAlign w:val="center"/>
          </w:tcPr>
          <w:p w14:paraId="49E120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PGR ($1.25)</w:t>
            </w:r>
          </w:p>
        </w:tc>
        <w:tc>
          <w:tcPr>
            <w:tcW w:w="1382" w:type="dxa"/>
            <w:tcBorders>
              <w:top w:val="nil"/>
              <w:left w:val="nil"/>
              <w:bottom w:val="single" w:sz="6" w:space="0" w:color="auto"/>
              <w:right w:val="nil"/>
            </w:tcBorders>
            <w:vAlign w:val="center"/>
          </w:tcPr>
          <w:p w14:paraId="5CA2430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($2)</w:t>
            </w:r>
          </w:p>
        </w:tc>
        <w:tc>
          <w:tcPr>
            <w:tcW w:w="1382" w:type="dxa"/>
            <w:tcBorders>
              <w:top w:val="nil"/>
              <w:left w:val="nil"/>
              <w:bottom w:val="single" w:sz="6" w:space="0" w:color="auto"/>
              <w:right w:val="nil"/>
            </w:tcBorders>
            <w:vAlign w:val="center"/>
          </w:tcPr>
          <w:p w14:paraId="57F16D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14751">
              <w:rPr>
                <w:rFonts w:ascii="Times New Roman" w:hAnsi="Times New Roman" w:cs="Times New Roman"/>
                <w:sz w:val="24"/>
                <w:szCs w:val="24"/>
              </w:rPr>
              <w:t>DoP</w:t>
            </w:r>
            <w:proofErr w:type="spellEnd"/>
            <w:r w:rsidRPr="00F14751">
              <w:rPr>
                <w:rFonts w:ascii="Times New Roman" w:hAnsi="Times New Roman" w:cs="Times New Roman"/>
                <w:sz w:val="24"/>
                <w:szCs w:val="24"/>
              </w:rPr>
              <w:t xml:space="preserve"> ($1.25)</w:t>
            </w:r>
          </w:p>
        </w:tc>
      </w:tr>
      <w:tr w:rsidR="0064611C" w:rsidRPr="00F14751" w14:paraId="77444941" w14:textId="77777777" w:rsidTr="006B126F">
        <w:trPr>
          <w:jc w:val="center"/>
        </w:trPr>
        <w:tc>
          <w:tcPr>
            <w:tcW w:w="2313" w:type="dxa"/>
            <w:tcBorders>
              <w:top w:val="nil"/>
              <w:left w:val="nil"/>
              <w:bottom w:val="nil"/>
              <w:right w:val="nil"/>
            </w:tcBorders>
            <w:vAlign w:val="center"/>
          </w:tcPr>
          <w:p w14:paraId="36A36E7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36D0FB6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0A4A9A0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6B02F98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6C2C39E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77B5A4F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0E874A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5EF7FFDC" w14:textId="77777777" w:rsidTr="006B126F">
        <w:trPr>
          <w:jc w:val="center"/>
        </w:trPr>
        <w:tc>
          <w:tcPr>
            <w:tcW w:w="2313" w:type="dxa"/>
            <w:tcBorders>
              <w:top w:val="nil"/>
              <w:left w:val="nil"/>
              <w:bottom w:val="nil"/>
              <w:right w:val="nil"/>
            </w:tcBorders>
            <w:vAlign w:val="center"/>
          </w:tcPr>
          <w:p w14:paraId="11BB45B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Trade</w:t>
            </w:r>
          </w:p>
        </w:tc>
        <w:tc>
          <w:tcPr>
            <w:tcW w:w="1382" w:type="dxa"/>
            <w:tcBorders>
              <w:top w:val="nil"/>
              <w:left w:val="nil"/>
              <w:bottom w:val="nil"/>
              <w:right w:val="nil"/>
            </w:tcBorders>
            <w:vAlign w:val="center"/>
          </w:tcPr>
          <w:p w14:paraId="586F38B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0.268***</w:t>
            </w:r>
          </w:p>
        </w:tc>
        <w:tc>
          <w:tcPr>
            <w:tcW w:w="1382" w:type="dxa"/>
            <w:tcBorders>
              <w:top w:val="nil"/>
              <w:left w:val="nil"/>
              <w:bottom w:val="nil"/>
              <w:right w:val="nil"/>
            </w:tcBorders>
            <w:vAlign w:val="center"/>
          </w:tcPr>
          <w:p w14:paraId="3DDF317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0.0835*</w:t>
            </w:r>
          </w:p>
        </w:tc>
        <w:tc>
          <w:tcPr>
            <w:tcW w:w="1382" w:type="dxa"/>
            <w:tcBorders>
              <w:top w:val="nil"/>
              <w:left w:val="nil"/>
              <w:bottom w:val="nil"/>
              <w:right w:val="nil"/>
            </w:tcBorders>
            <w:vAlign w:val="center"/>
          </w:tcPr>
          <w:p w14:paraId="3678DD5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0.0680**</w:t>
            </w:r>
          </w:p>
        </w:tc>
        <w:tc>
          <w:tcPr>
            <w:tcW w:w="1382" w:type="dxa"/>
            <w:tcBorders>
              <w:top w:val="nil"/>
              <w:left w:val="nil"/>
              <w:bottom w:val="nil"/>
              <w:right w:val="nil"/>
            </w:tcBorders>
            <w:vAlign w:val="center"/>
          </w:tcPr>
          <w:p w14:paraId="55D1621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0.00816</w:t>
            </w:r>
          </w:p>
        </w:tc>
        <w:tc>
          <w:tcPr>
            <w:tcW w:w="1382" w:type="dxa"/>
            <w:tcBorders>
              <w:top w:val="nil"/>
              <w:left w:val="nil"/>
              <w:bottom w:val="nil"/>
              <w:right w:val="nil"/>
            </w:tcBorders>
            <w:vAlign w:val="center"/>
          </w:tcPr>
          <w:p w14:paraId="5CAE2C9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2.122**</w:t>
            </w:r>
          </w:p>
        </w:tc>
        <w:tc>
          <w:tcPr>
            <w:tcW w:w="1382" w:type="dxa"/>
            <w:tcBorders>
              <w:top w:val="nil"/>
              <w:left w:val="nil"/>
              <w:bottom w:val="nil"/>
              <w:right w:val="nil"/>
            </w:tcBorders>
            <w:vAlign w:val="center"/>
          </w:tcPr>
          <w:p w14:paraId="20F12A7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0.439</w:t>
            </w:r>
          </w:p>
        </w:tc>
      </w:tr>
      <w:tr w:rsidR="0064611C" w:rsidRPr="00F14751" w14:paraId="262256E5" w14:textId="77777777" w:rsidTr="006B126F">
        <w:trPr>
          <w:jc w:val="center"/>
        </w:trPr>
        <w:tc>
          <w:tcPr>
            <w:tcW w:w="2313" w:type="dxa"/>
            <w:tcBorders>
              <w:top w:val="nil"/>
              <w:left w:val="nil"/>
              <w:bottom w:val="nil"/>
              <w:right w:val="nil"/>
            </w:tcBorders>
            <w:vAlign w:val="center"/>
          </w:tcPr>
          <w:p w14:paraId="6B1F7DD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322AFED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(0.0397)</w:t>
            </w:r>
          </w:p>
        </w:tc>
        <w:tc>
          <w:tcPr>
            <w:tcW w:w="1382" w:type="dxa"/>
            <w:tcBorders>
              <w:top w:val="nil"/>
              <w:left w:val="nil"/>
              <w:bottom w:val="nil"/>
              <w:right w:val="nil"/>
            </w:tcBorders>
            <w:vAlign w:val="center"/>
          </w:tcPr>
          <w:p w14:paraId="36803DD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(0.0333)</w:t>
            </w:r>
          </w:p>
        </w:tc>
        <w:tc>
          <w:tcPr>
            <w:tcW w:w="1382" w:type="dxa"/>
            <w:tcBorders>
              <w:top w:val="nil"/>
              <w:left w:val="nil"/>
              <w:bottom w:val="nil"/>
              <w:right w:val="nil"/>
            </w:tcBorders>
            <w:vAlign w:val="center"/>
          </w:tcPr>
          <w:p w14:paraId="70D0A3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(0.0220)</w:t>
            </w:r>
          </w:p>
        </w:tc>
        <w:tc>
          <w:tcPr>
            <w:tcW w:w="1382" w:type="dxa"/>
            <w:tcBorders>
              <w:top w:val="nil"/>
              <w:left w:val="nil"/>
              <w:bottom w:val="nil"/>
              <w:right w:val="nil"/>
            </w:tcBorders>
            <w:vAlign w:val="center"/>
          </w:tcPr>
          <w:p w14:paraId="0F294C7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(0.0265)</w:t>
            </w:r>
          </w:p>
        </w:tc>
        <w:tc>
          <w:tcPr>
            <w:tcW w:w="1382" w:type="dxa"/>
            <w:tcBorders>
              <w:top w:val="nil"/>
              <w:left w:val="nil"/>
              <w:bottom w:val="nil"/>
              <w:right w:val="nil"/>
            </w:tcBorders>
            <w:vAlign w:val="center"/>
          </w:tcPr>
          <w:p w14:paraId="3E66317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(0.488)</w:t>
            </w:r>
          </w:p>
        </w:tc>
        <w:tc>
          <w:tcPr>
            <w:tcW w:w="1382" w:type="dxa"/>
            <w:tcBorders>
              <w:top w:val="nil"/>
              <w:left w:val="nil"/>
              <w:bottom w:val="nil"/>
              <w:right w:val="nil"/>
            </w:tcBorders>
            <w:vAlign w:val="center"/>
          </w:tcPr>
          <w:p w14:paraId="7185693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(0.283)</w:t>
            </w:r>
          </w:p>
        </w:tc>
      </w:tr>
      <w:tr w:rsidR="0064611C" w:rsidRPr="00F14751" w14:paraId="4FDF1A6E" w14:textId="77777777" w:rsidTr="006B126F">
        <w:trPr>
          <w:jc w:val="center"/>
        </w:trPr>
        <w:tc>
          <w:tcPr>
            <w:tcW w:w="2313" w:type="dxa"/>
            <w:tcBorders>
              <w:top w:val="nil"/>
              <w:left w:val="nil"/>
              <w:bottom w:val="nil"/>
              <w:right w:val="nil"/>
            </w:tcBorders>
            <w:vAlign w:val="center"/>
          </w:tcPr>
          <w:p w14:paraId="0E6C690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Financial</w:t>
            </w:r>
          </w:p>
        </w:tc>
        <w:tc>
          <w:tcPr>
            <w:tcW w:w="1382" w:type="dxa"/>
            <w:tcBorders>
              <w:top w:val="nil"/>
              <w:left w:val="nil"/>
              <w:bottom w:val="nil"/>
              <w:right w:val="nil"/>
            </w:tcBorders>
            <w:vAlign w:val="center"/>
          </w:tcPr>
          <w:p w14:paraId="7006299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0.102</w:t>
            </w:r>
          </w:p>
        </w:tc>
        <w:tc>
          <w:tcPr>
            <w:tcW w:w="1382" w:type="dxa"/>
            <w:tcBorders>
              <w:top w:val="nil"/>
              <w:left w:val="nil"/>
              <w:bottom w:val="nil"/>
              <w:right w:val="nil"/>
            </w:tcBorders>
            <w:vAlign w:val="center"/>
          </w:tcPr>
          <w:p w14:paraId="3775EC2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0.00420</w:t>
            </w:r>
          </w:p>
        </w:tc>
        <w:tc>
          <w:tcPr>
            <w:tcW w:w="1382" w:type="dxa"/>
            <w:tcBorders>
              <w:top w:val="nil"/>
              <w:left w:val="nil"/>
              <w:bottom w:val="nil"/>
              <w:right w:val="nil"/>
            </w:tcBorders>
            <w:vAlign w:val="center"/>
          </w:tcPr>
          <w:p w14:paraId="41F188D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0.0144</w:t>
            </w:r>
          </w:p>
        </w:tc>
        <w:tc>
          <w:tcPr>
            <w:tcW w:w="1382" w:type="dxa"/>
            <w:tcBorders>
              <w:top w:val="nil"/>
              <w:left w:val="nil"/>
              <w:bottom w:val="nil"/>
              <w:right w:val="nil"/>
            </w:tcBorders>
            <w:vAlign w:val="center"/>
          </w:tcPr>
          <w:p w14:paraId="6A1B261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-0.00996</w:t>
            </w:r>
          </w:p>
        </w:tc>
        <w:tc>
          <w:tcPr>
            <w:tcW w:w="1382" w:type="dxa"/>
            <w:tcBorders>
              <w:top w:val="nil"/>
              <w:left w:val="nil"/>
              <w:bottom w:val="nil"/>
              <w:right w:val="nil"/>
            </w:tcBorders>
            <w:vAlign w:val="center"/>
          </w:tcPr>
          <w:p w14:paraId="2E917B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0.547</w:t>
            </w:r>
          </w:p>
        </w:tc>
        <w:tc>
          <w:tcPr>
            <w:tcW w:w="1382" w:type="dxa"/>
            <w:tcBorders>
              <w:top w:val="nil"/>
              <w:left w:val="nil"/>
              <w:bottom w:val="nil"/>
              <w:right w:val="nil"/>
            </w:tcBorders>
            <w:vAlign w:val="center"/>
          </w:tcPr>
          <w:p w14:paraId="1E341A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0.0730</w:t>
            </w:r>
          </w:p>
        </w:tc>
      </w:tr>
      <w:tr w:rsidR="0064611C" w:rsidRPr="00F14751" w14:paraId="71A7174D" w14:textId="77777777" w:rsidTr="006B126F">
        <w:trPr>
          <w:jc w:val="center"/>
        </w:trPr>
        <w:tc>
          <w:tcPr>
            <w:tcW w:w="2313" w:type="dxa"/>
            <w:tcBorders>
              <w:top w:val="nil"/>
              <w:left w:val="nil"/>
              <w:bottom w:val="nil"/>
              <w:right w:val="nil"/>
            </w:tcBorders>
            <w:vAlign w:val="center"/>
          </w:tcPr>
          <w:p w14:paraId="3D05D55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23D71DB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(0.0494)</w:t>
            </w:r>
          </w:p>
        </w:tc>
        <w:tc>
          <w:tcPr>
            <w:tcW w:w="1382" w:type="dxa"/>
            <w:tcBorders>
              <w:top w:val="nil"/>
              <w:left w:val="nil"/>
              <w:bottom w:val="nil"/>
              <w:right w:val="nil"/>
            </w:tcBorders>
            <w:vAlign w:val="center"/>
          </w:tcPr>
          <w:p w14:paraId="0E9CA40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(0.0203)</w:t>
            </w:r>
          </w:p>
        </w:tc>
        <w:tc>
          <w:tcPr>
            <w:tcW w:w="1382" w:type="dxa"/>
            <w:tcBorders>
              <w:top w:val="nil"/>
              <w:left w:val="nil"/>
              <w:bottom w:val="nil"/>
              <w:right w:val="nil"/>
            </w:tcBorders>
            <w:vAlign w:val="center"/>
          </w:tcPr>
          <w:p w14:paraId="2A4DFF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(0.0188)</w:t>
            </w:r>
          </w:p>
        </w:tc>
        <w:tc>
          <w:tcPr>
            <w:tcW w:w="1382" w:type="dxa"/>
            <w:tcBorders>
              <w:top w:val="nil"/>
              <w:left w:val="nil"/>
              <w:bottom w:val="nil"/>
              <w:right w:val="nil"/>
            </w:tcBorders>
            <w:vAlign w:val="center"/>
          </w:tcPr>
          <w:p w14:paraId="0D482DD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(0.0119)</w:t>
            </w:r>
          </w:p>
        </w:tc>
        <w:tc>
          <w:tcPr>
            <w:tcW w:w="1382" w:type="dxa"/>
            <w:tcBorders>
              <w:top w:val="nil"/>
              <w:left w:val="nil"/>
              <w:bottom w:val="nil"/>
              <w:right w:val="nil"/>
            </w:tcBorders>
            <w:vAlign w:val="center"/>
          </w:tcPr>
          <w:p w14:paraId="2513C7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(0.437)</w:t>
            </w:r>
          </w:p>
        </w:tc>
        <w:tc>
          <w:tcPr>
            <w:tcW w:w="1382" w:type="dxa"/>
            <w:tcBorders>
              <w:top w:val="nil"/>
              <w:left w:val="nil"/>
              <w:bottom w:val="nil"/>
              <w:right w:val="nil"/>
            </w:tcBorders>
            <w:vAlign w:val="center"/>
          </w:tcPr>
          <w:p w14:paraId="02E6F7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(0.107)</w:t>
            </w:r>
          </w:p>
        </w:tc>
      </w:tr>
      <w:tr w:rsidR="0064611C" w:rsidRPr="00F14751" w14:paraId="737C2D48" w14:textId="77777777" w:rsidTr="006B126F">
        <w:trPr>
          <w:jc w:val="center"/>
        </w:trPr>
        <w:tc>
          <w:tcPr>
            <w:tcW w:w="2313" w:type="dxa"/>
            <w:tcBorders>
              <w:top w:val="nil"/>
              <w:left w:val="nil"/>
              <w:bottom w:val="nil"/>
              <w:right w:val="nil"/>
            </w:tcBorders>
            <w:vAlign w:val="center"/>
          </w:tcPr>
          <w:p w14:paraId="3235DDC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Tax</w:t>
            </w:r>
          </w:p>
        </w:tc>
        <w:tc>
          <w:tcPr>
            <w:tcW w:w="1382" w:type="dxa"/>
            <w:tcBorders>
              <w:top w:val="nil"/>
              <w:left w:val="nil"/>
              <w:bottom w:val="nil"/>
              <w:right w:val="nil"/>
            </w:tcBorders>
            <w:vAlign w:val="center"/>
          </w:tcPr>
          <w:p w14:paraId="578944E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-0.0523</w:t>
            </w:r>
          </w:p>
        </w:tc>
        <w:tc>
          <w:tcPr>
            <w:tcW w:w="1382" w:type="dxa"/>
            <w:tcBorders>
              <w:top w:val="nil"/>
              <w:left w:val="nil"/>
              <w:bottom w:val="nil"/>
              <w:right w:val="nil"/>
            </w:tcBorders>
            <w:vAlign w:val="center"/>
          </w:tcPr>
          <w:p w14:paraId="48251B3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0.0169</w:t>
            </w:r>
          </w:p>
        </w:tc>
        <w:tc>
          <w:tcPr>
            <w:tcW w:w="1382" w:type="dxa"/>
            <w:tcBorders>
              <w:top w:val="nil"/>
              <w:left w:val="nil"/>
              <w:bottom w:val="nil"/>
              <w:right w:val="nil"/>
            </w:tcBorders>
            <w:vAlign w:val="center"/>
          </w:tcPr>
          <w:p w14:paraId="52913FB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0.00802</w:t>
            </w:r>
          </w:p>
        </w:tc>
        <w:tc>
          <w:tcPr>
            <w:tcW w:w="1382" w:type="dxa"/>
            <w:tcBorders>
              <w:top w:val="nil"/>
              <w:left w:val="nil"/>
              <w:bottom w:val="nil"/>
              <w:right w:val="nil"/>
            </w:tcBorders>
            <w:vAlign w:val="center"/>
          </w:tcPr>
          <w:p w14:paraId="2946B85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0.0231</w:t>
            </w:r>
          </w:p>
        </w:tc>
        <w:tc>
          <w:tcPr>
            <w:tcW w:w="1382" w:type="dxa"/>
            <w:tcBorders>
              <w:top w:val="nil"/>
              <w:left w:val="nil"/>
              <w:bottom w:val="nil"/>
              <w:right w:val="nil"/>
            </w:tcBorders>
            <w:vAlign w:val="center"/>
          </w:tcPr>
          <w:p w14:paraId="191B699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-0.165</w:t>
            </w:r>
          </w:p>
        </w:tc>
        <w:tc>
          <w:tcPr>
            <w:tcW w:w="1382" w:type="dxa"/>
            <w:tcBorders>
              <w:top w:val="nil"/>
              <w:left w:val="nil"/>
              <w:bottom w:val="nil"/>
              <w:right w:val="nil"/>
            </w:tcBorders>
            <w:vAlign w:val="center"/>
          </w:tcPr>
          <w:p w14:paraId="4BAE298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0.200</w:t>
            </w:r>
          </w:p>
        </w:tc>
      </w:tr>
      <w:tr w:rsidR="0064611C" w:rsidRPr="00F14751" w14:paraId="78C1A7D9" w14:textId="77777777" w:rsidTr="006B126F">
        <w:trPr>
          <w:jc w:val="center"/>
        </w:trPr>
        <w:tc>
          <w:tcPr>
            <w:tcW w:w="2313" w:type="dxa"/>
            <w:tcBorders>
              <w:top w:val="nil"/>
              <w:left w:val="nil"/>
              <w:bottom w:val="nil"/>
              <w:right w:val="nil"/>
            </w:tcBorders>
            <w:vAlign w:val="center"/>
          </w:tcPr>
          <w:p w14:paraId="7DE20C0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63F55A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(0.127)</w:t>
            </w:r>
          </w:p>
        </w:tc>
        <w:tc>
          <w:tcPr>
            <w:tcW w:w="1382" w:type="dxa"/>
            <w:tcBorders>
              <w:top w:val="nil"/>
              <w:left w:val="nil"/>
              <w:bottom w:val="nil"/>
              <w:right w:val="nil"/>
            </w:tcBorders>
            <w:vAlign w:val="center"/>
          </w:tcPr>
          <w:p w14:paraId="5696983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(0.0572)</w:t>
            </w:r>
          </w:p>
        </w:tc>
        <w:tc>
          <w:tcPr>
            <w:tcW w:w="1382" w:type="dxa"/>
            <w:tcBorders>
              <w:top w:val="nil"/>
              <w:left w:val="nil"/>
              <w:bottom w:val="nil"/>
              <w:right w:val="nil"/>
            </w:tcBorders>
            <w:vAlign w:val="center"/>
          </w:tcPr>
          <w:p w14:paraId="6A593D3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(0.0444)</w:t>
            </w:r>
          </w:p>
        </w:tc>
        <w:tc>
          <w:tcPr>
            <w:tcW w:w="1382" w:type="dxa"/>
            <w:tcBorders>
              <w:top w:val="nil"/>
              <w:left w:val="nil"/>
              <w:bottom w:val="nil"/>
              <w:right w:val="nil"/>
            </w:tcBorders>
            <w:vAlign w:val="center"/>
          </w:tcPr>
          <w:p w14:paraId="7C8DF6F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(0.0218)</w:t>
            </w:r>
          </w:p>
        </w:tc>
        <w:tc>
          <w:tcPr>
            <w:tcW w:w="1382" w:type="dxa"/>
            <w:tcBorders>
              <w:top w:val="nil"/>
              <w:left w:val="nil"/>
              <w:bottom w:val="nil"/>
              <w:right w:val="nil"/>
            </w:tcBorders>
            <w:vAlign w:val="center"/>
          </w:tcPr>
          <w:p w14:paraId="6D47497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(0.987)</w:t>
            </w:r>
          </w:p>
        </w:tc>
        <w:tc>
          <w:tcPr>
            <w:tcW w:w="1382" w:type="dxa"/>
            <w:tcBorders>
              <w:top w:val="nil"/>
              <w:left w:val="nil"/>
              <w:bottom w:val="nil"/>
              <w:right w:val="nil"/>
            </w:tcBorders>
            <w:vAlign w:val="center"/>
          </w:tcPr>
          <w:p w14:paraId="62DAA39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(0.162)</w:t>
            </w:r>
          </w:p>
        </w:tc>
      </w:tr>
      <w:tr w:rsidR="0064611C" w:rsidRPr="00F14751" w14:paraId="49F55AFB" w14:textId="77777777" w:rsidTr="006B126F">
        <w:trPr>
          <w:jc w:val="center"/>
        </w:trPr>
        <w:tc>
          <w:tcPr>
            <w:tcW w:w="2313" w:type="dxa"/>
            <w:tcBorders>
              <w:top w:val="nil"/>
              <w:left w:val="nil"/>
              <w:bottom w:val="nil"/>
              <w:right w:val="nil"/>
            </w:tcBorders>
            <w:vAlign w:val="center"/>
          </w:tcPr>
          <w:p w14:paraId="3851162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Privatizations</w:t>
            </w:r>
          </w:p>
        </w:tc>
        <w:tc>
          <w:tcPr>
            <w:tcW w:w="1382" w:type="dxa"/>
            <w:tcBorders>
              <w:top w:val="nil"/>
              <w:left w:val="nil"/>
              <w:bottom w:val="nil"/>
              <w:right w:val="nil"/>
            </w:tcBorders>
            <w:vAlign w:val="center"/>
          </w:tcPr>
          <w:p w14:paraId="19CCE7B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0.135</w:t>
            </w:r>
          </w:p>
        </w:tc>
        <w:tc>
          <w:tcPr>
            <w:tcW w:w="1382" w:type="dxa"/>
            <w:tcBorders>
              <w:top w:val="nil"/>
              <w:left w:val="nil"/>
              <w:bottom w:val="nil"/>
              <w:right w:val="nil"/>
            </w:tcBorders>
            <w:vAlign w:val="center"/>
          </w:tcPr>
          <w:p w14:paraId="64E1F46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0.0791</w:t>
            </w:r>
          </w:p>
        </w:tc>
        <w:tc>
          <w:tcPr>
            <w:tcW w:w="1382" w:type="dxa"/>
            <w:tcBorders>
              <w:top w:val="nil"/>
              <w:left w:val="nil"/>
              <w:bottom w:val="nil"/>
              <w:right w:val="nil"/>
            </w:tcBorders>
            <w:vAlign w:val="center"/>
          </w:tcPr>
          <w:p w14:paraId="4B69F19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0.0640</w:t>
            </w:r>
          </w:p>
        </w:tc>
        <w:tc>
          <w:tcPr>
            <w:tcW w:w="1382" w:type="dxa"/>
            <w:tcBorders>
              <w:top w:val="nil"/>
              <w:left w:val="nil"/>
              <w:bottom w:val="nil"/>
              <w:right w:val="nil"/>
            </w:tcBorders>
            <w:vAlign w:val="center"/>
          </w:tcPr>
          <w:p w14:paraId="3A6687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0.0316</w:t>
            </w:r>
          </w:p>
        </w:tc>
        <w:tc>
          <w:tcPr>
            <w:tcW w:w="1382" w:type="dxa"/>
            <w:tcBorders>
              <w:top w:val="nil"/>
              <w:left w:val="nil"/>
              <w:bottom w:val="nil"/>
              <w:right w:val="nil"/>
            </w:tcBorders>
            <w:vAlign w:val="center"/>
          </w:tcPr>
          <w:p w14:paraId="0A5B8D5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1.665</w:t>
            </w:r>
          </w:p>
        </w:tc>
        <w:tc>
          <w:tcPr>
            <w:tcW w:w="1382" w:type="dxa"/>
            <w:tcBorders>
              <w:top w:val="nil"/>
              <w:left w:val="nil"/>
              <w:bottom w:val="nil"/>
              <w:right w:val="nil"/>
            </w:tcBorders>
            <w:vAlign w:val="center"/>
          </w:tcPr>
          <w:p w14:paraId="754A99A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0.327</w:t>
            </w:r>
          </w:p>
        </w:tc>
      </w:tr>
      <w:tr w:rsidR="0064611C" w:rsidRPr="00F14751" w14:paraId="3F5B43AD" w14:textId="77777777" w:rsidTr="006B126F">
        <w:trPr>
          <w:jc w:val="center"/>
        </w:trPr>
        <w:tc>
          <w:tcPr>
            <w:tcW w:w="2313" w:type="dxa"/>
            <w:tcBorders>
              <w:top w:val="nil"/>
              <w:left w:val="nil"/>
              <w:bottom w:val="nil"/>
              <w:right w:val="nil"/>
            </w:tcBorders>
            <w:vAlign w:val="center"/>
          </w:tcPr>
          <w:p w14:paraId="64B03BC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57F13C8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(0.0769)</w:t>
            </w:r>
          </w:p>
        </w:tc>
        <w:tc>
          <w:tcPr>
            <w:tcW w:w="1382" w:type="dxa"/>
            <w:tcBorders>
              <w:top w:val="nil"/>
              <w:left w:val="nil"/>
              <w:bottom w:val="nil"/>
              <w:right w:val="nil"/>
            </w:tcBorders>
            <w:vAlign w:val="center"/>
          </w:tcPr>
          <w:p w14:paraId="5CAB994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(0.0506)</w:t>
            </w:r>
          </w:p>
        </w:tc>
        <w:tc>
          <w:tcPr>
            <w:tcW w:w="1382" w:type="dxa"/>
            <w:tcBorders>
              <w:top w:val="nil"/>
              <w:left w:val="nil"/>
              <w:bottom w:val="nil"/>
              <w:right w:val="nil"/>
            </w:tcBorders>
            <w:vAlign w:val="center"/>
          </w:tcPr>
          <w:p w14:paraId="3E230B6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(0.0379)</w:t>
            </w:r>
          </w:p>
        </w:tc>
        <w:tc>
          <w:tcPr>
            <w:tcW w:w="1382" w:type="dxa"/>
            <w:tcBorders>
              <w:top w:val="nil"/>
              <w:left w:val="nil"/>
              <w:bottom w:val="nil"/>
              <w:right w:val="nil"/>
            </w:tcBorders>
            <w:vAlign w:val="center"/>
          </w:tcPr>
          <w:p w14:paraId="617988D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(0.0219)</w:t>
            </w:r>
          </w:p>
        </w:tc>
        <w:tc>
          <w:tcPr>
            <w:tcW w:w="1382" w:type="dxa"/>
            <w:tcBorders>
              <w:top w:val="nil"/>
              <w:left w:val="nil"/>
              <w:bottom w:val="nil"/>
              <w:right w:val="nil"/>
            </w:tcBorders>
            <w:vAlign w:val="center"/>
          </w:tcPr>
          <w:p w14:paraId="0E83AE2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(0.846)</w:t>
            </w:r>
          </w:p>
        </w:tc>
        <w:tc>
          <w:tcPr>
            <w:tcW w:w="1382" w:type="dxa"/>
            <w:tcBorders>
              <w:top w:val="nil"/>
              <w:left w:val="nil"/>
              <w:bottom w:val="nil"/>
              <w:right w:val="nil"/>
            </w:tcBorders>
            <w:vAlign w:val="center"/>
          </w:tcPr>
          <w:p w14:paraId="6CBD907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(0.230)</w:t>
            </w:r>
          </w:p>
        </w:tc>
      </w:tr>
      <w:tr w:rsidR="0064611C" w:rsidRPr="00F14751" w14:paraId="53EDB438" w14:textId="77777777" w:rsidTr="006B126F">
        <w:trPr>
          <w:jc w:val="center"/>
        </w:trPr>
        <w:tc>
          <w:tcPr>
            <w:tcW w:w="2313" w:type="dxa"/>
            <w:tcBorders>
              <w:top w:val="nil"/>
              <w:left w:val="nil"/>
              <w:bottom w:val="nil"/>
              <w:right w:val="nil"/>
            </w:tcBorders>
            <w:vAlign w:val="center"/>
          </w:tcPr>
          <w:p w14:paraId="2B400AC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Labor</w:t>
            </w:r>
          </w:p>
        </w:tc>
        <w:tc>
          <w:tcPr>
            <w:tcW w:w="1382" w:type="dxa"/>
            <w:tcBorders>
              <w:top w:val="nil"/>
              <w:left w:val="nil"/>
              <w:bottom w:val="nil"/>
              <w:right w:val="nil"/>
            </w:tcBorders>
            <w:vAlign w:val="center"/>
          </w:tcPr>
          <w:p w14:paraId="52EB5B3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-0.405</w:t>
            </w:r>
          </w:p>
        </w:tc>
        <w:tc>
          <w:tcPr>
            <w:tcW w:w="1382" w:type="dxa"/>
            <w:tcBorders>
              <w:top w:val="nil"/>
              <w:left w:val="nil"/>
              <w:bottom w:val="nil"/>
              <w:right w:val="nil"/>
            </w:tcBorders>
            <w:vAlign w:val="center"/>
          </w:tcPr>
          <w:p w14:paraId="2A168F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0.0275</w:t>
            </w:r>
          </w:p>
        </w:tc>
        <w:tc>
          <w:tcPr>
            <w:tcW w:w="1382" w:type="dxa"/>
            <w:tcBorders>
              <w:top w:val="nil"/>
              <w:left w:val="nil"/>
              <w:bottom w:val="nil"/>
              <w:right w:val="nil"/>
            </w:tcBorders>
            <w:vAlign w:val="center"/>
          </w:tcPr>
          <w:p w14:paraId="3E905CF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-0.0389</w:t>
            </w:r>
          </w:p>
        </w:tc>
        <w:tc>
          <w:tcPr>
            <w:tcW w:w="1382" w:type="dxa"/>
            <w:tcBorders>
              <w:top w:val="nil"/>
              <w:left w:val="nil"/>
              <w:bottom w:val="nil"/>
              <w:right w:val="nil"/>
            </w:tcBorders>
            <w:vAlign w:val="center"/>
          </w:tcPr>
          <w:p w14:paraId="434A5A6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0.0319</w:t>
            </w:r>
          </w:p>
        </w:tc>
        <w:tc>
          <w:tcPr>
            <w:tcW w:w="1382" w:type="dxa"/>
            <w:tcBorders>
              <w:top w:val="nil"/>
              <w:left w:val="nil"/>
              <w:bottom w:val="nil"/>
              <w:right w:val="nil"/>
            </w:tcBorders>
            <w:vAlign w:val="center"/>
          </w:tcPr>
          <w:p w14:paraId="167AD4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-1.940</w:t>
            </w:r>
          </w:p>
        </w:tc>
        <w:tc>
          <w:tcPr>
            <w:tcW w:w="1382" w:type="dxa"/>
            <w:tcBorders>
              <w:top w:val="nil"/>
              <w:left w:val="nil"/>
              <w:bottom w:val="nil"/>
              <w:right w:val="nil"/>
            </w:tcBorders>
            <w:vAlign w:val="center"/>
          </w:tcPr>
          <w:p w14:paraId="0137C78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-0.135</w:t>
            </w:r>
          </w:p>
        </w:tc>
      </w:tr>
      <w:tr w:rsidR="0064611C" w:rsidRPr="00F14751" w14:paraId="13781684" w14:textId="77777777" w:rsidTr="006B126F">
        <w:trPr>
          <w:jc w:val="center"/>
        </w:trPr>
        <w:tc>
          <w:tcPr>
            <w:tcW w:w="2313" w:type="dxa"/>
            <w:tcBorders>
              <w:top w:val="nil"/>
              <w:left w:val="nil"/>
              <w:bottom w:val="nil"/>
              <w:right w:val="nil"/>
            </w:tcBorders>
            <w:vAlign w:val="center"/>
          </w:tcPr>
          <w:p w14:paraId="6127BB0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4C40174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(0.368)</w:t>
            </w:r>
          </w:p>
        </w:tc>
        <w:tc>
          <w:tcPr>
            <w:tcW w:w="1382" w:type="dxa"/>
            <w:tcBorders>
              <w:top w:val="nil"/>
              <w:left w:val="nil"/>
              <w:bottom w:val="nil"/>
              <w:right w:val="nil"/>
            </w:tcBorders>
            <w:vAlign w:val="center"/>
          </w:tcPr>
          <w:p w14:paraId="51C9B6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(0.379)</w:t>
            </w:r>
          </w:p>
        </w:tc>
        <w:tc>
          <w:tcPr>
            <w:tcW w:w="1382" w:type="dxa"/>
            <w:tcBorders>
              <w:top w:val="nil"/>
              <w:left w:val="nil"/>
              <w:bottom w:val="nil"/>
              <w:right w:val="nil"/>
            </w:tcBorders>
            <w:vAlign w:val="center"/>
          </w:tcPr>
          <w:p w14:paraId="42726B1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(0.262)</w:t>
            </w:r>
          </w:p>
        </w:tc>
        <w:tc>
          <w:tcPr>
            <w:tcW w:w="1382" w:type="dxa"/>
            <w:tcBorders>
              <w:top w:val="nil"/>
              <w:left w:val="nil"/>
              <w:bottom w:val="nil"/>
              <w:right w:val="nil"/>
            </w:tcBorders>
            <w:vAlign w:val="center"/>
          </w:tcPr>
          <w:p w14:paraId="3A83DD9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(0.184)</w:t>
            </w:r>
          </w:p>
        </w:tc>
        <w:tc>
          <w:tcPr>
            <w:tcW w:w="1382" w:type="dxa"/>
            <w:tcBorders>
              <w:top w:val="nil"/>
              <w:left w:val="nil"/>
              <w:bottom w:val="nil"/>
              <w:right w:val="nil"/>
            </w:tcBorders>
            <w:vAlign w:val="center"/>
          </w:tcPr>
          <w:p w14:paraId="6FD91AE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(5.528)</w:t>
            </w:r>
          </w:p>
        </w:tc>
        <w:tc>
          <w:tcPr>
            <w:tcW w:w="1382" w:type="dxa"/>
            <w:tcBorders>
              <w:top w:val="nil"/>
              <w:left w:val="nil"/>
              <w:bottom w:val="nil"/>
              <w:right w:val="nil"/>
            </w:tcBorders>
            <w:vAlign w:val="center"/>
          </w:tcPr>
          <w:p w14:paraId="76EA3EC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(1.884)</w:t>
            </w:r>
          </w:p>
        </w:tc>
      </w:tr>
      <w:tr w:rsidR="0064611C" w:rsidRPr="00F14751" w14:paraId="509D65A5" w14:textId="77777777" w:rsidTr="006B126F">
        <w:trPr>
          <w:jc w:val="center"/>
        </w:trPr>
        <w:tc>
          <w:tcPr>
            <w:tcW w:w="2313" w:type="dxa"/>
            <w:tcBorders>
              <w:top w:val="nil"/>
              <w:left w:val="nil"/>
              <w:bottom w:val="nil"/>
              <w:right w:val="nil"/>
            </w:tcBorders>
            <w:vAlign w:val="center"/>
          </w:tcPr>
          <w:p w14:paraId="010489E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Polity</w:t>
            </w:r>
          </w:p>
        </w:tc>
        <w:tc>
          <w:tcPr>
            <w:tcW w:w="1382" w:type="dxa"/>
            <w:tcBorders>
              <w:top w:val="nil"/>
              <w:left w:val="nil"/>
              <w:bottom w:val="nil"/>
              <w:right w:val="nil"/>
            </w:tcBorders>
            <w:vAlign w:val="center"/>
          </w:tcPr>
          <w:p w14:paraId="262BA6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0.632</w:t>
            </w:r>
          </w:p>
        </w:tc>
        <w:tc>
          <w:tcPr>
            <w:tcW w:w="1382" w:type="dxa"/>
            <w:tcBorders>
              <w:top w:val="nil"/>
              <w:left w:val="nil"/>
              <w:bottom w:val="nil"/>
              <w:right w:val="nil"/>
            </w:tcBorders>
            <w:vAlign w:val="center"/>
          </w:tcPr>
          <w:p w14:paraId="73931A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0.342*</w:t>
            </w:r>
          </w:p>
        </w:tc>
        <w:tc>
          <w:tcPr>
            <w:tcW w:w="1382" w:type="dxa"/>
            <w:tcBorders>
              <w:top w:val="nil"/>
              <w:left w:val="nil"/>
              <w:bottom w:val="nil"/>
              <w:right w:val="nil"/>
            </w:tcBorders>
            <w:vAlign w:val="center"/>
          </w:tcPr>
          <w:p w14:paraId="6D6082D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0.252</w:t>
            </w:r>
          </w:p>
        </w:tc>
        <w:tc>
          <w:tcPr>
            <w:tcW w:w="1382" w:type="dxa"/>
            <w:tcBorders>
              <w:top w:val="nil"/>
              <w:left w:val="nil"/>
              <w:bottom w:val="nil"/>
              <w:right w:val="nil"/>
            </w:tcBorders>
            <w:vAlign w:val="center"/>
          </w:tcPr>
          <w:p w14:paraId="2A8904D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0.0990</w:t>
            </w:r>
          </w:p>
        </w:tc>
        <w:tc>
          <w:tcPr>
            <w:tcW w:w="1382" w:type="dxa"/>
            <w:tcBorders>
              <w:top w:val="nil"/>
              <w:left w:val="nil"/>
              <w:bottom w:val="nil"/>
              <w:right w:val="nil"/>
            </w:tcBorders>
            <w:vAlign w:val="center"/>
          </w:tcPr>
          <w:p w14:paraId="658C957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9.536**</w:t>
            </w:r>
          </w:p>
        </w:tc>
        <w:tc>
          <w:tcPr>
            <w:tcW w:w="1382" w:type="dxa"/>
            <w:tcBorders>
              <w:top w:val="nil"/>
              <w:left w:val="nil"/>
              <w:bottom w:val="nil"/>
              <w:right w:val="nil"/>
            </w:tcBorders>
            <w:vAlign w:val="center"/>
          </w:tcPr>
          <w:p w14:paraId="5D4F91E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2.225</w:t>
            </w:r>
          </w:p>
        </w:tc>
      </w:tr>
      <w:tr w:rsidR="0064611C" w:rsidRPr="00F14751" w14:paraId="6795EF5A" w14:textId="77777777" w:rsidTr="006B126F">
        <w:trPr>
          <w:jc w:val="center"/>
        </w:trPr>
        <w:tc>
          <w:tcPr>
            <w:tcW w:w="2313" w:type="dxa"/>
            <w:tcBorders>
              <w:top w:val="nil"/>
              <w:left w:val="nil"/>
              <w:bottom w:val="nil"/>
              <w:right w:val="nil"/>
            </w:tcBorders>
            <w:vAlign w:val="center"/>
          </w:tcPr>
          <w:p w14:paraId="4151482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6649D88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(0.542)</w:t>
            </w:r>
          </w:p>
        </w:tc>
        <w:tc>
          <w:tcPr>
            <w:tcW w:w="1382" w:type="dxa"/>
            <w:tcBorders>
              <w:top w:val="nil"/>
              <w:left w:val="nil"/>
              <w:bottom w:val="nil"/>
              <w:right w:val="nil"/>
            </w:tcBorders>
            <w:vAlign w:val="center"/>
          </w:tcPr>
          <w:p w14:paraId="3A03D2F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(0.133)</w:t>
            </w:r>
          </w:p>
        </w:tc>
        <w:tc>
          <w:tcPr>
            <w:tcW w:w="1382" w:type="dxa"/>
            <w:tcBorders>
              <w:top w:val="nil"/>
              <w:left w:val="nil"/>
              <w:bottom w:val="nil"/>
              <w:right w:val="nil"/>
            </w:tcBorders>
            <w:vAlign w:val="center"/>
          </w:tcPr>
          <w:p w14:paraId="3FC1EC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(0.132)</w:t>
            </w:r>
          </w:p>
        </w:tc>
        <w:tc>
          <w:tcPr>
            <w:tcW w:w="1382" w:type="dxa"/>
            <w:tcBorders>
              <w:top w:val="nil"/>
              <w:left w:val="nil"/>
              <w:bottom w:val="nil"/>
              <w:right w:val="nil"/>
            </w:tcBorders>
            <w:vAlign w:val="center"/>
          </w:tcPr>
          <w:p w14:paraId="0D9FC9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(0.0982)</w:t>
            </w:r>
          </w:p>
        </w:tc>
        <w:tc>
          <w:tcPr>
            <w:tcW w:w="1382" w:type="dxa"/>
            <w:tcBorders>
              <w:top w:val="nil"/>
              <w:left w:val="nil"/>
              <w:bottom w:val="nil"/>
              <w:right w:val="nil"/>
            </w:tcBorders>
            <w:vAlign w:val="center"/>
          </w:tcPr>
          <w:p w14:paraId="460544F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(2.296)</w:t>
            </w:r>
          </w:p>
        </w:tc>
        <w:tc>
          <w:tcPr>
            <w:tcW w:w="1382" w:type="dxa"/>
            <w:tcBorders>
              <w:top w:val="nil"/>
              <w:left w:val="nil"/>
              <w:bottom w:val="nil"/>
              <w:right w:val="nil"/>
            </w:tcBorders>
            <w:vAlign w:val="center"/>
          </w:tcPr>
          <w:p w14:paraId="533306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(1.283)</w:t>
            </w:r>
          </w:p>
        </w:tc>
      </w:tr>
      <w:tr w:rsidR="0064611C" w:rsidRPr="00F14751" w14:paraId="1E88EF6B" w14:textId="77777777" w:rsidTr="006B126F">
        <w:trPr>
          <w:jc w:val="center"/>
        </w:trPr>
        <w:tc>
          <w:tcPr>
            <w:tcW w:w="2313" w:type="dxa"/>
            <w:tcBorders>
              <w:top w:val="nil"/>
              <w:left w:val="nil"/>
              <w:bottom w:val="nil"/>
              <w:right w:val="nil"/>
            </w:tcBorders>
            <w:vAlign w:val="center"/>
          </w:tcPr>
          <w:p w14:paraId="7E0C2B1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GDP</w:t>
            </w:r>
          </w:p>
        </w:tc>
        <w:tc>
          <w:tcPr>
            <w:tcW w:w="1382" w:type="dxa"/>
            <w:tcBorders>
              <w:top w:val="nil"/>
              <w:left w:val="nil"/>
              <w:bottom w:val="nil"/>
              <w:right w:val="nil"/>
            </w:tcBorders>
            <w:vAlign w:val="center"/>
          </w:tcPr>
          <w:p w14:paraId="33DE9B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-0.233</w:t>
            </w:r>
          </w:p>
        </w:tc>
        <w:tc>
          <w:tcPr>
            <w:tcW w:w="1382" w:type="dxa"/>
            <w:tcBorders>
              <w:top w:val="nil"/>
              <w:left w:val="nil"/>
              <w:bottom w:val="nil"/>
              <w:right w:val="nil"/>
            </w:tcBorders>
            <w:vAlign w:val="center"/>
          </w:tcPr>
          <w:p w14:paraId="7E08FE3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-0.0689</w:t>
            </w:r>
          </w:p>
        </w:tc>
        <w:tc>
          <w:tcPr>
            <w:tcW w:w="1382" w:type="dxa"/>
            <w:tcBorders>
              <w:top w:val="nil"/>
              <w:left w:val="nil"/>
              <w:bottom w:val="nil"/>
              <w:right w:val="nil"/>
            </w:tcBorders>
            <w:vAlign w:val="center"/>
          </w:tcPr>
          <w:p w14:paraId="3A0D876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-0.0623</w:t>
            </w:r>
          </w:p>
        </w:tc>
        <w:tc>
          <w:tcPr>
            <w:tcW w:w="1382" w:type="dxa"/>
            <w:tcBorders>
              <w:top w:val="nil"/>
              <w:left w:val="nil"/>
              <w:bottom w:val="nil"/>
              <w:right w:val="nil"/>
            </w:tcBorders>
            <w:vAlign w:val="center"/>
          </w:tcPr>
          <w:p w14:paraId="34106B5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-0.00770</w:t>
            </w:r>
          </w:p>
        </w:tc>
        <w:tc>
          <w:tcPr>
            <w:tcW w:w="1382" w:type="dxa"/>
            <w:tcBorders>
              <w:top w:val="nil"/>
              <w:left w:val="nil"/>
              <w:bottom w:val="nil"/>
              <w:right w:val="nil"/>
            </w:tcBorders>
            <w:vAlign w:val="center"/>
          </w:tcPr>
          <w:p w14:paraId="74F291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-1.743</w:t>
            </w:r>
          </w:p>
        </w:tc>
        <w:tc>
          <w:tcPr>
            <w:tcW w:w="1382" w:type="dxa"/>
            <w:tcBorders>
              <w:top w:val="nil"/>
              <w:left w:val="nil"/>
              <w:bottom w:val="nil"/>
              <w:right w:val="nil"/>
            </w:tcBorders>
            <w:vAlign w:val="center"/>
          </w:tcPr>
          <w:p w14:paraId="18D0D5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-0.108</w:t>
            </w:r>
          </w:p>
        </w:tc>
      </w:tr>
      <w:tr w:rsidR="0064611C" w:rsidRPr="00F14751" w14:paraId="6EF3D2AE" w14:textId="77777777" w:rsidTr="006B126F">
        <w:trPr>
          <w:jc w:val="center"/>
        </w:trPr>
        <w:tc>
          <w:tcPr>
            <w:tcW w:w="2313" w:type="dxa"/>
            <w:tcBorders>
              <w:top w:val="nil"/>
              <w:left w:val="nil"/>
              <w:bottom w:val="nil"/>
              <w:right w:val="nil"/>
            </w:tcBorders>
            <w:vAlign w:val="center"/>
          </w:tcPr>
          <w:p w14:paraId="0655A41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1E8557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(0.117)</w:t>
            </w:r>
          </w:p>
        </w:tc>
        <w:tc>
          <w:tcPr>
            <w:tcW w:w="1382" w:type="dxa"/>
            <w:tcBorders>
              <w:top w:val="nil"/>
              <w:left w:val="nil"/>
              <w:bottom w:val="nil"/>
              <w:right w:val="nil"/>
            </w:tcBorders>
            <w:vAlign w:val="center"/>
          </w:tcPr>
          <w:p w14:paraId="7C6E627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(0.0526)</w:t>
            </w:r>
          </w:p>
        </w:tc>
        <w:tc>
          <w:tcPr>
            <w:tcW w:w="1382" w:type="dxa"/>
            <w:tcBorders>
              <w:top w:val="nil"/>
              <w:left w:val="nil"/>
              <w:bottom w:val="nil"/>
              <w:right w:val="nil"/>
            </w:tcBorders>
            <w:vAlign w:val="center"/>
          </w:tcPr>
          <w:p w14:paraId="31C4588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(0.0405)</w:t>
            </w:r>
          </w:p>
        </w:tc>
        <w:tc>
          <w:tcPr>
            <w:tcW w:w="1382" w:type="dxa"/>
            <w:tcBorders>
              <w:top w:val="nil"/>
              <w:left w:val="nil"/>
              <w:bottom w:val="nil"/>
              <w:right w:val="nil"/>
            </w:tcBorders>
            <w:vAlign w:val="center"/>
          </w:tcPr>
          <w:p w14:paraId="54842EA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(0.0161)</w:t>
            </w:r>
          </w:p>
        </w:tc>
        <w:tc>
          <w:tcPr>
            <w:tcW w:w="1382" w:type="dxa"/>
            <w:tcBorders>
              <w:top w:val="nil"/>
              <w:left w:val="nil"/>
              <w:bottom w:val="nil"/>
              <w:right w:val="nil"/>
            </w:tcBorders>
            <w:vAlign w:val="center"/>
          </w:tcPr>
          <w:p w14:paraId="6DFE4B5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(1.133)</w:t>
            </w:r>
          </w:p>
        </w:tc>
        <w:tc>
          <w:tcPr>
            <w:tcW w:w="1382" w:type="dxa"/>
            <w:tcBorders>
              <w:top w:val="nil"/>
              <w:left w:val="nil"/>
              <w:bottom w:val="nil"/>
              <w:right w:val="nil"/>
            </w:tcBorders>
            <w:vAlign w:val="center"/>
          </w:tcPr>
          <w:p w14:paraId="4F9DAC9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(0.206)</w:t>
            </w:r>
          </w:p>
        </w:tc>
      </w:tr>
      <w:tr w:rsidR="0064611C" w:rsidRPr="00F14751" w14:paraId="6675191A" w14:textId="77777777" w:rsidTr="006B126F">
        <w:trPr>
          <w:jc w:val="center"/>
        </w:trPr>
        <w:tc>
          <w:tcPr>
            <w:tcW w:w="2313" w:type="dxa"/>
            <w:tcBorders>
              <w:top w:val="nil"/>
              <w:left w:val="nil"/>
              <w:bottom w:val="nil"/>
              <w:right w:val="nil"/>
            </w:tcBorders>
            <w:vAlign w:val="center"/>
          </w:tcPr>
          <w:p w14:paraId="1AE660A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GDPgrowth</w:t>
            </w:r>
            <w:proofErr w:type="spellEnd"/>
          </w:p>
        </w:tc>
        <w:tc>
          <w:tcPr>
            <w:tcW w:w="1382" w:type="dxa"/>
            <w:tcBorders>
              <w:top w:val="nil"/>
              <w:left w:val="nil"/>
              <w:bottom w:val="nil"/>
              <w:right w:val="nil"/>
            </w:tcBorders>
            <w:vAlign w:val="center"/>
          </w:tcPr>
          <w:p w14:paraId="131617C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0.0912</w:t>
            </w:r>
          </w:p>
        </w:tc>
        <w:tc>
          <w:tcPr>
            <w:tcW w:w="1382" w:type="dxa"/>
            <w:tcBorders>
              <w:top w:val="nil"/>
              <w:left w:val="nil"/>
              <w:bottom w:val="nil"/>
              <w:right w:val="nil"/>
            </w:tcBorders>
            <w:vAlign w:val="center"/>
          </w:tcPr>
          <w:p w14:paraId="519AB02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0.0355</w:t>
            </w:r>
          </w:p>
        </w:tc>
        <w:tc>
          <w:tcPr>
            <w:tcW w:w="1382" w:type="dxa"/>
            <w:tcBorders>
              <w:top w:val="nil"/>
              <w:left w:val="nil"/>
              <w:bottom w:val="nil"/>
              <w:right w:val="nil"/>
            </w:tcBorders>
            <w:vAlign w:val="center"/>
          </w:tcPr>
          <w:p w14:paraId="36642B2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0.0279</w:t>
            </w:r>
          </w:p>
        </w:tc>
        <w:tc>
          <w:tcPr>
            <w:tcW w:w="1382" w:type="dxa"/>
            <w:tcBorders>
              <w:top w:val="nil"/>
              <w:left w:val="nil"/>
              <w:bottom w:val="nil"/>
              <w:right w:val="nil"/>
            </w:tcBorders>
            <w:vAlign w:val="center"/>
          </w:tcPr>
          <w:p w14:paraId="3BD9058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0.00555</w:t>
            </w:r>
          </w:p>
        </w:tc>
        <w:tc>
          <w:tcPr>
            <w:tcW w:w="1382" w:type="dxa"/>
            <w:tcBorders>
              <w:top w:val="nil"/>
              <w:left w:val="nil"/>
              <w:bottom w:val="nil"/>
              <w:right w:val="nil"/>
            </w:tcBorders>
            <w:vAlign w:val="center"/>
          </w:tcPr>
          <w:p w14:paraId="0FB533D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0.0672</w:t>
            </w:r>
          </w:p>
        </w:tc>
        <w:tc>
          <w:tcPr>
            <w:tcW w:w="1382" w:type="dxa"/>
            <w:tcBorders>
              <w:top w:val="nil"/>
              <w:left w:val="nil"/>
              <w:bottom w:val="nil"/>
              <w:right w:val="nil"/>
            </w:tcBorders>
            <w:vAlign w:val="center"/>
          </w:tcPr>
          <w:p w14:paraId="3593140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-0.160</w:t>
            </w:r>
          </w:p>
        </w:tc>
      </w:tr>
      <w:tr w:rsidR="0064611C" w:rsidRPr="00F14751" w14:paraId="3C53B2AE" w14:textId="77777777" w:rsidTr="006B126F">
        <w:trPr>
          <w:jc w:val="center"/>
        </w:trPr>
        <w:tc>
          <w:tcPr>
            <w:tcW w:w="2313" w:type="dxa"/>
            <w:tcBorders>
              <w:top w:val="nil"/>
              <w:left w:val="nil"/>
              <w:bottom w:val="nil"/>
              <w:right w:val="nil"/>
            </w:tcBorders>
            <w:vAlign w:val="center"/>
          </w:tcPr>
          <w:p w14:paraId="3550E73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7BC4057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(0.112)</w:t>
            </w:r>
          </w:p>
        </w:tc>
        <w:tc>
          <w:tcPr>
            <w:tcW w:w="1382" w:type="dxa"/>
            <w:tcBorders>
              <w:top w:val="nil"/>
              <w:left w:val="nil"/>
              <w:bottom w:val="nil"/>
              <w:right w:val="nil"/>
            </w:tcBorders>
            <w:vAlign w:val="center"/>
          </w:tcPr>
          <w:p w14:paraId="2A12C58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(0.0494)</w:t>
            </w:r>
          </w:p>
        </w:tc>
        <w:tc>
          <w:tcPr>
            <w:tcW w:w="1382" w:type="dxa"/>
            <w:tcBorders>
              <w:top w:val="nil"/>
              <w:left w:val="nil"/>
              <w:bottom w:val="nil"/>
              <w:right w:val="nil"/>
            </w:tcBorders>
            <w:vAlign w:val="center"/>
          </w:tcPr>
          <w:p w14:paraId="2D30AC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(0.0371)</w:t>
            </w:r>
          </w:p>
        </w:tc>
        <w:tc>
          <w:tcPr>
            <w:tcW w:w="1382" w:type="dxa"/>
            <w:tcBorders>
              <w:top w:val="nil"/>
              <w:left w:val="nil"/>
              <w:bottom w:val="nil"/>
              <w:right w:val="nil"/>
            </w:tcBorders>
            <w:vAlign w:val="center"/>
          </w:tcPr>
          <w:p w14:paraId="3F55956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(0.0137)</w:t>
            </w:r>
          </w:p>
        </w:tc>
        <w:tc>
          <w:tcPr>
            <w:tcW w:w="1382" w:type="dxa"/>
            <w:tcBorders>
              <w:top w:val="nil"/>
              <w:left w:val="nil"/>
              <w:bottom w:val="nil"/>
              <w:right w:val="nil"/>
            </w:tcBorders>
            <w:vAlign w:val="center"/>
          </w:tcPr>
          <w:p w14:paraId="51510BB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(1.017)</w:t>
            </w:r>
          </w:p>
        </w:tc>
        <w:tc>
          <w:tcPr>
            <w:tcW w:w="1382" w:type="dxa"/>
            <w:tcBorders>
              <w:top w:val="nil"/>
              <w:left w:val="nil"/>
              <w:bottom w:val="nil"/>
              <w:right w:val="nil"/>
            </w:tcBorders>
            <w:vAlign w:val="center"/>
          </w:tcPr>
          <w:p w14:paraId="2D3A9A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(0.165)</w:t>
            </w:r>
          </w:p>
        </w:tc>
      </w:tr>
      <w:tr w:rsidR="0064611C" w:rsidRPr="00F14751" w14:paraId="0BCAFF80" w14:textId="77777777" w:rsidTr="006B126F">
        <w:trPr>
          <w:jc w:val="center"/>
        </w:trPr>
        <w:tc>
          <w:tcPr>
            <w:tcW w:w="2313" w:type="dxa"/>
            <w:tcBorders>
              <w:top w:val="nil"/>
              <w:left w:val="nil"/>
              <w:bottom w:val="nil"/>
              <w:right w:val="nil"/>
            </w:tcBorders>
            <w:vAlign w:val="center"/>
          </w:tcPr>
          <w:p w14:paraId="71FA7EF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School</w:t>
            </w:r>
          </w:p>
        </w:tc>
        <w:tc>
          <w:tcPr>
            <w:tcW w:w="1382" w:type="dxa"/>
            <w:tcBorders>
              <w:top w:val="nil"/>
              <w:left w:val="nil"/>
              <w:bottom w:val="nil"/>
              <w:right w:val="nil"/>
            </w:tcBorders>
            <w:vAlign w:val="center"/>
          </w:tcPr>
          <w:p w14:paraId="31E6E8E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2.637</w:t>
            </w:r>
          </w:p>
        </w:tc>
        <w:tc>
          <w:tcPr>
            <w:tcW w:w="1382" w:type="dxa"/>
            <w:tcBorders>
              <w:top w:val="nil"/>
              <w:left w:val="nil"/>
              <w:bottom w:val="nil"/>
              <w:right w:val="nil"/>
            </w:tcBorders>
            <w:vAlign w:val="center"/>
          </w:tcPr>
          <w:p w14:paraId="0281F84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0.658</w:t>
            </w:r>
          </w:p>
        </w:tc>
        <w:tc>
          <w:tcPr>
            <w:tcW w:w="1382" w:type="dxa"/>
            <w:tcBorders>
              <w:top w:val="nil"/>
              <w:left w:val="nil"/>
              <w:bottom w:val="nil"/>
              <w:right w:val="nil"/>
            </w:tcBorders>
            <w:vAlign w:val="center"/>
          </w:tcPr>
          <w:p w14:paraId="4F1DA5A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0.854</w:t>
            </w:r>
          </w:p>
        </w:tc>
        <w:tc>
          <w:tcPr>
            <w:tcW w:w="1382" w:type="dxa"/>
            <w:tcBorders>
              <w:top w:val="nil"/>
              <w:left w:val="nil"/>
              <w:bottom w:val="nil"/>
              <w:right w:val="nil"/>
            </w:tcBorders>
            <w:vAlign w:val="center"/>
          </w:tcPr>
          <w:p w14:paraId="3F6837C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0.328</w:t>
            </w:r>
          </w:p>
        </w:tc>
        <w:tc>
          <w:tcPr>
            <w:tcW w:w="1382" w:type="dxa"/>
            <w:tcBorders>
              <w:top w:val="nil"/>
              <w:left w:val="nil"/>
              <w:bottom w:val="nil"/>
              <w:right w:val="nil"/>
            </w:tcBorders>
            <w:vAlign w:val="center"/>
          </w:tcPr>
          <w:p w14:paraId="1C2FDA4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9.085</w:t>
            </w:r>
          </w:p>
        </w:tc>
        <w:tc>
          <w:tcPr>
            <w:tcW w:w="1382" w:type="dxa"/>
            <w:tcBorders>
              <w:top w:val="nil"/>
              <w:left w:val="nil"/>
              <w:bottom w:val="nil"/>
              <w:right w:val="nil"/>
            </w:tcBorders>
            <w:vAlign w:val="center"/>
          </w:tcPr>
          <w:p w14:paraId="72D5B69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-1.581</w:t>
            </w:r>
          </w:p>
        </w:tc>
      </w:tr>
      <w:tr w:rsidR="0064611C" w:rsidRPr="00F14751" w14:paraId="3862A5CE" w14:textId="77777777" w:rsidTr="006B126F">
        <w:trPr>
          <w:jc w:val="center"/>
        </w:trPr>
        <w:tc>
          <w:tcPr>
            <w:tcW w:w="2313" w:type="dxa"/>
            <w:tcBorders>
              <w:top w:val="nil"/>
              <w:left w:val="nil"/>
              <w:bottom w:val="nil"/>
              <w:right w:val="nil"/>
            </w:tcBorders>
            <w:vAlign w:val="center"/>
          </w:tcPr>
          <w:p w14:paraId="05B884F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12D23C7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(2.467)</w:t>
            </w:r>
          </w:p>
        </w:tc>
        <w:tc>
          <w:tcPr>
            <w:tcW w:w="1382" w:type="dxa"/>
            <w:tcBorders>
              <w:top w:val="nil"/>
              <w:left w:val="nil"/>
              <w:bottom w:val="nil"/>
              <w:right w:val="nil"/>
            </w:tcBorders>
            <w:vAlign w:val="center"/>
          </w:tcPr>
          <w:p w14:paraId="2667872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(2.035)</w:t>
            </w:r>
          </w:p>
        </w:tc>
        <w:tc>
          <w:tcPr>
            <w:tcW w:w="1382" w:type="dxa"/>
            <w:tcBorders>
              <w:top w:val="nil"/>
              <w:left w:val="nil"/>
              <w:bottom w:val="nil"/>
              <w:right w:val="nil"/>
            </w:tcBorders>
            <w:vAlign w:val="center"/>
          </w:tcPr>
          <w:p w14:paraId="6CB924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(1.385)</w:t>
            </w:r>
          </w:p>
        </w:tc>
        <w:tc>
          <w:tcPr>
            <w:tcW w:w="1382" w:type="dxa"/>
            <w:tcBorders>
              <w:top w:val="nil"/>
              <w:left w:val="nil"/>
              <w:bottom w:val="nil"/>
              <w:right w:val="nil"/>
            </w:tcBorders>
            <w:vAlign w:val="center"/>
          </w:tcPr>
          <w:p w14:paraId="15B974C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(0.978)</w:t>
            </w:r>
          </w:p>
        </w:tc>
        <w:tc>
          <w:tcPr>
            <w:tcW w:w="1382" w:type="dxa"/>
            <w:tcBorders>
              <w:top w:val="nil"/>
              <w:left w:val="nil"/>
              <w:bottom w:val="nil"/>
              <w:right w:val="nil"/>
            </w:tcBorders>
            <w:vAlign w:val="center"/>
          </w:tcPr>
          <w:p w14:paraId="06C2A88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(32.50)</w:t>
            </w:r>
          </w:p>
        </w:tc>
        <w:tc>
          <w:tcPr>
            <w:tcW w:w="1382" w:type="dxa"/>
            <w:tcBorders>
              <w:top w:val="nil"/>
              <w:left w:val="nil"/>
              <w:bottom w:val="nil"/>
              <w:right w:val="nil"/>
            </w:tcBorders>
            <w:vAlign w:val="center"/>
          </w:tcPr>
          <w:p w14:paraId="74C8048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(9.848)</w:t>
            </w:r>
          </w:p>
        </w:tc>
      </w:tr>
      <w:tr w:rsidR="0064611C" w:rsidRPr="00F14751" w14:paraId="0335B572" w14:textId="77777777" w:rsidTr="006B126F">
        <w:trPr>
          <w:jc w:val="center"/>
        </w:trPr>
        <w:tc>
          <w:tcPr>
            <w:tcW w:w="2313" w:type="dxa"/>
            <w:tcBorders>
              <w:top w:val="nil"/>
              <w:left w:val="nil"/>
              <w:bottom w:val="nil"/>
              <w:right w:val="nil"/>
            </w:tcBorders>
            <w:vAlign w:val="center"/>
          </w:tcPr>
          <w:p w14:paraId="3B7FA5E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Death</w:t>
            </w:r>
          </w:p>
        </w:tc>
        <w:tc>
          <w:tcPr>
            <w:tcW w:w="1382" w:type="dxa"/>
            <w:tcBorders>
              <w:top w:val="nil"/>
              <w:left w:val="nil"/>
              <w:bottom w:val="nil"/>
              <w:right w:val="nil"/>
            </w:tcBorders>
            <w:vAlign w:val="center"/>
          </w:tcPr>
          <w:p w14:paraId="2B0D69F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4.257</w:t>
            </w:r>
          </w:p>
        </w:tc>
        <w:tc>
          <w:tcPr>
            <w:tcW w:w="1382" w:type="dxa"/>
            <w:tcBorders>
              <w:top w:val="nil"/>
              <w:left w:val="nil"/>
              <w:bottom w:val="nil"/>
              <w:right w:val="nil"/>
            </w:tcBorders>
            <w:vAlign w:val="center"/>
          </w:tcPr>
          <w:p w14:paraId="3CA7D02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-0.313</w:t>
            </w:r>
          </w:p>
        </w:tc>
        <w:tc>
          <w:tcPr>
            <w:tcW w:w="1382" w:type="dxa"/>
            <w:tcBorders>
              <w:top w:val="nil"/>
              <w:left w:val="nil"/>
              <w:bottom w:val="nil"/>
              <w:right w:val="nil"/>
            </w:tcBorders>
            <w:vAlign w:val="center"/>
          </w:tcPr>
          <w:p w14:paraId="0CEA09D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-0.433</w:t>
            </w:r>
          </w:p>
        </w:tc>
        <w:tc>
          <w:tcPr>
            <w:tcW w:w="1382" w:type="dxa"/>
            <w:tcBorders>
              <w:top w:val="nil"/>
              <w:left w:val="nil"/>
              <w:bottom w:val="nil"/>
              <w:right w:val="nil"/>
            </w:tcBorders>
            <w:vAlign w:val="center"/>
          </w:tcPr>
          <w:p w14:paraId="09885F7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-2.217</w:t>
            </w:r>
          </w:p>
        </w:tc>
        <w:tc>
          <w:tcPr>
            <w:tcW w:w="1382" w:type="dxa"/>
            <w:tcBorders>
              <w:top w:val="nil"/>
              <w:left w:val="nil"/>
              <w:bottom w:val="nil"/>
              <w:right w:val="nil"/>
            </w:tcBorders>
            <w:vAlign w:val="center"/>
          </w:tcPr>
          <w:p w14:paraId="4FC404D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19.54</w:t>
            </w:r>
          </w:p>
        </w:tc>
        <w:tc>
          <w:tcPr>
            <w:tcW w:w="1382" w:type="dxa"/>
            <w:tcBorders>
              <w:top w:val="nil"/>
              <w:left w:val="nil"/>
              <w:bottom w:val="nil"/>
              <w:right w:val="nil"/>
            </w:tcBorders>
            <w:vAlign w:val="center"/>
          </w:tcPr>
          <w:p w14:paraId="2DFAA26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-25.58**</w:t>
            </w:r>
          </w:p>
        </w:tc>
      </w:tr>
      <w:tr w:rsidR="0064611C" w:rsidRPr="00F14751" w14:paraId="06C52CC7" w14:textId="77777777" w:rsidTr="006B126F">
        <w:trPr>
          <w:jc w:val="center"/>
        </w:trPr>
        <w:tc>
          <w:tcPr>
            <w:tcW w:w="2313" w:type="dxa"/>
            <w:tcBorders>
              <w:top w:val="nil"/>
              <w:left w:val="nil"/>
              <w:bottom w:val="nil"/>
              <w:right w:val="nil"/>
            </w:tcBorders>
            <w:vAlign w:val="center"/>
          </w:tcPr>
          <w:p w14:paraId="3E7E905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1873F66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(6.827)</w:t>
            </w:r>
          </w:p>
        </w:tc>
        <w:tc>
          <w:tcPr>
            <w:tcW w:w="1382" w:type="dxa"/>
            <w:tcBorders>
              <w:top w:val="nil"/>
              <w:left w:val="nil"/>
              <w:bottom w:val="nil"/>
              <w:right w:val="nil"/>
            </w:tcBorders>
            <w:vAlign w:val="center"/>
          </w:tcPr>
          <w:p w14:paraId="33BFCE7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(2.684)</w:t>
            </w:r>
          </w:p>
        </w:tc>
        <w:tc>
          <w:tcPr>
            <w:tcW w:w="1382" w:type="dxa"/>
            <w:tcBorders>
              <w:top w:val="nil"/>
              <w:left w:val="nil"/>
              <w:bottom w:val="nil"/>
              <w:right w:val="nil"/>
            </w:tcBorders>
            <w:vAlign w:val="center"/>
          </w:tcPr>
          <w:p w14:paraId="606176C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(2.304)</w:t>
            </w:r>
          </w:p>
        </w:tc>
        <w:tc>
          <w:tcPr>
            <w:tcW w:w="1382" w:type="dxa"/>
            <w:tcBorders>
              <w:top w:val="nil"/>
              <w:left w:val="nil"/>
              <w:bottom w:val="nil"/>
              <w:right w:val="nil"/>
            </w:tcBorders>
            <w:vAlign w:val="center"/>
          </w:tcPr>
          <w:p w14:paraId="1616F40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(1.103)</w:t>
            </w:r>
          </w:p>
        </w:tc>
        <w:tc>
          <w:tcPr>
            <w:tcW w:w="1382" w:type="dxa"/>
            <w:tcBorders>
              <w:top w:val="nil"/>
              <w:left w:val="nil"/>
              <w:bottom w:val="nil"/>
              <w:right w:val="nil"/>
            </w:tcBorders>
            <w:vAlign w:val="center"/>
          </w:tcPr>
          <w:p w14:paraId="099BB54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(42.52)</w:t>
            </w:r>
          </w:p>
        </w:tc>
        <w:tc>
          <w:tcPr>
            <w:tcW w:w="1382" w:type="dxa"/>
            <w:tcBorders>
              <w:top w:val="nil"/>
              <w:left w:val="nil"/>
              <w:bottom w:val="nil"/>
              <w:right w:val="nil"/>
            </w:tcBorders>
            <w:vAlign w:val="center"/>
          </w:tcPr>
          <w:p w14:paraId="3586931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(7.529)</w:t>
            </w:r>
          </w:p>
        </w:tc>
      </w:tr>
      <w:tr w:rsidR="0064611C" w:rsidRPr="00F14751" w14:paraId="08C3A7F5" w14:textId="77777777" w:rsidTr="006B126F">
        <w:trPr>
          <w:jc w:val="center"/>
        </w:trPr>
        <w:tc>
          <w:tcPr>
            <w:tcW w:w="2313" w:type="dxa"/>
            <w:tcBorders>
              <w:top w:val="nil"/>
              <w:left w:val="nil"/>
              <w:bottom w:val="nil"/>
              <w:right w:val="nil"/>
            </w:tcBorders>
            <w:vAlign w:val="center"/>
          </w:tcPr>
          <w:p w14:paraId="55537ED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UrbanPopgrowth</w:t>
            </w:r>
            <w:proofErr w:type="spellEnd"/>
          </w:p>
        </w:tc>
        <w:tc>
          <w:tcPr>
            <w:tcW w:w="1382" w:type="dxa"/>
            <w:tcBorders>
              <w:top w:val="nil"/>
              <w:left w:val="nil"/>
              <w:bottom w:val="nil"/>
              <w:right w:val="nil"/>
            </w:tcBorders>
            <w:vAlign w:val="center"/>
          </w:tcPr>
          <w:p w14:paraId="7F36194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1.360**</w:t>
            </w:r>
          </w:p>
        </w:tc>
        <w:tc>
          <w:tcPr>
            <w:tcW w:w="1382" w:type="dxa"/>
            <w:tcBorders>
              <w:top w:val="nil"/>
              <w:left w:val="nil"/>
              <w:bottom w:val="nil"/>
              <w:right w:val="nil"/>
            </w:tcBorders>
            <w:vAlign w:val="center"/>
          </w:tcPr>
          <w:p w14:paraId="5974BF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1.188***</w:t>
            </w:r>
          </w:p>
        </w:tc>
        <w:tc>
          <w:tcPr>
            <w:tcW w:w="1382" w:type="dxa"/>
            <w:tcBorders>
              <w:top w:val="nil"/>
              <w:left w:val="nil"/>
              <w:bottom w:val="nil"/>
              <w:right w:val="nil"/>
            </w:tcBorders>
            <w:vAlign w:val="center"/>
          </w:tcPr>
          <w:p w14:paraId="6EEF74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0.908***</w:t>
            </w:r>
          </w:p>
        </w:tc>
        <w:tc>
          <w:tcPr>
            <w:tcW w:w="1382" w:type="dxa"/>
            <w:tcBorders>
              <w:top w:val="nil"/>
              <w:left w:val="nil"/>
              <w:bottom w:val="nil"/>
              <w:right w:val="nil"/>
            </w:tcBorders>
            <w:vAlign w:val="center"/>
          </w:tcPr>
          <w:p w14:paraId="735C73E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0.652***</w:t>
            </w:r>
          </w:p>
        </w:tc>
        <w:tc>
          <w:tcPr>
            <w:tcW w:w="1382" w:type="dxa"/>
            <w:tcBorders>
              <w:top w:val="nil"/>
              <w:left w:val="nil"/>
              <w:bottom w:val="nil"/>
              <w:right w:val="nil"/>
            </w:tcBorders>
            <w:vAlign w:val="center"/>
          </w:tcPr>
          <w:p w14:paraId="3CD666F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16.45**</w:t>
            </w:r>
          </w:p>
        </w:tc>
        <w:tc>
          <w:tcPr>
            <w:tcW w:w="1382" w:type="dxa"/>
            <w:tcBorders>
              <w:top w:val="nil"/>
              <w:left w:val="nil"/>
              <w:bottom w:val="nil"/>
              <w:right w:val="nil"/>
            </w:tcBorders>
            <w:vAlign w:val="center"/>
          </w:tcPr>
          <w:p w14:paraId="0838DE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3.556**</w:t>
            </w:r>
          </w:p>
        </w:tc>
      </w:tr>
      <w:tr w:rsidR="0064611C" w:rsidRPr="00F14751" w14:paraId="34E0A932" w14:textId="77777777" w:rsidTr="006B126F">
        <w:trPr>
          <w:jc w:val="center"/>
        </w:trPr>
        <w:tc>
          <w:tcPr>
            <w:tcW w:w="2313" w:type="dxa"/>
            <w:tcBorders>
              <w:top w:val="nil"/>
              <w:left w:val="nil"/>
              <w:bottom w:val="nil"/>
              <w:right w:val="nil"/>
            </w:tcBorders>
            <w:vAlign w:val="center"/>
          </w:tcPr>
          <w:p w14:paraId="550F275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4164029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(0.429)</w:t>
            </w:r>
          </w:p>
        </w:tc>
        <w:tc>
          <w:tcPr>
            <w:tcW w:w="1382" w:type="dxa"/>
            <w:tcBorders>
              <w:top w:val="nil"/>
              <w:left w:val="nil"/>
              <w:bottom w:val="nil"/>
              <w:right w:val="nil"/>
            </w:tcBorders>
            <w:vAlign w:val="center"/>
          </w:tcPr>
          <w:p w14:paraId="34C3AB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(0.177)</w:t>
            </w:r>
          </w:p>
        </w:tc>
        <w:tc>
          <w:tcPr>
            <w:tcW w:w="1382" w:type="dxa"/>
            <w:tcBorders>
              <w:top w:val="nil"/>
              <w:left w:val="nil"/>
              <w:bottom w:val="nil"/>
              <w:right w:val="nil"/>
            </w:tcBorders>
            <w:vAlign w:val="center"/>
          </w:tcPr>
          <w:p w14:paraId="51944F4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(0.103)</w:t>
            </w:r>
          </w:p>
        </w:tc>
        <w:tc>
          <w:tcPr>
            <w:tcW w:w="1382" w:type="dxa"/>
            <w:tcBorders>
              <w:top w:val="nil"/>
              <w:left w:val="nil"/>
              <w:bottom w:val="nil"/>
              <w:right w:val="nil"/>
            </w:tcBorders>
            <w:vAlign w:val="center"/>
          </w:tcPr>
          <w:p w14:paraId="41B18EF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(0.126)</w:t>
            </w:r>
          </w:p>
        </w:tc>
        <w:tc>
          <w:tcPr>
            <w:tcW w:w="1382" w:type="dxa"/>
            <w:tcBorders>
              <w:top w:val="nil"/>
              <w:left w:val="nil"/>
              <w:bottom w:val="nil"/>
              <w:right w:val="nil"/>
            </w:tcBorders>
            <w:vAlign w:val="center"/>
          </w:tcPr>
          <w:p w14:paraId="53C55F9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(5.362)</w:t>
            </w:r>
          </w:p>
        </w:tc>
        <w:tc>
          <w:tcPr>
            <w:tcW w:w="1382" w:type="dxa"/>
            <w:tcBorders>
              <w:top w:val="nil"/>
              <w:left w:val="nil"/>
              <w:bottom w:val="nil"/>
              <w:right w:val="nil"/>
            </w:tcBorders>
            <w:vAlign w:val="center"/>
          </w:tcPr>
          <w:p w14:paraId="55F1B60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(1.219)</w:t>
            </w:r>
          </w:p>
        </w:tc>
      </w:tr>
      <w:tr w:rsidR="0064611C" w:rsidRPr="00F14751" w14:paraId="24539D78" w14:textId="77777777" w:rsidTr="006B126F">
        <w:trPr>
          <w:jc w:val="center"/>
        </w:trPr>
        <w:tc>
          <w:tcPr>
            <w:tcW w:w="2313" w:type="dxa"/>
            <w:tcBorders>
              <w:top w:val="nil"/>
              <w:left w:val="nil"/>
              <w:bottom w:val="nil"/>
              <w:right w:val="nil"/>
            </w:tcBorders>
            <w:vAlign w:val="center"/>
          </w:tcPr>
          <w:p w14:paraId="29C7B2AA"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Mercosur</w:t>
            </w:r>
          </w:p>
        </w:tc>
        <w:tc>
          <w:tcPr>
            <w:tcW w:w="1382" w:type="dxa"/>
            <w:tcBorders>
              <w:top w:val="nil"/>
              <w:left w:val="nil"/>
              <w:bottom w:val="nil"/>
              <w:right w:val="nil"/>
            </w:tcBorders>
            <w:vAlign w:val="center"/>
          </w:tcPr>
          <w:p w14:paraId="6D1DF2E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5.526**</w:t>
            </w:r>
          </w:p>
        </w:tc>
        <w:tc>
          <w:tcPr>
            <w:tcW w:w="1382" w:type="dxa"/>
            <w:tcBorders>
              <w:top w:val="nil"/>
              <w:left w:val="nil"/>
              <w:bottom w:val="nil"/>
              <w:right w:val="nil"/>
            </w:tcBorders>
            <w:vAlign w:val="center"/>
          </w:tcPr>
          <w:p w14:paraId="30FB9AC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4.602*</w:t>
            </w:r>
          </w:p>
        </w:tc>
        <w:tc>
          <w:tcPr>
            <w:tcW w:w="1382" w:type="dxa"/>
            <w:tcBorders>
              <w:top w:val="nil"/>
              <w:left w:val="nil"/>
              <w:bottom w:val="nil"/>
              <w:right w:val="nil"/>
            </w:tcBorders>
            <w:vAlign w:val="center"/>
          </w:tcPr>
          <w:p w14:paraId="3F6C78B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4.098**</w:t>
            </w:r>
          </w:p>
        </w:tc>
        <w:tc>
          <w:tcPr>
            <w:tcW w:w="1382" w:type="dxa"/>
            <w:tcBorders>
              <w:top w:val="nil"/>
              <w:left w:val="nil"/>
              <w:bottom w:val="nil"/>
              <w:right w:val="nil"/>
            </w:tcBorders>
            <w:vAlign w:val="center"/>
          </w:tcPr>
          <w:p w14:paraId="3F5FCA7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3.623**</w:t>
            </w:r>
          </w:p>
        </w:tc>
        <w:tc>
          <w:tcPr>
            <w:tcW w:w="1382" w:type="dxa"/>
            <w:tcBorders>
              <w:top w:val="nil"/>
              <w:left w:val="nil"/>
              <w:bottom w:val="nil"/>
              <w:right w:val="nil"/>
            </w:tcBorders>
            <w:vAlign w:val="center"/>
          </w:tcPr>
          <w:p w14:paraId="58E703B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82.81**</w:t>
            </w:r>
          </w:p>
        </w:tc>
        <w:tc>
          <w:tcPr>
            <w:tcW w:w="1382" w:type="dxa"/>
            <w:tcBorders>
              <w:top w:val="nil"/>
              <w:left w:val="nil"/>
              <w:bottom w:val="nil"/>
              <w:right w:val="nil"/>
            </w:tcBorders>
            <w:vAlign w:val="center"/>
          </w:tcPr>
          <w:p w14:paraId="318708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42.61***</w:t>
            </w:r>
          </w:p>
        </w:tc>
      </w:tr>
      <w:tr w:rsidR="0064611C" w:rsidRPr="00F14751" w14:paraId="67997E20" w14:textId="77777777" w:rsidTr="006B126F">
        <w:trPr>
          <w:jc w:val="center"/>
        </w:trPr>
        <w:tc>
          <w:tcPr>
            <w:tcW w:w="2313" w:type="dxa"/>
            <w:tcBorders>
              <w:top w:val="nil"/>
              <w:left w:val="nil"/>
              <w:bottom w:val="nil"/>
              <w:right w:val="nil"/>
            </w:tcBorders>
            <w:vAlign w:val="center"/>
          </w:tcPr>
          <w:p w14:paraId="36CCDCD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6C41BCB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(1.858)</w:t>
            </w:r>
          </w:p>
        </w:tc>
        <w:tc>
          <w:tcPr>
            <w:tcW w:w="1382" w:type="dxa"/>
            <w:tcBorders>
              <w:top w:val="nil"/>
              <w:left w:val="nil"/>
              <w:bottom w:val="nil"/>
              <w:right w:val="nil"/>
            </w:tcBorders>
            <w:vAlign w:val="center"/>
          </w:tcPr>
          <w:p w14:paraId="30F1755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(1.802)</w:t>
            </w:r>
          </w:p>
        </w:tc>
        <w:tc>
          <w:tcPr>
            <w:tcW w:w="1382" w:type="dxa"/>
            <w:tcBorders>
              <w:top w:val="nil"/>
              <w:left w:val="nil"/>
              <w:bottom w:val="nil"/>
              <w:right w:val="nil"/>
            </w:tcBorders>
            <w:vAlign w:val="center"/>
          </w:tcPr>
          <w:p w14:paraId="3A2EB78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(1.241)</w:t>
            </w:r>
          </w:p>
        </w:tc>
        <w:tc>
          <w:tcPr>
            <w:tcW w:w="1382" w:type="dxa"/>
            <w:tcBorders>
              <w:top w:val="nil"/>
              <w:left w:val="nil"/>
              <w:bottom w:val="nil"/>
              <w:right w:val="nil"/>
            </w:tcBorders>
            <w:vAlign w:val="center"/>
          </w:tcPr>
          <w:p w14:paraId="2D42E59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(1.029)</w:t>
            </w:r>
          </w:p>
        </w:tc>
        <w:tc>
          <w:tcPr>
            <w:tcW w:w="1382" w:type="dxa"/>
            <w:tcBorders>
              <w:top w:val="nil"/>
              <w:left w:val="nil"/>
              <w:bottom w:val="nil"/>
              <w:right w:val="nil"/>
            </w:tcBorders>
            <w:vAlign w:val="center"/>
          </w:tcPr>
          <w:p w14:paraId="7A6DE8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(22.66)</w:t>
            </w:r>
          </w:p>
        </w:tc>
        <w:tc>
          <w:tcPr>
            <w:tcW w:w="1382" w:type="dxa"/>
            <w:tcBorders>
              <w:top w:val="nil"/>
              <w:left w:val="nil"/>
              <w:bottom w:val="nil"/>
              <w:right w:val="nil"/>
            </w:tcBorders>
            <w:vAlign w:val="center"/>
          </w:tcPr>
          <w:p w14:paraId="65862DD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(6.536)</w:t>
            </w:r>
          </w:p>
        </w:tc>
      </w:tr>
      <w:tr w:rsidR="0064611C" w:rsidRPr="00F14751" w14:paraId="0007D0F7" w14:textId="77777777" w:rsidTr="006B126F">
        <w:trPr>
          <w:jc w:val="center"/>
        </w:trPr>
        <w:tc>
          <w:tcPr>
            <w:tcW w:w="2313" w:type="dxa"/>
            <w:tcBorders>
              <w:top w:val="nil"/>
              <w:left w:val="nil"/>
              <w:bottom w:val="nil"/>
              <w:right w:val="nil"/>
            </w:tcBorders>
            <w:vAlign w:val="center"/>
          </w:tcPr>
          <w:p w14:paraId="0688767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roofErr w:type="spellStart"/>
            <w:r w:rsidRPr="00F14751">
              <w:rPr>
                <w:rFonts w:ascii="Times New Roman" w:hAnsi="Times New Roman" w:cs="Times New Roman"/>
                <w:sz w:val="24"/>
                <w:szCs w:val="24"/>
              </w:rPr>
              <w:t>Unasur</w:t>
            </w:r>
            <w:proofErr w:type="spellEnd"/>
          </w:p>
        </w:tc>
        <w:tc>
          <w:tcPr>
            <w:tcW w:w="1382" w:type="dxa"/>
            <w:tcBorders>
              <w:top w:val="nil"/>
              <w:left w:val="nil"/>
              <w:bottom w:val="nil"/>
              <w:right w:val="nil"/>
            </w:tcBorders>
            <w:vAlign w:val="center"/>
          </w:tcPr>
          <w:p w14:paraId="3C3612E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3.266</w:t>
            </w:r>
          </w:p>
        </w:tc>
        <w:tc>
          <w:tcPr>
            <w:tcW w:w="1382" w:type="dxa"/>
            <w:tcBorders>
              <w:top w:val="nil"/>
              <w:left w:val="nil"/>
              <w:bottom w:val="nil"/>
              <w:right w:val="nil"/>
            </w:tcBorders>
            <w:vAlign w:val="center"/>
          </w:tcPr>
          <w:p w14:paraId="017F963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1.648*</w:t>
            </w:r>
          </w:p>
        </w:tc>
        <w:tc>
          <w:tcPr>
            <w:tcW w:w="1382" w:type="dxa"/>
            <w:tcBorders>
              <w:top w:val="nil"/>
              <w:left w:val="nil"/>
              <w:bottom w:val="nil"/>
              <w:right w:val="nil"/>
            </w:tcBorders>
            <w:vAlign w:val="center"/>
          </w:tcPr>
          <w:p w14:paraId="16B35A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1.305*</w:t>
            </w:r>
          </w:p>
        </w:tc>
        <w:tc>
          <w:tcPr>
            <w:tcW w:w="1382" w:type="dxa"/>
            <w:tcBorders>
              <w:top w:val="nil"/>
              <w:left w:val="nil"/>
              <w:bottom w:val="nil"/>
              <w:right w:val="nil"/>
            </w:tcBorders>
            <w:vAlign w:val="center"/>
          </w:tcPr>
          <w:p w14:paraId="79AC971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0.549*</w:t>
            </w:r>
          </w:p>
        </w:tc>
        <w:tc>
          <w:tcPr>
            <w:tcW w:w="1382" w:type="dxa"/>
            <w:tcBorders>
              <w:top w:val="nil"/>
              <w:left w:val="nil"/>
              <w:bottom w:val="nil"/>
              <w:right w:val="nil"/>
            </w:tcBorders>
            <w:vAlign w:val="center"/>
          </w:tcPr>
          <w:p w14:paraId="6D2D4CE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31.31**</w:t>
            </w:r>
          </w:p>
        </w:tc>
        <w:tc>
          <w:tcPr>
            <w:tcW w:w="1382" w:type="dxa"/>
            <w:tcBorders>
              <w:top w:val="nil"/>
              <w:left w:val="nil"/>
              <w:bottom w:val="nil"/>
              <w:right w:val="nil"/>
            </w:tcBorders>
            <w:vAlign w:val="center"/>
          </w:tcPr>
          <w:p w14:paraId="7DECC9D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5.330*</w:t>
            </w:r>
          </w:p>
        </w:tc>
      </w:tr>
      <w:tr w:rsidR="0064611C" w:rsidRPr="00F14751" w14:paraId="6F743957" w14:textId="77777777" w:rsidTr="006B126F">
        <w:trPr>
          <w:jc w:val="center"/>
        </w:trPr>
        <w:tc>
          <w:tcPr>
            <w:tcW w:w="2313" w:type="dxa"/>
            <w:tcBorders>
              <w:top w:val="nil"/>
              <w:left w:val="nil"/>
              <w:bottom w:val="nil"/>
              <w:right w:val="nil"/>
            </w:tcBorders>
            <w:vAlign w:val="center"/>
          </w:tcPr>
          <w:p w14:paraId="46E84C7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58C9C4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(1.592)</w:t>
            </w:r>
          </w:p>
        </w:tc>
        <w:tc>
          <w:tcPr>
            <w:tcW w:w="1382" w:type="dxa"/>
            <w:tcBorders>
              <w:top w:val="nil"/>
              <w:left w:val="nil"/>
              <w:bottom w:val="nil"/>
              <w:right w:val="nil"/>
            </w:tcBorders>
            <w:vAlign w:val="center"/>
          </w:tcPr>
          <w:p w14:paraId="4F92987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(0.674)</w:t>
            </w:r>
          </w:p>
        </w:tc>
        <w:tc>
          <w:tcPr>
            <w:tcW w:w="1382" w:type="dxa"/>
            <w:tcBorders>
              <w:top w:val="nil"/>
              <w:left w:val="nil"/>
              <w:bottom w:val="nil"/>
              <w:right w:val="nil"/>
            </w:tcBorders>
            <w:vAlign w:val="center"/>
          </w:tcPr>
          <w:p w14:paraId="45F01E4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(0.510)</w:t>
            </w:r>
          </w:p>
        </w:tc>
        <w:tc>
          <w:tcPr>
            <w:tcW w:w="1382" w:type="dxa"/>
            <w:tcBorders>
              <w:top w:val="nil"/>
              <w:left w:val="nil"/>
              <w:bottom w:val="nil"/>
              <w:right w:val="nil"/>
            </w:tcBorders>
            <w:vAlign w:val="center"/>
          </w:tcPr>
          <w:p w14:paraId="27C6EFE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(0.248)</w:t>
            </w:r>
          </w:p>
        </w:tc>
        <w:tc>
          <w:tcPr>
            <w:tcW w:w="1382" w:type="dxa"/>
            <w:tcBorders>
              <w:top w:val="nil"/>
              <w:left w:val="nil"/>
              <w:bottom w:val="nil"/>
              <w:right w:val="nil"/>
            </w:tcBorders>
            <w:vAlign w:val="center"/>
          </w:tcPr>
          <w:p w14:paraId="15EE1D6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(11.25)</w:t>
            </w:r>
          </w:p>
        </w:tc>
        <w:tc>
          <w:tcPr>
            <w:tcW w:w="1382" w:type="dxa"/>
            <w:tcBorders>
              <w:top w:val="nil"/>
              <w:left w:val="nil"/>
              <w:bottom w:val="nil"/>
              <w:right w:val="nil"/>
            </w:tcBorders>
            <w:vAlign w:val="center"/>
          </w:tcPr>
          <w:p w14:paraId="6AEBB46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(2.186)</w:t>
            </w:r>
          </w:p>
        </w:tc>
      </w:tr>
      <w:tr w:rsidR="0064611C" w:rsidRPr="00F14751" w14:paraId="744181D8" w14:textId="77777777" w:rsidTr="006B126F">
        <w:trPr>
          <w:jc w:val="center"/>
        </w:trPr>
        <w:tc>
          <w:tcPr>
            <w:tcW w:w="2313" w:type="dxa"/>
            <w:tcBorders>
              <w:top w:val="nil"/>
              <w:left w:val="nil"/>
              <w:bottom w:val="nil"/>
              <w:right w:val="nil"/>
            </w:tcBorders>
            <w:vAlign w:val="center"/>
          </w:tcPr>
          <w:p w14:paraId="58C8B6B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Gini</w:t>
            </w:r>
          </w:p>
        </w:tc>
        <w:tc>
          <w:tcPr>
            <w:tcW w:w="1382" w:type="dxa"/>
            <w:tcBorders>
              <w:top w:val="nil"/>
              <w:left w:val="nil"/>
              <w:bottom w:val="nil"/>
              <w:right w:val="nil"/>
            </w:tcBorders>
            <w:vAlign w:val="center"/>
          </w:tcPr>
          <w:p w14:paraId="27166AE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0.617***</w:t>
            </w:r>
          </w:p>
        </w:tc>
        <w:tc>
          <w:tcPr>
            <w:tcW w:w="1382" w:type="dxa"/>
            <w:tcBorders>
              <w:top w:val="nil"/>
              <w:left w:val="nil"/>
              <w:bottom w:val="nil"/>
              <w:right w:val="nil"/>
            </w:tcBorders>
            <w:vAlign w:val="center"/>
          </w:tcPr>
          <w:p w14:paraId="2210641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0.332**</w:t>
            </w:r>
          </w:p>
        </w:tc>
        <w:tc>
          <w:tcPr>
            <w:tcW w:w="1382" w:type="dxa"/>
            <w:tcBorders>
              <w:top w:val="nil"/>
              <w:left w:val="nil"/>
              <w:bottom w:val="nil"/>
              <w:right w:val="nil"/>
            </w:tcBorders>
            <w:vAlign w:val="center"/>
          </w:tcPr>
          <w:p w14:paraId="69DC41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0.289***</w:t>
            </w:r>
          </w:p>
        </w:tc>
        <w:tc>
          <w:tcPr>
            <w:tcW w:w="1382" w:type="dxa"/>
            <w:tcBorders>
              <w:top w:val="nil"/>
              <w:left w:val="nil"/>
              <w:bottom w:val="nil"/>
              <w:right w:val="nil"/>
            </w:tcBorders>
            <w:vAlign w:val="center"/>
          </w:tcPr>
          <w:p w14:paraId="41CED30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0.165*</w:t>
            </w:r>
          </w:p>
        </w:tc>
        <w:tc>
          <w:tcPr>
            <w:tcW w:w="1382" w:type="dxa"/>
            <w:tcBorders>
              <w:top w:val="nil"/>
              <w:left w:val="nil"/>
              <w:bottom w:val="nil"/>
              <w:right w:val="nil"/>
            </w:tcBorders>
            <w:vAlign w:val="center"/>
          </w:tcPr>
          <w:p w14:paraId="36833C1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5.439**</w:t>
            </w:r>
          </w:p>
        </w:tc>
        <w:tc>
          <w:tcPr>
            <w:tcW w:w="1382" w:type="dxa"/>
            <w:tcBorders>
              <w:top w:val="nil"/>
              <w:left w:val="nil"/>
              <w:bottom w:val="nil"/>
              <w:right w:val="nil"/>
            </w:tcBorders>
            <w:vAlign w:val="center"/>
          </w:tcPr>
          <w:p w14:paraId="63A60CA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1.154**</w:t>
            </w:r>
          </w:p>
        </w:tc>
      </w:tr>
      <w:tr w:rsidR="0064611C" w:rsidRPr="00F14751" w14:paraId="3C52185B" w14:textId="77777777" w:rsidTr="006B126F">
        <w:trPr>
          <w:jc w:val="center"/>
        </w:trPr>
        <w:tc>
          <w:tcPr>
            <w:tcW w:w="2313" w:type="dxa"/>
            <w:tcBorders>
              <w:top w:val="nil"/>
              <w:left w:val="nil"/>
              <w:bottom w:val="nil"/>
              <w:right w:val="nil"/>
            </w:tcBorders>
            <w:vAlign w:val="center"/>
          </w:tcPr>
          <w:p w14:paraId="101F275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16360A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(0.119)</w:t>
            </w:r>
          </w:p>
        </w:tc>
        <w:tc>
          <w:tcPr>
            <w:tcW w:w="1382" w:type="dxa"/>
            <w:tcBorders>
              <w:top w:val="nil"/>
              <w:left w:val="nil"/>
              <w:bottom w:val="nil"/>
              <w:right w:val="nil"/>
            </w:tcBorders>
            <w:vAlign w:val="center"/>
          </w:tcPr>
          <w:p w14:paraId="32324A8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(0.0868)</w:t>
            </w:r>
          </w:p>
        </w:tc>
        <w:tc>
          <w:tcPr>
            <w:tcW w:w="1382" w:type="dxa"/>
            <w:tcBorders>
              <w:top w:val="nil"/>
              <w:left w:val="nil"/>
              <w:bottom w:val="nil"/>
              <w:right w:val="nil"/>
            </w:tcBorders>
            <w:vAlign w:val="center"/>
          </w:tcPr>
          <w:p w14:paraId="4E62DF0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(0.0562)</w:t>
            </w:r>
          </w:p>
        </w:tc>
        <w:tc>
          <w:tcPr>
            <w:tcW w:w="1382" w:type="dxa"/>
            <w:tcBorders>
              <w:top w:val="nil"/>
              <w:left w:val="nil"/>
              <w:bottom w:val="nil"/>
              <w:right w:val="nil"/>
            </w:tcBorders>
            <w:vAlign w:val="center"/>
          </w:tcPr>
          <w:p w14:paraId="42123D1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(0.0664)</w:t>
            </w:r>
          </w:p>
        </w:tc>
        <w:tc>
          <w:tcPr>
            <w:tcW w:w="1382" w:type="dxa"/>
            <w:tcBorders>
              <w:top w:val="nil"/>
              <w:left w:val="nil"/>
              <w:bottom w:val="nil"/>
              <w:right w:val="nil"/>
            </w:tcBorders>
            <w:vAlign w:val="center"/>
          </w:tcPr>
          <w:p w14:paraId="50BFAF9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(1.386)</w:t>
            </w:r>
          </w:p>
        </w:tc>
        <w:tc>
          <w:tcPr>
            <w:tcW w:w="1382" w:type="dxa"/>
            <w:tcBorders>
              <w:top w:val="nil"/>
              <w:left w:val="nil"/>
              <w:bottom w:val="nil"/>
              <w:right w:val="nil"/>
            </w:tcBorders>
            <w:vAlign w:val="center"/>
          </w:tcPr>
          <w:p w14:paraId="64C032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(0.295)</w:t>
            </w:r>
          </w:p>
        </w:tc>
      </w:tr>
      <w:tr w:rsidR="0064611C" w:rsidRPr="00F14751" w14:paraId="5BBFAC8C" w14:textId="77777777" w:rsidTr="006B126F">
        <w:trPr>
          <w:jc w:val="center"/>
        </w:trPr>
        <w:tc>
          <w:tcPr>
            <w:tcW w:w="2313" w:type="dxa"/>
            <w:tcBorders>
              <w:top w:val="nil"/>
              <w:left w:val="nil"/>
              <w:bottom w:val="nil"/>
              <w:right w:val="nil"/>
            </w:tcBorders>
            <w:vAlign w:val="center"/>
          </w:tcPr>
          <w:p w14:paraId="347D286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Constant</w:t>
            </w:r>
          </w:p>
        </w:tc>
        <w:tc>
          <w:tcPr>
            <w:tcW w:w="1382" w:type="dxa"/>
            <w:tcBorders>
              <w:top w:val="nil"/>
              <w:left w:val="nil"/>
              <w:bottom w:val="nil"/>
              <w:right w:val="nil"/>
            </w:tcBorders>
            <w:vAlign w:val="center"/>
          </w:tcPr>
          <w:p w14:paraId="408322D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-41.39</w:t>
            </w:r>
          </w:p>
        </w:tc>
        <w:tc>
          <w:tcPr>
            <w:tcW w:w="1382" w:type="dxa"/>
            <w:tcBorders>
              <w:top w:val="nil"/>
              <w:left w:val="nil"/>
              <w:bottom w:val="nil"/>
              <w:right w:val="nil"/>
            </w:tcBorders>
            <w:vAlign w:val="center"/>
          </w:tcPr>
          <w:p w14:paraId="01DBCFB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-16.53</w:t>
            </w:r>
          </w:p>
        </w:tc>
        <w:tc>
          <w:tcPr>
            <w:tcW w:w="1382" w:type="dxa"/>
            <w:tcBorders>
              <w:top w:val="nil"/>
              <w:left w:val="nil"/>
              <w:bottom w:val="nil"/>
              <w:right w:val="nil"/>
            </w:tcBorders>
            <w:vAlign w:val="center"/>
          </w:tcPr>
          <w:p w14:paraId="68BCA2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-11.39</w:t>
            </w:r>
          </w:p>
        </w:tc>
        <w:tc>
          <w:tcPr>
            <w:tcW w:w="1382" w:type="dxa"/>
            <w:tcBorders>
              <w:top w:val="nil"/>
              <w:left w:val="nil"/>
              <w:bottom w:val="nil"/>
              <w:right w:val="nil"/>
            </w:tcBorders>
            <w:vAlign w:val="center"/>
          </w:tcPr>
          <w:p w14:paraId="27A889D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3.180</w:t>
            </w:r>
          </w:p>
        </w:tc>
        <w:tc>
          <w:tcPr>
            <w:tcW w:w="1382" w:type="dxa"/>
            <w:tcBorders>
              <w:top w:val="nil"/>
              <w:left w:val="nil"/>
              <w:bottom w:val="nil"/>
              <w:right w:val="nil"/>
            </w:tcBorders>
            <w:vAlign w:val="center"/>
          </w:tcPr>
          <w:p w14:paraId="07BD47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-285.4</w:t>
            </w:r>
          </w:p>
        </w:tc>
        <w:tc>
          <w:tcPr>
            <w:tcW w:w="1382" w:type="dxa"/>
            <w:tcBorders>
              <w:top w:val="nil"/>
              <w:left w:val="nil"/>
              <w:bottom w:val="nil"/>
              <w:right w:val="nil"/>
            </w:tcBorders>
            <w:vAlign w:val="center"/>
          </w:tcPr>
          <w:p w14:paraId="036F313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110.7</w:t>
            </w:r>
          </w:p>
        </w:tc>
      </w:tr>
      <w:tr w:rsidR="0064611C" w:rsidRPr="00F14751" w14:paraId="7B8D2436" w14:textId="77777777" w:rsidTr="006B126F">
        <w:trPr>
          <w:jc w:val="center"/>
        </w:trPr>
        <w:tc>
          <w:tcPr>
            <w:tcW w:w="2313" w:type="dxa"/>
            <w:tcBorders>
              <w:top w:val="nil"/>
              <w:left w:val="nil"/>
              <w:bottom w:val="nil"/>
              <w:right w:val="nil"/>
            </w:tcBorders>
            <w:vAlign w:val="center"/>
          </w:tcPr>
          <w:p w14:paraId="634B5F1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5D8B9BD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(70.11)</w:t>
            </w:r>
          </w:p>
        </w:tc>
        <w:tc>
          <w:tcPr>
            <w:tcW w:w="1382" w:type="dxa"/>
            <w:tcBorders>
              <w:top w:val="nil"/>
              <w:left w:val="nil"/>
              <w:bottom w:val="nil"/>
              <w:right w:val="nil"/>
            </w:tcBorders>
            <w:vAlign w:val="center"/>
          </w:tcPr>
          <w:p w14:paraId="4FE77B6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(47.44)</w:t>
            </w:r>
          </w:p>
        </w:tc>
        <w:tc>
          <w:tcPr>
            <w:tcW w:w="1382" w:type="dxa"/>
            <w:tcBorders>
              <w:top w:val="nil"/>
              <w:left w:val="nil"/>
              <w:bottom w:val="nil"/>
              <w:right w:val="nil"/>
            </w:tcBorders>
            <w:vAlign w:val="center"/>
          </w:tcPr>
          <w:p w14:paraId="7E76CE0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(34.81)</w:t>
            </w:r>
          </w:p>
        </w:tc>
        <w:tc>
          <w:tcPr>
            <w:tcW w:w="1382" w:type="dxa"/>
            <w:tcBorders>
              <w:top w:val="nil"/>
              <w:left w:val="nil"/>
              <w:bottom w:val="nil"/>
              <w:right w:val="nil"/>
            </w:tcBorders>
            <w:vAlign w:val="center"/>
          </w:tcPr>
          <w:p w14:paraId="2ECABCA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(21.65)</w:t>
            </w:r>
          </w:p>
        </w:tc>
        <w:tc>
          <w:tcPr>
            <w:tcW w:w="1382" w:type="dxa"/>
            <w:tcBorders>
              <w:top w:val="nil"/>
              <w:left w:val="nil"/>
              <w:bottom w:val="nil"/>
              <w:right w:val="nil"/>
            </w:tcBorders>
            <w:vAlign w:val="center"/>
          </w:tcPr>
          <w:p w14:paraId="32B54CD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(702.1)</w:t>
            </w:r>
          </w:p>
        </w:tc>
        <w:tc>
          <w:tcPr>
            <w:tcW w:w="1382" w:type="dxa"/>
            <w:tcBorders>
              <w:top w:val="nil"/>
              <w:left w:val="nil"/>
              <w:bottom w:val="nil"/>
              <w:right w:val="nil"/>
            </w:tcBorders>
            <w:vAlign w:val="center"/>
          </w:tcPr>
          <w:p w14:paraId="7051574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(191.9)</w:t>
            </w:r>
          </w:p>
        </w:tc>
      </w:tr>
      <w:tr w:rsidR="0064611C" w:rsidRPr="00F14751" w14:paraId="545B4184" w14:textId="77777777" w:rsidTr="006B126F">
        <w:trPr>
          <w:jc w:val="center"/>
        </w:trPr>
        <w:tc>
          <w:tcPr>
            <w:tcW w:w="2313" w:type="dxa"/>
            <w:tcBorders>
              <w:top w:val="nil"/>
              <w:left w:val="nil"/>
              <w:bottom w:val="nil"/>
              <w:right w:val="nil"/>
            </w:tcBorders>
            <w:vAlign w:val="center"/>
          </w:tcPr>
          <w:p w14:paraId="70B3367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vAlign w:val="center"/>
          </w:tcPr>
          <w:p w14:paraId="263D16A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109B9B2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3C9CED4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6B46C3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14CC02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tcBorders>
              <w:top w:val="nil"/>
              <w:left w:val="nil"/>
              <w:bottom w:val="nil"/>
              <w:right w:val="nil"/>
            </w:tcBorders>
            <w:vAlign w:val="center"/>
          </w:tcPr>
          <w:p w14:paraId="7190A01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p>
        </w:tc>
      </w:tr>
      <w:tr w:rsidR="0064611C" w:rsidRPr="00F14751" w14:paraId="671A5E06" w14:textId="77777777" w:rsidTr="006B126F">
        <w:trPr>
          <w:jc w:val="center"/>
        </w:trPr>
        <w:tc>
          <w:tcPr>
            <w:tcW w:w="2313" w:type="dxa"/>
            <w:tcBorders>
              <w:top w:val="nil"/>
              <w:left w:val="nil"/>
              <w:bottom w:val="nil"/>
              <w:right w:val="nil"/>
            </w:tcBorders>
            <w:vAlign w:val="center"/>
          </w:tcPr>
          <w:p w14:paraId="4BED3BC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Observations</w:t>
            </w:r>
          </w:p>
        </w:tc>
        <w:tc>
          <w:tcPr>
            <w:tcW w:w="1382" w:type="dxa"/>
            <w:tcBorders>
              <w:top w:val="nil"/>
              <w:left w:val="nil"/>
              <w:bottom w:val="nil"/>
              <w:right w:val="nil"/>
            </w:tcBorders>
            <w:vAlign w:val="center"/>
          </w:tcPr>
          <w:p w14:paraId="671BC89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w:t>
            </w:r>
          </w:p>
        </w:tc>
        <w:tc>
          <w:tcPr>
            <w:tcW w:w="1382" w:type="dxa"/>
            <w:tcBorders>
              <w:top w:val="nil"/>
              <w:left w:val="nil"/>
              <w:bottom w:val="nil"/>
              <w:right w:val="nil"/>
            </w:tcBorders>
            <w:vAlign w:val="center"/>
          </w:tcPr>
          <w:p w14:paraId="2FEB2DA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w:t>
            </w:r>
          </w:p>
        </w:tc>
        <w:tc>
          <w:tcPr>
            <w:tcW w:w="1382" w:type="dxa"/>
            <w:tcBorders>
              <w:top w:val="nil"/>
              <w:left w:val="nil"/>
              <w:bottom w:val="nil"/>
              <w:right w:val="nil"/>
            </w:tcBorders>
            <w:vAlign w:val="center"/>
          </w:tcPr>
          <w:p w14:paraId="6C42857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w:t>
            </w:r>
          </w:p>
        </w:tc>
        <w:tc>
          <w:tcPr>
            <w:tcW w:w="1382" w:type="dxa"/>
            <w:tcBorders>
              <w:top w:val="nil"/>
              <w:left w:val="nil"/>
              <w:bottom w:val="nil"/>
              <w:right w:val="nil"/>
            </w:tcBorders>
            <w:vAlign w:val="center"/>
          </w:tcPr>
          <w:p w14:paraId="4F0698A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w:t>
            </w:r>
          </w:p>
        </w:tc>
        <w:tc>
          <w:tcPr>
            <w:tcW w:w="1382" w:type="dxa"/>
            <w:tcBorders>
              <w:top w:val="nil"/>
              <w:left w:val="nil"/>
              <w:bottom w:val="nil"/>
              <w:right w:val="nil"/>
            </w:tcBorders>
            <w:vAlign w:val="center"/>
          </w:tcPr>
          <w:p w14:paraId="4B1BB6C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w:t>
            </w:r>
          </w:p>
        </w:tc>
        <w:tc>
          <w:tcPr>
            <w:tcW w:w="1382" w:type="dxa"/>
            <w:tcBorders>
              <w:top w:val="nil"/>
              <w:left w:val="nil"/>
              <w:bottom w:val="nil"/>
              <w:right w:val="nil"/>
            </w:tcBorders>
            <w:vAlign w:val="center"/>
          </w:tcPr>
          <w:p w14:paraId="013EF3C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75</w:t>
            </w:r>
          </w:p>
        </w:tc>
      </w:tr>
      <w:tr w:rsidR="0064611C" w:rsidRPr="00F14751" w14:paraId="5538E2C2" w14:textId="77777777" w:rsidTr="006B126F">
        <w:trPr>
          <w:jc w:val="center"/>
        </w:trPr>
        <w:tc>
          <w:tcPr>
            <w:tcW w:w="2313" w:type="dxa"/>
            <w:tcBorders>
              <w:top w:val="nil"/>
              <w:left w:val="nil"/>
              <w:bottom w:val="nil"/>
              <w:right w:val="nil"/>
            </w:tcBorders>
            <w:vAlign w:val="center"/>
          </w:tcPr>
          <w:p w14:paraId="7995F26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R-squared</w:t>
            </w:r>
          </w:p>
        </w:tc>
        <w:tc>
          <w:tcPr>
            <w:tcW w:w="1382" w:type="dxa"/>
            <w:tcBorders>
              <w:top w:val="nil"/>
              <w:left w:val="nil"/>
              <w:bottom w:val="nil"/>
              <w:right w:val="nil"/>
            </w:tcBorders>
            <w:vAlign w:val="center"/>
          </w:tcPr>
          <w:p w14:paraId="088075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0.861</w:t>
            </w:r>
          </w:p>
        </w:tc>
        <w:tc>
          <w:tcPr>
            <w:tcW w:w="1382" w:type="dxa"/>
            <w:tcBorders>
              <w:top w:val="nil"/>
              <w:left w:val="nil"/>
              <w:bottom w:val="nil"/>
              <w:right w:val="nil"/>
            </w:tcBorders>
            <w:vAlign w:val="center"/>
          </w:tcPr>
          <w:p w14:paraId="432CE3F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0.863</w:t>
            </w:r>
          </w:p>
        </w:tc>
        <w:tc>
          <w:tcPr>
            <w:tcW w:w="1382" w:type="dxa"/>
            <w:tcBorders>
              <w:top w:val="nil"/>
              <w:left w:val="nil"/>
              <w:bottom w:val="nil"/>
              <w:right w:val="nil"/>
            </w:tcBorders>
            <w:vAlign w:val="center"/>
          </w:tcPr>
          <w:p w14:paraId="2C329C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0.879</w:t>
            </w:r>
          </w:p>
        </w:tc>
        <w:tc>
          <w:tcPr>
            <w:tcW w:w="1382" w:type="dxa"/>
            <w:tcBorders>
              <w:top w:val="nil"/>
              <w:left w:val="nil"/>
              <w:bottom w:val="nil"/>
              <w:right w:val="nil"/>
            </w:tcBorders>
            <w:vAlign w:val="center"/>
          </w:tcPr>
          <w:p w14:paraId="2CA7DA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0.896</w:t>
            </w:r>
          </w:p>
        </w:tc>
        <w:tc>
          <w:tcPr>
            <w:tcW w:w="1382" w:type="dxa"/>
            <w:tcBorders>
              <w:top w:val="nil"/>
              <w:left w:val="nil"/>
              <w:bottom w:val="nil"/>
              <w:right w:val="nil"/>
            </w:tcBorders>
            <w:vAlign w:val="center"/>
          </w:tcPr>
          <w:p w14:paraId="3E7D6AA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0.852</w:t>
            </w:r>
          </w:p>
        </w:tc>
        <w:tc>
          <w:tcPr>
            <w:tcW w:w="1382" w:type="dxa"/>
            <w:tcBorders>
              <w:top w:val="nil"/>
              <w:left w:val="nil"/>
              <w:bottom w:val="nil"/>
              <w:right w:val="nil"/>
            </w:tcBorders>
            <w:vAlign w:val="center"/>
          </w:tcPr>
          <w:p w14:paraId="6C7164E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0.920</w:t>
            </w:r>
          </w:p>
        </w:tc>
      </w:tr>
      <w:tr w:rsidR="0064611C" w:rsidRPr="00F14751" w14:paraId="0789CD80" w14:textId="77777777" w:rsidTr="006B126F">
        <w:trPr>
          <w:jc w:val="center"/>
        </w:trPr>
        <w:tc>
          <w:tcPr>
            <w:tcW w:w="2313" w:type="dxa"/>
            <w:tcBorders>
              <w:top w:val="nil"/>
              <w:left w:val="nil"/>
              <w:bottom w:val="nil"/>
              <w:right w:val="nil"/>
            </w:tcBorders>
            <w:vAlign w:val="center"/>
          </w:tcPr>
          <w:p w14:paraId="02601B99" w14:textId="77777777" w:rsidR="0064611C" w:rsidRPr="00F14751" w:rsidRDefault="00D3672E"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Number of C</w:t>
            </w:r>
            <w:r w:rsidR="0064611C" w:rsidRPr="00F14751">
              <w:rPr>
                <w:rFonts w:ascii="Times New Roman" w:hAnsi="Times New Roman" w:cs="Times New Roman"/>
                <w:sz w:val="24"/>
                <w:szCs w:val="24"/>
              </w:rPr>
              <w:t>ountries</w:t>
            </w:r>
          </w:p>
        </w:tc>
        <w:tc>
          <w:tcPr>
            <w:tcW w:w="1382" w:type="dxa"/>
            <w:tcBorders>
              <w:top w:val="nil"/>
              <w:left w:val="nil"/>
              <w:bottom w:val="nil"/>
              <w:right w:val="nil"/>
            </w:tcBorders>
            <w:vAlign w:val="center"/>
          </w:tcPr>
          <w:p w14:paraId="3C0F7E5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82" w:type="dxa"/>
            <w:tcBorders>
              <w:top w:val="nil"/>
              <w:left w:val="nil"/>
              <w:bottom w:val="nil"/>
              <w:right w:val="nil"/>
            </w:tcBorders>
            <w:vAlign w:val="center"/>
          </w:tcPr>
          <w:p w14:paraId="396FC86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82" w:type="dxa"/>
            <w:tcBorders>
              <w:top w:val="nil"/>
              <w:left w:val="nil"/>
              <w:bottom w:val="nil"/>
              <w:right w:val="nil"/>
            </w:tcBorders>
            <w:vAlign w:val="center"/>
          </w:tcPr>
          <w:p w14:paraId="1068B3C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82" w:type="dxa"/>
            <w:tcBorders>
              <w:top w:val="nil"/>
              <w:left w:val="nil"/>
              <w:bottom w:val="nil"/>
              <w:right w:val="nil"/>
            </w:tcBorders>
            <w:vAlign w:val="center"/>
          </w:tcPr>
          <w:p w14:paraId="1BC572E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82" w:type="dxa"/>
            <w:tcBorders>
              <w:top w:val="nil"/>
              <w:left w:val="nil"/>
              <w:bottom w:val="nil"/>
              <w:right w:val="nil"/>
            </w:tcBorders>
            <w:vAlign w:val="center"/>
          </w:tcPr>
          <w:p w14:paraId="00D67F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c>
          <w:tcPr>
            <w:tcW w:w="1382" w:type="dxa"/>
            <w:tcBorders>
              <w:top w:val="nil"/>
              <w:left w:val="nil"/>
              <w:bottom w:val="nil"/>
              <w:right w:val="nil"/>
            </w:tcBorders>
            <w:vAlign w:val="center"/>
          </w:tcPr>
          <w:p w14:paraId="3FF3D04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5</w:t>
            </w:r>
          </w:p>
        </w:tc>
      </w:tr>
      <w:tr w:rsidR="0064611C" w:rsidRPr="00F14751" w14:paraId="686E0936" w14:textId="77777777" w:rsidTr="006B126F">
        <w:tblPrEx>
          <w:tblBorders>
            <w:bottom w:val="single" w:sz="6" w:space="0" w:color="auto"/>
          </w:tblBorders>
        </w:tblPrEx>
        <w:trPr>
          <w:jc w:val="center"/>
        </w:trPr>
        <w:tc>
          <w:tcPr>
            <w:tcW w:w="2313" w:type="dxa"/>
            <w:tcBorders>
              <w:top w:val="nil"/>
              <w:left w:val="nil"/>
              <w:bottom w:val="single" w:sz="6" w:space="0" w:color="auto"/>
              <w:right w:val="nil"/>
            </w:tcBorders>
            <w:vAlign w:val="center"/>
          </w:tcPr>
          <w:p w14:paraId="4C9D4BB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4"/>
                <w:szCs w:val="24"/>
              </w:rPr>
            </w:pPr>
            <w:r w:rsidRPr="00F14751">
              <w:rPr>
                <w:rFonts w:ascii="Times New Roman" w:hAnsi="Times New Roman" w:cs="Times New Roman"/>
                <w:sz w:val="24"/>
                <w:szCs w:val="24"/>
              </w:rPr>
              <w:t>Robust SE</w:t>
            </w:r>
          </w:p>
        </w:tc>
        <w:tc>
          <w:tcPr>
            <w:tcW w:w="1382" w:type="dxa"/>
            <w:tcBorders>
              <w:top w:val="nil"/>
              <w:left w:val="nil"/>
              <w:bottom w:val="single" w:sz="6" w:space="0" w:color="auto"/>
              <w:right w:val="nil"/>
            </w:tcBorders>
            <w:vAlign w:val="center"/>
          </w:tcPr>
          <w:p w14:paraId="496D94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82" w:type="dxa"/>
            <w:tcBorders>
              <w:top w:val="nil"/>
              <w:left w:val="nil"/>
              <w:bottom w:val="single" w:sz="6" w:space="0" w:color="auto"/>
              <w:right w:val="nil"/>
            </w:tcBorders>
            <w:vAlign w:val="center"/>
          </w:tcPr>
          <w:p w14:paraId="0BF52B7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82" w:type="dxa"/>
            <w:tcBorders>
              <w:top w:val="nil"/>
              <w:left w:val="nil"/>
              <w:bottom w:val="single" w:sz="6" w:space="0" w:color="auto"/>
              <w:right w:val="nil"/>
            </w:tcBorders>
            <w:vAlign w:val="center"/>
          </w:tcPr>
          <w:p w14:paraId="5791691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82" w:type="dxa"/>
            <w:tcBorders>
              <w:top w:val="nil"/>
              <w:left w:val="nil"/>
              <w:bottom w:val="single" w:sz="6" w:space="0" w:color="auto"/>
              <w:right w:val="nil"/>
            </w:tcBorders>
            <w:vAlign w:val="center"/>
          </w:tcPr>
          <w:p w14:paraId="007A8B8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82" w:type="dxa"/>
            <w:tcBorders>
              <w:top w:val="nil"/>
              <w:left w:val="nil"/>
              <w:bottom w:val="single" w:sz="6" w:space="0" w:color="auto"/>
              <w:right w:val="nil"/>
            </w:tcBorders>
            <w:vAlign w:val="center"/>
          </w:tcPr>
          <w:p w14:paraId="7847758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c>
          <w:tcPr>
            <w:tcW w:w="1382" w:type="dxa"/>
            <w:tcBorders>
              <w:top w:val="nil"/>
              <w:left w:val="nil"/>
              <w:bottom w:val="single" w:sz="6" w:space="0" w:color="auto"/>
              <w:right w:val="nil"/>
            </w:tcBorders>
            <w:vAlign w:val="center"/>
          </w:tcPr>
          <w:p w14:paraId="6874EB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Yes</w:t>
            </w:r>
          </w:p>
        </w:tc>
      </w:tr>
    </w:tbl>
    <w:p w14:paraId="606458D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4"/>
          <w:szCs w:val="24"/>
        </w:rPr>
      </w:pPr>
      <w:r w:rsidRPr="00F14751">
        <w:rPr>
          <w:rFonts w:ascii="Times New Roman" w:hAnsi="Times New Roman" w:cs="Times New Roman"/>
          <w:sz w:val="24"/>
          <w:szCs w:val="24"/>
        </w:rPr>
        <w:t>Robust standard errors in parentheses</w:t>
      </w:r>
    </w:p>
    <w:p w14:paraId="04B15CD2" w14:textId="77777777" w:rsidR="0064611C" w:rsidRPr="00F14751" w:rsidRDefault="0064611C" w:rsidP="006B126F">
      <w:pPr>
        <w:jc w:val="center"/>
        <w:rPr>
          <w:rFonts w:asciiTheme="majorHAnsi" w:hAnsiTheme="majorHAnsi"/>
          <w:sz w:val="24"/>
          <w:szCs w:val="24"/>
        </w:rPr>
        <w:sectPr w:rsidR="0064611C" w:rsidRPr="00F14751" w:rsidSect="007A0FD8">
          <w:pgSz w:w="12240" w:h="15840"/>
          <w:pgMar w:top="1440" w:right="1440" w:bottom="1440" w:left="1440" w:header="709" w:footer="709" w:gutter="0"/>
          <w:cols w:space="708"/>
          <w:docGrid w:linePitch="360"/>
        </w:sectPr>
      </w:pPr>
      <w:r w:rsidRPr="00F14751">
        <w:rPr>
          <w:rFonts w:ascii="Times New Roman" w:hAnsi="Times New Roman" w:cs="Times New Roman"/>
          <w:sz w:val="24"/>
          <w:szCs w:val="24"/>
        </w:rPr>
        <w:t>*** p&lt;0.01, ** p&lt;0.05, * p&lt;0.1</w:t>
      </w:r>
    </w:p>
    <w:p w14:paraId="23428B8E" w14:textId="77777777" w:rsidR="0064611C" w:rsidRPr="00F14751" w:rsidRDefault="0064611C"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Table 14:</w:t>
      </w:r>
      <w:r w:rsidRPr="00F14751">
        <w:rPr>
          <w:rFonts w:asciiTheme="majorHAnsi" w:hAnsiTheme="majorHAnsi"/>
          <w:sz w:val="24"/>
        </w:rPr>
        <w:t xml:space="preserve"> Estimation results of the FE model for the second group with the measures of inequality as dependent variables. The model includes country and time fixed effects.</w:t>
      </w:r>
    </w:p>
    <w:tbl>
      <w:tblPr>
        <w:tblW w:w="15643" w:type="dxa"/>
        <w:jc w:val="center"/>
        <w:tblLayout w:type="fixed"/>
        <w:tblCellMar>
          <w:left w:w="75" w:type="dxa"/>
          <w:right w:w="75" w:type="dxa"/>
        </w:tblCellMar>
        <w:tblLook w:val="0000" w:firstRow="0" w:lastRow="0" w:firstColumn="0" w:lastColumn="0" w:noHBand="0" w:noVBand="0"/>
      </w:tblPr>
      <w:tblGrid>
        <w:gridCol w:w="1909"/>
        <w:gridCol w:w="1373"/>
        <w:gridCol w:w="1373"/>
        <w:gridCol w:w="1374"/>
        <w:gridCol w:w="1373"/>
        <w:gridCol w:w="1374"/>
        <w:gridCol w:w="1373"/>
        <w:gridCol w:w="1373"/>
        <w:gridCol w:w="1374"/>
        <w:gridCol w:w="1373"/>
        <w:gridCol w:w="1374"/>
      </w:tblGrid>
      <w:tr w:rsidR="0064611C" w:rsidRPr="00F14751" w14:paraId="446AE0DA" w14:textId="77777777" w:rsidTr="006B126F">
        <w:trPr>
          <w:jc w:val="center"/>
        </w:trPr>
        <w:tc>
          <w:tcPr>
            <w:tcW w:w="1909" w:type="dxa"/>
            <w:tcBorders>
              <w:top w:val="single" w:sz="6" w:space="0" w:color="auto"/>
              <w:left w:val="nil"/>
              <w:bottom w:val="nil"/>
              <w:right w:val="nil"/>
            </w:tcBorders>
            <w:vAlign w:val="center"/>
          </w:tcPr>
          <w:p w14:paraId="4AF080F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br w:type="page"/>
            </w:r>
          </w:p>
        </w:tc>
        <w:tc>
          <w:tcPr>
            <w:tcW w:w="1373" w:type="dxa"/>
            <w:tcBorders>
              <w:top w:val="single" w:sz="6" w:space="0" w:color="auto"/>
              <w:left w:val="nil"/>
              <w:bottom w:val="nil"/>
              <w:right w:val="nil"/>
            </w:tcBorders>
            <w:vAlign w:val="center"/>
          </w:tcPr>
          <w:p w14:paraId="078FFD9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w:t>
            </w:r>
          </w:p>
        </w:tc>
        <w:tc>
          <w:tcPr>
            <w:tcW w:w="1373" w:type="dxa"/>
            <w:tcBorders>
              <w:top w:val="single" w:sz="6" w:space="0" w:color="auto"/>
              <w:left w:val="nil"/>
              <w:bottom w:val="nil"/>
              <w:right w:val="nil"/>
            </w:tcBorders>
            <w:vAlign w:val="center"/>
          </w:tcPr>
          <w:p w14:paraId="3A00416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(2)</w:t>
            </w:r>
          </w:p>
        </w:tc>
        <w:tc>
          <w:tcPr>
            <w:tcW w:w="1374" w:type="dxa"/>
            <w:tcBorders>
              <w:top w:val="single" w:sz="6" w:space="0" w:color="auto"/>
              <w:left w:val="nil"/>
              <w:bottom w:val="nil"/>
              <w:right w:val="nil"/>
            </w:tcBorders>
            <w:vAlign w:val="center"/>
          </w:tcPr>
          <w:p w14:paraId="36D8F0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(3)</w:t>
            </w:r>
          </w:p>
        </w:tc>
        <w:tc>
          <w:tcPr>
            <w:tcW w:w="1373" w:type="dxa"/>
            <w:tcBorders>
              <w:top w:val="single" w:sz="6" w:space="0" w:color="auto"/>
              <w:left w:val="nil"/>
              <w:bottom w:val="nil"/>
              <w:right w:val="nil"/>
            </w:tcBorders>
            <w:vAlign w:val="center"/>
          </w:tcPr>
          <w:p w14:paraId="3B91CB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(4)</w:t>
            </w:r>
          </w:p>
        </w:tc>
        <w:tc>
          <w:tcPr>
            <w:tcW w:w="1374" w:type="dxa"/>
            <w:tcBorders>
              <w:top w:val="single" w:sz="6" w:space="0" w:color="auto"/>
              <w:left w:val="nil"/>
              <w:bottom w:val="nil"/>
              <w:right w:val="nil"/>
            </w:tcBorders>
            <w:vAlign w:val="center"/>
          </w:tcPr>
          <w:p w14:paraId="6340C1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3" w:type="dxa"/>
            <w:tcBorders>
              <w:top w:val="single" w:sz="6" w:space="0" w:color="auto"/>
              <w:left w:val="nil"/>
              <w:bottom w:val="nil"/>
              <w:right w:val="nil"/>
            </w:tcBorders>
            <w:vAlign w:val="center"/>
          </w:tcPr>
          <w:p w14:paraId="464102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(6)</w:t>
            </w:r>
          </w:p>
        </w:tc>
        <w:tc>
          <w:tcPr>
            <w:tcW w:w="1373" w:type="dxa"/>
            <w:tcBorders>
              <w:top w:val="single" w:sz="6" w:space="0" w:color="auto"/>
              <w:left w:val="nil"/>
              <w:bottom w:val="nil"/>
              <w:right w:val="nil"/>
            </w:tcBorders>
            <w:vAlign w:val="center"/>
          </w:tcPr>
          <w:p w14:paraId="46F745A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w:t>
            </w:r>
          </w:p>
        </w:tc>
        <w:tc>
          <w:tcPr>
            <w:tcW w:w="1374" w:type="dxa"/>
            <w:tcBorders>
              <w:top w:val="single" w:sz="6" w:space="0" w:color="auto"/>
              <w:left w:val="nil"/>
              <w:bottom w:val="nil"/>
              <w:right w:val="nil"/>
            </w:tcBorders>
            <w:vAlign w:val="center"/>
          </w:tcPr>
          <w:p w14:paraId="17379DE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(8)</w:t>
            </w:r>
          </w:p>
        </w:tc>
        <w:tc>
          <w:tcPr>
            <w:tcW w:w="1373" w:type="dxa"/>
            <w:tcBorders>
              <w:top w:val="single" w:sz="6" w:space="0" w:color="auto"/>
              <w:left w:val="nil"/>
              <w:bottom w:val="nil"/>
              <w:right w:val="nil"/>
            </w:tcBorders>
            <w:vAlign w:val="center"/>
          </w:tcPr>
          <w:p w14:paraId="4BB0EA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(9)</w:t>
            </w:r>
          </w:p>
        </w:tc>
        <w:tc>
          <w:tcPr>
            <w:tcW w:w="1374" w:type="dxa"/>
            <w:tcBorders>
              <w:top w:val="single" w:sz="6" w:space="0" w:color="auto"/>
              <w:left w:val="nil"/>
              <w:bottom w:val="nil"/>
              <w:right w:val="nil"/>
            </w:tcBorders>
            <w:vAlign w:val="center"/>
          </w:tcPr>
          <w:p w14:paraId="5D1687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(10)</w:t>
            </w:r>
          </w:p>
        </w:tc>
      </w:tr>
      <w:tr w:rsidR="0064611C" w:rsidRPr="00F14751" w14:paraId="2D5B5D3C" w14:textId="77777777" w:rsidTr="006B126F">
        <w:trPr>
          <w:jc w:val="center"/>
        </w:trPr>
        <w:tc>
          <w:tcPr>
            <w:tcW w:w="1909" w:type="dxa"/>
            <w:tcBorders>
              <w:top w:val="nil"/>
              <w:left w:val="nil"/>
              <w:bottom w:val="single" w:sz="6" w:space="0" w:color="auto"/>
              <w:right w:val="nil"/>
            </w:tcBorders>
            <w:vAlign w:val="center"/>
          </w:tcPr>
          <w:p w14:paraId="5340E80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VARIABLES</w:t>
            </w:r>
          </w:p>
        </w:tc>
        <w:tc>
          <w:tcPr>
            <w:tcW w:w="1373" w:type="dxa"/>
            <w:tcBorders>
              <w:top w:val="nil"/>
              <w:left w:val="nil"/>
              <w:bottom w:val="single" w:sz="6" w:space="0" w:color="auto"/>
              <w:right w:val="nil"/>
            </w:tcBorders>
            <w:vAlign w:val="center"/>
          </w:tcPr>
          <w:p w14:paraId="7C1256C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Gini</w:t>
            </w:r>
          </w:p>
        </w:tc>
        <w:tc>
          <w:tcPr>
            <w:tcW w:w="1373" w:type="dxa"/>
            <w:tcBorders>
              <w:top w:val="nil"/>
              <w:left w:val="nil"/>
              <w:bottom w:val="single" w:sz="6" w:space="0" w:color="auto"/>
              <w:right w:val="nil"/>
            </w:tcBorders>
            <w:vAlign w:val="center"/>
          </w:tcPr>
          <w:p w14:paraId="669791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D1</w:t>
            </w:r>
          </w:p>
        </w:tc>
        <w:tc>
          <w:tcPr>
            <w:tcW w:w="1374" w:type="dxa"/>
            <w:tcBorders>
              <w:top w:val="nil"/>
              <w:left w:val="nil"/>
              <w:bottom w:val="single" w:sz="6" w:space="0" w:color="auto"/>
              <w:right w:val="nil"/>
            </w:tcBorders>
            <w:vAlign w:val="center"/>
          </w:tcPr>
          <w:p w14:paraId="5FB844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D2</w:t>
            </w:r>
          </w:p>
        </w:tc>
        <w:tc>
          <w:tcPr>
            <w:tcW w:w="1373" w:type="dxa"/>
            <w:tcBorders>
              <w:top w:val="nil"/>
              <w:left w:val="nil"/>
              <w:bottom w:val="single" w:sz="6" w:space="0" w:color="auto"/>
              <w:right w:val="nil"/>
            </w:tcBorders>
            <w:vAlign w:val="center"/>
          </w:tcPr>
          <w:p w14:paraId="3B3A70A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Q1</w:t>
            </w:r>
          </w:p>
        </w:tc>
        <w:tc>
          <w:tcPr>
            <w:tcW w:w="1374" w:type="dxa"/>
            <w:tcBorders>
              <w:top w:val="nil"/>
              <w:left w:val="nil"/>
              <w:bottom w:val="single" w:sz="6" w:space="0" w:color="auto"/>
              <w:right w:val="nil"/>
            </w:tcBorders>
            <w:vAlign w:val="center"/>
          </w:tcPr>
          <w:p w14:paraId="4C01787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Q2</w:t>
            </w:r>
          </w:p>
        </w:tc>
        <w:tc>
          <w:tcPr>
            <w:tcW w:w="1373" w:type="dxa"/>
            <w:tcBorders>
              <w:top w:val="nil"/>
              <w:left w:val="nil"/>
              <w:bottom w:val="single" w:sz="6" w:space="0" w:color="auto"/>
              <w:right w:val="nil"/>
            </w:tcBorders>
            <w:vAlign w:val="center"/>
          </w:tcPr>
          <w:p w14:paraId="6F780C8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Q3</w:t>
            </w:r>
          </w:p>
        </w:tc>
        <w:tc>
          <w:tcPr>
            <w:tcW w:w="1373" w:type="dxa"/>
            <w:tcBorders>
              <w:top w:val="nil"/>
              <w:left w:val="nil"/>
              <w:bottom w:val="single" w:sz="6" w:space="0" w:color="auto"/>
              <w:right w:val="nil"/>
            </w:tcBorders>
            <w:vAlign w:val="center"/>
          </w:tcPr>
          <w:p w14:paraId="6B849A6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Q4</w:t>
            </w:r>
          </w:p>
        </w:tc>
        <w:tc>
          <w:tcPr>
            <w:tcW w:w="1374" w:type="dxa"/>
            <w:tcBorders>
              <w:top w:val="nil"/>
              <w:left w:val="nil"/>
              <w:bottom w:val="single" w:sz="6" w:space="0" w:color="auto"/>
              <w:right w:val="nil"/>
            </w:tcBorders>
            <w:vAlign w:val="center"/>
          </w:tcPr>
          <w:p w14:paraId="592591F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D9</w:t>
            </w:r>
          </w:p>
        </w:tc>
        <w:tc>
          <w:tcPr>
            <w:tcW w:w="1373" w:type="dxa"/>
            <w:tcBorders>
              <w:top w:val="nil"/>
              <w:left w:val="nil"/>
              <w:bottom w:val="single" w:sz="6" w:space="0" w:color="auto"/>
              <w:right w:val="nil"/>
            </w:tcBorders>
            <w:vAlign w:val="center"/>
          </w:tcPr>
          <w:p w14:paraId="115E153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D10</w:t>
            </w:r>
          </w:p>
        </w:tc>
        <w:tc>
          <w:tcPr>
            <w:tcW w:w="1374" w:type="dxa"/>
            <w:tcBorders>
              <w:top w:val="nil"/>
              <w:left w:val="nil"/>
              <w:bottom w:val="single" w:sz="6" w:space="0" w:color="auto"/>
              <w:right w:val="nil"/>
            </w:tcBorders>
            <w:vAlign w:val="center"/>
          </w:tcPr>
          <w:p w14:paraId="615FA5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Q5</w:t>
            </w:r>
          </w:p>
        </w:tc>
      </w:tr>
      <w:tr w:rsidR="0064611C" w:rsidRPr="00F14751" w14:paraId="57F44485" w14:textId="77777777" w:rsidTr="006B126F">
        <w:trPr>
          <w:jc w:val="center"/>
        </w:trPr>
        <w:tc>
          <w:tcPr>
            <w:tcW w:w="1909" w:type="dxa"/>
            <w:tcBorders>
              <w:top w:val="nil"/>
              <w:left w:val="nil"/>
              <w:bottom w:val="nil"/>
              <w:right w:val="nil"/>
            </w:tcBorders>
            <w:vAlign w:val="center"/>
          </w:tcPr>
          <w:p w14:paraId="25149792"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22078E8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16F3F71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285ACE4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3EA73D2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30E0C0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393B55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344AEC1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394FB56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41EEE6B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0516D4F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r>
      <w:tr w:rsidR="0064611C" w:rsidRPr="00F14751" w14:paraId="6611EF04" w14:textId="77777777" w:rsidTr="006B126F">
        <w:trPr>
          <w:jc w:val="center"/>
        </w:trPr>
        <w:tc>
          <w:tcPr>
            <w:tcW w:w="1909" w:type="dxa"/>
            <w:tcBorders>
              <w:top w:val="nil"/>
              <w:left w:val="nil"/>
              <w:bottom w:val="nil"/>
              <w:right w:val="nil"/>
            </w:tcBorders>
            <w:vAlign w:val="center"/>
          </w:tcPr>
          <w:p w14:paraId="50F57EC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SRI</w:t>
            </w:r>
          </w:p>
        </w:tc>
        <w:tc>
          <w:tcPr>
            <w:tcW w:w="1373" w:type="dxa"/>
            <w:tcBorders>
              <w:top w:val="nil"/>
              <w:left w:val="nil"/>
              <w:bottom w:val="nil"/>
              <w:right w:val="nil"/>
            </w:tcBorders>
            <w:vAlign w:val="center"/>
          </w:tcPr>
          <w:p w14:paraId="750D77A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-0.197**</w:t>
            </w:r>
          </w:p>
        </w:tc>
        <w:tc>
          <w:tcPr>
            <w:tcW w:w="1373" w:type="dxa"/>
            <w:tcBorders>
              <w:top w:val="nil"/>
              <w:left w:val="nil"/>
              <w:bottom w:val="nil"/>
              <w:right w:val="nil"/>
            </w:tcBorders>
            <w:vAlign w:val="center"/>
          </w:tcPr>
          <w:p w14:paraId="20B50A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-0.00742</w:t>
            </w:r>
          </w:p>
        </w:tc>
        <w:tc>
          <w:tcPr>
            <w:tcW w:w="1374" w:type="dxa"/>
            <w:tcBorders>
              <w:top w:val="nil"/>
              <w:left w:val="nil"/>
              <w:bottom w:val="nil"/>
              <w:right w:val="nil"/>
            </w:tcBorders>
            <w:vAlign w:val="center"/>
          </w:tcPr>
          <w:p w14:paraId="5C5EDF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0.00904</w:t>
            </w:r>
          </w:p>
        </w:tc>
        <w:tc>
          <w:tcPr>
            <w:tcW w:w="1373" w:type="dxa"/>
            <w:tcBorders>
              <w:top w:val="nil"/>
              <w:left w:val="nil"/>
              <w:bottom w:val="nil"/>
              <w:right w:val="nil"/>
            </w:tcBorders>
            <w:vAlign w:val="center"/>
          </w:tcPr>
          <w:p w14:paraId="3EB0354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0.00162</w:t>
            </w:r>
          </w:p>
        </w:tc>
        <w:tc>
          <w:tcPr>
            <w:tcW w:w="1374" w:type="dxa"/>
            <w:tcBorders>
              <w:top w:val="nil"/>
              <w:left w:val="nil"/>
              <w:bottom w:val="nil"/>
              <w:right w:val="nil"/>
            </w:tcBorders>
            <w:vAlign w:val="center"/>
          </w:tcPr>
          <w:p w14:paraId="08F86BC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0.0461*</w:t>
            </w:r>
          </w:p>
        </w:tc>
        <w:tc>
          <w:tcPr>
            <w:tcW w:w="1373" w:type="dxa"/>
            <w:tcBorders>
              <w:top w:val="nil"/>
              <w:left w:val="nil"/>
              <w:bottom w:val="nil"/>
              <w:right w:val="nil"/>
            </w:tcBorders>
            <w:vAlign w:val="center"/>
          </w:tcPr>
          <w:p w14:paraId="3D4AED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0.0789***</w:t>
            </w:r>
          </w:p>
        </w:tc>
        <w:tc>
          <w:tcPr>
            <w:tcW w:w="1373" w:type="dxa"/>
            <w:tcBorders>
              <w:top w:val="nil"/>
              <w:left w:val="nil"/>
              <w:bottom w:val="nil"/>
              <w:right w:val="nil"/>
            </w:tcBorders>
            <w:vAlign w:val="center"/>
          </w:tcPr>
          <w:p w14:paraId="7E8858F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0.0836**</w:t>
            </w:r>
          </w:p>
        </w:tc>
        <w:tc>
          <w:tcPr>
            <w:tcW w:w="1374" w:type="dxa"/>
            <w:tcBorders>
              <w:top w:val="nil"/>
              <w:left w:val="nil"/>
              <w:bottom w:val="nil"/>
              <w:right w:val="nil"/>
            </w:tcBorders>
            <w:vAlign w:val="center"/>
          </w:tcPr>
          <w:p w14:paraId="4FCB048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0.0235</w:t>
            </w:r>
          </w:p>
        </w:tc>
        <w:tc>
          <w:tcPr>
            <w:tcW w:w="1373" w:type="dxa"/>
            <w:tcBorders>
              <w:top w:val="nil"/>
              <w:left w:val="nil"/>
              <w:bottom w:val="nil"/>
              <w:right w:val="nil"/>
            </w:tcBorders>
            <w:vAlign w:val="center"/>
          </w:tcPr>
          <w:p w14:paraId="3A78A8F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-0.234***</w:t>
            </w:r>
          </w:p>
        </w:tc>
        <w:tc>
          <w:tcPr>
            <w:tcW w:w="1374" w:type="dxa"/>
            <w:tcBorders>
              <w:top w:val="nil"/>
              <w:left w:val="nil"/>
              <w:bottom w:val="nil"/>
              <w:right w:val="nil"/>
            </w:tcBorders>
            <w:vAlign w:val="center"/>
          </w:tcPr>
          <w:p w14:paraId="41F81A3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-0.210***</w:t>
            </w:r>
          </w:p>
        </w:tc>
      </w:tr>
      <w:tr w:rsidR="0064611C" w:rsidRPr="00F14751" w14:paraId="63704A44" w14:textId="77777777" w:rsidTr="006B126F">
        <w:trPr>
          <w:jc w:val="center"/>
        </w:trPr>
        <w:tc>
          <w:tcPr>
            <w:tcW w:w="1909" w:type="dxa"/>
            <w:tcBorders>
              <w:top w:val="nil"/>
              <w:left w:val="nil"/>
              <w:bottom w:val="nil"/>
              <w:right w:val="nil"/>
            </w:tcBorders>
            <w:vAlign w:val="center"/>
          </w:tcPr>
          <w:p w14:paraId="590B5A2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238E3AA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(0.0537)</w:t>
            </w:r>
          </w:p>
        </w:tc>
        <w:tc>
          <w:tcPr>
            <w:tcW w:w="1373" w:type="dxa"/>
            <w:tcBorders>
              <w:top w:val="nil"/>
              <w:left w:val="nil"/>
              <w:bottom w:val="nil"/>
              <w:right w:val="nil"/>
            </w:tcBorders>
            <w:vAlign w:val="center"/>
          </w:tcPr>
          <w:p w14:paraId="226CB9C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(0.00984)</w:t>
            </w:r>
          </w:p>
        </w:tc>
        <w:tc>
          <w:tcPr>
            <w:tcW w:w="1374" w:type="dxa"/>
            <w:tcBorders>
              <w:top w:val="nil"/>
              <w:left w:val="nil"/>
              <w:bottom w:val="nil"/>
              <w:right w:val="nil"/>
            </w:tcBorders>
            <w:vAlign w:val="center"/>
          </w:tcPr>
          <w:p w14:paraId="402038C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(0.0101)</w:t>
            </w:r>
          </w:p>
        </w:tc>
        <w:tc>
          <w:tcPr>
            <w:tcW w:w="1373" w:type="dxa"/>
            <w:tcBorders>
              <w:top w:val="nil"/>
              <w:left w:val="nil"/>
              <w:bottom w:val="nil"/>
              <w:right w:val="nil"/>
            </w:tcBorders>
            <w:vAlign w:val="center"/>
          </w:tcPr>
          <w:p w14:paraId="2F2FCFB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(0.0179)</w:t>
            </w:r>
          </w:p>
        </w:tc>
        <w:tc>
          <w:tcPr>
            <w:tcW w:w="1374" w:type="dxa"/>
            <w:tcBorders>
              <w:top w:val="nil"/>
              <w:left w:val="nil"/>
              <w:bottom w:val="nil"/>
              <w:right w:val="nil"/>
            </w:tcBorders>
            <w:vAlign w:val="center"/>
          </w:tcPr>
          <w:p w14:paraId="58405EA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(0.0195)</w:t>
            </w:r>
          </w:p>
        </w:tc>
        <w:tc>
          <w:tcPr>
            <w:tcW w:w="1373" w:type="dxa"/>
            <w:tcBorders>
              <w:top w:val="nil"/>
              <w:left w:val="nil"/>
              <w:bottom w:val="nil"/>
              <w:right w:val="nil"/>
            </w:tcBorders>
            <w:vAlign w:val="center"/>
          </w:tcPr>
          <w:p w14:paraId="387BBE8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(0.0134)</w:t>
            </w:r>
          </w:p>
        </w:tc>
        <w:tc>
          <w:tcPr>
            <w:tcW w:w="1373" w:type="dxa"/>
            <w:tcBorders>
              <w:top w:val="nil"/>
              <w:left w:val="nil"/>
              <w:bottom w:val="nil"/>
              <w:right w:val="nil"/>
            </w:tcBorders>
            <w:vAlign w:val="center"/>
          </w:tcPr>
          <w:p w14:paraId="7E48172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(0.0185)</w:t>
            </w:r>
          </w:p>
        </w:tc>
        <w:tc>
          <w:tcPr>
            <w:tcW w:w="1374" w:type="dxa"/>
            <w:tcBorders>
              <w:top w:val="nil"/>
              <w:left w:val="nil"/>
              <w:bottom w:val="nil"/>
              <w:right w:val="nil"/>
            </w:tcBorders>
            <w:vAlign w:val="center"/>
          </w:tcPr>
          <w:p w14:paraId="2EAE22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(0.0226)</w:t>
            </w:r>
          </w:p>
        </w:tc>
        <w:tc>
          <w:tcPr>
            <w:tcW w:w="1373" w:type="dxa"/>
            <w:tcBorders>
              <w:top w:val="nil"/>
              <w:left w:val="nil"/>
              <w:bottom w:val="nil"/>
              <w:right w:val="nil"/>
            </w:tcBorders>
            <w:vAlign w:val="center"/>
          </w:tcPr>
          <w:p w14:paraId="695BD94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(0.0337)</w:t>
            </w:r>
          </w:p>
        </w:tc>
        <w:tc>
          <w:tcPr>
            <w:tcW w:w="1374" w:type="dxa"/>
            <w:tcBorders>
              <w:top w:val="nil"/>
              <w:left w:val="nil"/>
              <w:bottom w:val="nil"/>
              <w:right w:val="nil"/>
            </w:tcBorders>
            <w:vAlign w:val="center"/>
          </w:tcPr>
          <w:p w14:paraId="03AB73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(0.0400)</w:t>
            </w:r>
          </w:p>
        </w:tc>
      </w:tr>
      <w:tr w:rsidR="0064611C" w:rsidRPr="00F14751" w14:paraId="6C190381" w14:textId="77777777" w:rsidTr="006B126F">
        <w:trPr>
          <w:jc w:val="center"/>
        </w:trPr>
        <w:tc>
          <w:tcPr>
            <w:tcW w:w="1909" w:type="dxa"/>
            <w:tcBorders>
              <w:top w:val="nil"/>
              <w:left w:val="nil"/>
              <w:bottom w:val="nil"/>
              <w:right w:val="nil"/>
            </w:tcBorders>
            <w:vAlign w:val="center"/>
          </w:tcPr>
          <w:p w14:paraId="65DDF68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Polity</w:t>
            </w:r>
          </w:p>
        </w:tc>
        <w:tc>
          <w:tcPr>
            <w:tcW w:w="1373" w:type="dxa"/>
            <w:tcBorders>
              <w:top w:val="nil"/>
              <w:left w:val="nil"/>
              <w:bottom w:val="nil"/>
              <w:right w:val="nil"/>
            </w:tcBorders>
            <w:vAlign w:val="center"/>
          </w:tcPr>
          <w:p w14:paraId="0F46B0F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-0.150</w:t>
            </w:r>
          </w:p>
        </w:tc>
        <w:tc>
          <w:tcPr>
            <w:tcW w:w="1373" w:type="dxa"/>
            <w:tcBorders>
              <w:top w:val="nil"/>
              <w:left w:val="nil"/>
              <w:bottom w:val="nil"/>
              <w:right w:val="nil"/>
            </w:tcBorders>
            <w:vAlign w:val="center"/>
          </w:tcPr>
          <w:p w14:paraId="25FFE87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0.00392</w:t>
            </w:r>
          </w:p>
        </w:tc>
        <w:tc>
          <w:tcPr>
            <w:tcW w:w="1374" w:type="dxa"/>
            <w:tcBorders>
              <w:top w:val="nil"/>
              <w:left w:val="nil"/>
              <w:bottom w:val="nil"/>
              <w:right w:val="nil"/>
            </w:tcBorders>
            <w:vAlign w:val="center"/>
          </w:tcPr>
          <w:p w14:paraId="65861D4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0.0374</w:t>
            </w:r>
          </w:p>
        </w:tc>
        <w:tc>
          <w:tcPr>
            <w:tcW w:w="1373" w:type="dxa"/>
            <w:tcBorders>
              <w:top w:val="nil"/>
              <w:left w:val="nil"/>
              <w:bottom w:val="nil"/>
              <w:right w:val="nil"/>
            </w:tcBorders>
            <w:vAlign w:val="center"/>
          </w:tcPr>
          <w:p w14:paraId="651E3D4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0.0414</w:t>
            </w:r>
          </w:p>
        </w:tc>
        <w:tc>
          <w:tcPr>
            <w:tcW w:w="1374" w:type="dxa"/>
            <w:tcBorders>
              <w:top w:val="nil"/>
              <w:left w:val="nil"/>
              <w:bottom w:val="nil"/>
              <w:right w:val="nil"/>
            </w:tcBorders>
            <w:vAlign w:val="center"/>
          </w:tcPr>
          <w:p w14:paraId="5420C83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0.0818</w:t>
            </w:r>
          </w:p>
        </w:tc>
        <w:tc>
          <w:tcPr>
            <w:tcW w:w="1373" w:type="dxa"/>
            <w:tcBorders>
              <w:top w:val="nil"/>
              <w:left w:val="nil"/>
              <w:bottom w:val="nil"/>
              <w:right w:val="nil"/>
            </w:tcBorders>
            <w:vAlign w:val="center"/>
          </w:tcPr>
          <w:p w14:paraId="08AEE6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0.0415</w:t>
            </w:r>
          </w:p>
        </w:tc>
        <w:tc>
          <w:tcPr>
            <w:tcW w:w="1373" w:type="dxa"/>
            <w:tcBorders>
              <w:top w:val="nil"/>
              <w:left w:val="nil"/>
              <w:bottom w:val="nil"/>
              <w:right w:val="nil"/>
            </w:tcBorders>
            <w:vAlign w:val="center"/>
          </w:tcPr>
          <w:p w14:paraId="38C8509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-0.0750</w:t>
            </w:r>
          </w:p>
        </w:tc>
        <w:tc>
          <w:tcPr>
            <w:tcW w:w="1374" w:type="dxa"/>
            <w:tcBorders>
              <w:top w:val="nil"/>
              <w:left w:val="nil"/>
              <w:bottom w:val="nil"/>
              <w:right w:val="nil"/>
            </w:tcBorders>
            <w:vAlign w:val="center"/>
          </w:tcPr>
          <w:p w14:paraId="77C832F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-0.0991</w:t>
            </w:r>
          </w:p>
        </w:tc>
        <w:tc>
          <w:tcPr>
            <w:tcW w:w="1373" w:type="dxa"/>
            <w:tcBorders>
              <w:top w:val="nil"/>
              <w:left w:val="nil"/>
              <w:bottom w:val="nil"/>
              <w:right w:val="nil"/>
            </w:tcBorders>
            <w:vAlign w:val="center"/>
          </w:tcPr>
          <w:p w14:paraId="565797C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0.00940</w:t>
            </w:r>
          </w:p>
        </w:tc>
        <w:tc>
          <w:tcPr>
            <w:tcW w:w="1374" w:type="dxa"/>
            <w:tcBorders>
              <w:top w:val="nil"/>
              <w:left w:val="nil"/>
              <w:bottom w:val="nil"/>
              <w:right w:val="nil"/>
            </w:tcBorders>
            <w:vAlign w:val="center"/>
          </w:tcPr>
          <w:p w14:paraId="79667EB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-0.0897</w:t>
            </w:r>
          </w:p>
        </w:tc>
      </w:tr>
      <w:tr w:rsidR="0064611C" w:rsidRPr="00F14751" w14:paraId="1C1187B8" w14:textId="77777777" w:rsidTr="006B126F">
        <w:trPr>
          <w:jc w:val="center"/>
        </w:trPr>
        <w:tc>
          <w:tcPr>
            <w:tcW w:w="1909" w:type="dxa"/>
            <w:tcBorders>
              <w:top w:val="nil"/>
              <w:left w:val="nil"/>
              <w:bottom w:val="nil"/>
              <w:right w:val="nil"/>
            </w:tcBorders>
            <w:vAlign w:val="center"/>
          </w:tcPr>
          <w:p w14:paraId="16A86CF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5669185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(0.324)</w:t>
            </w:r>
          </w:p>
        </w:tc>
        <w:tc>
          <w:tcPr>
            <w:tcW w:w="1373" w:type="dxa"/>
            <w:tcBorders>
              <w:top w:val="nil"/>
              <w:left w:val="nil"/>
              <w:bottom w:val="nil"/>
              <w:right w:val="nil"/>
            </w:tcBorders>
            <w:vAlign w:val="center"/>
          </w:tcPr>
          <w:p w14:paraId="18D8C9C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(0.0366)</w:t>
            </w:r>
          </w:p>
        </w:tc>
        <w:tc>
          <w:tcPr>
            <w:tcW w:w="1374" w:type="dxa"/>
            <w:tcBorders>
              <w:top w:val="nil"/>
              <w:left w:val="nil"/>
              <w:bottom w:val="nil"/>
              <w:right w:val="nil"/>
            </w:tcBorders>
            <w:vAlign w:val="center"/>
          </w:tcPr>
          <w:p w14:paraId="4FC1CC4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(0.0428)</w:t>
            </w:r>
          </w:p>
        </w:tc>
        <w:tc>
          <w:tcPr>
            <w:tcW w:w="1373" w:type="dxa"/>
            <w:tcBorders>
              <w:top w:val="nil"/>
              <w:left w:val="nil"/>
              <w:bottom w:val="nil"/>
              <w:right w:val="nil"/>
            </w:tcBorders>
            <w:vAlign w:val="center"/>
          </w:tcPr>
          <w:p w14:paraId="58C5C8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(0.0731)</w:t>
            </w:r>
          </w:p>
        </w:tc>
        <w:tc>
          <w:tcPr>
            <w:tcW w:w="1374" w:type="dxa"/>
            <w:tcBorders>
              <w:top w:val="nil"/>
              <w:left w:val="nil"/>
              <w:bottom w:val="nil"/>
              <w:right w:val="nil"/>
            </w:tcBorders>
            <w:vAlign w:val="center"/>
          </w:tcPr>
          <w:p w14:paraId="369E76F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(0.0872)</w:t>
            </w:r>
          </w:p>
        </w:tc>
        <w:tc>
          <w:tcPr>
            <w:tcW w:w="1373" w:type="dxa"/>
            <w:tcBorders>
              <w:top w:val="nil"/>
              <w:left w:val="nil"/>
              <w:bottom w:val="nil"/>
              <w:right w:val="nil"/>
            </w:tcBorders>
            <w:vAlign w:val="center"/>
          </w:tcPr>
          <w:p w14:paraId="7847AAA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(0.0845)</w:t>
            </w:r>
          </w:p>
        </w:tc>
        <w:tc>
          <w:tcPr>
            <w:tcW w:w="1373" w:type="dxa"/>
            <w:tcBorders>
              <w:top w:val="nil"/>
              <w:left w:val="nil"/>
              <w:bottom w:val="nil"/>
              <w:right w:val="nil"/>
            </w:tcBorders>
            <w:vAlign w:val="center"/>
          </w:tcPr>
          <w:p w14:paraId="706B25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(0.0872)</w:t>
            </w:r>
          </w:p>
        </w:tc>
        <w:tc>
          <w:tcPr>
            <w:tcW w:w="1374" w:type="dxa"/>
            <w:tcBorders>
              <w:top w:val="nil"/>
              <w:left w:val="nil"/>
              <w:bottom w:val="nil"/>
              <w:right w:val="nil"/>
            </w:tcBorders>
            <w:vAlign w:val="center"/>
          </w:tcPr>
          <w:p w14:paraId="597885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(0.0619)</w:t>
            </w:r>
          </w:p>
        </w:tc>
        <w:tc>
          <w:tcPr>
            <w:tcW w:w="1373" w:type="dxa"/>
            <w:tcBorders>
              <w:top w:val="nil"/>
              <w:left w:val="nil"/>
              <w:bottom w:val="nil"/>
              <w:right w:val="nil"/>
            </w:tcBorders>
            <w:vAlign w:val="center"/>
          </w:tcPr>
          <w:p w14:paraId="7FAD8C6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(0.265)</w:t>
            </w:r>
          </w:p>
        </w:tc>
        <w:tc>
          <w:tcPr>
            <w:tcW w:w="1374" w:type="dxa"/>
            <w:tcBorders>
              <w:top w:val="nil"/>
              <w:left w:val="nil"/>
              <w:bottom w:val="nil"/>
              <w:right w:val="nil"/>
            </w:tcBorders>
            <w:vAlign w:val="center"/>
          </w:tcPr>
          <w:p w14:paraId="3FF1031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(0.269)</w:t>
            </w:r>
          </w:p>
        </w:tc>
      </w:tr>
      <w:tr w:rsidR="0064611C" w:rsidRPr="00F14751" w14:paraId="7DEEB904" w14:textId="77777777" w:rsidTr="006B126F">
        <w:trPr>
          <w:jc w:val="center"/>
        </w:trPr>
        <w:tc>
          <w:tcPr>
            <w:tcW w:w="1909" w:type="dxa"/>
            <w:tcBorders>
              <w:top w:val="nil"/>
              <w:left w:val="nil"/>
              <w:bottom w:val="nil"/>
              <w:right w:val="nil"/>
            </w:tcBorders>
            <w:vAlign w:val="center"/>
          </w:tcPr>
          <w:p w14:paraId="67904DF2"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GDP</w:t>
            </w:r>
          </w:p>
        </w:tc>
        <w:tc>
          <w:tcPr>
            <w:tcW w:w="1373" w:type="dxa"/>
            <w:tcBorders>
              <w:top w:val="nil"/>
              <w:left w:val="nil"/>
              <w:bottom w:val="nil"/>
              <w:right w:val="nil"/>
            </w:tcBorders>
            <w:vAlign w:val="center"/>
          </w:tcPr>
          <w:p w14:paraId="260B2E4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-0.0553</w:t>
            </w:r>
          </w:p>
        </w:tc>
        <w:tc>
          <w:tcPr>
            <w:tcW w:w="1373" w:type="dxa"/>
            <w:tcBorders>
              <w:top w:val="nil"/>
              <w:left w:val="nil"/>
              <w:bottom w:val="nil"/>
              <w:right w:val="nil"/>
            </w:tcBorders>
            <w:vAlign w:val="center"/>
          </w:tcPr>
          <w:p w14:paraId="15FB532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0.00130</w:t>
            </w:r>
          </w:p>
        </w:tc>
        <w:tc>
          <w:tcPr>
            <w:tcW w:w="1374" w:type="dxa"/>
            <w:tcBorders>
              <w:top w:val="nil"/>
              <w:left w:val="nil"/>
              <w:bottom w:val="nil"/>
              <w:right w:val="nil"/>
            </w:tcBorders>
            <w:vAlign w:val="center"/>
          </w:tcPr>
          <w:p w14:paraId="65B2C91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0.00480</w:t>
            </w:r>
          </w:p>
        </w:tc>
        <w:tc>
          <w:tcPr>
            <w:tcW w:w="1373" w:type="dxa"/>
            <w:tcBorders>
              <w:top w:val="nil"/>
              <w:left w:val="nil"/>
              <w:bottom w:val="nil"/>
              <w:right w:val="nil"/>
            </w:tcBorders>
            <w:vAlign w:val="center"/>
          </w:tcPr>
          <w:p w14:paraId="16D8D50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0.00610</w:t>
            </w:r>
          </w:p>
        </w:tc>
        <w:tc>
          <w:tcPr>
            <w:tcW w:w="1374" w:type="dxa"/>
            <w:tcBorders>
              <w:top w:val="nil"/>
              <w:left w:val="nil"/>
              <w:bottom w:val="nil"/>
              <w:right w:val="nil"/>
            </w:tcBorders>
            <w:vAlign w:val="center"/>
          </w:tcPr>
          <w:p w14:paraId="1771B32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0.0175</w:t>
            </w:r>
          </w:p>
        </w:tc>
        <w:tc>
          <w:tcPr>
            <w:tcW w:w="1373" w:type="dxa"/>
            <w:tcBorders>
              <w:top w:val="nil"/>
              <w:left w:val="nil"/>
              <w:bottom w:val="nil"/>
              <w:right w:val="nil"/>
            </w:tcBorders>
            <w:vAlign w:val="center"/>
          </w:tcPr>
          <w:p w14:paraId="7FF1D24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0.0169</w:t>
            </w:r>
          </w:p>
        </w:tc>
        <w:tc>
          <w:tcPr>
            <w:tcW w:w="1373" w:type="dxa"/>
            <w:tcBorders>
              <w:top w:val="nil"/>
              <w:left w:val="nil"/>
              <w:bottom w:val="nil"/>
              <w:right w:val="nil"/>
            </w:tcBorders>
            <w:vAlign w:val="center"/>
          </w:tcPr>
          <w:p w14:paraId="7B1DC19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0.0133</w:t>
            </w:r>
          </w:p>
        </w:tc>
        <w:tc>
          <w:tcPr>
            <w:tcW w:w="1374" w:type="dxa"/>
            <w:tcBorders>
              <w:top w:val="nil"/>
              <w:left w:val="nil"/>
              <w:bottom w:val="nil"/>
              <w:right w:val="nil"/>
            </w:tcBorders>
            <w:vAlign w:val="center"/>
          </w:tcPr>
          <w:p w14:paraId="3F98B42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-0.00641</w:t>
            </w:r>
          </w:p>
        </w:tc>
        <w:tc>
          <w:tcPr>
            <w:tcW w:w="1373" w:type="dxa"/>
            <w:tcBorders>
              <w:top w:val="nil"/>
              <w:left w:val="nil"/>
              <w:bottom w:val="nil"/>
              <w:right w:val="nil"/>
            </w:tcBorders>
            <w:vAlign w:val="center"/>
          </w:tcPr>
          <w:p w14:paraId="6044A84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-0.0474</w:t>
            </w:r>
          </w:p>
        </w:tc>
        <w:tc>
          <w:tcPr>
            <w:tcW w:w="1374" w:type="dxa"/>
            <w:tcBorders>
              <w:top w:val="nil"/>
              <w:left w:val="nil"/>
              <w:bottom w:val="nil"/>
              <w:right w:val="nil"/>
            </w:tcBorders>
            <w:vAlign w:val="center"/>
          </w:tcPr>
          <w:p w14:paraId="44F81FF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-0.0538</w:t>
            </w:r>
          </w:p>
        </w:tc>
      </w:tr>
      <w:tr w:rsidR="0064611C" w:rsidRPr="00F14751" w14:paraId="3E1B8488" w14:textId="77777777" w:rsidTr="006B126F">
        <w:trPr>
          <w:jc w:val="center"/>
        </w:trPr>
        <w:tc>
          <w:tcPr>
            <w:tcW w:w="1909" w:type="dxa"/>
            <w:tcBorders>
              <w:top w:val="nil"/>
              <w:left w:val="nil"/>
              <w:bottom w:val="nil"/>
              <w:right w:val="nil"/>
            </w:tcBorders>
            <w:vAlign w:val="center"/>
          </w:tcPr>
          <w:p w14:paraId="4A3CC57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186F449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(0.0482)</w:t>
            </w:r>
          </w:p>
        </w:tc>
        <w:tc>
          <w:tcPr>
            <w:tcW w:w="1373" w:type="dxa"/>
            <w:tcBorders>
              <w:top w:val="nil"/>
              <w:left w:val="nil"/>
              <w:bottom w:val="nil"/>
              <w:right w:val="nil"/>
            </w:tcBorders>
            <w:vAlign w:val="center"/>
          </w:tcPr>
          <w:p w14:paraId="7FA7F6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(0.00239)</w:t>
            </w:r>
          </w:p>
        </w:tc>
        <w:tc>
          <w:tcPr>
            <w:tcW w:w="1374" w:type="dxa"/>
            <w:tcBorders>
              <w:top w:val="nil"/>
              <w:left w:val="nil"/>
              <w:bottom w:val="nil"/>
              <w:right w:val="nil"/>
            </w:tcBorders>
            <w:vAlign w:val="center"/>
          </w:tcPr>
          <w:p w14:paraId="699DFBF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(0.00461)</w:t>
            </w:r>
          </w:p>
        </w:tc>
        <w:tc>
          <w:tcPr>
            <w:tcW w:w="1373" w:type="dxa"/>
            <w:tcBorders>
              <w:top w:val="nil"/>
              <w:left w:val="nil"/>
              <w:bottom w:val="nil"/>
              <w:right w:val="nil"/>
            </w:tcBorders>
            <w:vAlign w:val="center"/>
          </w:tcPr>
          <w:p w14:paraId="6CD7238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(0.00635)</w:t>
            </w:r>
          </w:p>
        </w:tc>
        <w:tc>
          <w:tcPr>
            <w:tcW w:w="1374" w:type="dxa"/>
            <w:tcBorders>
              <w:top w:val="nil"/>
              <w:left w:val="nil"/>
              <w:bottom w:val="nil"/>
              <w:right w:val="nil"/>
            </w:tcBorders>
            <w:vAlign w:val="center"/>
          </w:tcPr>
          <w:p w14:paraId="147B60E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(0.0128)</w:t>
            </w:r>
          </w:p>
        </w:tc>
        <w:tc>
          <w:tcPr>
            <w:tcW w:w="1373" w:type="dxa"/>
            <w:tcBorders>
              <w:top w:val="nil"/>
              <w:left w:val="nil"/>
              <w:bottom w:val="nil"/>
              <w:right w:val="nil"/>
            </w:tcBorders>
            <w:vAlign w:val="center"/>
          </w:tcPr>
          <w:p w14:paraId="5C41CD8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(0.0153)</w:t>
            </w:r>
          </w:p>
        </w:tc>
        <w:tc>
          <w:tcPr>
            <w:tcW w:w="1373" w:type="dxa"/>
            <w:tcBorders>
              <w:top w:val="nil"/>
              <w:left w:val="nil"/>
              <w:bottom w:val="nil"/>
              <w:right w:val="nil"/>
            </w:tcBorders>
            <w:vAlign w:val="center"/>
          </w:tcPr>
          <w:p w14:paraId="637733D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(0.0162)</w:t>
            </w:r>
          </w:p>
        </w:tc>
        <w:tc>
          <w:tcPr>
            <w:tcW w:w="1374" w:type="dxa"/>
            <w:tcBorders>
              <w:top w:val="nil"/>
              <w:left w:val="nil"/>
              <w:bottom w:val="nil"/>
              <w:right w:val="nil"/>
            </w:tcBorders>
            <w:vAlign w:val="center"/>
          </w:tcPr>
          <w:p w14:paraId="6F0CEA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(0.00894)</w:t>
            </w:r>
          </w:p>
        </w:tc>
        <w:tc>
          <w:tcPr>
            <w:tcW w:w="1373" w:type="dxa"/>
            <w:tcBorders>
              <w:top w:val="nil"/>
              <w:left w:val="nil"/>
              <w:bottom w:val="nil"/>
              <w:right w:val="nil"/>
            </w:tcBorders>
            <w:vAlign w:val="center"/>
          </w:tcPr>
          <w:p w14:paraId="5D86012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(0.0482)</w:t>
            </w:r>
          </w:p>
        </w:tc>
        <w:tc>
          <w:tcPr>
            <w:tcW w:w="1374" w:type="dxa"/>
            <w:tcBorders>
              <w:top w:val="nil"/>
              <w:left w:val="nil"/>
              <w:bottom w:val="nil"/>
              <w:right w:val="nil"/>
            </w:tcBorders>
            <w:vAlign w:val="center"/>
          </w:tcPr>
          <w:p w14:paraId="78E6822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(0.0473)</w:t>
            </w:r>
          </w:p>
        </w:tc>
      </w:tr>
      <w:tr w:rsidR="0064611C" w:rsidRPr="00F14751" w14:paraId="69E2B592" w14:textId="77777777" w:rsidTr="006B126F">
        <w:trPr>
          <w:jc w:val="center"/>
        </w:trPr>
        <w:tc>
          <w:tcPr>
            <w:tcW w:w="1909" w:type="dxa"/>
            <w:tcBorders>
              <w:top w:val="nil"/>
              <w:left w:val="nil"/>
              <w:bottom w:val="nil"/>
              <w:right w:val="nil"/>
            </w:tcBorders>
            <w:vAlign w:val="center"/>
          </w:tcPr>
          <w:p w14:paraId="40B82D2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roofErr w:type="spellStart"/>
            <w:r w:rsidRPr="00F14751">
              <w:rPr>
                <w:rFonts w:ascii="Times New Roman" w:hAnsi="Times New Roman" w:cs="Times New Roman"/>
                <w:sz w:val="20"/>
                <w:szCs w:val="16"/>
              </w:rPr>
              <w:t>GDPgrowth</w:t>
            </w:r>
            <w:proofErr w:type="spellEnd"/>
          </w:p>
        </w:tc>
        <w:tc>
          <w:tcPr>
            <w:tcW w:w="1373" w:type="dxa"/>
            <w:tcBorders>
              <w:top w:val="nil"/>
              <w:left w:val="nil"/>
              <w:bottom w:val="nil"/>
              <w:right w:val="nil"/>
            </w:tcBorders>
            <w:vAlign w:val="center"/>
          </w:tcPr>
          <w:p w14:paraId="74A8D92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-0.00728</w:t>
            </w:r>
          </w:p>
        </w:tc>
        <w:tc>
          <w:tcPr>
            <w:tcW w:w="1373" w:type="dxa"/>
            <w:tcBorders>
              <w:top w:val="nil"/>
              <w:left w:val="nil"/>
              <w:bottom w:val="nil"/>
              <w:right w:val="nil"/>
            </w:tcBorders>
            <w:vAlign w:val="center"/>
          </w:tcPr>
          <w:p w14:paraId="0CA0936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-0.00116</w:t>
            </w:r>
          </w:p>
        </w:tc>
        <w:tc>
          <w:tcPr>
            <w:tcW w:w="1374" w:type="dxa"/>
            <w:tcBorders>
              <w:top w:val="nil"/>
              <w:left w:val="nil"/>
              <w:bottom w:val="nil"/>
              <w:right w:val="nil"/>
            </w:tcBorders>
            <w:vAlign w:val="center"/>
          </w:tcPr>
          <w:p w14:paraId="07439A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0.000704</w:t>
            </w:r>
          </w:p>
        </w:tc>
        <w:tc>
          <w:tcPr>
            <w:tcW w:w="1373" w:type="dxa"/>
            <w:tcBorders>
              <w:top w:val="nil"/>
              <w:left w:val="nil"/>
              <w:bottom w:val="nil"/>
              <w:right w:val="nil"/>
            </w:tcBorders>
            <w:vAlign w:val="center"/>
          </w:tcPr>
          <w:p w14:paraId="47808BA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-0.000454</w:t>
            </w:r>
          </w:p>
        </w:tc>
        <w:tc>
          <w:tcPr>
            <w:tcW w:w="1374" w:type="dxa"/>
            <w:tcBorders>
              <w:top w:val="nil"/>
              <w:left w:val="nil"/>
              <w:bottom w:val="nil"/>
              <w:right w:val="nil"/>
            </w:tcBorders>
            <w:vAlign w:val="center"/>
          </w:tcPr>
          <w:p w14:paraId="297B0ED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0.00123</w:t>
            </w:r>
          </w:p>
        </w:tc>
        <w:tc>
          <w:tcPr>
            <w:tcW w:w="1373" w:type="dxa"/>
            <w:tcBorders>
              <w:top w:val="nil"/>
              <w:left w:val="nil"/>
              <w:bottom w:val="nil"/>
              <w:right w:val="nil"/>
            </w:tcBorders>
            <w:vAlign w:val="center"/>
          </w:tcPr>
          <w:p w14:paraId="70F5214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0.00426</w:t>
            </w:r>
          </w:p>
        </w:tc>
        <w:tc>
          <w:tcPr>
            <w:tcW w:w="1373" w:type="dxa"/>
            <w:tcBorders>
              <w:top w:val="nil"/>
              <w:left w:val="nil"/>
              <w:bottom w:val="nil"/>
              <w:right w:val="nil"/>
            </w:tcBorders>
            <w:vAlign w:val="center"/>
          </w:tcPr>
          <w:p w14:paraId="070A6C1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0.00391</w:t>
            </w:r>
          </w:p>
        </w:tc>
        <w:tc>
          <w:tcPr>
            <w:tcW w:w="1374" w:type="dxa"/>
            <w:tcBorders>
              <w:top w:val="nil"/>
              <w:left w:val="nil"/>
              <w:bottom w:val="nil"/>
              <w:right w:val="nil"/>
            </w:tcBorders>
            <w:vAlign w:val="center"/>
          </w:tcPr>
          <w:p w14:paraId="35E1C3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0.00701</w:t>
            </w:r>
          </w:p>
        </w:tc>
        <w:tc>
          <w:tcPr>
            <w:tcW w:w="1373" w:type="dxa"/>
            <w:tcBorders>
              <w:top w:val="nil"/>
              <w:left w:val="nil"/>
              <w:bottom w:val="nil"/>
              <w:right w:val="nil"/>
            </w:tcBorders>
            <w:vAlign w:val="center"/>
          </w:tcPr>
          <w:p w14:paraId="311D112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-0.0159</w:t>
            </w:r>
          </w:p>
        </w:tc>
        <w:tc>
          <w:tcPr>
            <w:tcW w:w="1374" w:type="dxa"/>
            <w:tcBorders>
              <w:top w:val="nil"/>
              <w:left w:val="nil"/>
              <w:bottom w:val="nil"/>
              <w:right w:val="nil"/>
            </w:tcBorders>
            <w:vAlign w:val="center"/>
          </w:tcPr>
          <w:p w14:paraId="4327D35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-0.00894</w:t>
            </w:r>
          </w:p>
        </w:tc>
      </w:tr>
      <w:tr w:rsidR="0064611C" w:rsidRPr="00F14751" w14:paraId="3A5D3524" w14:textId="77777777" w:rsidTr="006B126F">
        <w:trPr>
          <w:jc w:val="center"/>
        </w:trPr>
        <w:tc>
          <w:tcPr>
            <w:tcW w:w="1909" w:type="dxa"/>
            <w:tcBorders>
              <w:top w:val="nil"/>
              <w:left w:val="nil"/>
              <w:bottom w:val="nil"/>
              <w:right w:val="nil"/>
            </w:tcBorders>
            <w:vAlign w:val="center"/>
          </w:tcPr>
          <w:p w14:paraId="395C988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3053470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(0.0313)</w:t>
            </w:r>
          </w:p>
        </w:tc>
        <w:tc>
          <w:tcPr>
            <w:tcW w:w="1373" w:type="dxa"/>
            <w:tcBorders>
              <w:top w:val="nil"/>
              <w:left w:val="nil"/>
              <w:bottom w:val="nil"/>
              <w:right w:val="nil"/>
            </w:tcBorders>
            <w:vAlign w:val="center"/>
          </w:tcPr>
          <w:p w14:paraId="05D7EFC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(0.00401)</w:t>
            </w:r>
          </w:p>
        </w:tc>
        <w:tc>
          <w:tcPr>
            <w:tcW w:w="1374" w:type="dxa"/>
            <w:tcBorders>
              <w:top w:val="nil"/>
              <w:left w:val="nil"/>
              <w:bottom w:val="nil"/>
              <w:right w:val="nil"/>
            </w:tcBorders>
            <w:vAlign w:val="center"/>
          </w:tcPr>
          <w:p w14:paraId="48161C7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(0.00408)</w:t>
            </w:r>
          </w:p>
        </w:tc>
        <w:tc>
          <w:tcPr>
            <w:tcW w:w="1373" w:type="dxa"/>
            <w:tcBorders>
              <w:top w:val="nil"/>
              <w:left w:val="nil"/>
              <w:bottom w:val="nil"/>
              <w:right w:val="nil"/>
            </w:tcBorders>
            <w:vAlign w:val="center"/>
          </w:tcPr>
          <w:p w14:paraId="134E575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(0.00406)</w:t>
            </w:r>
          </w:p>
        </w:tc>
        <w:tc>
          <w:tcPr>
            <w:tcW w:w="1374" w:type="dxa"/>
            <w:tcBorders>
              <w:top w:val="nil"/>
              <w:left w:val="nil"/>
              <w:bottom w:val="nil"/>
              <w:right w:val="nil"/>
            </w:tcBorders>
            <w:vAlign w:val="center"/>
          </w:tcPr>
          <w:p w14:paraId="3F79B6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(0.0114)</w:t>
            </w:r>
          </w:p>
        </w:tc>
        <w:tc>
          <w:tcPr>
            <w:tcW w:w="1373" w:type="dxa"/>
            <w:tcBorders>
              <w:top w:val="nil"/>
              <w:left w:val="nil"/>
              <w:bottom w:val="nil"/>
              <w:right w:val="nil"/>
            </w:tcBorders>
            <w:vAlign w:val="center"/>
          </w:tcPr>
          <w:p w14:paraId="3B5DAC3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(0.0110)</w:t>
            </w:r>
          </w:p>
        </w:tc>
        <w:tc>
          <w:tcPr>
            <w:tcW w:w="1373" w:type="dxa"/>
            <w:tcBorders>
              <w:top w:val="nil"/>
              <w:left w:val="nil"/>
              <w:bottom w:val="nil"/>
              <w:right w:val="nil"/>
            </w:tcBorders>
            <w:vAlign w:val="center"/>
          </w:tcPr>
          <w:p w14:paraId="13A4CE7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(0.00964)</w:t>
            </w:r>
          </w:p>
        </w:tc>
        <w:tc>
          <w:tcPr>
            <w:tcW w:w="1374" w:type="dxa"/>
            <w:tcBorders>
              <w:top w:val="nil"/>
              <w:left w:val="nil"/>
              <w:bottom w:val="nil"/>
              <w:right w:val="nil"/>
            </w:tcBorders>
            <w:vAlign w:val="center"/>
          </w:tcPr>
          <w:p w14:paraId="34926BB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(0.0102)</w:t>
            </w:r>
          </w:p>
        </w:tc>
        <w:tc>
          <w:tcPr>
            <w:tcW w:w="1373" w:type="dxa"/>
            <w:tcBorders>
              <w:top w:val="nil"/>
              <w:left w:val="nil"/>
              <w:bottom w:val="nil"/>
              <w:right w:val="nil"/>
            </w:tcBorders>
            <w:vAlign w:val="center"/>
          </w:tcPr>
          <w:p w14:paraId="703A872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(0.0303)</w:t>
            </w:r>
          </w:p>
        </w:tc>
        <w:tc>
          <w:tcPr>
            <w:tcW w:w="1374" w:type="dxa"/>
            <w:tcBorders>
              <w:top w:val="nil"/>
              <w:left w:val="nil"/>
              <w:bottom w:val="nil"/>
              <w:right w:val="nil"/>
            </w:tcBorders>
            <w:vAlign w:val="center"/>
          </w:tcPr>
          <w:p w14:paraId="105F7D7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(0.0295)</w:t>
            </w:r>
          </w:p>
        </w:tc>
      </w:tr>
      <w:tr w:rsidR="0064611C" w:rsidRPr="00F14751" w14:paraId="1568EF6D" w14:textId="77777777" w:rsidTr="006B126F">
        <w:trPr>
          <w:jc w:val="center"/>
        </w:trPr>
        <w:tc>
          <w:tcPr>
            <w:tcW w:w="1909" w:type="dxa"/>
            <w:tcBorders>
              <w:top w:val="nil"/>
              <w:left w:val="nil"/>
              <w:bottom w:val="nil"/>
              <w:right w:val="nil"/>
            </w:tcBorders>
            <w:vAlign w:val="center"/>
          </w:tcPr>
          <w:p w14:paraId="24CC8A0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School</w:t>
            </w:r>
          </w:p>
        </w:tc>
        <w:tc>
          <w:tcPr>
            <w:tcW w:w="1373" w:type="dxa"/>
            <w:tcBorders>
              <w:top w:val="nil"/>
              <w:left w:val="nil"/>
              <w:bottom w:val="nil"/>
              <w:right w:val="nil"/>
            </w:tcBorders>
            <w:vAlign w:val="center"/>
          </w:tcPr>
          <w:p w14:paraId="55D83A9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-3.869**</w:t>
            </w:r>
          </w:p>
        </w:tc>
        <w:tc>
          <w:tcPr>
            <w:tcW w:w="1373" w:type="dxa"/>
            <w:tcBorders>
              <w:top w:val="nil"/>
              <w:left w:val="nil"/>
              <w:bottom w:val="nil"/>
              <w:right w:val="nil"/>
            </w:tcBorders>
            <w:vAlign w:val="center"/>
          </w:tcPr>
          <w:p w14:paraId="634C52A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0.264</w:t>
            </w:r>
          </w:p>
        </w:tc>
        <w:tc>
          <w:tcPr>
            <w:tcW w:w="1374" w:type="dxa"/>
            <w:tcBorders>
              <w:top w:val="nil"/>
              <w:left w:val="nil"/>
              <w:bottom w:val="nil"/>
              <w:right w:val="nil"/>
            </w:tcBorders>
            <w:vAlign w:val="center"/>
          </w:tcPr>
          <w:p w14:paraId="020A9E9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0.309*</w:t>
            </w:r>
          </w:p>
        </w:tc>
        <w:tc>
          <w:tcPr>
            <w:tcW w:w="1373" w:type="dxa"/>
            <w:tcBorders>
              <w:top w:val="nil"/>
              <w:left w:val="nil"/>
              <w:bottom w:val="nil"/>
              <w:right w:val="nil"/>
            </w:tcBorders>
            <w:vAlign w:val="center"/>
          </w:tcPr>
          <w:p w14:paraId="6C71DD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0.572**</w:t>
            </w:r>
          </w:p>
        </w:tc>
        <w:tc>
          <w:tcPr>
            <w:tcW w:w="1374" w:type="dxa"/>
            <w:tcBorders>
              <w:top w:val="nil"/>
              <w:left w:val="nil"/>
              <w:bottom w:val="nil"/>
              <w:right w:val="nil"/>
            </w:tcBorders>
            <w:vAlign w:val="center"/>
          </w:tcPr>
          <w:p w14:paraId="67463DE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0.822</w:t>
            </w:r>
          </w:p>
        </w:tc>
        <w:tc>
          <w:tcPr>
            <w:tcW w:w="1373" w:type="dxa"/>
            <w:tcBorders>
              <w:top w:val="nil"/>
              <w:left w:val="nil"/>
              <w:bottom w:val="nil"/>
              <w:right w:val="nil"/>
            </w:tcBorders>
            <w:vAlign w:val="center"/>
          </w:tcPr>
          <w:p w14:paraId="0CC2E20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1.094*</w:t>
            </w:r>
          </w:p>
        </w:tc>
        <w:tc>
          <w:tcPr>
            <w:tcW w:w="1373" w:type="dxa"/>
            <w:tcBorders>
              <w:top w:val="nil"/>
              <w:left w:val="nil"/>
              <w:bottom w:val="nil"/>
              <w:right w:val="nil"/>
            </w:tcBorders>
            <w:vAlign w:val="center"/>
          </w:tcPr>
          <w:p w14:paraId="2B66D99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1.060**</w:t>
            </w:r>
          </w:p>
        </w:tc>
        <w:tc>
          <w:tcPr>
            <w:tcW w:w="1374" w:type="dxa"/>
            <w:tcBorders>
              <w:top w:val="nil"/>
              <w:left w:val="nil"/>
              <w:bottom w:val="nil"/>
              <w:right w:val="nil"/>
            </w:tcBorders>
            <w:vAlign w:val="center"/>
          </w:tcPr>
          <w:p w14:paraId="23B6AA5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0.260</w:t>
            </w:r>
          </w:p>
        </w:tc>
        <w:tc>
          <w:tcPr>
            <w:tcW w:w="1373" w:type="dxa"/>
            <w:tcBorders>
              <w:top w:val="nil"/>
              <w:left w:val="nil"/>
              <w:bottom w:val="nil"/>
              <w:right w:val="nil"/>
            </w:tcBorders>
            <w:vAlign w:val="center"/>
          </w:tcPr>
          <w:p w14:paraId="31B254D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-3.808**</w:t>
            </w:r>
          </w:p>
        </w:tc>
        <w:tc>
          <w:tcPr>
            <w:tcW w:w="1374" w:type="dxa"/>
            <w:tcBorders>
              <w:top w:val="nil"/>
              <w:left w:val="nil"/>
              <w:bottom w:val="nil"/>
              <w:right w:val="nil"/>
            </w:tcBorders>
            <w:vAlign w:val="center"/>
          </w:tcPr>
          <w:p w14:paraId="216E095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-3.548**</w:t>
            </w:r>
          </w:p>
        </w:tc>
      </w:tr>
      <w:tr w:rsidR="0064611C" w:rsidRPr="00F14751" w14:paraId="7B1633E8" w14:textId="77777777" w:rsidTr="006B126F">
        <w:trPr>
          <w:jc w:val="center"/>
        </w:trPr>
        <w:tc>
          <w:tcPr>
            <w:tcW w:w="1909" w:type="dxa"/>
            <w:tcBorders>
              <w:top w:val="nil"/>
              <w:left w:val="nil"/>
              <w:bottom w:val="nil"/>
              <w:right w:val="nil"/>
            </w:tcBorders>
            <w:vAlign w:val="center"/>
          </w:tcPr>
          <w:p w14:paraId="75B5F18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5FFEB1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(1.259)</w:t>
            </w:r>
          </w:p>
        </w:tc>
        <w:tc>
          <w:tcPr>
            <w:tcW w:w="1373" w:type="dxa"/>
            <w:tcBorders>
              <w:top w:val="nil"/>
              <w:left w:val="nil"/>
              <w:bottom w:val="nil"/>
              <w:right w:val="nil"/>
            </w:tcBorders>
            <w:vAlign w:val="center"/>
          </w:tcPr>
          <w:p w14:paraId="48EFAB8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(0.134)</w:t>
            </w:r>
          </w:p>
        </w:tc>
        <w:tc>
          <w:tcPr>
            <w:tcW w:w="1374" w:type="dxa"/>
            <w:tcBorders>
              <w:top w:val="nil"/>
              <w:left w:val="nil"/>
              <w:bottom w:val="nil"/>
              <w:right w:val="nil"/>
            </w:tcBorders>
            <w:vAlign w:val="center"/>
          </w:tcPr>
          <w:p w14:paraId="2D93F9F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(0.143)</w:t>
            </w:r>
          </w:p>
        </w:tc>
        <w:tc>
          <w:tcPr>
            <w:tcW w:w="1373" w:type="dxa"/>
            <w:tcBorders>
              <w:top w:val="nil"/>
              <w:left w:val="nil"/>
              <w:bottom w:val="nil"/>
              <w:right w:val="nil"/>
            </w:tcBorders>
            <w:vAlign w:val="center"/>
          </w:tcPr>
          <w:p w14:paraId="20E93AB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(0.167)</w:t>
            </w:r>
          </w:p>
        </w:tc>
        <w:tc>
          <w:tcPr>
            <w:tcW w:w="1374" w:type="dxa"/>
            <w:tcBorders>
              <w:top w:val="nil"/>
              <w:left w:val="nil"/>
              <w:bottom w:val="nil"/>
              <w:right w:val="nil"/>
            </w:tcBorders>
            <w:vAlign w:val="center"/>
          </w:tcPr>
          <w:p w14:paraId="2E7F65D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(0.430)</w:t>
            </w:r>
          </w:p>
        </w:tc>
        <w:tc>
          <w:tcPr>
            <w:tcW w:w="1373" w:type="dxa"/>
            <w:tcBorders>
              <w:top w:val="nil"/>
              <w:left w:val="nil"/>
              <w:bottom w:val="nil"/>
              <w:right w:val="nil"/>
            </w:tcBorders>
            <w:vAlign w:val="center"/>
          </w:tcPr>
          <w:p w14:paraId="6872A24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(0.436)</w:t>
            </w:r>
          </w:p>
        </w:tc>
        <w:tc>
          <w:tcPr>
            <w:tcW w:w="1373" w:type="dxa"/>
            <w:tcBorders>
              <w:top w:val="nil"/>
              <w:left w:val="nil"/>
              <w:bottom w:val="nil"/>
              <w:right w:val="nil"/>
            </w:tcBorders>
            <w:vAlign w:val="center"/>
          </w:tcPr>
          <w:p w14:paraId="10C847F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(0.259)</w:t>
            </w:r>
          </w:p>
        </w:tc>
        <w:tc>
          <w:tcPr>
            <w:tcW w:w="1374" w:type="dxa"/>
            <w:tcBorders>
              <w:top w:val="nil"/>
              <w:left w:val="nil"/>
              <w:bottom w:val="nil"/>
              <w:right w:val="nil"/>
            </w:tcBorders>
            <w:vAlign w:val="center"/>
          </w:tcPr>
          <w:p w14:paraId="6E7DEE8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(0.296)</w:t>
            </w:r>
          </w:p>
        </w:tc>
        <w:tc>
          <w:tcPr>
            <w:tcW w:w="1373" w:type="dxa"/>
            <w:tcBorders>
              <w:top w:val="nil"/>
              <w:left w:val="nil"/>
              <w:bottom w:val="nil"/>
              <w:right w:val="nil"/>
            </w:tcBorders>
            <w:vAlign w:val="center"/>
          </w:tcPr>
          <w:p w14:paraId="703581E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(1.108)</w:t>
            </w:r>
          </w:p>
        </w:tc>
        <w:tc>
          <w:tcPr>
            <w:tcW w:w="1374" w:type="dxa"/>
            <w:tcBorders>
              <w:top w:val="nil"/>
              <w:left w:val="nil"/>
              <w:bottom w:val="nil"/>
              <w:right w:val="nil"/>
            </w:tcBorders>
            <w:vAlign w:val="center"/>
          </w:tcPr>
          <w:p w14:paraId="4FC6076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(1.189)</w:t>
            </w:r>
          </w:p>
        </w:tc>
      </w:tr>
      <w:tr w:rsidR="0064611C" w:rsidRPr="00F14751" w14:paraId="66884890" w14:textId="77777777" w:rsidTr="006B126F">
        <w:trPr>
          <w:jc w:val="center"/>
        </w:trPr>
        <w:tc>
          <w:tcPr>
            <w:tcW w:w="1909" w:type="dxa"/>
            <w:tcBorders>
              <w:top w:val="nil"/>
              <w:left w:val="nil"/>
              <w:bottom w:val="nil"/>
              <w:right w:val="nil"/>
            </w:tcBorders>
            <w:vAlign w:val="center"/>
          </w:tcPr>
          <w:p w14:paraId="1DD24E6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Death</w:t>
            </w:r>
          </w:p>
        </w:tc>
        <w:tc>
          <w:tcPr>
            <w:tcW w:w="1373" w:type="dxa"/>
            <w:tcBorders>
              <w:top w:val="nil"/>
              <w:left w:val="nil"/>
              <w:bottom w:val="nil"/>
              <w:right w:val="nil"/>
            </w:tcBorders>
            <w:vAlign w:val="center"/>
          </w:tcPr>
          <w:p w14:paraId="2816C0D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-0.565</w:t>
            </w:r>
          </w:p>
        </w:tc>
        <w:tc>
          <w:tcPr>
            <w:tcW w:w="1373" w:type="dxa"/>
            <w:tcBorders>
              <w:top w:val="nil"/>
              <w:left w:val="nil"/>
              <w:bottom w:val="nil"/>
              <w:right w:val="nil"/>
            </w:tcBorders>
            <w:vAlign w:val="center"/>
          </w:tcPr>
          <w:p w14:paraId="0BF03EB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0.493</w:t>
            </w:r>
          </w:p>
        </w:tc>
        <w:tc>
          <w:tcPr>
            <w:tcW w:w="1374" w:type="dxa"/>
            <w:tcBorders>
              <w:top w:val="nil"/>
              <w:left w:val="nil"/>
              <w:bottom w:val="nil"/>
              <w:right w:val="nil"/>
            </w:tcBorders>
            <w:vAlign w:val="center"/>
          </w:tcPr>
          <w:p w14:paraId="1AA2A0B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0.383</w:t>
            </w:r>
          </w:p>
        </w:tc>
        <w:tc>
          <w:tcPr>
            <w:tcW w:w="1373" w:type="dxa"/>
            <w:tcBorders>
              <w:top w:val="nil"/>
              <w:left w:val="nil"/>
              <w:bottom w:val="nil"/>
              <w:right w:val="nil"/>
            </w:tcBorders>
            <w:vAlign w:val="center"/>
          </w:tcPr>
          <w:p w14:paraId="6BFC42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0.876</w:t>
            </w:r>
          </w:p>
        </w:tc>
        <w:tc>
          <w:tcPr>
            <w:tcW w:w="1374" w:type="dxa"/>
            <w:tcBorders>
              <w:top w:val="nil"/>
              <w:left w:val="nil"/>
              <w:bottom w:val="nil"/>
              <w:right w:val="nil"/>
            </w:tcBorders>
            <w:vAlign w:val="center"/>
          </w:tcPr>
          <w:p w14:paraId="4798C6E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0.168</w:t>
            </w:r>
          </w:p>
        </w:tc>
        <w:tc>
          <w:tcPr>
            <w:tcW w:w="1373" w:type="dxa"/>
            <w:tcBorders>
              <w:top w:val="nil"/>
              <w:left w:val="nil"/>
              <w:bottom w:val="nil"/>
              <w:right w:val="nil"/>
            </w:tcBorders>
            <w:vAlign w:val="center"/>
          </w:tcPr>
          <w:p w14:paraId="4B12F34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-0.614</w:t>
            </w:r>
          </w:p>
        </w:tc>
        <w:tc>
          <w:tcPr>
            <w:tcW w:w="1373" w:type="dxa"/>
            <w:tcBorders>
              <w:top w:val="nil"/>
              <w:left w:val="nil"/>
              <w:bottom w:val="nil"/>
              <w:right w:val="nil"/>
            </w:tcBorders>
            <w:vAlign w:val="center"/>
          </w:tcPr>
          <w:p w14:paraId="310B5AC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-1.285</w:t>
            </w:r>
          </w:p>
        </w:tc>
        <w:tc>
          <w:tcPr>
            <w:tcW w:w="1374" w:type="dxa"/>
            <w:tcBorders>
              <w:top w:val="nil"/>
              <w:left w:val="nil"/>
              <w:bottom w:val="nil"/>
              <w:right w:val="nil"/>
            </w:tcBorders>
            <w:vAlign w:val="center"/>
          </w:tcPr>
          <w:p w14:paraId="1BA5A34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-0.172</w:t>
            </w:r>
          </w:p>
        </w:tc>
        <w:tc>
          <w:tcPr>
            <w:tcW w:w="1373" w:type="dxa"/>
            <w:tcBorders>
              <w:top w:val="nil"/>
              <w:left w:val="nil"/>
              <w:bottom w:val="nil"/>
              <w:right w:val="nil"/>
            </w:tcBorders>
            <w:vAlign w:val="center"/>
          </w:tcPr>
          <w:p w14:paraId="3C75129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1.027</w:t>
            </w:r>
          </w:p>
        </w:tc>
        <w:tc>
          <w:tcPr>
            <w:tcW w:w="1374" w:type="dxa"/>
            <w:tcBorders>
              <w:top w:val="nil"/>
              <w:left w:val="nil"/>
              <w:bottom w:val="nil"/>
              <w:right w:val="nil"/>
            </w:tcBorders>
            <w:vAlign w:val="center"/>
          </w:tcPr>
          <w:p w14:paraId="7255F44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0.855</w:t>
            </w:r>
          </w:p>
        </w:tc>
      </w:tr>
      <w:tr w:rsidR="0064611C" w:rsidRPr="00F14751" w14:paraId="7C21E7B2" w14:textId="77777777" w:rsidTr="006B126F">
        <w:trPr>
          <w:jc w:val="center"/>
        </w:trPr>
        <w:tc>
          <w:tcPr>
            <w:tcW w:w="1909" w:type="dxa"/>
            <w:tcBorders>
              <w:top w:val="nil"/>
              <w:left w:val="nil"/>
              <w:bottom w:val="nil"/>
              <w:right w:val="nil"/>
            </w:tcBorders>
            <w:vAlign w:val="center"/>
          </w:tcPr>
          <w:p w14:paraId="1554AC5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6C6401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(2.206)</w:t>
            </w:r>
          </w:p>
        </w:tc>
        <w:tc>
          <w:tcPr>
            <w:tcW w:w="1373" w:type="dxa"/>
            <w:tcBorders>
              <w:top w:val="nil"/>
              <w:left w:val="nil"/>
              <w:bottom w:val="nil"/>
              <w:right w:val="nil"/>
            </w:tcBorders>
            <w:vAlign w:val="center"/>
          </w:tcPr>
          <w:p w14:paraId="539CAC2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(0.249)</w:t>
            </w:r>
          </w:p>
        </w:tc>
        <w:tc>
          <w:tcPr>
            <w:tcW w:w="1374" w:type="dxa"/>
            <w:tcBorders>
              <w:top w:val="nil"/>
              <w:left w:val="nil"/>
              <w:bottom w:val="nil"/>
              <w:right w:val="nil"/>
            </w:tcBorders>
            <w:vAlign w:val="center"/>
          </w:tcPr>
          <w:p w14:paraId="3C845E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(0.327)</w:t>
            </w:r>
          </w:p>
        </w:tc>
        <w:tc>
          <w:tcPr>
            <w:tcW w:w="1373" w:type="dxa"/>
            <w:tcBorders>
              <w:top w:val="nil"/>
              <w:left w:val="nil"/>
              <w:bottom w:val="nil"/>
              <w:right w:val="nil"/>
            </w:tcBorders>
            <w:vAlign w:val="center"/>
          </w:tcPr>
          <w:p w14:paraId="3D287A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(0.556)</w:t>
            </w:r>
          </w:p>
        </w:tc>
        <w:tc>
          <w:tcPr>
            <w:tcW w:w="1374" w:type="dxa"/>
            <w:tcBorders>
              <w:top w:val="nil"/>
              <w:left w:val="nil"/>
              <w:bottom w:val="nil"/>
              <w:right w:val="nil"/>
            </w:tcBorders>
            <w:vAlign w:val="center"/>
          </w:tcPr>
          <w:p w14:paraId="54F561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(0.652)</w:t>
            </w:r>
          </w:p>
        </w:tc>
        <w:tc>
          <w:tcPr>
            <w:tcW w:w="1373" w:type="dxa"/>
            <w:tcBorders>
              <w:top w:val="nil"/>
              <w:left w:val="nil"/>
              <w:bottom w:val="nil"/>
              <w:right w:val="nil"/>
            </w:tcBorders>
            <w:vAlign w:val="center"/>
          </w:tcPr>
          <w:p w14:paraId="64A2DFF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(0.535)</w:t>
            </w:r>
          </w:p>
        </w:tc>
        <w:tc>
          <w:tcPr>
            <w:tcW w:w="1373" w:type="dxa"/>
            <w:tcBorders>
              <w:top w:val="nil"/>
              <w:left w:val="nil"/>
              <w:bottom w:val="nil"/>
              <w:right w:val="nil"/>
            </w:tcBorders>
            <w:vAlign w:val="center"/>
          </w:tcPr>
          <w:p w14:paraId="5777503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(0.672)</w:t>
            </w:r>
          </w:p>
        </w:tc>
        <w:tc>
          <w:tcPr>
            <w:tcW w:w="1374" w:type="dxa"/>
            <w:tcBorders>
              <w:top w:val="nil"/>
              <w:left w:val="nil"/>
              <w:bottom w:val="nil"/>
              <w:right w:val="nil"/>
            </w:tcBorders>
            <w:vAlign w:val="center"/>
          </w:tcPr>
          <w:p w14:paraId="174D12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(0.446)</w:t>
            </w:r>
          </w:p>
        </w:tc>
        <w:tc>
          <w:tcPr>
            <w:tcW w:w="1373" w:type="dxa"/>
            <w:tcBorders>
              <w:top w:val="nil"/>
              <w:left w:val="nil"/>
              <w:bottom w:val="nil"/>
              <w:right w:val="nil"/>
            </w:tcBorders>
            <w:vAlign w:val="center"/>
          </w:tcPr>
          <w:p w14:paraId="02B8FA9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(1.685)</w:t>
            </w:r>
          </w:p>
        </w:tc>
        <w:tc>
          <w:tcPr>
            <w:tcW w:w="1374" w:type="dxa"/>
            <w:tcBorders>
              <w:top w:val="nil"/>
              <w:left w:val="nil"/>
              <w:bottom w:val="nil"/>
              <w:right w:val="nil"/>
            </w:tcBorders>
            <w:vAlign w:val="center"/>
          </w:tcPr>
          <w:p w14:paraId="0D727C9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(1.698)</w:t>
            </w:r>
          </w:p>
        </w:tc>
      </w:tr>
      <w:tr w:rsidR="0064611C" w:rsidRPr="00F14751" w14:paraId="66DD0D97" w14:textId="77777777" w:rsidTr="006B126F">
        <w:trPr>
          <w:jc w:val="center"/>
        </w:trPr>
        <w:tc>
          <w:tcPr>
            <w:tcW w:w="1909" w:type="dxa"/>
            <w:tcBorders>
              <w:top w:val="nil"/>
              <w:left w:val="nil"/>
              <w:bottom w:val="nil"/>
              <w:right w:val="nil"/>
            </w:tcBorders>
            <w:vAlign w:val="center"/>
          </w:tcPr>
          <w:p w14:paraId="3BC295C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roofErr w:type="spellStart"/>
            <w:r w:rsidRPr="00F14751">
              <w:rPr>
                <w:rFonts w:ascii="Times New Roman" w:hAnsi="Times New Roman" w:cs="Times New Roman"/>
                <w:sz w:val="20"/>
                <w:szCs w:val="16"/>
              </w:rPr>
              <w:t>UrbanPopgrowth</w:t>
            </w:r>
            <w:proofErr w:type="spellEnd"/>
          </w:p>
        </w:tc>
        <w:tc>
          <w:tcPr>
            <w:tcW w:w="1373" w:type="dxa"/>
            <w:tcBorders>
              <w:top w:val="nil"/>
              <w:left w:val="nil"/>
              <w:bottom w:val="nil"/>
              <w:right w:val="nil"/>
            </w:tcBorders>
            <w:vAlign w:val="center"/>
          </w:tcPr>
          <w:p w14:paraId="32F8750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1.944**</w:t>
            </w:r>
          </w:p>
        </w:tc>
        <w:tc>
          <w:tcPr>
            <w:tcW w:w="1373" w:type="dxa"/>
            <w:tcBorders>
              <w:top w:val="nil"/>
              <w:left w:val="nil"/>
              <w:bottom w:val="nil"/>
              <w:right w:val="nil"/>
            </w:tcBorders>
            <w:vAlign w:val="center"/>
          </w:tcPr>
          <w:p w14:paraId="00ADFB1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-0.186*</w:t>
            </w:r>
          </w:p>
        </w:tc>
        <w:tc>
          <w:tcPr>
            <w:tcW w:w="1374" w:type="dxa"/>
            <w:tcBorders>
              <w:top w:val="nil"/>
              <w:left w:val="nil"/>
              <w:bottom w:val="nil"/>
              <w:right w:val="nil"/>
            </w:tcBorders>
            <w:vAlign w:val="center"/>
          </w:tcPr>
          <w:p w14:paraId="2D87472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-0.153</w:t>
            </w:r>
          </w:p>
        </w:tc>
        <w:tc>
          <w:tcPr>
            <w:tcW w:w="1373" w:type="dxa"/>
            <w:tcBorders>
              <w:top w:val="nil"/>
              <w:left w:val="nil"/>
              <w:bottom w:val="nil"/>
              <w:right w:val="nil"/>
            </w:tcBorders>
            <w:vAlign w:val="center"/>
          </w:tcPr>
          <w:p w14:paraId="39C15E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-0.339</w:t>
            </w:r>
          </w:p>
        </w:tc>
        <w:tc>
          <w:tcPr>
            <w:tcW w:w="1374" w:type="dxa"/>
            <w:tcBorders>
              <w:top w:val="nil"/>
              <w:left w:val="nil"/>
              <w:bottom w:val="nil"/>
              <w:right w:val="nil"/>
            </w:tcBorders>
            <w:vAlign w:val="center"/>
          </w:tcPr>
          <w:p w14:paraId="4A5F27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-0.389</w:t>
            </w:r>
          </w:p>
        </w:tc>
        <w:tc>
          <w:tcPr>
            <w:tcW w:w="1373" w:type="dxa"/>
            <w:tcBorders>
              <w:top w:val="nil"/>
              <w:left w:val="nil"/>
              <w:bottom w:val="nil"/>
              <w:right w:val="nil"/>
            </w:tcBorders>
            <w:vAlign w:val="center"/>
          </w:tcPr>
          <w:p w14:paraId="3F68B7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-0.559**</w:t>
            </w:r>
          </w:p>
        </w:tc>
        <w:tc>
          <w:tcPr>
            <w:tcW w:w="1373" w:type="dxa"/>
            <w:tcBorders>
              <w:top w:val="nil"/>
              <w:left w:val="nil"/>
              <w:bottom w:val="nil"/>
              <w:right w:val="nil"/>
            </w:tcBorders>
            <w:vAlign w:val="center"/>
          </w:tcPr>
          <w:p w14:paraId="2F5BE91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-0.547***</w:t>
            </w:r>
          </w:p>
        </w:tc>
        <w:tc>
          <w:tcPr>
            <w:tcW w:w="1374" w:type="dxa"/>
            <w:tcBorders>
              <w:top w:val="nil"/>
              <w:left w:val="nil"/>
              <w:bottom w:val="nil"/>
              <w:right w:val="nil"/>
            </w:tcBorders>
            <w:vAlign w:val="center"/>
          </w:tcPr>
          <w:p w14:paraId="74096D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0.00261</w:t>
            </w:r>
          </w:p>
        </w:tc>
        <w:tc>
          <w:tcPr>
            <w:tcW w:w="1373" w:type="dxa"/>
            <w:tcBorders>
              <w:top w:val="nil"/>
              <w:left w:val="nil"/>
              <w:bottom w:val="nil"/>
              <w:right w:val="nil"/>
            </w:tcBorders>
            <w:vAlign w:val="center"/>
          </w:tcPr>
          <w:p w14:paraId="28C21FC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1.832**</w:t>
            </w:r>
          </w:p>
        </w:tc>
        <w:tc>
          <w:tcPr>
            <w:tcW w:w="1374" w:type="dxa"/>
            <w:tcBorders>
              <w:top w:val="nil"/>
              <w:left w:val="nil"/>
              <w:bottom w:val="nil"/>
              <w:right w:val="nil"/>
            </w:tcBorders>
            <w:vAlign w:val="center"/>
          </w:tcPr>
          <w:p w14:paraId="3A4AE91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1.835**</w:t>
            </w:r>
          </w:p>
        </w:tc>
      </w:tr>
      <w:tr w:rsidR="0064611C" w:rsidRPr="00F14751" w14:paraId="7A6C8415" w14:textId="77777777" w:rsidTr="006B126F">
        <w:trPr>
          <w:jc w:val="center"/>
        </w:trPr>
        <w:tc>
          <w:tcPr>
            <w:tcW w:w="1909" w:type="dxa"/>
            <w:tcBorders>
              <w:top w:val="nil"/>
              <w:left w:val="nil"/>
              <w:bottom w:val="nil"/>
              <w:right w:val="nil"/>
            </w:tcBorders>
            <w:vAlign w:val="center"/>
          </w:tcPr>
          <w:p w14:paraId="495F4BD2"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67EC9B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(0.692)</w:t>
            </w:r>
          </w:p>
        </w:tc>
        <w:tc>
          <w:tcPr>
            <w:tcW w:w="1373" w:type="dxa"/>
            <w:tcBorders>
              <w:top w:val="nil"/>
              <w:left w:val="nil"/>
              <w:bottom w:val="nil"/>
              <w:right w:val="nil"/>
            </w:tcBorders>
            <w:vAlign w:val="center"/>
          </w:tcPr>
          <w:p w14:paraId="7B1DBE6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(0.0695)</w:t>
            </w:r>
          </w:p>
        </w:tc>
        <w:tc>
          <w:tcPr>
            <w:tcW w:w="1374" w:type="dxa"/>
            <w:tcBorders>
              <w:top w:val="nil"/>
              <w:left w:val="nil"/>
              <w:bottom w:val="nil"/>
              <w:right w:val="nil"/>
            </w:tcBorders>
            <w:vAlign w:val="center"/>
          </w:tcPr>
          <w:p w14:paraId="3F1F2F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(0.107)</w:t>
            </w:r>
          </w:p>
        </w:tc>
        <w:tc>
          <w:tcPr>
            <w:tcW w:w="1373" w:type="dxa"/>
            <w:tcBorders>
              <w:top w:val="nil"/>
              <w:left w:val="nil"/>
              <w:bottom w:val="nil"/>
              <w:right w:val="nil"/>
            </w:tcBorders>
            <w:vAlign w:val="center"/>
          </w:tcPr>
          <w:p w14:paraId="2A6905F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(0.173)</w:t>
            </w:r>
          </w:p>
        </w:tc>
        <w:tc>
          <w:tcPr>
            <w:tcW w:w="1374" w:type="dxa"/>
            <w:tcBorders>
              <w:top w:val="nil"/>
              <w:left w:val="nil"/>
              <w:bottom w:val="nil"/>
              <w:right w:val="nil"/>
            </w:tcBorders>
            <w:vAlign w:val="center"/>
          </w:tcPr>
          <w:p w14:paraId="1A17706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(0.216)</w:t>
            </w:r>
          </w:p>
        </w:tc>
        <w:tc>
          <w:tcPr>
            <w:tcW w:w="1373" w:type="dxa"/>
            <w:tcBorders>
              <w:top w:val="nil"/>
              <w:left w:val="nil"/>
              <w:bottom w:val="nil"/>
              <w:right w:val="nil"/>
            </w:tcBorders>
            <w:vAlign w:val="center"/>
          </w:tcPr>
          <w:p w14:paraId="10403A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(0.138)</w:t>
            </w:r>
          </w:p>
        </w:tc>
        <w:tc>
          <w:tcPr>
            <w:tcW w:w="1373" w:type="dxa"/>
            <w:tcBorders>
              <w:top w:val="nil"/>
              <w:left w:val="nil"/>
              <w:bottom w:val="nil"/>
              <w:right w:val="nil"/>
            </w:tcBorders>
            <w:vAlign w:val="center"/>
          </w:tcPr>
          <w:p w14:paraId="0B037A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(0.106)</w:t>
            </w:r>
          </w:p>
        </w:tc>
        <w:tc>
          <w:tcPr>
            <w:tcW w:w="1374" w:type="dxa"/>
            <w:tcBorders>
              <w:top w:val="nil"/>
              <w:left w:val="nil"/>
              <w:bottom w:val="nil"/>
              <w:right w:val="nil"/>
            </w:tcBorders>
            <w:vAlign w:val="center"/>
          </w:tcPr>
          <w:p w14:paraId="1F85310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(0.162)</w:t>
            </w:r>
          </w:p>
        </w:tc>
        <w:tc>
          <w:tcPr>
            <w:tcW w:w="1373" w:type="dxa"/>
            <w:tcBorders>
              <w:top w:val="nil"/>
              <w:left w:val="nil"/>
              <w:bottom w:val="nil"/>
              <w:right w:val="nil"/>
            </w:tcBorders>
            <w:vAlign w:val="center"/>
          </w:tcPr>
          <w:p w14:paraId="53B5F97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(0.438)</w:t>
            </w:r>
          </w:p>
        </w:tc>
        <w:tc>
          <w:tcPr>
            <w:tcW w:w="1374" w:type="dxa"/>
            <w:tcBorders>
              <w:top w:val="nil"/>
              <w:left w:val="nil"/>
              <w:bottom w:val="nil"/>
              <w:right w:val="nil"/>
            </w:tcBorders>
            <w:vAlign w:val="center"/>
          </w:tcPr>
          <w:p w14:paraId="0730E92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(0.517)</w:t>
            </w:r>
          </w:p>
        </w:tc>
      </w:tr>
      <w:tr w:rsidR="0064611C" w:rsidRPr="00F14751" w14:paraId="7E9300FE" w14:textId="77777777" w:rsidTr="006B126F">
        <w:trPr>
          <w:jc w:val="center"/>
        </w:trPr>
        <w:tc>
          <w:tcPr>
            <w:tcW w:w="1909" w:type="dxa"/>
            <w:tcBorders>
              <w:top w:val="nil"/>
              <w:left w:val="nil"/>
              <w:bottom w:val="nil"/>
              <w:right w:val="nil"/>
            </w:tcBorders>
            <w:vAlign w:val="center"/>
          </w:tcPr>
          <w:p w14:paraId="3014057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Mercosur</w:t>
            </w:r>
          </w:p>
        </w:tc>
        <w:tc>
          <w:tcPr>
            <w:tcW w:w="1373" w:type="dxa"/>
            <w:tcBorders>
              <w:top w:val="nil"/>
              <w:left w:val="nil"/>
              <w:bottom w:val="nil"/>
              <w:right w:val="nil"/>
            </w:tcBorders>
            <w:vAlign w:val="center"/>
          </w:tcPr>
          <w:p w14:paraId="0B21F5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-1.635</w:t>
            </w:r>
          </w:p>
        </w:tc>
        <w:tc>
          <w:tcPr>
            <w:tcW w:w="1373" w:type="dxa"/>
            <w:tcBorders>
              <w:top w:val="nil"/>
              <w:left w:val="nil"/>
              <w:bottom w:val="nil"/>
              <w:right w:val="nil"/>
            </w:tcBorders>
            <w:vAlign w:val="center"/>
          </w:tcPr>
          <w:p w14:paraId="30CC73B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-0.507***</w:t>
            </w:r>
          </w:p>
        </w:tc>
        <w:tc>
          <w:tcPr>
            <w:tcW w:w="1374" w:type="dxa"/>
            <w:tcBorders>
              <w:top w:val="nil"/>
              <w:left w:val="nil"/>
              <w:bottom w:val="nil"/>
              <w:right w:val="nil"/>
            </w:tcBorders>
            <w:vAlign w:val="center"/>
          </w:tcPr>
          <w:p w14:paraId="2E80578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0.0389</w:t>
            </w:r>
          </w:p>
        </w:tc>
        <w:tc>
          <w:tcPr>
            <w:tcW w:w="1373" w:type="dxa"/>
            <w:tcBorders>
              <w:top w:val="nil"/>
              <w:left w:val="nil"/>
              <w:bottom w:val="nil"/>
              <w:right w:val="nil"/>
            </w:tcBorders>
            <w:vAlign w:val="center"/>
          </w:tcPr>
          <w:p w14:paraId="0CA9946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-0.468</w:t>
            </w:r>
          </w:p>
        </w:tc>
        <w:tc>
          <w:tcPr>
            <w:tcW w:w="1374" w:type="dxa"/>
            <w:tcBorders>
              <w:top w:val="nil"/>
              <w:left w:val="nil"/>
              <w:bottom w:val="nil"/>
              <w:right w:val="nil"/>
            </w:tcBorders>
            <w:vAlign w:val="center"/>
          </w:tcPr>
          <w:p w14:paraId="60B00C0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0.506</w:t>
            </w:r>
          </w:p>
        </w:tc>
        <w:tc>
          <w:tcPr>
            <w:tcW w:w="1373" w:type="dxa"/>
            <w:tcBorders>
              <w:top w:val="nil"/>
              <w:left w:val="nil"/>
              <w:bottom w:val="nil"/>
              <w:right w:val="nil"/>
            </w:tcBorders>
            <w:vAlign w:val="center"/>
          </w:tcPr>
          <w:p w14:paraId="5CC9B6F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0.991</w:t>
            </w:r>
          </w:p>
        </w:tc>
        <w:tc>
          <w:tcPr>
            <w:tcW w:w="1373" w:type="dxa"/>
            <w:tcBorders>
              <w:top w:val="nil"/>
              <w:left w:val="nil"/>
              <w:bottom w:val="nil"/>
              <w:right w:val="nil"/>
            </w:tcBorders>
            <w:vAlign w:val="center"/>
          </w:tcPr>
          <w:p w14:paraId="417C0BF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1.052</w:t>
            </w:r>
          </w:p>
        </w:tc>
        <w:tc>
          <w:tcPr>
            <w:tcW w:w="1374" w:type="dxa"/>
            <w:tcBorders>
              <w:top w:val="nil"/>
              <w:left w:val="nil"/>
              <w:bottom w:val="nil"/>
              <w:right w:val="nil"/>
            </w:tcBorders>
            <w:vAlign w:val="center"/>
          </w:tcPr>
          <w:p w14:paraId="4EE33F4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0.664</w:t>
            </w:r>
          </w:p>
        </w:tc>
        <w:tc>
          <w:tcPr>
            <w:tcW w:w="1373" w:type="dxa"/>
            <w:tcBorders>
              <w:top w:val="nil"/>
              <w:left w:val="nil"/>
              <w:bottom w:val="nil"/>
              <w:right w:val="nil"/>
            </w:tcBorders>
            <w:vAlign w:val="center"/>
          </w:tcPr>
          <w:p w14:paraId="7F000E2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-2.745</w:t>
            </w:r>
          </w:p>
        </w:tc>
        <w:tc>
          <w:tcPr>
            <w:tcW w:w="1374" w:type="dxa"/>
            <w:tcBorders>
              <w:top w:val="nil"/>
              <w:left w:val="nil"/>
              <w:bottom w:val="nil"/>
              <w:right w:val="nil"/>
            </w:tcBorders>
            <w:vAlign w:val="center"/>
          </w:tcPr>
          <w:p w14:paraId="402C4D0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-2.080</w:t>
            </w:r>
          </w:p>
        </w:tc>
      </w:tr>
      <w:tr w:rsidR="0064611C" w:rsidRPr="00F14751" w14:paraId="697CBA25" w14:textId="77777777" w:rsidTr="006B126F">
        <w:trPr>
          <w:jc w:val="center"/>
        </w:trPr>
        <w:tc>
          <w:tcPr>
            <w:tcW w:w="1909" w:type="dxa"/>
            <w:tcBorders>
              <w:top w:val="nil"/>
              <w:left w:val="nil"/>
              <w:bottom w:val="nil"/>
              <w:right w:val="nil"/>
            </w:tcBorders>
            <w:vAlign w:val="center"/>
          </w:tcPr>
          <w:p w14:paraId="689A041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779C9F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(1.957)</w:t>
            </w:r>
          </w:p>
        </w:tc>
        <w:tc>
          <w:tcPr>
            <w:tcW w:w="1373" w:type="dxa"/>
            <w:tcBorders>
              <w:top w:val="nil"/>
              <w:left w:val="nil"/>
              <w:bottom w:val="nil"/>
              <w:right w:val="nil"/>
            </w:tcBorders>
            <w:vAlign w:val="center"/>
          </w:tcPr>
          <w:p w14:paraId="4E9F0E7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(0.0406)</w:t>
            </w:r>
          </w:p>
        </w:tc>
        <w:tc>
          <w:tcPr>
            <w:tcW w:w="1374" w:type="dxa"/>
            <w:tcBorders>
              <w:top w:val="nil"/>
              <w:left w:val="nil"/>
              <w:bottom w:val="nil"/>
              <w:right w:val="nil"/>
            </w:tcBorders>
            <w:vAlign w:val="center"/>
          </w:tcPr>
          <w:p w14:paraId="46FA00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(0.239)</w:t>
            </w:r>
          </w:p>
        </w:tc>
        <w:tc>
          <w:tcPr>
            <w:tcW w:w="1373" w:type="dxa"/>
            <w:tcBorders>
              <w:top w:val="nil"/>
              <w:left w:val="nil"/>
              <w:bottom w:val="nil"/>
              <w:right w:val="nil"/>
            </w:tcBorders>
            <w:vAlign w:val="center"/>
          </w:tcPr>
          <w:p w14:paraId="7FF068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(0.230)</w:t>
            </w:r>
          </w:p>
        </w:tc>
        <w:tc>
          <w:tcPr>
            <w:tcW w:w="1374" w:type="dxa"/>
            <w:tcBorders>
              <w:top w:val="nil"/>
              <w:left w:val="nil"/>
              <w:bottom w:val="nil"/>
              <w:right w:val="nil"/>
            </w:tcBorders>
            <w:vAlign w:val="center"/>
          </w:tcPr>
          <w:p w14:paraId="44E830E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(0.600)</w:t>
            </w:r>
          </w:p>
        </w:tc>
        <w:tc>
          <w:tcPr>
            <w:tcW w:w="1373" w:type="dxa"/>
            <w:tcBorders>
              <w:top w:val="nil"/>
              <w:left w:val="nil"/>
              <w:bottom w:val="nil"/>
              <w:right w:val="nil"/>
            </w:tcBorders>
            <w:vAlign w:val="center"/>
          </w:tcPr>
          <w:p w14:paraId="1AA910F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(0.617)</w:t>
            </w:r>
          </w:p>
        </w:tc>
        <w:tc>
          <w:tcPr>
            <w:tcW w:w="1373" w:type="dxa"/>
            <w:tcBorders>
              <w:top w:val="nil"/>
              <w:left w:val="nil"/>
              <w:bottom w:val="nil"/>
              <w:right w:val="nil"/>
            </w:tcBorders>
            <w:vAlign w:val="center"/>
          </w:tcPr>
          <w:p w14:paraId="62FCC80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(0.604)</w:t>
            </w:r>
          </w:p>
        </w:tc>
        <w:tc>
          <w:tcPr>
            <w:tcW w:w="1374" w:type="dxa"/>
            <w:tcBorders>
              <w:top w:val="nil"/>
              <w:left w:val="nil"/>
              <w:bottom w:val="nil"/>
              <w:right w:val="nil"/>
            </w:tcBorders>
            <w:vAlign w:val="center"/>
          </w:tcPr>
          <w:p w14:paraId="16923E1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(0.504)</w:t>
            </w:r>
          </w:p>
        </w:tc>
        <w:tc>
          <w:tcPr>
            <w:tcW w:w="1373" w:type="dxa"/>
            <w:tcBorders>
              <w:top w:val="nil"/>
              <w:left w:val="nil"/>
              <w:bottom w:val="nil"/>
              <w:right w:val="nil"/>
            </w:tcBorders>
            <w:vAlign w:val="center"/>
          </w:tcPr>
          <w:p w14:paraId="0363A1E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(1.938)</w:t>
            </w:r>
          </w:p>
        </w:tc>
        <w:tc>
          <w:tcPr>
            <w:tcW w:w="1374" w:type="dxa"/>
            <w:tcBorders>
              <w:top w:val="nil"/>
              <w:left w:val="nil"/>
              <w:bottom w:val="nil"/>
              <w:right w:val="nil"/>
            </w:tcBorders>
            <w:vAlign w:val="center"/>
          </w:tcPr>
          <w:p w14:paraId="204747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(1.861)</w:t>
            </w:r>
          </w:p>
        </w:tc>
      </w:tr>
      <w:tr w:rsidR="0064611C" w:rsidRPr="00F14751" w14:paraId="75CFC14B" w14:textId="77777777" w:rsidTr="006B126F">
        <w:trPr>
          <w:jc w:val="center"/>
        </w:trPr>
        <w:tc>
          <w:tcPr>
            <w:tcW w:w="1909" w:type="dxa"/>
            <w:tcBorders>
              <w:top w:val="nil"/>
              <w:left w:val="nil"/>
              <w:bottom w:val="nil"/>
              <w:right w:val="nil"/>
            </w:tcBorders>
            <w:vAlign w:val="center"/>
          </w:tcPr>
          <w:p w14:paraId="70FE1F2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roofErr w:type="spellStart"/>
            <w:r w:rsidRPr="00F14751">
              <w:rPr>
                <w:rFonts w:ascii="Times New Roman" w:hAnsi="Times New Roman" w:cs="Times New Roman"/>
                <w:sz w:val="20"/>
                <w:szCs w:val="16"/>
              </w:rPr>
              <w:t>Unasur</w:t>
            </w:r>
            <w:proofErr w:type="spellEnd"/>
          </w:p>
        </w:tc>
        <w:tc>
          <w:tcPr>
            <w:tcW w:w="1373" w:type="dxa"/>
            <w:tcBorders>
              <w:top w:val="nil"/>
              <w:left w:val="nil"/>
              <w:bottom w:val="nil"/>
              <w:right w:val="nil"/>
            </w:tcBorders>
            <w:vAlign w:val="center"/>
          </w:tcPr>
          <w:p w14:paraId="5FFD920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-1.433</w:t>
            </w:r>
          </w:p>
        </w:tc>
        <w:tc>
          <w:tcPr>
            <w:tcW w:w="1373" w:type="dxa"/>
            <w:tcBorders>
              <w:top w:val="nil"/>
              <w:left w:val="nil"/>
              <w:bottom w:val="nil"/>
              <w:right w:val="nil"/>
            </w:tcBorders>
            <w:vAlign w:val="center"/>
          </w:tcPr>
          <w:p w14:paraId="1DD7EA6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0.0162</w:t>
            </w:r>
          </w:p>
        </w:tc>
        <w:tc>
          <w:tcPr>
            <w:tcW w:w="1374" w:type="dxa"/>
            <w:tcBorders>
              <w:top w:val="nil"/>
              <w:left w:val="nil"/>
              <w:bottom w:val="nil"/>
              <w:right w:val="nil"/>
            </w:tcBorders>
            <w:vAlign w:val="center"/>
          </w:tcPr>
          <w:p w14:paraId="7F47BB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0.131</w:t>
            </w:r>
          </w:p>
        </w:tc>
        <w:tc>
          <w:tcPr>
            <w:tcW w:w="1373" w:type="dxa"/>
            <w:tcBorders>
              <w:top w:val="nil"/>
              <w:left w:val="nil"/>
              <w:bottom w:val="nil"/>
              <w:right w:val="nil"/>
            </w:tcBorders>
            <w:vAlign w:val="center"/>
          </w:tcPr>
          <w:p w14:paraId="7DF58C9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0.147</w:t>
            </w:r>
          </w:p>
        </w:tc>
        <w:tc>
          <w:tcPr>
            <w:tcW w:w="1374" w:type="dxa"/>
            <w:tcBorders>
              <w:top w:val="nil"/>
              <w:left w:val="nil"/>
              <w:bottom w:val="nil"/>
              <w:right w:val="nil"/>
            </w:tcBorders>
            <w:vAlign w:val="center"/>
          </w:tcPr>
          <w:p w14:paraId="501E6D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0.381*</w:t>
            </w:r>
          </w:p>
        </w:tc>
        <w:tc>
          <w:tcPr>
            <w:tcW w:w="1373" w:type="dxa"/>
            <w:tcBorders>
              <w:top w:val="nil"/>
              <w:left w:val="nil"/>
              <w:bottom w:val="nil"/>
              <w:right w:val="nil"/>
            </w:tcBorders>
            <w:vAlign w:val="center"/>
          </w:tcPr>
          <w:p w14:paraId="3A568F2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0.457*</w:t>
            </w:r>
          </w:p>
        </w:tc>
        <w:tc>
          <w:tcPr>
            <w:tcW w:w="1373" w:type="dxa"/>
            <w:tcBorders>
              <w:top w:val="nil"/>
              <w:left w:val="nil"/>
              <w:bottom w:val="nil"/>
              <w:right w:val="nil"/>
            </w:tcBorders>
            <w:vAlign w:val="center"/>
          </w:tcPr>
          <w:p w14:paraId="25BDD8F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0.458*</w:t>
            </w:r>
          </w:p>
        </w:tc>
        <w:tc>
          <w:tcPr>
            <w:tcW w:w="1374" w:type="dxa"/>
            <w:tcBorders>
              <w:top w:val="nil"/>
              <w:left w:val="nil"/>
              <w:bottom w:val="nil"/>
              <w:right w:val="nil"/>
            </w:tcBorders>
            <w:vAlign w:val="center"/>
          </w:tcPr>
          <w:p w14:paraId="7F39CF8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-0.0101</w:t>
            </w:r>
          </w:p>
        </w:tc>
        <w:tc>
          <w:tcPr>
            <w:tcW w:w="1373" w:type="dxa"/>
            <w:tcBorders>
              <w:top w:val="nil"/>
              <w:left w:val="nil"/>
              <w:bottom w:val="nil"/>
              <w:right w:val="nil"/>
            </w:tcBorders>
            <w:vAlign w:val="center"/>
          </w:tcPr>
          <w:p w14:paraId="67DC412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-1.433</w:t>
            </w:r>
          </w:p>
        </w:tc>
        <w:tc>
          <w:tcPr>
            <w:tcW w:w="1374" w:type="dxa"/>
            <w:tcBorders>
              <w:top w:val="nil"/>
              <w:left w:val="nil"/>
              <w:bottom w:val="nil"/>
              <w:right w:val="nil"/>
            </w:tcBorders>
            <w:vAlign w:val="center"/>
          </w:tcPr>
          <w:p w14:paraId="07BCECA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-1.444*</w:t>
            </w:r>
          </w:p>
        </w:tc>
      </w:tr>
      <w:tr w:rsidR="0064611C" w:rsidRPr="00F14751" w14:paraId="62BF25FE" w14:textId="77777777" w:rsidTr="006B126F">
        <w:trPr>
          <w:jc w:val="center"/>
        </w:trPr>
        <w:tc>
          <w:tcPr>
            <w:tcW w:w="1909" w:type="dxa"/>
            <w:tcBorders>
              <w:top w:val="nil"/>
              <w:left w:val="nil"/>
              <w:bottom w:val="nil"/>
              <w:right w:val="nil"/>
            </w:tcBorders>
            <w:vAlign w:val="center"/>
          </w:tcPr>
          <w:p w14:paraId="3E37596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6C6D81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(0.802)</w:t>
            </w:r>
          </w:p>
        </w:tc>
        <w:tc>
          <w:tcPr>
            <w:tcW w:w="1373" w:type="dxa"/>
            <w:tcBorders>
              <w:top w:val="nil"/>
              <w:left w:val="nil"/>
              <w:bottom w:val="nil"/>
              <w:right w:val="nil"/>
            </w:tcBorders>
            <w:vAlign w:val="center"/>
          </w:tcPr>
          <w:p w14:paraId="40078D9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(0.127)</w:t>
            </w:r>
          </w:p>
        </w:tc>
        <w:tc>
          <w:tcPr>
            <w:tcW w:w="1374" w:type="dxa"/>
            <w:tcBorders>
              <w:top w:val="nil"/>
              <w:left w:val="nil"/>
              <w:bottom w:val="nil"/>
              <w:right w:val="nil"/>
            </w:tcBorders>
            <w:vAlign w:val="center"/>
          </w:tcPr>
          <w:p w14:paraId="7CCEDEE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(0.0687)</w:t>
            </w:r>
          </w:p>
        </w:tc>
        <w:tc>
          <w:tcPr>
            <w:tcW w:w="1373" w:type="dxa"/>
            <w:tcBorders>
              <w:top w:val="nil"/>
              <w:left w:val="nil"/>
              <w:bottom w:val="nil"/>
              <w:right w:val="nil"/>
            </w:tcBorders>
            <w:vAlign w:val="center"/>
          </w:tcPr>
          <w:p w14:paraId="2749F4A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(0.192)</w:t>
            </w:r>
          </w:p>
        </w:tc>
        <w:tc>
          <w:tcPr>
            <w:tcW w:w="1374" w:type="dxa"/>
            <w:tcBorders>
              <w:top w:val="nil"/>
              <w:left w:val="nil"/>
              <w:bottom w:val="nil"/>
              <w:right w:val="nil"/>
            </w:tcBorders>
            <w:vAlign w:val="center"/>
          </w:tcPr>
          <w:p w14:paraId="5B3A544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(0.162)</w:t>
            </w:r>
          </w:p>
        </w:tc>
        <w:tc>
          <w:tcPr>
            <w:tcW w:w="1373" w:type="dxa"/>
            <w:tcBorders>
              <w:top w:val="nil"/>
              <w:left w:val="nil"/>
              <w:bottom w:val="nil"/>
              <w:right w:val="nil"/>
            </w:tcBorders>
            <w:vAlign w:val="center"/>
          </w:tcPr>
          <w:p w14:paraId="67C0CD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(0.181)</w:t>
            </w:r>
          </w:p>
        </w:tc>
        <w:tc>
          <w:tcPr>
            <w:tcW w:w="1373" w:type="dxa"/>
            <w:tcBorders>
              <w:top w:val="nil"/>
              <w:left w:val="nil"/>
              <w:bottom w:val="nil"/>
              <w:right w:val="nil"/>
            </w:tcBorders>
            <w:vAlign w:val="center"/>
          </w:tcPr>
          <w:p w14:paraId="6AAA34D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(0.185)</w:t>
            </w:r>
          </w:p>
        </w:tc>
        <w:tc>
          <w:tcPr>
            <w:tcW w:w="1374" w:type="dxa"/>
            <w:tcBorders>
              <w:top w:val="nil"/>
              <w:left w:val="nil"/>
              <w:bottom w:val="nil"/>
              <w:right w:val="nil"/>
            </w:tcBorders>
            <w:vAlign w:val="center"/>
          </w:tcPr>
          <w:p w14:paraId="1EBA6AE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(0.227)</w:t>
            </w:r>
          </w:p>
        </w:tc>
        <w:tc>
          <w:tcPr>
            <w:tcW w:w="1373" w:type="dxa"/>
            <w:tcBorders>
              <w:top w:val="nil"/>
              <w:left w:val="nil"/>
              <w:bottom w:val="nil"/>
              <w:right w:val="nil"/>
            </w:tcBorders>
            <w:vAlign w:val="center"/>
          </w:tcPr>
          <w:p w14:paraId="70A42C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(0.765)</w:t>
            </w:r>
          </w:p>
        </w:tc>
        <w:tc>
          <w:tcPr>
            <w:tcW w:w="1374" w:type="dxa"/>
            <w:tcBorders>
              <w:top w:val="nil"/>
              <w:left w:val="nil"/>
              <w:bottom w:val="nil"/>
              <w:right w:val="nil"/>
            </w:tcBorders>
            <w:vAlign w:val="center"/>
          </w:tcPr>
          <w:p w14:paraId="6554013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(0.634)</w:t>
            </w:r>
          </w:p>
        </w:tc>
      </w:tr>
      <w:tr w:rsidR="0064611C" w:rsidRPr="00F14751" w14:paraId="0F67059D" w14:textId="77777777" w:rsidTr="006B126F">
        <w:trPr>
          <w:jc w:val="center"/>
        </w:trPr>
        <w:tc>
          <w:tcPr>
            <w:tcW w:w="1909" w:type="dxa"/>
            <w:tcBorders>
              <w:top w:val="nil"/>
              <w:left w:val="nil"/>
              <w:bottom w:val="nil"/>
              <w:right w:val="nil"/>
            </w:tcBorders>
            <w:vAlign w:val="center"/>
          </w:tcPr>
          <w:p w14:paraId="5A21760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roofErr w:type="spellStart"/>
            <w:r w:rsidRPr="00F14751">
              <w:rPr>
                <w:rFonts w:ascii="Times New Roman" w:hAnsi="Times New Roman" w:cs="Times New Roman"/>
                <w:sz w:val="20"/>
                <w:szCs w:val="16"/>
              </w:rPr>
              <w:t>DoP</w:t>
            </w:r>
            <w:proofErr w:type="spellEnd"/>
            <w:r w:rsidRPr="00F14751">
              <w:rPr>
                <w:rFonts w:ascii="Times New Roman" w:hAnsi="Times New Roman" w:cs="Times New Roman"/>
                <w:sz w:val="20"/>
                <w:szCs w:val="16"/>
              </w:rPr>
              <w:t xml:space="preserve"> ($2)</w:t>
            </w:r>
          </w:p>
        </w:tc>
        <w:tc>
          <w:tcPr>
            <w:tcW w:w="1373" w:type="dxa"/>
            <w:tcBorders>
              <w:top w:val="nil"/>
              <w:left w:val="nil"/>
              <w:bottom w:val="nil"/>
              <w:right w:val="nil"/>
            </w:tcBorders>
            <w:vAlign w:val="center"/>
          </w:tcPr>
          <w:p w14:paraId="50B92AC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0.00840</w:t>
            </w:r>
          </w:p>
        </w:tc>
        <w:tc>
          <w:tcPr>
            <w:tcW w:w="1373" w:type="dxa"/>
            <w:tcBorders>
              <w:top w:val="nil"/>
              <w:left w:val="nil"/>
              <w:bottom w:val="nil"/>
              <w:right w:val="nil"/>
            </w:tcBorders>
            <w:vAlign w:val="center"/>
          </w:tcPr>
          <w:p w14:paraId="6AAAFE6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0.000838</w:t>
            </w:r>
          </w:p>
        </w:tc>
        <w:tc>
          <w:tcPr>
            <w:tcW w:w="1374" w:type="dxa"/>
            <w:tcBorders>
              <w:top w:val="nil"/>
              <w:left w:val="nil"/>
              <w:bottom w:val="nil"/>
              <w:right w:val="nil"/>
            </w:tcBorders>
            <w:vAlign w:val="center"/>
          </w:tcPr>
          <w:p w14:paraId="3CEE23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-0.00152**</w:t>
            </w:r>
          </w:p>
        </w:tc>
        <w:tc>
          <w:tcPr>
            <w:tcW w:w="1373" w:type="dxa"/>
            <w:tcBorders>
              <w:top w:val="nil"/>
              <w:left w:val="nil"/>
              <w:bottom w:val="nil"/>
              <w:right w:val="nil"/>
            </w:tcBorders>
            <w:vAlign w:val="center"/>
          </w:tcPr>
          <w:p w14:paraId="16E661D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-0.000684</w:t>
            </w:r>
          </w:p>
        </w:tc>
        <w:tc>
          <w:tcPr>
            <w:tcW w:w="1374" w:type="dxa"/>
            <w:tcBorders>
              <w:top w:val="nil"/>
              <w:left w:val="nil"/>
              <w:bottom w:val="nil"/>
              <w:right w:val="nil"/>
            </w:tcBorders>
            <w:vAlign w:val="center"/>
          </w:tcPr>
          <w:p w14:paraId="1F446E4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-0.00345**</w:t>
            </w:r>
          </w:p>
        </w:tc>
        <w:tc>
          <w:tcPr>
            <w:tcW w:w="1373" w:type="dxa"/>
            <w:tcBorders>
              <w:top w:val="nil"/>
              <w:left w:val="nil"/>
              <w:bottom w:val="nil"/>
              <w:right w:val="nil"/>
            </w:tcBorders>
            <w:vAlign w:val="center"/>
          </w:tcPr>
          <w:p w14:paraId="1F46F58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-0.00280</w:t>
            </w:r>
          </w:p>
        </w:tc>
        <w:tc>
          <w:tcPr>
            <w:tcW w:w="1373" w:type="dxa"/>
            <w:tcBorders>
              <w:top w:val="nil"/>
              <w:left w:val="nil"/>
              <w:bottom w:val="nil"/>
              <w:right w:val="nil"/>
            </w:tcBorders>
            <w:vAlign w:val="center"/>
          </w:tcPr>
          <w:p w14:paraId="004619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-6.41e-05</w:t>
            </w:r>
          </w:p>
        </w:tc>
        <w:tc>
          <w:tcPr>
            <w:tcW w:w="1374" w:type="dxa"/>
            <w:tcBorders>
              <w:top w:val="nil"/>
              <w:left w:val="nil"/>
              <w:bottom w:val="nil"/>
              <w:right w:val="nil"/>
            </w:tcBorders>
            <w:vAlign w:val="center"/>
          </w:tcPr>
          <w:p w14:paraId="1C40CB1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0.000801</w:t>
            </w:r>
          </w:p>
        </w:tc>
        <w:tc>
          <w:tcPr>
            <w:tcW w:w="1373" w:type="dxa"/>
            <w:tcBorders>
              <w:top w:val="nil"/>
              <w:left w:val="nil"/>
              <w:bottom w:val="nil"/>
              <w:right w:val="nil"/>
            </w:tcBorders>
            <w:vAlign w:val="center"/>
          </w:tcPr>
          <w:p w14:paraId="7CBBC88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0.00619</w:t>
            </w:r>
          </w:p>
        </w:tc>
        <w:tc>
          <w:tcPr>
            <w:tcW w:w="1374" w:type="dxa"/>
            <w:tcBorders>
              <w:top w:val="nil"/>
              <w:left w:val="nil"/>
              <w:bottom w:val="nil"/>
              <w:right w:val="nil"/>
            </w:tcBorders>
            <w:vAlign w:val="center"/>
          </w:tcPr>
          <w:p w14:paraId="4B08105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0.00699</w:t>
            </w:r>
          </w:p>
        </w:tc>
      </w:tr>
      <w:tr w:rsidR="0064611C" w:rsidRPr="00F14751" w14:paraId="16BE1E29" w14:textId="77777777" w:rsidTr="006B126F">
        <w:trPr>
          <w:jc w:val="center"/>
        </w:trPr>
        <w:tc>
          <w:tcPr>
            <w:tcW w:w="1909" w:type="dxa"/>
            <w:tcBorders>
              <w:top w:val="nil"/>
              <w:left w:val="nil"/>
              <w:bottom w:val="nil"/>
              <w:right w:val="nil"/>
            </w:tcBorders>
            <w:vAlign w:val="center"/>
          </w:tcPr>
          <w:p w14:paraId="7E4F1A1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3BA9F90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(0.00479)</w:t>
            </w:r>
          </w:p>
        </w:tc>
        <w:tc>
          <w:tcPr>
            <w:tcW w:w="1373" w:type="dxa"/>
            <w:tcBorders>
              <w:top w:val="nil"/>
              <w:left w:val="nil"/>
              <w:bottom w:val="nil"/>
              <w:right w:val="nil"/>
            </w:tcBorders>
            <w:vAlign w:val="center"/>
          </w:tcPr>
          <w:p w14:paraId="02C3F67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(0.00134)</w:t>
            </w:r>
          </w:p>
        </w:tc>
        <w:tc>
          <w:tcPr>
            <w:tcW w:w="1374" w:type="dxa"/>
            <w:tcBorders>
              <w:top w:val="nil"/>
              <w:left w:val="nil"/>
              <w:bottom w:val="nil"/>
              <w:right w:val="nil"/>
            </w:tcBorders>
            <w:vAlign w:val="center"/>
          </w:tcPr>
          <w:p w14:paraId="32D3C49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(0.000464)</w:t>
            </w:r>
          </w:p>
        </w:tc>
        <w:tc>
          <w:tcPr>
            <w:tcW w:w="1373" w:type="dxa"/>
            <w:tcBorders>
              <w:top w:val="nil"/>
              <w:left w:val="nil"/>
              <w:bottom w:val="nil"/>
              <w:right w:val="nil"/>
            </w:tcBorders>
            <w:vAlign w:val="center"/>
          </w:tcPr>
          <w:p w14:paraId="0128E08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(0.00169)</w:t>
            </w:r>
          </w:p>
        </w:tc>
        <w:tc>
          <w:tcPr>
            <w:tcW w:w="1374" w:type="dxa"/>
            <w:tcBorders>
              <w:top w:val="nil"/>
              <w:left w:val="nil"/>
              <w:bottom w:val="nil"/>
              <w:right w:val="nil"/>
            </w:tcBorders>
            <w:vAlign w:val="center"/>
          </w:tcPr>
          <w:p w14:paraId="18392F3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(0.00117)</w:t>
            </w:r>
          </w:p>
        </w:tc>
        <w:tc>
          <w:tcPr>
            <w:tcW w:w="1373" w:type="dxa"/>
            <w:tcBorders>
              <w:top w:val="nil"/>
              <w:left w:val="nil"/>
              <w:bottom w:val="nil"/>
              <w:right w:val="nil"/>
            </w:tcBorders>
            <w:vAlign w:val="center"/>
          </w:tcPr>
          <w:p w14:paraId="64D645D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(0.00194)</w:t>
            </w:r>
          </w:p>
        </w:tc>
        <w:tc>
          <w:tcPr>
            <w:tcW w:w="1373" w:type="dxa"/>
            <w:tcBorders>
              <w:top w:val="nil"/>
              <w:left w:val="nil"/>
              <w:bottom w:val="nil"/>
              <w:right w:val="nil"/>
            </w:tcBorders>
            <w:vAlign w:val="center"/>
          </w:tcPr>
          <w:p w14:paraId="0B418F0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(0.00317)</w:t>
            </w:r>
          </w:p>
        </w:tc>
        <w:tc>
          <w:tcPr>
            <w:tcW w:w="1374" w:type="dxa"/>
            <w:tcBorders>
              <w:top w:val="nil"/>
              <w:left w:val="nil"/>
              <w:bottom w:val="nil"/>
              <w:right w:val="nil"/>
            </w:tcBorders>
            <w:vAlign w:val="center"/>
          </w:tcPr>
          <w:p w14:paraId="6D17BEF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(0.00182)</w:t>
            </w:r>
          </w:p>
        </w:tc>
        <w:tc>
          <w:tcPr>
            <w:tcW w:w="1373" w:type="dxa"/>
            <w:tcBorders>
              <w:top w:val="nil"/>
              <w:left w:val="nil"/>
              <w:bottom w:val="nil"/>
              <w:right w:val="nil"/>
            </w:tcBorders>
            <w:vAlign w:val="center"/>
          </w:tcPr>
          <w:p w14:paraId="43065DB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(0.00672)</w:t>
            </w:r>
          </w:p>
        </w:tc>
        <w:tc>
          <w:tcPr>
            <w:tcW w:w="1374" w:type="dxa"/>
            <w:tcBorders>
              <w:top w:val="nil"/>
              <w:left w:val="nil"/>
              <w:bottom w:val="nil"/>
              <w:right w:val="nil"/>
            </w:tcBorders>
            <w:vAlign w:val="center"/>
          </w:tcPr>
          <w:p w14:paraId="664596F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(0.00531)</w:t>
            </w:r>
          </w:p>
        </w:tc>
      </w:tr>
      <w:tr w:rsidR="0064611C" w:rsidRPr="00F14751" w14:paraId="13BA0A93" w14:textId="77777777" w:rsidTr="006B126F">
        <w:trPr>
          <w:jc w:val="center"/>
        </w:trPr>
        <w:tc>
          <w:tcPr>
            <w:tcW w:w="1909" w:type="dxa"/>
            <w:tcBorders>
              <w:top w:val="nil"/>
              <w:left w:val="nil"/>
              <w:bottom w:val="nil"/>
              <w:right w:val="nil"/>
            </w:tcBorders>
            <w:vAlign w:val="center"/>
          </w:tcPr>
          <w:p w14:paraId="1697D1D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Constant</w:t>
            </w:r>
          </w:p>
        </w:tc>
        <w:tc>
          <w:tcPr>
            <w:tcW w:w="1373" w:type="dxa"/>
            <w:tcBorders>
              <w:top w:val="nil"/>
              <w:left w:val="nil"/>
              <w:bottom w:val="nil"/>
              <w:right w:val="nil"/>
            </w:tcBorders>
            <w:vAlign w:val="center"/>
          </w:tcPr>
          <w:p w14:paraId="595A72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81.29***</w:t>
            </w:r>
          </w:p>
        </w:tc>
        <w:tc>
          <w:tcPr>
            <w:tcW w:w="1373" w:type="dxa"/>
            <w:tcBorders>
              <w:top w:val="nil"/>
              <w:left w:val="nil"/>
              <w:bottom w:val="nil"/>
              <w:right w:val="nil"/>
            </w:tcBorders>
            <w:vAlign w:val="center"/>
          </w:tcPr>
          <w:p w14:paraId="7DE9B4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-2.764</w:t>
            </w:r>
          </w:p>
        </w:tc>
        <w:tc>
          <w:tcPr>
            <w:tcW w:w="1374" w:type="dxa"/>
            <w:tcBorders>
              <w:top w:val="nil"/>
              <w:left w:val="nil"/>
              <w:bottom w:val="nil"/>
              <w:right w:val="nil"/>
            </w:tcBorders>
            <w:vAlign w:val="center"/>
          </w:tcPr>
          <w:p w14:paraId="09ACA02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-1.654</w:t>
            </w:r>
          </w:p>
        </w:tc>
        <w:tc>
          <w:tcPr>
            <w:tcW w:w="1373" w:type="dxa"/>
            <w:tcBorders>
              <w:top w:val="nil"/>
              <w:left w:val="nil"/>
              <w:bottom w:val="nil"/>
              <w:right w:val="nil"/>
            </w:tcBorders>
            <w:vAlign w:val="center"/>
          </w:tcPr>
          <w:p w14:paraId="3E89AF3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-4.418</w:t>
            </w:r>
          </w:p>
        </w:tc>
        <w:tc>
          <w:tcPr>
            <w:tcW w:w="1374" w:type="dxa"/>
            <w:tcBorders>
              <w:top w:val="nil"/>
              <w:left w:val="nil"/>
              <w:bottom w:val="nil"/>
              <w:right w:val="nil"/>
            </w:tcBorders>
            <w:vAlign w:val="center"/>
          </w:tcPr>
          <w:p w14:paraId="4312EAA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1.028</w:t>
            </w:r>
          </w:p>
        </w:tc>
        <w:tc>
          <w:tcPr>
            <w:tcW w:w="1373" w:type="dxa"/>
            <w:tcBorders>
              <w:top w:val="nil"/>
              <w:left w:val="nil"/>
              <w:bottom w:val="nil"/>
              <w:right w:val="nil"/>
            </w:tcBorders>
            <w:vAlign w:val="center"/>
          </w:tcPr>
          <w:p w14:paraId="47BFF7A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7.837</w:t>
            </w:r>
          </w:p>
        </w:tc>
        <w:tc>
          <w:tcPr>
            <w:tcW w:w="1373" w:type="dxa"/>
            <w:tcBorders>
              <w:top w:val="nil"/>
              <w:left w:val="nil"/>
              <w:bottom w:val="nil"/>
              <w:right w:val="nil"/>
            </w:tcBorders>
            <w:vAlign w:val="center"/>
          </w:tcPr>
          <w:p w14:paraId="2A8DBC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19.09**</w:t>
            </w:r>
          </w:p>
        </w:tc>
        <w:tc>
          <w:tcPr>
            <w:tcW w:w="1374" w:type="dxa"/>
            <w:tcBorders>
              <w:top w:val="nil"/>
              <w:left w:val="nil"/>
              <w:bottom w:val="nil"/>
              <w:right w:val="nil"/>
            </w:tcBorders>
            <w:vAlign w:val="center"/>
          </w:tcPr>
          <w:p w14:paraId="1A7A099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14.71**</w:t>
            </w:r>
          </w:p>
        </w:tc>
        <w:tc>
          <w:tcPr>
            <w:tcW w:w="1373" w:type="dxa"/>
            <w:tcBorders>
              <w:top w:val="nil"/>
              <w:left w:val="nil"/>
              <w:bottom w:val="nil"/>
              <w:right w:val="nil"/>
            </w:tcBorders>
            <w:vAlign w:val="center"/>
          </w:tcPr>
          <w:p w14:paraId="56CF5CA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61.75**</w:t>
            </w:r>
          </w:p>
        </w:tc>
        <w:tc>
          <w:tcPr>
            <w:tcW w:w="1374" w:type="dxa"/>
            <w:tcBorders>
              <w:top w:val="nil"/>
              <w:left w:val="nil"/>
              <w:bottom w:val="nil"/>
              <w:right w:val="nil"/>
            </w:tcBorders>
            <w:vAlign w:val="center"/>
          </w:tcPr>
          <w:p w14:paraId="6C22F26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76.46***</w:t>
            </w:r>
          </w:p>
        </w:tc>
      </w:tr>
      <w:tr w:rsidR="0064611C" w:rsidRPr="00F14751" w14:paraId="5BC2F0BB" w14:textId="77777777" w:rsidTr="006B126F">
        <w:trPr>
          <w:jc w:val="center"/>
        </w:trPr>
        <w:tc>
          <w:tcPr>
            <w:tcW w:w="1909" w:type="dxa"/>
            <w:tcBorders>
              <w:top w:val="nil"/>
              <w:left w:val="nil"/>
              <w:bottom w:val="nil"/>
              <w:right w:val="nil"/>
            </w:tcBorders>
            <w:vAlign w:val="center"/>
          </w:tcPr>
          <w:p w14:paraId="633462D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6BC1EB1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(16.95)</w:t>
            </w:r>
          </w:p>
        </w:tc>
        <w:tc>
          <w:tcPr>
            <w:tcW w:w="1373" w:type="dxa"/>
            <w:tcBorders>
              <w:top w:val="nil"/>
              <w:left w:val="nil"/>
              <w:bottom w:val="nil"/>
              <w:right w:val="nil"/>
            </w:tcBorders>
            <w:vAlign w:val="center"/>
          </w:tcPr>
          <w:p w14:paraId="0963ADC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(1.740)</w:t>
            </w:r>
          </w:p>
        </w:tc>
        <w:tc>
          <w:tcPr>
            <w:tcW w:w="1374" w:type="dxa"/>
            <w:tcBorders>
              <w:top w:val="nil"/>
              <w:left w:val="nil"/>
              <w:bottom w:val="nil"/>
              <w:right w:val="nil"/>
            </w:tcBorders>
            <w:vAlign w:val="center"/>
          </w:tcPr>
          <w:p w14:paraId="500EE44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(2.214)</w:t>
            </w:r>
          </w:p>
        </w:tc>
        <w:tc>
          <w:tcPr>
            <w:tcW w:w="1373" w:type="dxa"/>
            <w:tcBorders>
              <w:top w:val="nil"/>
              <w:left w:val="nil"/>
              <w:bottom w:val="nil"/>
              <w:right w:val="nil"/>
            </w:tcBorders>
            <w:vAlign w:val="center"/>
          </w:tcPr>
          <w:p w14:paraId="6658D6C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(3.354)</w:t>
            </w:r>
          </w:p>
        </w:tc>
        <w:tc>
          <w:tcPr>
            <w:tcW w:w="1374" w:type="dxa"/>
            <w:tcBorders>
              <w:top w:val="nil"/>
              <w:left w:val="nil"/>
              <w:bottom w:val="nil"/>
              <w:right w:val="nil"/>
            </w:tcBorders>
            <w:vAlign w:val="center"/>
          </w:tcPr>
          <w:p w14:paraId="79347F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(5.327)</w:t>
            </w:r>
          </w:p>
        </w:tc>
        <w:tc>
          <w:tcPr>
            <w:tcW w:w="1373" w:type="dxa"/>
            <w:tcBorders>
              <w:top w:val="nil"/>
              <w:left w:val="nil"/>
              <w:bottom w:val="nil"/>
              <w:right w:val="nil"/>
            </w:tcBorders>
            <w:vAlign w:val="center"/>
          </w:tcPr>
          <w:p w14:paraId="6E1446C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(4.972)</w:t>
            </w:r>
          </w:p>
        </w:tc>
        <w:tc>
          <w:tcPr>
            <w:tcW w:w="1373" w:type="dxa"/>
            <w:tcBorders>
              <w:top w:val="nil"/>
              <w:left w:val="nil"/>
              <w:bottom w:val="nil"/>
              <w:right w:val="nil"/>
            </w:tcBorders>
            <w:vAlign w:val="center"/>
          </w:tcPr>
          <w:p w14:paraId="1AEC1C3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(4.290)</w:t>
            </w:r>
          </w:p>
        </w:tc>
        <w:tc>
          <w:tcPr>
            <w:tcW w:w="1374" w:type="dxa"/>
            <w:tcBorders>
              <w:top w:val="nil"/>
              <w:left w:val="nil"/>
              <w:bottom w:val="nil"/>
              <w:right w:val="nil"/>
            </w:tcBorders>
            <w:vAlign w:val="center"/>
          </w:tcPr>
          <w:p w14:paraId="6F03D8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(3.554)</w:t>
            </w:r>
          </w:p>
        </w:tc>
        <w:tc>
          <w:tcPr>
            <w:tcW w:w="1373" w:type="dxa"/>
            <w:tcBorders>
              <w:top w:val="nil"/>
              <w:left w:val="nil"/>
              <w:bottom w:val="nil"/>
              <w:right w:val="nil"/>
            </w:tcBorders>
            <w:vAlign w:val="center"/>
          </w:tcPr>
          <w:p w14:paraId="0194A06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(13.92)</w:t>
            </w:r>
          </w:p>
        </w:tc>
        <w:tc>
          <w:tcPr>
            <w:tcW w:w="1374" w:type="dxa"/>
            <w:tcBorders>
              <w:top w:val="nil"/>
              <w:left w:val="nil"/>
              <w:bottom w:val="nil"/>
              <w:right w:val="nil"/>
            </w:tcBorders>
            <w:vAlign w:val="center"/>
          </w:tcPr>
          <w:p w14:paraId="3DD97DF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(14.45)</w:t>
            </w:r>
          </w:p>
        </w:tc>
      </w:tr>
      <w:tr w:rsidR="0064611C" w:rsidRPr="00F14751" w14:paraId="0D2B7C0C" w14:textId="77777777" w:rsidTr="006B126F">
        <w:trPr>
          <w:jc w:val="center"/>
        </w:trPr>
        <w:tc>
          <w:tcPr>
            <w:tcW w:w="1909" w:type="dxa"/>
            <w:tcBorders>
              <w:top w:val="nil"/>
              <w:left w:val="nil"/>
              <w:bottom w:val="nil"/>
              <w:right w:val="nil"/>
            </w:tcBorders>
            <w:vAlign w:val="center"/>
          </w:tcPr>
          <w:p w14:paraId="609A267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p>
        </w:tc>
        <w:tc>
          <w:tcPr>
            <w:tcW w:w="1373" w:type="dxa"/>
            <w:tcBorders>
              <w:top w:val="nil"/>
              <w:left w:val="nil"/>
              <w:bottom w:val="nil"/>
              <w:right w:val="nil"/>
            </w:tcBorders>
            <w:vAlign w:val="center"/>
          </w:tcPr>
          <w:p w14:paraId="14C2E96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148172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450727E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3E92C22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1F2F27F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6F1CE16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41FF3E5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7807BCC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3" w:type="dxa"/>
            <w:tcBorders>
              <w:top w:val="nil"/>
              <w:left w:val="nil"/>
              <w:bottom w:val="nil"/>
              <w:right w:val="nil"/>
            </w:tcBorders>
            <w:vAlign w:val="center"/>
          </w:tcPr>
          <w:p w14:paraId="5BE17C4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c>
          <w:tcPr>
            <w:tcW w:w="1374" w:type="dxa"/>
            <w:tcBorders>
              <w:top w:val="nil"/>
              <w:left w:val="nil"/>
              <w:bottom w:val="nil"/>
              <w:right w:val="nil"/>
            </w:tcBorders>
            <w:vAlign w:val="center"/>
          </w:tcPr>
          <w:p w14:paraId="746977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p>
        </w:tc>
      </w:tr>
      <w:tr w:rsidR="0064611C" w:rsidRPr="00F14751" w14:paraId="5EEF62D3" w14:textId="77777777" w:rsidTr="006B126F">
        <w:trPr>
          <w:jc w:val="center"/>
        </w:trPr>
        <w:tc>
          <w:tcPr>
            <w:tcW w:w="1909" w:type="dxa"/>
            <w:tcBorders>
              <w:top w:val="nil"/>
              <w:left w:val="nil"/>
              <w:right w:val="nil"/>
            </w:tcBorders>
            <w:vAlign w:val="center"/>
          </w:tcPr>
          <w:p w14:paraId="5842990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Observations</w:t>
            </w:r>
          </w:p>
        </w:tc>
        <w:tc>
          <w:tcPr>
            <w:tcW w:w="1373" w:type="dxa"/>
            <w:tcBorders>
              <w:top w:val="nil"/>
              <w:left w:val="nil"/>
              <w:right w:val="nil"/>
            </w:tcBorders>
            <w:vAlign w:val="center"/>
          </w:tcPr>
          <w:p w14:paraId="0DF54B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3" w:type="dxa"/>
            <w:tcBorders>
              <w:top w:val="nil"/>
              <w:left w:val="nil"/>
              <w:right w:val="nil"/>
            </w:tcBorders>
            <w:vAlign w:val="center"/>
          </w:tcPr>
          <w:p w14:paraId="166422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4" w:type="dxa"/>
            <w:tcBorders>
              <w:top w:val="nil"/>
              <w:left w:val="nil"/>
              <w:right w:val="nil"/>
            </w:tcBorders>
            <w:vAlign w:val="center"/>
          </w:tcPr>
          <w:p w14:paraId="1A924A7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3" w:type="dxa"/>
            <w:tcBorders>
              <w:top w:val="nil"/>
              <w:left w:val="nil"/>
              <w:right w:val="nil"/>
            </w:tcBorders>
            <w:vAlign w:val="center"/>
          </w:tcPr>
          <w:p w14:paraId="793FA35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4" w:type="dxa"/>
            <w:tcBorders>
              <w:top w:val="nil"/>
              <w:left w:val="nil"/>
              <w:right w:val="nil"/>
            </w:tcBorders>
            <w:vAlign w:val="center"/>
          </w:tcPr>
          <w:p w14:paraId="196A91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3" w:type="dxa"/>
            <w:tcBorders>
              <w:top w:val="nil"/>
              <w:left w:val="nil"/>
              <w:right w:val="nil"/>
            </w:tcBorders>
            <w:vAlign w:val="center"/>
          </w:tcPr>
          <w:p w14:paraId="2862AB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3" w:type="dxa"/>
            <w:tcBorders>
              <w:top w:val="nil"/>
              <w:left w:val="nil"/>
              <w:right w:val="nil"/>
            </w:tcBorders>
            <w:vAlign w:val="center"/>
          </w:tcPr>
          <w:p w14:paraId="6C59522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4" w:type="dxa"/>
            <w:tcBorders>
              <w:top w:val="nil"/>
              <w:left w:val="nil"/>
              <w:right w:val="nil"/>
            </w:tcBorders>
            <w:vAlign w:val="center"/>
          </w:tcPr>
          <w:p w14:paraId="39B2163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3" w:type="dxa"/>
            <w:tcBorders>
              <w:top w:val="nil"/>
              <w:left w:val="nil"/>
              <w:right w:val="nil"/>
            </w:tcBorders>
            <w:vAlign w:val="center"/>
          </w:tcPr>
          <w:p w14:paraId="000AE05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c>
          <w:tcPr>
            <w:tcW w:w="1374" w:type="dxa"/>
            <w:tcBorders>
              <w:top w:val="nil"/>
              <w:left w:val="nil"/>
              <w:right w:val="nil"/>
            </w:tcBorders>
            <w:vAlign w:val="center"/>
          </w:tcPr>
          <w:p w14:paraId="3C4C874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76</w:t>
            </w:r>
          </w:p>
        </w:tc>
      </w:tr>
      <w:tr w:rsidR="0064611C" w:rsidRPr="00F14751" w14:paraId="5BFB8B79" w14:textId="77777777" w:rsidTr="006B126F">
        <w:tblPrEx>
          <w:tblBorders>
            <w:bottom w:val="single" w:sz="6" w:space="0" w:color="auto"/>
          </w:tblBorders>
        </w:tblPrEx>
        <w:trPr>
          <w:jc w:val="center"/>
        </w:trPr>
        <w:tc>
          <w:tcPr>
            <w:tcW w:w="1909" w:type="dxa"/>
            <w:tcBorders>
              <w:top w:val="nil"/>
              <w:left w:val="nil"/>
              <w:bottom w:val="nil"/>
              <w:right w:val="nil"/>
            </w:tcBorders>
            <w:vAlign w:val="center"/>
          </w:tcPr>
          <w:p w14:paraId="20AF159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R-squared</w:t>
            </w:r>
          </w:p>
        </w:tc>
        <w:tc>
          <w:tcPr>
            <w:tcW w:w="1373" w:type="dxa"/>
            <w:tcBorders>
              <w:top w:val="nil"/>
              <w:left w:val="nil"/>
              <w:bottom w:val="nil"/>
              <w:right w:val="nil"/>
            </w:tcBorders>
            <w:vAlign w:val="center"/>
          </w:tcPr>
          <w:p w14:paraId="77DB182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0.766</w:t>
            </w:r>
          </w:p>
        </w:tc>
        <w:tc>
          <w:tcPr>
            <w:tcW w:w="1373" w:type="dxa"/>
            <w:tcBorders>
              <w:top w:val="nil"/>
              <w:left w:val="nil"/>
              <w:bottom w:val="nil"/>
              <w:right w:val="nil"/>
            </w:tcBorders>
            <w:vAlign w:val="center"/>
          </w:tcPr>
          <w:p w14:paraId="2B3A0D5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0.670</w:t>
            </w:r>
          </w:p>
        </w:tc>
        <w:tc>
          <w:tcPr>
            <w:tcW w:w="1374" w:type="dxa"/>
            <w:tcBorders>
              <w:top w:val="nil"/>
              <w:left w:val="nil"/>
              <w:bottom w:val="nil"/>
              <w:right w:val="nil"/>
            </w:tcBorders>
            <w:vAlign w:val="center"/>
          </w:tcPr>
          <w:p w14:paraId="6D1DE0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0.740</w:t>
            </w:r>
          </w:p>
        </w:tc>
        <w:tc>
          <w:tcPr>
            <w:tcW w:w="1373" w:type="dxa"/>
            <w:tcBorders>
              <w:top w:val="nil"/>
              <w:left w:val="nil"/>
              <w:bottom w:val="nil"/>
              <w:right w:val="nil"/>
            </w:tcBorders>
            <w:vAlign w:val="center"/>
          </w:tcPr>
          <w:p w14:paraId="2E3B577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0.701</w:t>
            </w:r>
          </w:p>
        </w:tc>
        <w:tc>
          <w:tcPr>
            <w:tcW w:w="1374" w:type="dxa"/>
            <w:tcBorders>
              <w:top w:val="nil"/>
              <w:left w:val="nil"/>
              <w:bottom w:val="nil"/>
              <w:right w:val="nil"/>
            </w:tcBorders>
            <w:vAlign w:val="center"/>
          </w:tcPr>
          <w:p w14:paraId="359626C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0.799</w:t>
            </w:r>
          </w:p>
        </w:tc>
        <w:tc>
          <w:tcPr>
            <w:tcW w:w="1373" w:type="dxa"/>
            <w:tcBorders>
              <w:top w:val="nil"/>
              <w:left w:val="nil"/>
              <w:bottom w:val="nil"/>
              <w:right w:val="nil"/>
            </w:tcBorders>
            <w:vAlign w:val="center"/>
          </w:tcPr>
          <w:p w14:paraId="5C595D0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0.819</w:t>
            </w:r>
          </w:p>
        </w:tc>
        <w:tc>
          <w:tcPr>
            <w:tcW w:w="1373" w:type="dxa"/>
            <w:tcBorders>
              <w:top w:val="nil"/>
              <w:left w:val="nil"/>
              <w:bottom w:val="nil"/>
              <w:right w:val="nil"/>
            </w:tcBorders>
            <w:vAlign w:val="center"/>
          </w:tcPr>
          <w:p w14:paraId="6B52C81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0.720</w:t>
            </w:r>
          </w:p>
        </w:tc>
        <w:tc>
          <w:tcPr>
            <w:tcW w:w="1374" w:type="dxa"/>
            <w:tcBorders>
              <w:top w:val="nil"/>
              <w:left w:val="nil"/>
              <w:bottom w:val="nil"/>
              <w:right w:val="nil"/>
            </w:tcBorders>
            <w:vAlign w:val="center"/>
          </w:tcPr>
          <w:p w14:paraId="61D3A99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0.571</w:t>
            </w:r>
          </w:p>
        </w:tc>
        <w:tc>
          <w:tcPr>
            <w:tcW w:w="1373" w:type="dxa"/>
            <w:tcBorders>
              <w:top w:val="nil"/>
              <w:left w:val="nil"/>
              <w:bottom w:val="nil"/>
              <w:right w:val="nil"/>
            </w:tcBorders>
            <w:vAlign w:val="center"/>
          </w:tcPr>
          <w:p w14:paraId="101E1AB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0.755</w:t>
            </w:r>
          </w:p>
        </w:tc>
        <w:tc>
          <w:tcPr>
            <w:tcW w:w="1374" w:type="dxa"/>
            <w:tcBorders>
              <w:top w:val="nil"/>
              <w:left w:val="nil"/>
              <w:bottom w:val="nil"/>
              <w:right w:val="nil"/>
            </w:tcBorders>
            <w:vAlign w:val="center"/>
          </w:tcPr>
          <w:p w14:paraId="6DF49B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0.788</w:t>
            </w:r>
          </w:p>
        </w:tc>
      </w:tr>
      <w:tr w:rsidR="0064611C" w:rsidRPr="00F14751" w14:paraId="23A86114" w14:textId="77777777" w:rsidTr="006B126F">
        <w:tblPrEx>
          <w:tblBorders>
            <w:bottom w:val="single" w:sz="6" w:space="0" w:color="auto"/>
          </w:tblBorders>
        </w:tblPrEx>
        <w:trPr>
          <w:jc w:val="center"/>
        </w:trPr>
        <w:tc>
          <w:tcPr>
            <w:tcW w:w="1909" w:type="dxa"/>
            <w:tcBorders>
              <w:top w:val="nil"/>
              <w:left w:val="nil"/>
              <w:bottom w:val="nil"/>
              <w:right w:val="nil"/>
            </w:tcBorders>
            <w:vAlign w:val="center"/>
          </w:tcPr>
          <w:p w14:paraId="5C2289EE" w14:textId="77777777" w:rsidR="0064611C" w:rsidRPr="00F14751" w:rsidRDefault="00D3672E"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Number of C</w:t>
            </w:r>
            <w:r w:rsidR="0064611C" w:rsidRPr="00F14751">
              <w:rPr>
                <w:rFonts w:ascii="Times New Roman" w:hAnsi="Times New Roman" w:cs="Times New Roman"/>
                <w:sz w:val="20"/>
                <w:szCs w:val="16"/>
              </w:rPr>
              <w:t>ountries</w:t>
            </w:r>
          </w:p>
        </w:tc>
        <w:tc>
          <w:tcPr>
            <w:tcW w:w="1373" w:type="dxa"/>
            <w:tcBorders>
              <w:top w:val="nil"/>
              <w:left w:val="nil"/>
              <w:bottom w:val="nil"/>
              <w:right w:val="nil"/>
            </w:tcBorders>
            <w:vAlign w:val="center"/>
          </w:tcPr>
          <w:p w14:paraId="34125BA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3" w:type="dxa"/>
            <w:tcBorders>
              <w:top w:val="nil"/>
              <w:left w:val="nil"/>
              <w:bottom w:val="nil"/>
              <w:right w:val="nil"/>
            </w:tcBorders>
            <w:vAlign w:val="center"/>
          </w:tcPr>
          <w:p w14:paraId="3F5320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4" w:type="dxa"/>
            <w:tcBorders>
              <w:top w:val="nil"/>
              <w:left w:val="nil"/>
              <w:bottom w:val="nil"/>
              <w:right w:val="nil"/>
            </w:tcBorders>
            <w:vAlign w:val="center"/>
          </w:tcPr>
          <w:p w14:paraId="73244A8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3" w:type="dxa"/>
            <w:tcBorders>
              <w:top w:val="nil"/>
              <w:left w:val="nil"/>
              <w:bottom w:val="nil"/>
              <w:right w:val="nil"/>
            </w:tcBorders>
            <w:vAlign w:val="center"/>
          </w:tcPr>
          <w:p w14:paraId="524C93C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4" w:type="dxa"/>
            <w:tcBorders>
              <w:top w:val="nil"/>
              <w:left w:val="nil"/>
              <w:bottom w:val="nil"/>
              <w:right w:val="nil"/>
            </w:tcBorders>
            <w:vAlign w:val="center"/>
          </w:tcPr>
          <w:p w14:paraId="5ECE3F0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3" w:type="dxa"/>
            <w:tcBorders>
              <w:top w:val="nil"/>
              <w:left w:val="nil"/>
              <w:bottom w:val="nil"/>
              <w:right w:val="nil"/>
            </w:tcBorders>
            <w:vAlign w:val="center"/>
          </w:tcPr>
          <w:p w14:paraId="2955453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3" w:type="dxa"/>
            <w:tcBorders>
              <w:top w:val="nil"/>
              <w:left w:val="nil"/>
              <w:bottom w:val="nil"/>
              <w:right w:val="nil"/>
            </w:tcBorders>
            <w:vAlign w:val="center"/>
          </w:tcPr>
          <w:p w14:paraId="474E107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4" w:type="dxa"/>
            <w:tcBorders>
              <w:top w:val="nil"/>
              <w:left w:val="nil"/>
              <w:bottom w:val="nil"/>
              <w:right w:val="nil"/>
            </w:tcBorders>
            <w:vAlign w:val="center"/>
          </w:tcPr>
          <w:p w14:paraId="18DBC21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3" w:type="dxa"/>
            <w:tcBorders>
              <w:top w:val="nil"/>
              <w:left w:val="nil"/>
              <w:bottom w:val="nil"/>
              <w:right w:val="nil"/>
            </w:tcBorders>
            <w:vAlign w:val="center"/>
          </w:tcPr>
          <w:p w14:paraId="41B199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c>
          <w:tcPr>
            <w:tcW w:w="1374" w:type="dxa"/>
            <w:tcBorders>
              <w:top w:val="nil"/>
              <w:left w:val="nil"/>
              <w:bottom w:val="nil"/>
              <w:right w:val="nil"/>
            </w:tcBorders>
            <w:vAlign w:val="center"/>
          </w:tcPr>
          <w:p w14:paraId="5561CA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5</w:t>
            </w:r>
          </w:p>
        </w:tc>
      </w:tr>
      <w:tr w:rsidR="0064611C" w:rsidRPr="00F14751" w14:paraId="41EC4070" w14:textId="77777777" w:rsidTr="006B126F">
        <w:tblPrEx>
          <w:tblBorders>
            <w:bottom w:val="single" w:sz="6" w:space="0" w:color="auto"/>
          </w:tblBorders>
        </w:tblPrEx>
        <w:trPr>
          <w:jc w:val="center"/>
        </w:trPr>
        <w:tc>
          <w:tcPr>
            <w:tcW w:w="1909" w:type="dxa"/>
            <w:tcBorders>
              <w:top w:val="nil"/>
              <w:left w:val="nil"/>
              <w:bottom w:val="single" w:sz="4" w:space="0" w:color="auto"/>
              <w:right w:val="nil"/>
            </w:tcBorders>
            <w:vAlign w:val="center"/>
          </w:tcPr>
          <w:p w14:paraId="0DA1122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20"/>
                <w:szCs w:val="16"/>
              </w:rPr>
            </w:pPr>
            <w:r w:rsidRPr="00F14751">
              <w:rPr>
                <w:rFonts w:ascii="Times New Roman" w:hAnsi="Times New Roman" w:cs="Times New Roman"/>
                <w:sz w:val="20"/>
                <w:szCs w:val="16"/>
              </w:rPr>
              <w:t>Robust SE</w:t>
            </w:r>
          </w:p>
        </w:tc>
        <w:tc>
          <w:tcPr>
            <w:tcW w:w="1373" w:type="dxa"/>
            <w:tcBorders>
              <w:top w:val="nil"/>
              <w:left w:val="nil"/>
              <w:bottom w:val="single" w:sz="4" w:space="0" w:color="auto"/>
              <w:right w:val="nil"/>
            </w:tcBorders>
            <w:vAlign w:val="center"/>
          </w:tcPr>
          <w:p w14:paraId="774182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3" w:type="dxa"/>
            <w:tcBorders>
              <w:top w:val="nil"/>
              <w:left w:val="nil"/>
              <w:bottom w:val="single" w:sz="4" w:space="0" w:color="auto"/>
              <w:right w:val="nil"/>
            </w:tcBorders>
            <w:vAlign w:val="center"/>
          </w:tcPr>
          <w:p w14:paraId="2731EAD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4" w:type="dxa"/>
            <w:tcBorders>
              <w:top w:val="nil"/>
              <w:left w:val="nil"/>
              <w:bottom w:val="single" w:sz="4" w:space="0" w:color="auto"/>
              <w:right w:val="nil"/>
            </w:tcBorders>
            <w:vAlign w:val="center"/>
          </w:tcPr>
          <w:p w14:paraId="410C276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3" w:type="dxa"/>
            <w:tcBorders>
              <w:top w:val="nil"/>
              <w:left w:val="nil"/>
              <w:bottom w:val="single" w:sz="4" w:space="0" w:color="auto"/>
              <w:right w:val="nil"/>
            </w:tcBorders>
            <w:vAlign w:val="center"/>
          </w:tcPr>
          <w:p w14:paraId="0A4FA13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4" w:type="dxa"/>
            <w:tcBorders>
              <w:top w:val="nil"/>
              <w:left w:val="nil"/>
              <w:bottom w:val="single" w:sz="4" w:space="0" w:color="auto"/>
              <w:right w:val="nil"/>
            </w:tcBorders>
            <w:vAlign w:val="center"/>
          </w:tcPr>
          <w:p w14:paraId="2BE765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3" w:type="dxa"/>
            <w:tcBorders>
              <w:top w:val="nil"/>
              <w:left w:val="nil"/>
              <w:bottom w:val="single" w:sz="4" w:space="0" w:color="auto"/>
              <w:right w:val="nil"/>
            </w:tcBorders>
            <w:vAlign w:val="center"/>
          </w:tcPr>
          <w:p w14:paraId="673F58B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3" w:type="dxa"/>
            <w:tcBorders>
              <w:top w:val="nil"/>
              <w:left w:val="nil"/>
              <w:bottom w:val="single" w:sz="4" w:space="0" w:color="auto"/>
              <w:right w:val="nil"/>
            </w:tcBorders>
            <w:vAlign w:val="center"/>
          </w:tcPr>
          <w:p w14:paraId="043A85B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4" w:type="dxa"/>
            <w:tcBorders>
              <w:top w:val="nil"/>
              <w:left w:val="nil"/>
              <w:bottom w:val="single" w:sz="4" w:space="0" w:color="auto"/>
              <w:right w:val="nil"/>
            </w:tcBorders>
            <w:vAlign w:val="center"/>
          </w:tcPr>
          <w:p w14:paraId="5427E01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3" w:type="dxa"/>
            <w:tcBorders>
              <w:top w:val="nil"/>
              <w:left w:val="nil"/>
              <w:bottom w:val="single" w:sz="4" w:space="0" w:color="auto"/>
              <w:right w:val="nil"/>
            </w:tcBorders>
            <w:vAlign w:val="center"/>
          </w:tcPr>
          <w:p w14:paraId="18CDD2A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c>
          <w:tcPr>
            <w:tcW w:w="1374" w:type="dxa"/>
            <w:tcBorders>
              <w:top w:val="nil"/>
              <w:left w:val="nil"/>
              <w:bottom w:val="single" w:sz="4" w:space="0" w:color="auto"/>
              <w:right w:val="nil"/>
            </w:tcBorders>
            <w:vAlign w:val="center"/>
          </w:tcPr>
          <w:p w14:paraId="2B178F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Yes</w:t>
            </w:r>
          </w:p>
        </w:tc>
      </w:tr>
    </w:tbl>
    <w:p w14:paraId="1F70E57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pPr>
      <w:r w:rsidRPr="00F14751">
        <w:rPr>
          <w:rFonts w:ascii="Times New Roman" w:hAnsi="Times New Roman" w:cs="Times New Roman"/>
          <w:sz w:val="20"/>
          <w:szCs w:val="16"/>
        </w:rPr>
        <w:t>Robust standard errors in parentheses</w:t>
      </w:r>
    </w:p>
    <w:p w14:paraId="491F41A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20"/>
          <w:szCs w:val="16"/>
        </w:rPr>
        <w:sectPr w:rsidR="0064611C" w:rsidRPr="00F14751" w:rsidSect="0054568F">
          <w:pgSz w:w="15840" w:h="12240" w:orient="landscape"/>
          <w:pgMar w:top="1440" w:right="1440" w:bottom="1440" w:left="1440" w:header="708" w:footer="708" w:gutter="0"/>
          <w:cols w:space="708"/>
          <w:docGrid w:linePitch="360"/>
        </w:sectPr>
      </w:pPr>
      <w:r w:rsidRPr="00F14751">
        <w:rPr>
          <w:rFonts w:ascii="Times New Roman" w:hAnsi="Times New Roman" w:cs="Times New Roman"/>
          <w:sz w:val="20"/>
          <w:szCs w:val="16"/>
        </w:rPr>
        <w:t>*** p&lt;0.01, ** p&lt;0.05, * p&lt;0.1</w:t>
      </w:r>
    </w:p>
    <w:p w14:paraId="4F27359B" w14:textId="77777777" w:rsidR="0064611C" w:rsidRPr="00F14751" w:rsidRDefault="0064611C" w:rsidP="00C8508E">
      <w:pPr>
        <w:pStyle w:val="NoSpacing"/>
        <w:spacing w:line="360" w:lineRule="auto"/>
        <w:jc w:val="both"/>
        <w:rPr>
          <w:rFonts w:asciiTheme="majorHAnsi" w:hAnsiTheme="majorHAnsi"/>
          <w:sz w:val="24"/>
        </w:rPr>
      </w:pPr>
      <w:r w:rsidRPr="00F14751">
        <w:rPr>
          <w:rFonts w:asciiTheme="majorHAnsi" w:hAnsiTheme="majorHAnsi"/>
          <w:sz w:val="24"/>
        </w:rPr>
        <w:t>Table 15: Estimation results of the FE model for the second group with the measures of inequality as dependent variables. The model includes country and time fixed effects.</w:t>
      </w:r>
    </w:p>
    <w:tbl>
      <w:tblPr>
        <w:tblW w:w="15643" w:type="dxa"/>
        <w:jc w:val="center"/>
        <w:tblLayout w:type="fixed"/>
        <w:tblCellMar>
          <w:left w:w="75" w:type="dxa"/>
          <w:right w:w="75" w:type="dxa"/>
        </w:tblCellMar>
        <w:tblLook w:val="0000" w:firstRow="0" w:lastRow="0" w:firstColumn="0" w:lastColumn="0" w:noHBand="0" w:noVBand="0"/>
      </w:tblPr>
      <w:tblGrid>
        <w:gridCol w:w="1671"/>
        <w:gridCol w:w="1397"/>
        <w:gridCol w:w="1397"/>
        <w:gridCol w:w="1397"/>
        <w:gridCol w:w="1397"/>
        <w:gridCol w:w="1398"/>
        <w:gridCol w:w="1397"/>
        <w:gridCol w:w="1397"/>
        <w:gridCol w:w="1397"/>
        <w:gridCol w:w="1397"/>
        <w:gridCol w:w="1398"/>
      </w:tblGrid>
      <w:tr w:rsidR="0064611C" w:rsidRPr="00F14751" w14:paraId="632E2E54" w14:textId="77777777" w:rsidTr="006B126F">
        <w:trPr>
          <w:jc w:val="center"/>
        </w:trPr>
        <w:tc>
          <w:tcPr>
            <w:tcW w:w="1671" w:type="dxa"/>
            <w:tcBorders>
              <w:top w:val="single" w:sz="6" w:space="0" w:color="auto"/>
              <w:left w:val="nil"/>
              <w:bottom w:val="nil"/>
              <w:right w:val="nil"/>
            </w:tcBorders>
            <w:vAlign w:val="center"/>
          </w:tcPr>
          <w:p w14:paraId="2E40582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single" w:sz="6" w:space="0" w:color="auto"/>
              <w:left w:val="nil"/>
              <w:bottom w:val="nil"/>
              <w:right w:val="nil"/>
            </w:tcBorders>
            <w:vAlign w:val="center"/>
          </w:tcPr>
          <w:p w14:paraId="75825F4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w:t>
            </w:r>
          </w:p>
        </w:tc>
        <w:tc>
          <w:tcPr>
            <w:tcW w:w="1397" w:type="dxa"/>
            <w:tcBorders>
              <w:top w:val="single" w:sz="6" w:space="0" w:color="auto"/>
              <w:left w:val="nil"/>
              <w:bottom w:val="nil"/>
              <w:right w:val="nil"/>
            </w:tcBorders>
            <w:vAlign w:val="center"/>
          </w:tcPr>
          <w:p w14:paraId="258F015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w:t>
            </w:r>
          </w:p>
        </w:tc>
        <w:tc>
          <w:tcPr>
            <w:tcW w:w="1397" w:type="dxa"/>
            <w:tcBorders>
              <w:top w:val="single" w:sz="6" w:space="0" w:color="auto"/>
              <w:left w:val="nil"/>
              <w:bottom w:val="nil"/>
              <w:right w:val="nil"/>
            </w:tcBorders>
            <w:vAlign w:val="center"/>
          </w:tcPr>
          <w:p w14:paraId="7A331D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w:t>
            </w:r>
          </w:p>
        </w:tc>
        <w:tc>
          <w:tcPr>
            <w:tcW w:w="1397" w:type="dxa"/>
            <w:tcBorders>
              <w:top w:val="single" w:sz="6" w:space="0" w:color="auto"/>
              <w:left w:val="nil"/>
              <w:bottom w:val="nil"/>
              <w:right w:val="nil"/>
            </w:tcBorders>
            <w:vAlign w:val="center"/>
          </w:tcPr>
          <w:p w14:paraId="1600A35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(4)</w:t>
            </w:r>
          </w:p>
        </w:tc>
        <w:tc>
          <w:tcPr>
            <w:tcW w:w="1398" w:type="dxa"/>
            <w:tcBorders>
              <w:top w:val="single" w:sz="6" w:space="0" w:color="auto"/>
              <w:left w:val="nil"/>
              <w:bottom w:val="nil"/>
              <w:right w:val="nil"/>
            </w:tcBorders>
            <w:vAlign w:val="center"/>
          </w:tcPr>
          <w:p w14:paraId="31878F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single" w:sz="6" w:space="0" w:color="auto"/>
              <w:left w:val="nil"/>
              <w:bottom w:val="nil"/>
              <w:right w:val="nil"/>
            </w:tcBorders>
            <w:vAlign w:val="center"/>
          </w:tcPr>
          <w:p w14:paraId="38928F5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(6)</w:t>
            </w:r>
          </w:p>
        </w:tc>
        <w:tc>
          <w:tcPr>
            <w:tcW w:w="1397" w:type="dxa"/>
            <w:tcBorders>
              <w:top w:val="single" w:sz="6" w:space="0" w:color="auto"/>
              <w:left w:val="nil"/>
              <w:bottom w:val="nil"/>
              <w:right w:val="nil"/>
            </w:tcBorders>
            <w:vAlign w:val="center"/>
          </w:tcPr>
          <w:p w14:paraId="6991BF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w:t>
            </w:r>
          </w:p>
        </w:tc>
        <w:tc>
          <w:tcPr>
            <w:tcW w:w="1397" w:type="dxa"/>
            <w:tcBorders>
              <w:top w:val="single" w:sz="6" w:space="0" w:color="auto"/>
              <w:left w:val="nil"/>
              <w:bottom w:val="nil"/>
              <w:right w:val="nil"/>
            </w:tcBorders>
            <w:vAlign w:val="center"/>
          </w:tcPr>
          <w:p w14:paraId="17788C2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(8)</w:t>
            </w:r>
          </w:p>
        </w:tc>
        <w:tc>
          <w:tcPr>
            <w:tcW w:w="1397" w:type="dxa"/>
            <w:tcBorders>
              <w:top w:val="single" w:sz="6" w:space="0" w:color="auto"/>
              <w:left w:val="nil"/>
              <w:bottom w:val="nil"/>
              <w:right w:val="nil"/>
            </w:tcBorders>
            <w:vAlign w:val="center"/>
          </w:tcPr>
          <w:p w14:paraId="06A52B6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(9)</w:t>
            </w:r>
          </w:p>
        </w:tc>
        <w:tc>
          <w:tcPr>
            <w:tcW w:w="1398" w:type="dxa"/>
            <w:tcBorders>
              <w:top w:val="single" w:sz="6" w:space="0" w:color="auto"/>
              <w:left w:val="nil"/>
              <w:bottom w:val="nil"/>
              <w:right w:val="nil"/>
            </w:tcBorders>
            <w:vAlign w:val="center"/>
          </w:tcPr>
          <w:p w14:paraId="097EDE9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(10)</w:t>
            </w:r>
          </w:p>
        </w:tc>
      </w:tr>
      <w:tr w:rsidR="0064611C" w:rsidRPr="00F14751" w14:paraId="7C10205A" w14:textId="77777777" w:rsidTr="006B126F">
        <w:trPr>
          <w:jc w:val="center"/>
        </w:trPr>
        <w:tc>
          <w:tcPr>
            <w:tcW w:w="1671" w:type="dxa"/>
            <w:tcBorders>
              <w:top w:val="nil"/>
              <w:left w:val="nil"/>
              <w:bottom w:val="single" w:sz="6" w:space="0" w:color="auto"/>
              <w:right w:val="nil"/>
            </w:tcBorders>
            <w:vAlign w:val="center"/>
          </w:tcPr>
          <w:p w14:paraId="7DB446C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VARIABLES</w:t>
            </w:r>
          </w:p>
        </w:tc>
        <w:tc>
          <w:tcPr>
            <w:tcW w:w="1397" w:type="dxa"/>
            <w:tcBorders>
              <w:top w:val="nil"/>
              <w:left w:val="nil"/>
              <w:bottom w:val="single" w:sz="6" w:space="0" w:color="auto"/>
              <w:right w:val="nil"/>
            </w:tcBorders>
            <w:vAlign w:val="center"/>
          </w:tcPr>
          <w:p w14:paraId="080CEA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Gini</w:t>
            </w:r>
          </w:p>
        </w:tc>
        <w:tc>
          <w:tcPr>
            <w:tcW w:w="1397" w:type="dxa"/>
            <w:tcBorders>
              <w:top w:val="nil"/>
              <w:left w:val="nil"/>
              <w:bottom w:val="single" w:sz="6" w:space="0" w:color="auto"/>
              <w:right w:val="nil"/>
            </w:tcBorders>
            <w:vAlign w:val="center"/>
          </w:tcPr>
          <w:p w14:paraId="7295F40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D1</w:t>
            </w:r>
          </w:p>
        </w:tc>
        <w:tc>
          <w:tcPr>
            <w:tcW w:w="1397" w:type="dxa"/>
            <w:tcBorders>
              <w:top w:val="nil"/>
              <w:left w:val="nil"/>
              <w:bottom w:val="single" w:sz="6" w:space="0" w:color="auto"/>
              <w:right w:val="nil"/>
            </w:tcBorders>
            <w:vAlign w:val="center"/>
          </w:tcPr>
          <w:p w14:paraId="7DC09B0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D2</w:t>
            </w:r>
          </w:p>
        </w:tc>
        <w:tc>
          <w:tcPr>
            <w:tcW w:w="1397" w:type="dxa"/>
            <w:tcBorders>
              <w:top w:val="nil"/>
              <w:left w:val="nil"/>
              <w:bottom w:val="single" w:sz="6" w:space="0" w:color="auto"/>
              <w:right w:val="nil"/>
            </w:tcBorders>
            <w:vAlign w:val="center"/>
          </w:tcPr>
          <w:p w14:paraId="6108ECC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Q1</w:t>
            </w:r>
          </w:p>
        </w:tc>
        <w:tc>
          <w:tcPr>
            <w:tcW w:w="1398" w:type="dxa"/>
            <w:tcBorders>
              <w:top w:val="nil"/>
              <w:left w:val="nil"/>
              <w:bottom w:val="single" w:sz="6" w:space="0" w:color="auto"/>
              <w:right w:val="nil"/>
            </w:tcBorders>
            <w:vAlign w:val="center"/>
          </w:tcPr>
          <w:p w14:paraId="2E7185C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Q2</w:t>
            </w:r>
          </w:p>
        </w:tc>
        <w:tc>
          <w:tcPr>
            <w:tcW w:w="1397" w:type="dxa"/>
            <w:tcBorders>
              <w:top w:val="nil"/>
              <w:left w:val="nil"/>
              <w:bottom w:val="single" w:sz="6" w:space="0" w:color="auto"/>
              <w:right w:val="nil"/>
            </w:tcBorders>
            <w:vAlign w:val="center"/>
          </w:tcPr>
          <w:p w14:paraId="542545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Q3</w:t>
            </w:r>
          </w:p>
        </w:tc>
        <w:tc>
          <w:tcPr>
            <w:tcW w:w="1397" w:type="dxa"/>
            <w:tcBorders>
              <w:top w:val="nil"/>
              <w:left w:val="nil"/>
              <w:bottom w:val="single" w:sz="6" w:space="0" w:color="auto"/>
              <w:right w:val="nil"/>
            </w:tcBorders>
            <w:vAlign w:val="center"/>
          </w:tcPr>
          <w:p w14:paraId="34D630C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Q4</w:t>
            </w:r>
          </w:p>
        </w:tc>
        <w:tc>
          <w:tcPr>
            <w:tcW w:w="1397" w:type="dxa"/>
            <w:tcBorders>
              <w:top w:val="nil"/>
              <w:left w:val="nil"/>
              <w:bottom w:val="single" w:sz="6" w:space="0" w:color="auto"/>
              <w:right w:val="nil"/>
            </w:tcBorders>
            <w:vAlign w:val="center"/>
          </w:tcPr>
          <w:p w14:paraId="181A193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D9</w:t>
            </w:r>
          </w:p>
        </w:tc>
        <w:tc>
          <w:tcPr>
            <w:tcW w:w="1397" w:type="dxa"/>
            <w:tcBorders>
              <w:top w:val="nil"/>
              <w:left w:val="nil"/>
              <w:bottom w:val="single" w:sz="6" w:space="0" w:color="auto"/>
              <w:right w:val="nil"/>
            </w:tcBorders>
            <w:vAlign w:val="center"/>
          </w:tcPr>
          <w:p w14:paraId="3C45FB1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D10</w:t>
            </w:r>
          </w:p>
        </w:tc>
        <w:tc>
          <w:tcPr>
            <w:tcW w:w="1398" w:type="dxa"/>
            <w:tcBorders>
              <w:top w:val="nil"/>
              <w:left w:val="nil"/>
              <w:bottom w:val="single" w:sz="6" w:space="0" w:color="auto"/>
              <w:right w:val="nil"/>
            </w:tcBorders>
            <w:vAlign w:val="center"/>
          </w:tcPr>
          <w:p w14:paraId="63BD9BD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Q5</w:t>
            </w:r>
          </w:p>
        </w:tc>
      </w:tr>
      <w:tr w:rsidR="0064611C" w:rsidRPr="00F14751" w14:paraId="7769720B" w14:textId="77777777" w:rsidTr="006B126F">
        <w:trPr>
          <w:jc w:val="center"/>
        </w:trPr>
        <w:tc>
          <w:tcPr>
            <w:tcW w:w="1671" w:type="dxa"/>
            <w:tcBorders>
              <w:top w:val="nil"/>
              <w:left w:val="nil"/>
              <w:bottom w:val="nil"/>
              <w:right w:val="nil"/>
            </w:tcBorders>
            <w:vAlign w:val="center"/>
          </w:tcPr>
          <w:p w14:paraId="11B6251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13B8C72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32BC218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765FA23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4DDE23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8" w:type="dxa"/>
            <w:tcBorders>
              <w:top w:val="nil"/>
              <w:left w:val="nil"/>
              <w:bottom w:val="nil"/>
              <w:right w:val="nil"/>
            </w:tcBorders>
            <w:vAlign w:val="center"/>
          </w:tcPr>
          <w:p w14:paraId="5E0C1A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116A8B8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3F7826E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7F78D9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5A2B10C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8" w:type="dxa"/>
            <w:tcBorders>
              <w:top w:val="nil"/>
              <w:left w:val="nil"/>
              <w:bottom w:val="nil"/>
              <w:right w:val="nil"/>
            </w:tcBorders>
            <w:vAlign w:val="center"/>
          </w:tcPr>
          <w:p w14:paraId="41305CE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r>
      <w:tr w:rsidR="0064611C" w:rsidRPr="00F14751" w14:paraId="242701FD" w14:textId="77777777" w:rsidTr="006B126F">
        <w:trPr>
          <w:jc w:val="center"/>
        </w:trPr>
        <w:tc>
          <w:tcPr>
            <w:tcW w:w="1671" w:type="dxa"/>
            <w:tcBorders>
              <w:top w:val="nil"/>
              <w:left w:val="nil"/>
              <w:bottom w:val="nil"/>
              <w:right w:val="nil"/>
            </w:tcBorders>
            <w:vAlign w:val="center"/>
          </w:tcPr>
          <w:p w14:paraId="2349059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Trade</w:t>
            </w:r>
          </w:p>
        </w:tc>
        <w:tc>
          <w:tcPr>
            <w:tcW w:w="1397" w:type="dxa"/>
            <w:tcBorders>
              <w:top w:val="nil"/>
              <w:left w:val="nil"/>
              <w:bottom w:val="nil"/>
              <w:right w:val="nil"/>
            </w:tcBorders>
            <w:vAlign w:val="center"/>
          </w:tcPr>
          <w:p w14:paraId="436718A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0.0347</w:t>
            </w:r>
          </w:p>
        </w:tc>
        <w:tc>
          <w:tcPr>
            <w:tcW w:w="1397" w:type="dxa"/>
            <w:tcBorders>
              <w:top w:val="nil"/>
              <w:left w:val="nil"/>
              <w:bottom w:val="nil"/>
              <w:right w:val="nil"/>
            </w:tcBorders>
            <w:vAlign w:val="center"/>
          </w:tcPr>
          <w:p w14:paraId="65290F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0.00692</w:t>
            </w:r>
          </w:p>
        </w:tc>
        <w:tc>
          <w:tcPr>
            <w:tcW w:w="1397" w:type="dxa"/>
            <w:tcBorders>
              <w:top w:val="nil"/>
              <w:left w:val="nil"/>
              <w:bottom w:val="nil"/>
              <w:right w:val="nil"/>
            </w:tcBorders>
            <w:vAlign w:val="center"/>
          </w:tcPr>
          <w:p w14:paraId="733D51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-0.00537</w:t>
            </w:r>
          </w:p>
        </w:tc>
        <w:tc>
          <w:tcPr>
            <w:tcW w:w="1397" w:type="dxa"/>
            <w:tcBorders>
              <w:top w:val="nil"/>
              <w:left w:val="nil"/>
              <w:bottom w:val="nil"/>
              <w:right w:val="nil"/>
            </w:tcBorders>
            <w:vAlign w:val="center"/>
          </w:tcPr>
          <w:p w14:paraId="1273E72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0.00155</w:t>
            </w:r>
          </w:p>
        </w:tc>
        <w:tc>
          <w:tcPr>
            <w:tcW w:w="1398" w:type="dxa"/>
            <w:tcBorders>
              <w:top w:val="nil"/>
              <w:left w:val="nil"/>
              <w:bottom w:val="nil"/>
              <w:right w:val="nil"/>
            </w:tcBorders>
            <w:vAlign w:val="center"/>
          </w:tcPr>
          <w:p w14:paraId="0377230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-0.0146</w:t>
            </w:r>
          </w:p>
        </w:tc>
        <w:tc>
          <w:tcPr>
            <w:tcW w:w="1397" w:type="dxa"/>
            <w:tcBorders>
              <w:top w:val="nil"/>
              <w:left w:val="nil"/>
              <w:bottom w:val="nil"/>
              <w:right w:val="nil"/>
            </w:tcBorders>
            <w:vAlign w:val="center"/>
          </w:tcPr>
          <w:p w14:paraId="0C8779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-0.0138</w:t>
            </w:r>
          </w:p>
        </w:tc>
        <w:tc>
          <w:tcPr>
            <w:tcW w:w="1397" w:type="dxa"/>
            <w:tcBorders>
              <w:top w:val="nil"/>
              <w:left w:val="nil"/>
              <w:bottom w:val="nil"/>
              <w:right w:val="nil"/>
            </w:tcBorders>
            <w:vAlign w:val="center"/>
          </w:tcPr>
          <w:p w14:paraId="445DE77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-0.00618</w:t>
            </w:r>
          </w:p>
        </w:tc>
        <w:tc>
          <w:tcPr>
            <w:tcW w:w="1397" w:type="dxa"/>
            <w:tcBorders>
              <w:top w:val="nil"/>
              <w:left w:val="nil"/>
              <w:bottom w:val="nil"/>
              <w:right w:val="nil"/>
            </w:tcBorders>
            <w:vAlign w:val="center"/>
          </w:tcPr>
          <w:p w14:paraId="6184D28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0.00793</w:t>
            </w:r>
          </w:p>
        </w:tc>
        <w:tc>
          <w:tcPr>
            <w:tcW w:w="1397" w:type="dxa"/>
            <w:tcBorders>
              <w:top w:val="nil"/>
              <w:left w:val="nil"/>
              <w:bottom w:val="nil"/>
              <w:right w:val="nil"/>
            </w:tcBorders>
            <w:vAlign w:val="center"/>
          </w:tcPr>
          <w:p w14:paraId="3F8DAE9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0.0251</w:t>
            </w:r>
          </w:p>
        </w:tc>
        <w:tc>
          <w:tcPr>
            <w:tcW w:w="1398" w:type="dxa"/>
            <w:tcBorders>
              <w:top w:val="nil"/>
              <w:left w:val="nil"/>
              <w:bottom w:val="nil"/>
              <w:right w:val="nil"/>
            </w:tcBorders>
            <w:vAlign w:val="center"/>
          </w:tcPr>
          <w:p w14:paraId="39704C2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0.0330</w:t>
            </w:r>
          </w:p>
        </w:tc>
      </w:tr>
      <w:tr w:rsidR="0064611C" w:rsidRPr="00F14751" w14:paraId="0C8C5751" w14:textId="77777777" w:rsidTr="006B126F">
        <w:trPr>
          <w:jc w:val="center"/>
        </w:trPr>
        <w:tc>
          <w:tcPr>
            <w:tcW w:w="1671" w:type="dxa"/>
            <w:tcBorders>
              <w:top w:val="nil"/>
              <w:left w:val="nil"/>
              <w:bottom w:val="nil"/>
              <w:right w:val="nil"/>
            </w:tcBorders>
            <w:vAlign w:val="center"/>
          </w:tcPr>
          <w:p w14:paraId="0783FDC3"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6DAAD3D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(0.0290)</w:t>
            </w:r>
          </w:p>
        </w:tc>
        <w:tc>
          <w:tcPr>
            <w:tcW w:w="1397" w:type="dxa"/>
            <w:tcBorders>
              <w:top w:val="nil"/>
              <w:left w:val="nil"/>
              <w:bottom w:val="nil"/>
              <w:right w:val="nil"/>
            </w:tcBorders>
            <w:vAlign w:val="center"/>
          </w:tcPr>
          <w:p w14:paraId="4D8CD8A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(0.00873)</w:t>
            </w:r>
          </w:p>
        </w:tc>
        <w:tc>
          <w:tcPr>
            <w:tcW w:w="1397" w:type="dxa"/>
            <w:tcBorders>
              <w:top w:val="nil"/>
              <w:left w:val="nil"/>
              <w:bottom w:val="nil"/>
              <w:right w:val="nil"/>
            </w:tcBorders>
            <w:vAlign w:val="center"/>
          </w:tcPr>
          <w:p w14:paraId="2F6190C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(0.00409)</w:t>
            </w:r>
          </w:p>
        </w:tc>
        <w:tc>
          <w:tcPr>
            <w:tcW w:w="1397" w:type="dxa"/>
            <w:tcBorders>
              <w:top w:val="nil"/>
              <w:left w:val="nil"/>
              <w:bottom w:val="nil"/>
              <w:right w:val="nil"/>
            </w:tcBorders>
            <w:vAlign w:val="center"/>
          </w:tcPr>
          <w:p w14:paraId="4CFD29D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(0.0118)</w:t>
            </w:r>
          </w:p>
        </w:tc>
        <w:tc>
          <w:tcPr>
            <w:tcW w:w="1398" w:type="dxa"/>
            <w:tcBorders>
              <w:top w:val="nil"/>
              <w:left w:val="nil"/>
              <w:bottom w:val="nil"/>
              <w:right w:val="nil"/>
            </w:tcBorders>
            <w:vAlign w:val="center"/>
          </w:tcPr>
          <w:p w14:paraId="273C0D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(0.00984)</w:t>
            </w:r>
          </w:p>
        </w:tc>
        <w:tc>
          <w:tcPr>
            <w:tcW w:w="1397" w:type="dxa"/>
            <w:tcBorders>
              <w:top w:val="nil"/>
              <w:left w:val="nil"/>
              <w:bottom w:val="nil"/>
              <w:right w:val="nil"/>
            </w:tcBorders>
            <w:vAlign w:val="center"/>
          </w:tcPr>
          <w:p w14:paraId="45D4534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(0.0135)</w:t>
            </w:r>
          </w:p>
        </w:tc>
        <w:tc>
          <w:tcPr>
            <w:tcW w:w="1397" w:type="dxa"/>
            <w:tcBorders>
              <w:top w:val="nil"/>
              <w:left w:val="nil"/>
              <w:bottom w:val="nil"/>
              <w:right w:val="nil"/>
            </w:tcBorders>
            <w:vAlign w:val="center"/>
          </w:tcPr>
          <w:p w14:paraId="7D8B58C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(0.0249)</w:t>
            </w:r>
          </w:p>
        </w:tc>
        <w:tc>
          <w:tcPr>
            <w:tcW w:w="1397" w:type="dxa"/>
            <w:tcBorders>
              <w:top w:val="nil"/>
              <w:left w:val="nil"/>
              <w:bottom w:val="nil"/>
              <w:right w:val="nil"/>
            </w:tcBorders>
            <w:vAlign w:val="center"/>
          </w:tcPr>
          <w:p w14:paraId="65DAAF6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(0.0222)</w:t>
            </w:r>
          </w:p>
        </w:tc>
        <w:tc>
          <w:tcPr>
            <w:tcW w:w="1397" w:type="dxa"/>
            <w:tcBorders>
              <w:top w:val="nil"/>
              <w:left w:val="nil"/>
              <w:bottom w:val="nil"/>
              <w:right w:val="nil"/>
            </w:tcBorders>
            <w:vAlign w:val="center"/>
          </w:tcPr>
          <w:p w14:paraId="1187D0D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(0.0542)</w:t>
            </w:r>
          </w:p>
        </w:tc>
        <w:tc>
          <w:tcPr>
            <w:tcW w:w="1398" w:type="dxa"/>
            <w:tcBorders>
              <w:top w:val="nil"/>
              <w:left w:val="nil"/>
              <w:bottom w:val="nil"/>
              <w:right w:val="nil"/>
            </w:tcBorders>
            <w:vAlign w:val="center"/>
          </w:tcPr>
          <w:p w14:paraId="2264B54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(0.0369)</w:t>
            </w:r>
          </w:p>
        </w:tc>
      </w:tr>
      <w:tr w:rsidR="0064611C" w:rsidRPr="00F14751" w14:paraId="3546B518" w14:textId="77777777" w:rsidTr="006B126F">
        <w:trPr>
          <w:jc w:val="center"/>
        </w:trPr>
        <w:tc>
          <w:tcPr>
            <w:tcW w:w="1671" w:type="dxa"/>
            <w:tcBorders>
              <w:top w:val="nil"/>
              <w:left w:val="nil"/>
              <w:bottom w:val="nil"/>
              <w:right w:val="nil"/>
            </w:tcBorders>
            <w:vAlign w:val="center"/>
          </w:tcPr>
          <w:p w14:paraId="7EFE7A11"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Financial</w:t>
            </w:r>
          </w:p>
        </w:tc>
        <w:tc>
          <w:tcPr>
            <w:tcW w:w="1397" w:type="dxa"/>
            <w:tcBorders>
              <w:top w:val="nil"/>
              <w:left w:val="nil"/>
              <w:bottom w:val="nil"/>
              <w:right w:val="nil"/>
            </w:tcBorders>
            <w:vAlign w:val="center"/>
          </w:tcPr>
          <w:p w14:paraId="039DCE7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-0.0320</w:t>
            </w:r>
          </w:p>
        </w:tc>
        <w:tc>
          <w:tcPr>
            <w:tcW w:w="1397" w:type="dxa"/>
            <w:tcBorders>
              <w:top w:val="nil"/>
              <w:left w:val="nil"/>
              <w:bottom w:val="nil"/>
              <w:right w:val="nil"/>
            </w:tcBorders>
            <w:vAlign w:val="center"/>
          </w:tcPr>
          <w:p w14:paraId="58079C6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0.00445</w:t>
            </w:r>
          </w:p>
        </w:tc>
        <w:tc>
          <w:tcPr>
            <w:tcW w:w="1397" w:type="dxa"/>
            <w:tcBorders>
              <w:top w:val="nil"/>
              <w:left w:val="nil"/>
              <w:bottom w:val="nil"/>
              <w:right w:val="nil"/>
            </w:tcBorders>
            <w:vAlign w:val="center"/>
          </w:tcPr>
          <w:p w14:paraId="3707F31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-0.000883</w:t>
            </w:r>
          </w:p>
        </w:tc>
        <w:tc>
          <w:tcPr>
            <w:tcW w:w="1397" w:type="dxa"/>
            <w:tcBorders>
              <w:top w:val="nil"/>
              <w:left w:val="nil"/>
              <w:bottom w:val="nil"/>
              <w:right w:val="nil"/>
            </w:tcBorders>
            <w:vAlign w:val="center"/>
          </w:tcPr>
          <w:p w14:paraId="47055A6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0.00357</w:t>
            </w:r>
          </w:p>
        </w:tc>
        <w:tc>
          <w:tcPr>
            <w:tcW w:w="1398" w:type="dxa"/>
            <w:tcBorders>
              <w:top w:val="nil"/>
              <w:left w:val="nil"/>
              <w:bottom w:val="nil"/>
              <w:right w:val="nil"/>
            </w:tcBorders>
            <w:vAlign w:val="center"/>
          </w:tcPr>
          <w:p w14:paraId="3369D8D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-0.000793</w:t>
            </w:r>
          </w:p>
        </w:tc>
        <w:tc>
          <w:tcPr>
            <w:tcW w:w="1397" w:type="dxa"/>
            <w:tcBorders>
              <w:top w:val="nil"/>
              <w:left w:val="nil"/>
              <w:bottom w:val="nil"/>
              <w:right w:val="nil"/>
            </w:tcBorders>
            <w:vAlign w:val="center"/>
          </w:tcPr>
          <w:p w14:paraId="7EB1800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0.00892</w:t>
            </w:r>
          </w:p>
        </w:tc>
        <w:tc>
          <w:tcPr>
            <w:tcW w:w="1397" w:type="dxa"/>
            <w:tcBorders>
              <w:top w:val="nil"/>
              <w:left w:val="nil"/>
              <w:bottom w:val="nil"/>
              <w:right w:val="nil"/>
            </w:tcBorders>
            <w:vAlign w:val="center"/>
          </w:tcPr>
          <w:p w14:paraId="7A88B1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0.0177</w:t>
            </w:r>
          </w:p>
        </w:tc>
        <w:tc>
          <w:tcPr>
            <w:tcW w:w="1397" w:type="dxa"/>
            <w:tcBorders>
              <w:top w:val="nil"/>
              <w:left w:val="nil"/>
              <w:bottom w:val="nil"/>
              <w:right w:val="nil"/>
            </w:tcBorders>
            <w:vAlign w:val="center"/>
          </w:tcPr>
          <w:p w14:paraId="691CE6F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0.0190*</w:t>
            </w:r>
          </w:p>
        </w:tc>
        <w:tc>
          <w:tcPr>
            <w:tcW w:w="1397" w:type="dxa"/>
            <w:tcBorders>
              <w:top w:val="nil"/>
              <w:left w:val="nil"/>
              <w:bottom w:val="nil"/>
              <w:right w:val="nil"/>
            </w:tcBorders>
            <w:vAlign w:val="center"/>
          </w:tcPr>
          <w:p w14:paraId="14D597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-0.0484</w:t>
            </w:r>
          </w:p>
        </w:tc>
        <w:tc>
          <w:tcPr>
            <w:tcW w:w="1398" w:type="dxa"/>
            <w:tcBorders>
              <w:top w:val="nil"/>
              <w:left w:val="nil"/>
              <w:bottom w:val="nil"/>
              <w:right w:val="nil"/>
            </w:tcBorders>
            <w:vAlign w:val="center"/>
          </w:tcPr>
          <w:p w14:paraId="610FC6B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-0.0294</w:t>
            </w:r>
          </w:p>
        </w:tc>
      </w:tr>
      <w:tr w:rsidR="0064611C" w:rsidRPr="00F14751" w14:paraId="2595078C" w14:textId="77777777" w:rsidTr="006B126F">
        <w:trPr>
          <w:jc w:val="center"/>
        </w:trPr>
        <w:tc>
          <w:tcPr>
            <w:tcW w:w="1671" w:type="dxa"/>
            <w:tcBorders>
              <w:top w:val="nil"/>
              <w:left w:val="nil"/>
              <w:bottom w:val="nil"/>
              <w:right w:val="nil"/>
            </w:tcBorders>
            <w:vAlign w:val="center"/>
          </w:tcPr>
          <w:p w14:paraId="749E1B0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7080D0E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(0.0328)</w:t>
            </w:r>
          </w:p>
        </w:tc>
        <w:tc>
          <w:tcPr>
            <w:tcW w:w="1397" w:type="dxa"/>
            <w:tcBorders>
              <w:top w:val="nil"/>
              <w:left w:val="nil"/>
              <w:bottom w:val="nil"/>
              <w:right w:val="nil"/>
            </w:tcBorders>
            <w:vAlign w:val="center"/>
          </w:tcPr>
          <w:p w14:paraId="18DB58F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(0.00298)</w:t>
            </w:r>
          </w:p>
        </w:tc>
        <w:tc>
          <w:tcPr>
            <w:tcW w:w="1397" w:type="dxa"/>
            <w:tcBorders>
              <w:top w:val="nil"/>
              <w:left w:val="nil"/>
              <w:bottom w:val="nil"/>
              <w:right w:val="nil"/>
            </w:tcBorders>
            <w:vAlign w:val="center"/>
          </w:tcPr>
          <w:p w14:paraId="31F1630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(0.00320)</w:t>
            </w:r>
          </w:p>
        </w:tc>
        <w:tc>
          <w:tcPr>
            <w:tcW w:w="1397" w:type="dxa"/>
            <w:tcBorders>
              <w:top w:val="nil"/>
              <w:left w:val="nil"/>
              <w:bottom w:val="nil"/>
              <w:right w:val="nil"/>
            </w:tcBorders>
            <w:vAlign w:val="center"/>
          </w:tcPr>
          <w:p w14:paraId="14711F8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(0.00566)</w:t>
            </w:r>
          </w:p>
        </w:tc>
        <w:tc>
          <w:tcPr>
            <w:tcW w:w="1398" w:type="dxa"/>
            <w:tcBorders>
              <w:top w:val="nil"/>
              <w:left w:val="nil"/>
              <w:bottom w:val="nil"/>
              <w:right w:val="nil"/>
            </w:tcBorders>
            <w:vAlign w:val="center"/>
          </w:tcPr>
          <w:p w14:paraId="52D3F81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(0.00764)</w:t>
            </w:r>
          </w:p>
        </w:tc>
        <w:tc>
          <w:tcPr>
            <w:tcW w:w="1397" w:type="dxa"/>
            <w:tcBorders>
              <w:top w:val="nil"/>
              <w:left w:val="nil"/>
              <w:bottom w:val="nil"/>
              <w:right w:val="nil"/>
            </w:tcBorders>
            <w:vAlign w:val="center"/>
          </w:tcPr>
          <w:p w14:paraId="28E0F64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(0.00919)</w:t>
            </w:r>
          </w:p>
        </w:tc>
        <w:tc>
          <w:tcPr>
            <w:tcW w:w="1397" w:type="dxa"/>
            <w:tcBorders>
              <w:top w:val="nil"/>
              <w:left w:val="nil"/>
              <w:bottom w:val="nil"/>
              <w:right w:val="nil"/>
            </w:tcBorders>
            <w:vAlign w:val="center"/>
          </w:tcPr>
          <w:p w14:paraId="5954C18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(0.0114)</w:t>
            </w:r>
          </w:p>
        </w:tc>
        <w:tc>
          <w:tcPr>
            <w:tcW w:w="1397" w:type="dxa"/>
            <w:tcBorders>
              <w:top w:val="nil"/>
              <w:left w:val="nil"/>
              <w:bottom w:val="nil"/>
              <w:right w:val="nil"/>
            </w:tcBorders>
            <w:vAlign w:val="center"/>
          </w:tcPr>
          <w:p w14:paraId="2392548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(0.00838)</w:t>
            </w:r>
          </w:p>
        </w:tc>
        <w:tc>
          <w:tcPr>
            <w:tcW w:w="1397" w:type="dxa"/>
            <w:tcBorders>
              <w:top w:val="nil"/>
              <w:left w:val="nil"/>
              <w:bottom w:val="nil"/>
              <w:right w:val="nil"/>
            </w:tcBorders>
            <w:vAlign w:val="center"/>
          </w:tcPr>
          <w:p w14:paraId="3FC1A71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(0.0347)</w:t>
            </w:r>
          </w:p>
        </w:tc>
        <w:tc>
          <w:tcPr>
            <w:tcW w:w="1398" w:type="dxa"/>
            <w:tcBorders>
              <w:top w:val="nil"/>
              <w:left w:val="nil"/>
              <w:bottom w:val="nil"/>
              <w:right w:val="nil"/>
            </w:tcBorders>
            <w:vAlign w:val="center"/>
          </w:tcPr>
          <w:p w14:paraId="03350F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(0.0291)</w:t>
            </w:r>
          </w:p>
        </w:tc>
      </w:tr>
      <w:tr w:rsidR="0064611C" w:rsidRPr="00F14751" w14:paraId="518A57D2" w14:textId="77777777" w:rsidTr="006B126F">
        <w:trPr>
          <w:jc w:val="center"/>
        </w:trPr>
        <w:tc>
          <w:tcPr>
            <w:tcW w:w="1671" w:type="dxa"/>
            <w:tcBorders>
              <w:top w:val="nil"/>
              <w:left w:val="nil"/>
              <w:bottom w:val="nil"/>
              <w:right w:val="nil"/>
            </w:tcBorders>
            <w:vAlign w:val="center"/>
          </w:tcPr>
          <w:p w14:paraId="614F4E8A"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Tax</w:t>
            </w:r>
          </w:p>
        </w:tc>
        <w:tc>
          <w:tcPr>
            <w:tcW w:w="1397" w:type="dxa"/>
            <w:tcBorders>
              <w:top w:val="nil"/>
              <w:left w:val="nil"/>
              <w:bottom w:val="nil"/>
              <w:right w:val="nil"/>
            </w:tcBorders>
            <w:vAlign w:val="center"/>
          </w:tcPr>
          <w:p w14:paraId="3A84FC5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-0.00538</w:t>
            </w:r>
          </w:p>
        </w:tc>
        <w:tc>
          <w:tcPr>
            <w:tcW w:w="1397" w:type="dxa"/>
            <w:tcBorders>
              <w:top w:val="nil"/>
              <w:left w:val="nil"/>
              <w:bottom w:val="nil"/>
              <w:right w:val="nil"/>
            </w:tcBorders>
            <w:vAlign w:val="center"/>
          </w:tcPr>
          <w:p w14:paraId="1AD096C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-0.00900**</w:t>
            </w:r>
          </w:p>
        </w:tc>
        <w:tc>
          <w:tcPr>
            <w:tcW w:w="1397" w:type="dxa"/>
            <w:tcBorders>
              <w:top w:val="nil"/>
              <w:left w:val="nil"/>
              <w:bottom w:val="nil"/>
              <w:right w:val="nil"/>
            </w:tcBorders>
            <w:vAlign w:val="center"/>
          </w:tcPr>
          <w:p w14:paraId="4F34301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-0.00503</w:t>
            </w:r>
          </w:p>
        </w:tc>
        <w:tc>
          <w:tcPr>
            <w:tcW w:w="1397" w:type="dxa"/>
            <w:tcBorders>
              <w:top w:val="nil"/>
              <w:left w:val="nil"/>
              <w:bottom w:val="nil"/>
              <w:right w:val="nil"/>
            </w:tcBorders>
            <w:vAlign w:val="center"/>
          </w:tcPr>
          <w:p w14:paraId="2025FB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-0.0140</w:t>
            </w:r>
          </w:p>
        </w:tc>
        <w:tc>
          <w:tcPr>
            <w:tcW w:w="1398" w:type="dxa"/>
            <w:tcBorders>
              <w:top w:val="nil"/>
              <w:left w:val="nil"/>
              <w:bottom w:val="nil"/>
              <w:right w:val="nil"/>
            </w:tcBorders>
            <w:vAlign w:val="center"/>
          </w:tcPr>
          <w:p w14:paraId="6C316E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-0.00331</w:t>
            </w:r>
          </w:p>
        </w:tc>
        <w:tc>
          <w:tcPr>
            <w:tcW w:w="1397" w:type="dxa"/>
            <w:tcBorders>
              <w:top w:val="nil"/>
              <w:left w:val="nil"/>
              <w:bottom w:val="nil"/>
              <w:right w:val="nil"/>
            </w:tcBorders>
            <w:vAlign w:val="center"/>
          </w:tcPr>
          <w:p w14:paraId="3F6629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0.00983</w:t>
            </w:r>
          </w:p>
        </w:tc>
        <w:tc>
          <w:tcPr>
            <w:tcW w:w="1397" w:type="dxa"/>
            <w:tcBorders>
              <w:top w:val="nil"/>
              <w:left w:val="nil"/>
              <w:bottom w:val="nil"/>
              <w:right w:val="nil"/>
            </w:tcBorders>
            <w:vAlign w:val="center"/>
          </w:tcPr>
          <w:p w14:paraId="4D58043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0.0277</w:t>
            </w:r>
          </w:p>
        </w:tc>
        <w:tc>
          <w:tcPr>
            <w:tcW w:w="1397" w:type="dxa"/>
            <w:tcBorders>
              <w:top w:val="nil"/>
              <w:left w:val="nil"/>
              <w:bottom w:val="nil"/>
              <w:right w:val="nil"/>
            </w:tcBorders>
            <w:vAlign w:val="center"/>
          </w:tcPr>
          <w:p w14:paraId="44A5AB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0.0218*</w:t>
            </w:r>
          </w:p>
        </w:tc>
        <w:tc>
          <w:tcPr>
            <w:tcW w:w="1397" w:type="dxa"/>
            <w:tcBorders>
              <w:top w:val="nil"/>
              <w:left w:val="nil"/>
              <w:bottom w:val="nil"/>
              <w:right w:val="nil"/>
            </w:tcBorders>
            <w:vAlign w:val="center"/>
          </w:tcPr>
          <w:p w14:paraId="22B36C0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-0.0420</w:t>
            </w:r>
          </w:p>
        </w:tc>
        <w:tc>
          <w:tcPr>
            <w:tcW w:w="1398" w:type="dxa"/>
            <w:tcBorders>
              <w:top w:val="nil"/>
              <w:left w:val="nil"/>
              <w:bottom w:val="nil"/>
              <w:right w:val="nil"/>
            </w:tcBorders>
            <w:vAlign w:val="center"/>
          </w:tcPr>
          <w:p w14:paraId="58445C0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-0.0202</w:t>
            </w:r>
          </w:p>
        </w:tc>
      </w:tr>
      <w:tr w:rsidR="0064611C" w:rsidRPr="00F14751" w14:paraId="0A013D03" w14:textId="77777777" w:rsidTr="006B126F">
        <w:trPr>
          <w:jc w:val="center"/>
        </w:trPr>
        <w:tc>
          <w:tcPr>
            <w:tcW w:w="1671" w:type="dxa"/>
            <w:tcBorders>
              <w:top w:val="nil"/>
              <w:left w:val="nil"/>
              <w:bottom w:val="nil"/>
              <w:right w:val="nil"/>
            </w:tcBorders>
            <w:vAlign w:val="center"/>
          </w:tcPr>
          <w:p w14:paraId="4357FBB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2161637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(0.0844)</w:t>
            </w:r>
          </w:p>
        </w:tc>
        <w:tc>
          <w:tcPr>
            <w:tcW w:w="1397" w:type="dxa"/>
            <w:tcBorders>
              <w:top w:val="nil"/>
              <w:left w:val="nil"/>
              <w:bottom w:val="nil"/>
              <w:right w:val="nil"/>
            </w:tcBorders>
            <w:vAlign w:val="center"/>
          </w:tcPr>
          <w:p w14:paraId="3030C17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(0.00282)</w:t>
            </w:r>
          </w:p>
        </w:tc>
        <w:tc>
          <w:tcPr>
            <w:tcW w:w="1397" w:type="dxa"/>
            <w:tcBorders>
              <w:top w:val="nil"/>
              <w:left w:val="nil"/>
              <w:bottom w:val="nil"/>
              <w:right w:val="nil"/>
            </w:tcBorders>
            <w:vAlign w:val="center"/>
          </w:tcPr>
          <w:p w14:paraId="597ABCC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(0.00772)</w:t>
            </w:r>
          </w:p>
        </w:tc>
        <w:tc>
          <w:tcPr>
            <w:tcW w:w="1397" w:type="dxa"/>
            <w:tcBorders>
              <w:top w:val="nil"/>
              <w:left w:val="nil"/>
              <w:bottom w:val="nil"/>
              <w:right w:val="nil"/>
            </w:tcBorders>
            <w:vAlign w:val="center"/>
          </w:tcPr>
          <w:p w14:paraId="54A93A9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(0.0102)</w:t>
            </w:r>
          </w:p>
        </w:tc>
        <w:tc>
          <w:tcPr>
            <w:tcW w:w="1398" w:type="dxa"/>
            <w:tcBorders>
              <w:top w:val="nil"/>
              <w:left w:val="nil"/>
              <w:bottom w:val="nil"/>
              <w:right w:val="nil"/>
            </w:tcBorders>
            <w:vAlign w:val="center"/>
          </w:tcPr>
          <w:p w14:paraId="7B39AF4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(0.0209)</w:t>
            </w:r>
          </w:p>
        </w:tc>
        <w:tc>
          <w:tcPr>
            <w:tcW w:w="1397" w:type="dxa"/>
            <w:tcBorders>
              <w:top w:val="nil"/>
              <w:left w:val="nil"/>
              <w:bottom w:val="nil"/>
              <w:right w:val="nil"/>
            </w:tcBorders>
            <w:vAlign w:val="center"/>
          </w:tcPr>
          <w:p w14:paraId="6F075E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(0.0216)</w:t>
            </w:r>
          </w:p>
        </w:tc>
        <w:tc>
          <w:tcPr>
            <w:tcW w:w="1397" w:type="dxa"/>
            <w:tcBorders>
              <w:top w:val="nil"/>
              <w:left w:val="nil"/>
              <w:bottom w:val="nil"/>
              <w:right w:val="nil"/>
            </w:tcBorders>
            <w:vAlign w:val="center"/>
          </w:tcPr>
          <w:p w14:paraId="08C4881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(0.0245)</w:t>
            </w:r>
          </w:p>
        </w:tc>
        <w:tc>
          <w:tcPr>
            <w:tcW w:w="1397" w:type="dxa"/>
            <w:tcBorders>
              <w:top w:val="nil"/>
              <w:left w:val="nil"/>
              <w:bottom w:val="nil"/>
              <w:right w:val="nil"/>
            </w:tcBorders>
            <w:vAlign w:val="center"/>
          </w:tcPr>
          <w:p w14:paraId="76A6C8D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(0.00971)</w:t>
            </w:r>
          </w:p>
        </w:tc>
        <w:tc>
          <w:tcPr>
            <w:tcW w:w="1397" w:type="dxa"/>
            <w:tcBorders>
              <w:top w:val="nil"/>
              <w:left w:val="nil"/>
              <w:bottom w:val="nil"/>
              <w:right w:val="nil"/>
            </w:tcBorders>
            <w:vAlign w:val="center"/>
          </w:tcPr>
          <w:p w14:paraId="7773565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(0.0857)</w:t>
            </w:r>
          </w:p>
        </w:tc>
        <w:tc>
          <w:tcPr>
            <w:tcW w:w="1398" w:type="dxa"/>
            <w:tcBorders>
              <w:top w:val="nil"/>
              <w:left w:val="nil"/>
              <w:bottom w:val="nil"/>
              <w:right w:val="nil"/>
            </w:tcBorders>
            <w:vAlign w:val="center"/>
          </w:tcPr>
          <w:p w14:paraId="1EC5169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(0.0765)</w:t>
            </w:r>
          </w:p>
        </w:tc>
      </w:tr>
      <w:tr w:rsidR="0064611C" w:rsidRPr="00F14751" w14:paraId="2B652EDC" w14:textId="77777777" w:rsidTr="006B126F">
        <w:trPr>
          <w:jc w:val="center"/>
        </w:trPr>
        <w:tc>
          <w:tcPr>
            <w:tcW w:w="1671" w:type="dxa"/>
            <w:tcBorders>
              <w:top w:val="nil"/>
              <w:left w:val="nil"/>
              <w:bottom w:val="nil"/>
              <w:right w:val="nil"/>
            </w:tcBorders>
            <w:vAlign w:val="center"/>
          </w:tcPr>
          <w:p w14:paraId="6C8E438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Privatizations</w:t>
            </w:r>
          </w:p>
        </w:tc>
        <w:tc>
          <w:tcPr>
            <w:tcW w:w="1397" w:type="dxa"/>
            <w:tcBorders>
              <w:top w:val="nil"/>
              <w:left w:val="nil"/>
              <w:bottom w:val="nil"/>
              <w:right w:val="nil"/>
            </w:tcBorders>
            <w:vAlign w:val="center"/>
          </w:tcPr>
          <w:p w14:paraId="28C0742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-0.135***</w:t>
            </w:r>
          </w:p>
        </w:tc>
        <w:tc>
          <w:tcPr>
            <w:tcW w:w="1397" w:type="dxa"/>
            <w:tcBorders>
              <w:top w:val="nil"/>
              <w:left w:val="nil"/>
              <w:bottom w:val="nil"/>
              <w:right w:val="nil"/>
            </w:tcBorders>
            <w:vAlign w:val="center"/>
          </w:tcPr>
          <w:p w14:paraId="7A357A6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0.00756*</w:t>
            </w:r>
          </w:p>
        </w:tc>
        <w:tc>
          <w:tcPr>
            <w:tcW w:w="1397" w:type="dxa"/>
            <w:tcBorders>
              <w:top w:val="nil"/>
              <w:left w:val="nil"/>
              <w:bottom w:val="nil"/>
              <w:right w:val="nil"/>
            </w:tcBorders>
            <w:vAlign w:val="center"/>
          </w:tcPr>
          <w:p w14:paraId="70A580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0.0139***</w:t>
            </w:r>
          </w:p>
        </w:tc>
        <w:tc>
          <w:tcPr>
            <w:tcW w:w="1397" w:type="dxa"/>
            <w:tcBorders>
              <w:top w:val="nil"/>
              <w:left w:val="nil"/>
              <w:bottom w:val="nil"/>
              <w:right w:val="nil"/>
            </w:tcBorders>
            <w:vAlign w:val="center"/>
          </w:tcPr>
          <w:p w14:paraId="1845929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0.0215**</w:t>
            </w:r>
          </w:p>
        </w:tc>
        <w:tc>
          <w:tcPr>
            <w:tcW w:w="1398" w:type="dxa"/>
            <w:tcBorders>
              <w:top w:val="nil"/>
              <w:left w:val="nil"/>
              <w:bottom w:val="nil"/>
              <w:right w:val="nil"/>
            </w:tcBorders>
            <w:vAlign w:val="center"/>
          </w:tcPr>
          <w:p w14:paraId="4014569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0.0354***</w:t>
            </w:r>
          </w:p>
        </w:tc>
        <w:tc>
          <w:tcPr>
            <w:tcW w:w="1397" w:type="dxa"/>
            <w:tcBorders>
              <w:top w:val="nil"/>
              <w:left w:val="nil"/>
              <w:bottom w:val="nil"/>
              <w:right w:val="nil"/>
            </w:tcBorders>
            <w:vAlign w:val="center"/>
          </w:tcPr>
          <w:p w14:paraId="674A7BC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0.0413**</w:t>
            </w:r>
          </w:p>
        </w:tc>
        <w:tc>
          <w:tcPr>
            <w:tcW w:w="1397" w:type="dxa"/>
            <w:tcBorders>
              <w:top w:val="nil"/>
              <w:left w:val="nil"/>
              <w:bottom w:val="nil"/>
              <w:right w:val="nil"/>
            </w:tcBorders>
            <w:vAlign w:val="center"/>
          </w:tcPr>
          <w:p w14:paraId="2F7B5F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0.0231</w:t>
            </w:r>
          </w:p>
        </w:tc>
        <w:tc>
          <w:tcPr>
            <w:tcW w:w="1397" w:type="dxa"/>
            <w:tcBorders>
              <w:top w:val="nil"/>
              <w:left w:val="nil"/>
              <w:bottom w:val="nil"/>
              <w:right w:val="nil"/>
            </w:tcBorders>
            <w:vAlign w:val="center"/>
          </w:tcPr>
          <w:p w14:paraId="2B0AB1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-0.00960</w:t>
            </w:r>
          </w:p>
        </w:tc>
        <w:tc>
          <w:tcPr>
            <w:tcW w:w="1397" w:type="dxa"/>
            <w:tcBorders>
              <w:top w:val="nil"/>
              <w:left w:val="nil"/>
              <w:bottom w:val="nil"/>
              <w:right w:val="nil"/>
            </w:tcBorders>
            <w:vAlign w:val="center"/>
          </w:tcPr>
          <w:p w14:paraId="544932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-0.112**</w:t>
            </w:r>
          </w:p>
        </w:tc>
        <w:tc>
          <w:tcPr>
            <w:tcW w:w="1398" w:type="dxa"/>
            <w:tcBorders>
              <w:top w:val="nil"/>
              <w:left w:val="nil"/>
              <w:bottom w:val="nil"/>
              <w:right w:val="nil"/>
            </w:tcBorders>
            <w:vAlign w:val="center"/>
          </w:tcPr>
          <w:p w14:paraId="1718BF0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-0.121**</w:t>
            </w:r>
          </w:p>
        </w:tc>
      </w:tr>
      <w:tr w:rsidR="0064611C" w:rsidRPr="00F14751" w14:paraId="654D50F6" w14:textId="77777777" w:rsidTr="006B126F">
        <w:trPr>
          <w:jc w:val="center"/>
        </w:trPr>
        <w:tc>
          <w:tcPr>
            <w:tcW w:w="1671" w:type="dxa"/>
            <w:tcBorders>
              <w:top w:val="nil"/>
              <w:left w:val="nil"/>
              <w:bottom w:val="nil"/>
              <w:right w:val="nil"/>
            </w:tcBorders>
            <w:vAlign w:val="center"/>
          </w:tcPr>
          <w:p w14:paraId="63C3740E"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5C48178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(0.0241)</w:t>
            </w:r>
          </w:p>
        </w:tc>
        <w:tc>
          <w:tcPr>
            <w:tcW w:w="1397" w:type="dxa"/>
            <w:tcBorders>
              <w:top w:val="nil"/>
              <w:left w:val="nil"/>
              <w:bottom w:val="nil"/>
              <w:right w:val="nil"/>
            </w:tcBorders>
            <w:vAlign w:val="center"/>
          </w:tcPr>
          <w:p w14:paraId="54BB52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(0.00324)</w:t>
            </w:r>
          </w:p>
        </w:tc>
        <w:tc>
          <w:tcPr>
            <w:tcW w:w="1397" w:type="dxa"/>
            <w:tcBorders>
              <w:top w:val="nil"/>
              <w:left w:val="nil"/>
              <w:bottom w:val="nil"/>
              <w:right w:val="nil"/>
            </w:tcBorders>
            <w:vAlign w:val="center"/>
          </w:tcPr>
          <w:p w14:paraId="3161D51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(0.00197)</w:t>
            </w:r>
          </w:p>
        </w:tc>
        <w:tc>
          <w:tcPr>
            <w:tcW w:w="1397" w:type="dxa"/>
            <w:tcBorders>
              <w:top w:val="nil"/>
              <w:left w:val="nil"/>
              <w:bottom w:val="nil"/>
              <w:right w:val="nil"/>
            </w:tcBorders>
            <w:vAlign w:val="center"/>
          </w:tcPr>
          <w:p w14:paraId="113857D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(0.00492)</w:t>
            </w:r>
          </w:p>
        </w:tc>
        <w:tc>
          <w:tcPr>
            <w:tcW w:w="1398" w:type="dxa"/>
            <w:tcBorders>
              <w:top w:val="nil"/>
              <w:left w:val="nil"/>
              <w:bottom w:val="nil"/>
              <w:right w:val="nil"/>
            </w:tcBorders>
            <w:vAlign w:val="center"/>
          </w:tcPr>
          <w:p w14:paraId="398F1C2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(0.00506)</w:t>
            </w:r>
          </w:p>
        </w:tc>
        <w:tc>
          <w:tcPr>
            <w:tcW w:w="1397" w:type="dxa"/>
            <w:tcBorders>
              <w:top w:val="nil"/>
              <w:left w:val="nil"/>
              <w:bottom w:val="nil"/>
              <w:right w:val="nil"/>
            </w:tcBorders>
            <w:vAlign w:val="center"/>
          </w:tcPr>
          <w:p w14:paraId="423751A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(0.00982)</w:t>
            </w:r>
          </w:p>
        </w:tc>
        <w:tc>
          <w:tcPr>
            <w:tcW w:w="1397" w:type="dxa"/>
            <w:tcBorders>
              <w:top w:val="nil"/>
              <w:left w:val="nil"/>
              <w:bottom w:val="nil"/>
              <w:right w:val="nil"/>
            </w:tcBorders>
            <w:vAlign w:val="center"/>
          </w:tcPr>
          <w:p w14:paraId="5F44D6A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(0.0156)</w:t>
            </w:r>
          </w:p>
        </w:tc>
        <w:tc>
          <w:tcPr>
            <w:tcW w:w="1397" w:type="dxa"/>
            <w:tcBorders>
              <w:top w:val="nil"/>
              <w:left w:val="nil"/>
              <w:bottom w:val="nil"/>
              <w:right w:val="nil"/>
            </w:tcBorders>
            <w:vAlign w:val="center"/>
          </w:tcPr>
          <w:p w14:paraId="6EEA99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(0.00828)</w:t>
            </w:r>
          </w:p>
        </w:tc>
        <w:tc>
          <w:tcPr>
            <w:tcW w:w="1397" w:type="dxa"/>
            <w:tcBorders>
              <w:top w:val="nil"/>
              <w:left w:val="nil"/>
              <w:bottom w:val="nil"/>
              <w:right w:val="nil"/>
            </w:tcBorders>
            <w:vAlign w:val="center"/>
          </w:tcPr>
          <w:p w14:paraId="390555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(0.0348)</w:t>
            </w:r>
          </w:p>
        </w:tc>
        <w:tc>
          <w:tcPr>
            <w:tcW w:w="1398" w:type="dxa"/>
            <w:tcBorders>
              <w:top w:val="nil"/>
              <w:left w:val="nil"/>
              <w:bottom w:val="nil"/>
              <w:right w:val="nil"/>
            </w:tcBorders>
            <w:vAlign w:val="center"/>
          </w:tcPr>
          <w:p w14:paraId="1CBBA24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(0.0276)</w:t>
            </w:r>
          </w:p>
        </w:tc>
      </w:tr>
      <w:tr w:rsidR="0064611C" w:rsidRPr="00F14751" w14:paraId="26173833" w14:textId="77777777" w:rsidTr="006B126F">
        <w:trPr>
          <w:jc w:val="center"/>
        </w:trPr>
        <w:tc>
          <w:tcPr>
            <w:tcW w:w="1671" w:type="dxa"/>
            <w:tcBorders>
              <w:top w:val="nil"/>
              <w:left w:val="nil"/>
              <w:bottom w:val="nil"/>
              <w:right w:val="nil"/>
            </w:tcBorders>
            <w:vAlign w:val="center"/>
          </w:tcPr>
          <w:p w14:paraId="6227DF08"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Labor</w:t>
            </w:r>
          </w:p>
        </w:tc>
        <w:tc>
          <w:tcPr>
            <w:tcW w:w="1397" w:type="dxa"/>
            <w:tcBorders>
              <w:top w:val="nil"/>
              <w:left w:val="nil"/>
              <w:bottom w:val="nil"/>
              <w:right w:val="nil"/>
            </w:tcBorders>
            <w:vAlign w:val="center"/>
          </w:tcPr>
          <w:p w14:paraId="2EA424C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-0.127</w:t>
            </w:r>
          </w:p>
        </w:tc>
        <w:tc>
          <w:tcPr>
            <w:tcW w:w="1397" w:type="dxa"/>
            <w:tcBorders>
              <w:top w:val="nil"/>
              <w:left w:val="nil"/>
              <w:bottom w:val="nil"/>
              <w:right w:val="nil"/>
            </w:tcBorders>
            <w:vAlign w:val="center"/>
          </w:tcPr>
          <w:p w14:paraId="6A249FB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-0.0204</w:t>
            </w:r>
          </w:p>
        </w:tc>
        <w:tc>
          <w:tcPr>
            <w:tcW w:w="1397" w:type="dxa"/>
            <w:tcBorders>
              <w:top w:val="nil"/>
              <w:left w:val="nil"/>
              <w:bottom w:val="nil"/>
              <w:right w:val="nil"/>
            </w:tcBorders>
            <w:vAlign w:val="center"/>
          </w:tcPr>
          <w:p w14:paraId="1A10281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0.0126</w:t>
            </w:r>
          </w:p>
        </w:tc>
        <w:tc>
          <w:tcPr>
            <w:tcW w:w="1397" w:type="dxa"/>
            <w:tcBorders>
              <w:top w:val="nil"/>
              <w:left w:val="nil"/>
              <w:bottom w:val="nil"/>
              <w:right w:val="nil"/>
            </w:tcBorders>
            <w:vAlign w:val="center"/>
          </w:tcPr>
          <w:p w14:paraId="78DFCB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-0.00779</w:t>
            </w:r>
          </w:p>
        </w:tc>
        <w:tc>
          <w:tcPr>
            <w:tcW w:w="1398" w:type="dxa"/>
            <w:tcBorders>
              <w:top w:val="nil"/>
              <w:left w:val="nil"/>
              <w:bottom w:val="nil"/>
              <w:right w:val="nil"/>
            </w:tcBorders>
            <w:vAlign w:val="center"/>
          </w:tcPr>
          <w:p w14:paraId="3C87695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0.0625</w:t>
            </w:r>
          </w:p>
        </w:tc>
        <w:tc>
          <w:tcPr>
            <w:tcW w:w="1397" w:type="dxa"/>
            <w:tcBorders>
              <w:top w:val="nil"/>
              <w:left w:val="nil"/>
              <w:bottom w:val="nil"/>
              <w:right w:val="nil"/>
            </w:tcBorders>
            <w:vAlign w:val="center"/>
          </w:tcPr>
          <w:p w14:paraId="31E03D8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0.0716</w:t>
            </w:r>
          </w:p>
        </w:tc>
        <w:tc>
          <w:tcPr>
            <w:tcW w:w="1397" w:type="dxa"/>
            <w:tcBorders>
              <w:top w:val="nil"/>
              <w:left w:val="nil"/>
              <w:bottom w:val="nil"/>
              <w:right w:val="nil"/>
            </w:tcBorders>
            <w:vAlign w:val="center"/>
          </w:tcPr>
          <w:p w14:paraId="02A5AD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-0.00632</w:t>
            </w:r>
          </w:p>
        </w:tc>
        <w:tc>
          <w:tcPr>
            <w:tcW w:w="1397" w:type="dxa"/>
            <w:tcBorders>
              <w:top w:val="nil"/>
              <w:left w:val="nil"/>
              <w:bottom w:val="nil"/>
              <w:right w:val="nil"/>
            </w:tcBorders>
            <w:vAlign w:val="center"/>
          </w:tcPr>
          <w:p w14:paraId="28F6387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-0.0825</w:t>
            </w:r>
          </w:p>
        </w:tc>
        <w:tc>
          <w:tcPr>
            <w:tcW w:w="1397" w:type="dxa"/>
            <w:tcBorders>
              <w:top w:val="nil"/>
              <w:left w:val="nil"/>
              <w:bottom w:val="nil"/>
              <w:right w:val="nil"/>
            </w:tcBorders>
            <w:vAlign w:val="center"/>
          </w:tcPr>
          <w:p w14:paraId="08E110B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-0.0375</w:t>
            </w:r>
          </w:p>
        </w:tc>
        <w:tc>
          <w:tcPr>
            <w:tcW w:w="1398" w:type="dxa"/>
            <w:tcBorders>
              <w:top w:val="nil"/>
              <w:left w:val="nil"/>
              <w:bottom w:val="nil"/>
              <w:right w:val="nil"/>
            </w:tcBorders>
            <w:vAlign w:val="center"/>
          </w:tcPr>
          <w:p w14:paraId="3D4BF58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-0.120</w:t>
            </w:r>
          </w:p>
        </w:tc>
      </w:tr>
      <w:tr w:rsidR="0064611C" w:rsidRPr="00F14751" w14:paraId="6C72AA72" w14:textId="77777777" w:rsidTr="006B126F">
        <w:trPr>
          <w:jc w:val="center"/>
        </w:trPr>
        <w:tc>
          <w:tcPr>
            <w:tcW w:w="1671" w:type="dxa"/>
            <w:tcBorders>
              <w:top w:val="nil"/>
              <w:left w:val="nil"/>
              <w:bottom w:val="nil"/>
              <w:right w:val="nil"/>
            </w:tcBorders>
            <w:vAlign w:val="center"/>
          </w:tcPr>
          <w:p w14:paraId="63D3D58A"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50B4073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(0.301)</w:t>
            </w:r>
          </w:p>
        </w:tc>
        <w:tc>
          <w:tcPr>
            <w:tcW w:w="1397" w:type="dxa"/>
            <w:tcBorders>
              <w:top w:val="nil"/>
              <w:left w:val="nil"/>
              <w:bottom w:val="nil"/>
              <w:right w:val="nil"/>
            </w:tcBorders>
            <w:vAlign w:val="center"/>
          </w:tcPr>
          <w:p w14:paraId="2586B5E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(0.0434)</w:t>
            </w:r>
          </w:p>
        </w:tc>
        <w:tc>
          <w:tcPr>
            <w:tcW w:w="1397" w:type="dxa"/>
            <w:tcBorders>
              <w:top w:val="nil"/>
              <w:left w:val="nil"/>
              <w:bottom w:val="nil"/>
              <w:right w:val="nil"/>
            </w:tcBorders>
            <w:vAlign w:val="center"/>
          </w:tcPr>
          <w:p w14:paraId="3BFC693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(0.0174)</w:t>
            </w:r>
          </w:p>
        </w:tc>
        <w:tc>
          <w:tcPr>
            <w:tcW w:w="1397" w:type="dxa"/>
            <w:tcBorders>
              <w:top w:val="nil"/>
              <w:left w:val="nil"/>
              <w:bottom w:val="nil"/>
              <w:right w:val="nil"/>
            </w:tcBorders>
            <w:vAlign w:val="center"/>
          </w:tcPr>
          <w:p w14:paraId="5D5CE26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(0.0488)</w:t>
            </w:r>
          </w:p>
        </w:tc>
        <w:tc>
          <w:tcPr>
            <w:tcW w:w="1398" w:type="dxa"/>
            <w:tcBorders>
              <w:top w:val="nil"/>
              <w:left w:val="nil"/>
              <w:bottom w:val="nil"/>
              <w:right w:val="nil"/>
            </w:tcBorders>
            <w:vAlign w:val="center"/>
          </w:tcPr>
          <w:p w14:paraId="4F65920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(0.0733)</w:t>
            </w:r>
          </w:p>
        </w:tc>
        <w:tc>
          <w:tcPr>
            <w:tcW w:w="1397" w:type="dxa"/>
            <w:tcBorders>
              <w:top w:val="nil"/>
              <w:left w:val="nil"/>
              <w:bottom w:val="nil"/>
              <w:right w:val="nil"/>
            </w:tcBorders>
            <w:vAlign w:val="center"/>
          </w:tcPr>
          <w:p w14:paraId="06A115B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(0.113)</w:t>
            </w:r>
          </w:p>
        </w:tc>
        <w:tc>
          <w:tcPr>
            <w:tcW w:w="1397" w:type="dxa"/>
            <w:tcBorders>
              <w:top w:val="nil"/>
              <w:left w:val="nil"/>
              <w:bottom w:val="nil"/>
              <w:right w:val="nil"/>
            </w:tcBorders>
            <w:vAlign w:val="center"/>
          </w:tcPr>
          <w:p w14:paraId="6CCB56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(0.197)</w:t>
            </w:r>
          </w:p>
        </w:tc>
        <w:tc>
          <w:tcPr>
            <w:tcW w:w="1397" w:type="dxa"/>
            <w:tcBorders>
              <w:top w:val="nil"/>
              <w:left w:val="nil"/>
              <w:bottom w:val="nil"/>
              <w:right w:val="nil"/>
            </w:tcBorders>
            <w:vAlign w:val="center"/>
          </w:tcPr>
          <w:p w14:paraId="4FD405C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(0.107)</w:t>
            </w:r>
          </w:p>
        </w:tc>
        <w:tc>
          <w:tcPr>
            <w:tcW w:w="1397" w:type="dxa"/>
            <w:tcBorders>
              <w:top w:val="nil"/>
              <w:left w:val="nil"/>
              <w:bottom w:val="nil"/>
              <w:right w:val="nil"/>
            </w:tcBorders>
            <w:vAlign w:val="center"/>
          </w:tcPr>
          <w:p w14:paraId="13EE075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(0.442)</w:t>
            </w:r>
          </w:p>
        </w:tc>
        <w:tc>
          <w:tcPr>
            <w:tcW w:w="1398" w:type="dxa"/>
            <w:tcBorders>
              <w:top w:val="nil"/>
              <w:left w:val="nil"/>
              <w:bottom w:val="nil"/>
              <w:right w:val="nil"/>
            </w:tcBorders>
            <w:vAlign w:val="center"/>
          </w:tcPr>
          <w:p w14:paraId="2D9C9E5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(0.348)</w:t>
            </w:r>
          </w:p>
        </w:tc>
      </w:tr>
      <w:tr w:rsidR="0064611C" w:rsidRPr="00F14751" w14:paraId="3D338DD9" w14:textId="77777777" w:rsidTr="006B126F">
        <w:trPr>
          <w:jc w:val="center"/>
        </w:trPr>
        <w:tc>
          <w:tcPr>
            <w:tcW w:w="1671" w:type="dxa"/>
            <w:tcBorders>
              <w:top w:val="nil"/>
              <w:left w:val="nil"/>
              <w:bottom w:val="nil"/>
              <w:right w:val="nil"/>
            </w:tcBorders>
            <w:vAlign w:val="center"/>
          </w:tcPr>
          <w:p w14:paraId="0601BE8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Polity</w:t>
            </w:r>
          </w:p>
        </w:tc>
        <w:tc>
          <w:tcPr>
            <w:tcW w:w="1397" w:type="dxa"/>
            <w:tcBorders>
              <w:top w:val="nil"/>
              <w:left w:val="nil"/>
              <w:bottom w:val="nil"/>
              <w:right w:val="nil"/>
            </w:tcBorders>
            <w:vAlign w:val="center"/>
          </w:tcPr>
          <w:p w14:paraId="0BF6A56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-0.204</w:t>
            </w:r>
          </w:p>
        </w:tc>
        <w:tc>
          <w:tcPr>
            <w:tcW w:w="1397" w:type="dxa"/>
            <w:tcBorders>
              <w:top w:val="nil"/>
              <w:left w:val="nil"/>
              <w:bottom w:val="nil"/>
              <w:right w:val="nil"/>
            </w:tcBorders>
            <w:vAlign w:val="center"/>
          </w:tcPr>
          <w:p w14:paraId="1033EC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0.0476</w:t>
            </w:r>
          </w:p>
        </w:tc>
        <w:tc>
          <w:tcPr>
            <w:tcW w:w="1397" w:type="dxa"/>
            <w:tcBorders>
              <w:top w:val="nil"/>
              <w:left w:val="nil"/>
              <w:bottom w:val="nil"/>
              <w:right w:val="nil"/>
            </w:tcBorders>
            <w:vAlign w:val="center"/>
          </w:tcPr>
          <w:p w14:paraId="3306EDC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0.0548</w:t>
            </w:r>
          </w:p>
        </w:tc>
        <w:tc>
          <w:tcPr>
            <w:tcW w:w="1397" w:type="dxa"/>
            <w:tcBorders>
              <w:top w:val="nil"/>
              <w:left w:val="nil"/>
              <w:bottom w:val="nil"/>
              <w:right w:val="nil"/>
            </w:tcBorders>
            <w:vAlign w:val="center"/>
          </w:tcPr>
          <w:p w14:paraId="2BDC141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0.102</w:t>
            </w:r>
          </w:p>
        </w:tc>
        <w:tc>
          <w:tcPr>
            <w:tcW w:w="1398" w:type="dxa"/>
            <w:tcBorders>
              <w:top w:val="nil"/>
              <w:left w:val="nil"/>
              <w:bottom w:val="nil"/>
              <w:right w:val="nil"/>
            </w:tcBorders>
            <w:vAlign w:val="center"/>
          </w:tcPr>
          <w:p w14:paraId="34FB0C9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0.0962</w:t>
            </w:r>
          </w:p>
        </w:tc>
        <w:tc>
          <w:tcPr>
            <w:tcW w:w="1397" w:type="dxa"/>
            <w:tcBorders>
              <w:top w:val="nil"/>
              <w:left w:val="nil"/>
              <w:bottom w:val="nil"/>
              <w:right w:val="nil"/>
            </w:tcBorders>
            <w:vAlign w:val="center"/>
          </w:tcPr>
          <w:p w14:paraId="1E2002E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0.0280</w:t>
            </w:r>
          </w:p>
        </w:tc>
        <w:tc>
          <w:tcPr>
            <w:tcW w:w="1397" w:type="dxa"/>
            <w:tcBorders>
              <w:top w:val="nil"/>
              <w:left w:val="nil"/>
              <w:bottom w:val="nil"/>
              <w:right w:val="nil"/>
            </w:tcBorders>
            <w:vAlign w:val="center"/>
          </w:tcPr>
          <w:p w14:paraId="4D1D562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-0.129</w:t>
            </w:r>
          </w:p>
        </w:tc>
        <w:tc>
          <w:tcPr>
            <w:tcW w:w="1397" w:type="dxa"/>
            <w:tcBorders>
              <w:top w:val="nil"/>
              <w:left w:val="nil"/>
              <w:bottom w:val="nil"/>
              <w:right w:val="nil"/>
            </w:tcBorders>
            <w:vAlign w:val="center"/>
          </w:tcPr>
          <w:p w14:paraId="797DF88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-0.141</w:t>
            </w:r>
          </w:p>
        </w:tc>
        <w:tc>
          <w:tcPr>
            <w:tcW w:w="1397" w:type="dxa"/>
            <w:tcBorders>
              <w:top w:val="nil"/>
              <w:left w:val="nil"/>
              <w:bottom w:val="nil"/>
              <w:right w:val="nil"/>
            </w:tcBorders>
            <w:vAlign w:val="center"/>
          </w:tcPr>
          <w:p w14:paraId="70B3D9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0.0425</w:t>
            </w:r>
          </w:p>
        </w:tc>
        <w:tc>
          <w:tcPr>
            <w:tcW w:w="1398" w:type="dxa"/>
            <w:tcBorders>
              <w:top w:val="nil"/>
              <w:left w:val="nil"/>
              <w:bottom w:val="nil"/>
              <w:right w:val="nil"/>
            </w:tcBorders>
            <w:vAlign w:val="center"/>
          </w:tcPr>
          <w:p w14:paraId="3EAE3BA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-0.0981</w:t>
            </w:r>
          </w:p>
        </w:tc>
      </w:tr>
      <w:tr w:rsidR="0064611C" w:rsidRPr="00F14751" w14:paraId="0F6E8A39" w14:textId="77777777" w:rsidTr="006B126F">
        <w:trPr>
          <w:jc w:val="center"/>
        </w:trPr>
        <w:tc>
          <w:tcPr>
            <w:tcW w:w="1671" w:type="dxa"/>
            <w:tcBorders>
              <w:top w:val="nil"/>
              <w:left w:val="nil"/>
              <w:bottom w:val="nil"/>
              <w:right w:val="nil"/>
            </w:tcBorders>
            <w:vAlign w:val="center"/>
          </w:tcPr>
          <w:p w14:paraId="7DD5944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05A718F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(0.279)</w:t>
            </w:r>
          </w:p>
        </w:tc>
        <w:tc>
          <w:tcPr>
            <w:tcW w:w="1397" w:type="dxa"/>
            <w:tcBorders>
              <w:top w:val="nil"/>
              <w:left w:val="nil"/>
              <w:bottom w:val="nil"/>
              <w:right w:val="nil"/>
            </w:tcBorders>
            <w:vAlign w:val="center"/>
          </w:tcPr>
          <w:p w14:paraId="767601E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(0.0419)</w:t>
            </w:r>
          </w:p>
        </w:tc>
        <w:tc>
          <w:tcPr>
            <w:tcW w:w="1397" w:type="dxa"/>
            <w:tcBorders>
              <w:top w:val="nil"/>
              <w:left w:val="nil"/>
              <w:bottom w:val="nil"/>
              <w:right w:val="nil"/>
            </w:tcBorders>
            <w:vAlign w:val="center"/>
          </w:tcPr>
          <w:p w14:paraId="283458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(0.0415)</w:t>
            </w:r>
          </w:p>
        </w:tc>
        <w:tc>
          <w:tcPr>
            <w:tcW w:w="1397" w:type="dxa"/>
            <w:tcBorders>
              <w:top w:val="nil"/>
              <w:left w:val="nil"/>
              <w:bottom w:val="nil"/>
              <w:right w:val="nil"/>
            </w:tcBorders>
            <w:vAlign w:val="center"/>
          </w:tcPr>
          <w:p w14:paraId="7B3BE46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(0.0767)</w:t>
            </w:r>
          </w:p>
        </w:tc>
        <w:tc>
          <w:tcPr>
            <w:tcW w:w="1398" w:type="dxa"/>
            <w:tcBorders>
              <w:top w:val="nil"/>
              <w:left w:val="nil"/>
              <w:bottom w:val="nil"/>
              <w:right w:val="nil"/>
            </w:tcBorders>
            <w:vAlign w:val="center"/>
          </w:tcPr>
          <w:p w14:paraId="43B63CA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(0.0743)</w:t>
            </w:r>
          </w:p>
        </w:tc>
        <w:tc>
          <w:tcPr>
            <w:tcW w:w="1397" w:type="dxa"/>
            <w:tcBorders>
              <w:top w:val="nil"/>
              <w:left w:val="nil"/>
              <w:bottom w:val="nil"/>
              <w:right w:val="nil"/>
            </w:tcBorders>
            <w:vAlign w:val="center"/>
          </w:tcPr>
          <w:p w14:paraId="4141A89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(0.0681)</w:t>
            </w:r>
          </w:p>
        </w:tc>
        <w:tc>
          <w:tcPr>
            <w:tcW w:w="1397" w:type="dxa"/>
            <w:tcBorders>
              <w:top w:val="nil"/>
              <w:left w:val="nil"/>
              <w:bottom w:val="nil"/>
              <w:right w:val="nil"/>
            </w:tcBorders>
            <w:vAlign w:val="center"/>
          </w:tcPr>
          <w:p w14:paraId="0EEE4FA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(0.0654)</w:t>
            </w:r>
          </w:p>
        </w:tc>
        <w:tc>
          <w:tcPr>
            <w:tcW w:w="1397" w:type="dxa"/>
            <w:tcBorders>
              <w:top w:val="nil"/>
              <w:left w:val="nil"/>
              <w:bottom w:val="nil"/>
              <w:right w:val="nil"/>
            </w:tcBorders>
            <w:vAlign w:val="center"/>
          </w:tcPr>
          <w:p w14:paraId="677176A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(0.0712)</w:t>
            </w:r>
          </w:p>
        </w:tc>
        <w:tc>
          <w:tcPr>
            <w:tcW w:w="1397" w:type="dxa"/>
            <w:tcBorders>
              <w:top w:val="nil"/>
              <w:left w:val="nil"/>
              <w:bottom w:val="nil"/>
              <w:right w:val="nil"/>
            </w:tcBorders>
            <w:vAlign w:val="center"/>
          </w:tcPr>
          <w:p w14:paraId="06E0DF9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(0.217)</w:t>
            </w:r>
          </w:p>
        </w:tc>
        <w:tc>
          <w:tcPr>
            <w:tcW w:w="1398" w:type="dxa"/>
            <w:tcBorders>
              <w:top w:val="nil"/>
              <w:left w:val="nil"/>
              <w:bottom w:val="nil"/>
              <w:right w:val="nil"/>
            </w:tcBorders>
            <w:vAlign w:val="center"/>
          </w:tcPr>
          <w:p w14:paraId="7BEEB3A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(0.233)</w:t>
            </w:r>
          </w:p>
        </w:tc>
      </w:tr>
      <w:tr w:rsidR="0064611C" w:rsidRPr="00F14751" w14:paraId="75C63AC8" w14:textId="77777777" w:rsidTr="006B126F">
        <w:trPr>
          <w:jc w:val="center"/>
        </w:trPr>
        <w:tc>
          <w:tcPr>
            <w:tcW w:w="1671" w:type="dxa"/>
            <w:tcBorders>
              <w:top w:val="nil"/>
              <w:left w:val="nil"/>
              <w:bottom w:val="nil"/>
              <w:right w:val="nil"/>
            </w:tcBorders>
            <w:vAlign w:val="center"/>
          </w:tcPr>
          <w:p w14:paraId="1EB9791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GDP</w:t>
            </w:r>
          </w:p>
        </w:tc>
        <w:tc>
          <w:tcPr>
            <w:tcW w:w="1397" w:type="dxa"/>
            <w:tcBorders>
              <w:top w:val="nil"/>
              <w:left w:val="nil"/>
              <w:bottom w:val="nil"/>
              <w:right w:val="nil"/>
            </w:tcBorders>
            <w:vAlign w:val="center"/>
          </w:tcPr>
          <w:p w14:paraId="4C6611C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0.0179</w:t>
            </w:r>
          </w:p>
        </w:tc>
        <w:tc>
          <w:tcPr>
            <w:tcW w:w="1397" w:type="dxa"/>
            <w:tcBorders>
              <w:top w:val="nil"/>
              <w:left w:val="nil"/>
              <w:bottom w:val="nil"/>
              <w:right w:val="nil"/>
            </w:tcBorders>
            <w:vAlign w:val="center"/>
          </w:tcPr>
          <w:p w14:paraId="02C618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-0.0111</w:t>
            </w:r>
          </w:p>
        </w:tc>
        <w:tc>
          <w:tcPr>
            <w:tcW w:w="1397" w:type="dxa"/>
            <w:tcBorders>
              <w:top w:val="nil"/>
              <w:left w:val="nil"/>
              <w:bottom w:val="nil"/>
              <w:right w:val="nil"/>
            </w:tcBorders>
            <w:vAlign w:val="center"/>
          </w:tcPr>
          <w:p w14:paraId="04A5D7D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-0.00424</w:t>
            </w:r>
          </w:p>
        </w:tc>
        <w:tc>
          <w:tcPr>
            <w:tcW w:w="1397" w:type="dxa"/>
            <w:tcBorders>
              <w:top w:val="nil"/>
              <w:left w:val="nil"/>
              <w:bottom w:val="nil"/>
              <w:right w:val="nil"/>
            </w:tcBorders>
            <w:vAlign w:val="center"/>
          </w:tcPr>
          <w:p w14:paraId="69560C9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-0.0153</w:t>
            </w:r>
          </w:p>
        </w:tc>
        <w:tc>
          <w:tcPr>
            <w:tcW w:w="1398" w:type="dxa"/>
            <w:tcBorders>
              <w:top w:val="nil"/>
              <w:left w:val="nil"/>
              <w:bottom w:val="nil"/>
              <w:right w:val="nil"/>
            </w:tcBorders>
            <w:vAlign w:val="center"/>
          </w:tcPr>
          <w:p w14:paraId="252D607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0.00192</w:t>
            </w:r>
          </w:p>
        </w:tc>
        <w:tc>
          <w:tcPr>
            <w:tcW w:w="1397" w:type="dxa"/>
            <w:tcBorders>
              <w:top w:val="nil"/>
              <w:left w:val="nil"/>
              <w:bottom w:val="nil"/>
              <w:right w:val="nil"/>
            </w:tcBorders>
            <w:vAlign w:val="center"/>
          </w:tcPr>
          <w:p w14:paraId="58D9EC6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0.00202</w:t>
            </w:r>
          </w:p>
        </w:tc>
        <w:tc>
          <w:tcPr>
            <w:tcW w:w="1397" w:type="dxa"/>
            <w:tcBorders>
              <w:top w:val="nil"/>
              <w:left w:val="nil"/>
              <w:bottom w:val="nil"/>
              <w:right w:val="nil"/>
            </w:tcBorders>
            <w:vAlign w:val="center"/>
          </w:tcPr>
          <w:p w14:paraId="3B4EEFF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0.00863</w:t>
            </w:r>
          </w:p>
        </w:tc>
        <w:tc>
          <w:tcPr>
            <w:tcW w:w="1397" w:type="dxa"/>
            <w:tcBorders>
              <w:top w:val="nil"/>
              <w:left w:val="nil"/>
              <w:bottom w:val="nil"/>
              <w:right w:val="nil"/>
            </w:tcBorders>
            <w:vAlign w:val="center"/>
          </w:tcPr>
          <w:p w14:paraId="5E592B6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-0.00248</w:t>
            </w:r>
          </w:p>
        </w:tc>
        <w:tc>
          <w:tcPr>
            <w:tcW w:w="1397" w:type="dxa"/>
            <w:tcBorders>
              <w:top w:val="nil"/>
              <w:left w:val="nil"/>
              <w:bottom w:val="nil"/>
              <w:right w:val="nil"/>
            </w:tcBorders>
            <w:vAlign w:val="center"/>
          </w:tcPr>
          <w:p w14:paraId="1DE1EEC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0.00523</w:t>
            </w:r>
          </w:p>
        </w:tc>
        <w:tc>
          <w:tcPr>
            <w:tcW w:w="1398" w:type="dxa"/>
            <w:tcBorders>
              <w:top w:val="nil"/>
              <w:left w:val="nil"/>
              <w:bottom w:val="nil"/>
              <w:right w:val="nil"/>
            </w:tcBorders>
            <w:vAlign w:val="center"/>
          </w:tcPr>
          <w:p w14:paraId="7F90EC4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0.00275</w:t>
            </w:r>
          </w:p>
        </w:tc>
      </w:tr>
      <w:tr w:rsidR="0064611C" w:rsidRPr="00F14751" w14:paraId="45D67C28" w14:textId="77777777" w:rsidTr="006B126F">
        <w:trPr>
          <w:jc w:val="center"/>
        </w:trPr>
        <w:tc>
          <w:tcPr>
            <w:tcW w:w="1671" w:type="dxa"/>
            <w:tcBorders>
              <w:top w:val="nil"/>
              <w:left w:val="nil"/>
              <w:bottom w:val="nil"/>
              <w:right w:val="nil"/>
            </w:tcBorders>
            <w:vAlign w:val="center"/>
          </w:tcPr>
          <w:p w14:paraId="50CA11C0"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7317DFC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(0.0492)</w:t>
            </w:r>
          </w:p>
        </w:tc>
        <w:tc>
          <w:tcPr>
            <w:tcW w:w="1397" w:type="dxa"/>
            <w:tcBorders>
              <w:top w:val="nil"/>
              <w:left w:val="nil"/>
              <w:bottom w:val="nil"/>
              <w:right w:val="nil"/>
            </w:tcBorders>
            <w:vAlign w:val="center"/>
          </w:tcPr>
          <w:p w14:paraId="75F06D6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(0.00729)</w:t>
            </w:r>
          </w:p>
        </w:tc>
        <w:tc>
          <w:tcPr>
            <w:tcW w:w="1397" w:type="dxa"/>
            <w:tcBorders>
              <w:top w:val="nil"/>
              <w:left w:val="nil"/>
              <w:bottom w:val="nil"/>
              <w:right w:val="nil"/>
            </w:tcBorders>
            <w:vAlign w:val="center"/>
          </w:tcPr>
          <w:p w14:paraId="23A28E9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(0.00439)</w:t>
            </w:r>
          </w:p>
        </w:tc>
        <w:tc>
          <w:tcPr>
            <w:tcW w:w="1397" w:type="dxa"/>
            <w:tcBorders>
              <w:top w:val="nil"/>
              <w:left w:val="nil"/>
              <w:bottom w:val="nil"/>
              <w:right w:val="nil"/>
            </w:tcBorders>
            <w:vAlign w:val="center"/>
          </w:tcPr>
          <w:p w14:paraId="2E45264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(0.0113)</w:t>
            </w:r>
          </w:p>
        </w:tc>
        <w:tc>
          <w:tcPr>
            <w:tcW w:w="1398" w:type="dxa"/>
            <w:tcBorders>
              <w:top w:val="nil"/>
              <w:left w:val="nil"/>
              <w:bottom w:val="nil"/>
              <w:right w:val="nil"/>
            </w:tcBorders>
            <w:vAlign w:val="center"/>
          </w:tcPr>
          <w:p w14:paraId="2DDA291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(0.00935)</w:t>
            </w:r>
          </w:p>
        </w:tc>
        <w:tc>
          <w:tcPr>
            <w:tcW w:w="1397" w:type="dxa"/>
            <w:tcBorders>
              <w:top w:val="nil"/>
              <w:left w:val="nil"/>
              <w:bottom w:val="nil"/>
              <w:right w:val="nil"/>
            </w:tcBorders>
            <w:vAlign w:val="center"/>
          </w:tcPr>
          <w:p w14:paraId="2567332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(0.0130)</w:t>
            </w:r>
          </w:p>
        </w:tc>
        <w:tc>
          <w:tcPr>
            <w:tcW w:w="1397" w:type="dxa"/>
            <w:tcBorders>
              <w:top w:val="nil"/>
              <w:left w:val="nil"/>
              <w:bottom w:val="nil"/>
              <w:right w:val="nil"/>
            </w:tcBorders>
            <w:vAlign w:val="center"/>
          </w:tcPr>
          <w:p w14:paraId="0321D9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(0.0192)</w:t>
            </w:r>
          </w:p>
        </w:tc>
        <w:tc>
          <w:tcPr>
            <w:tcW w:w="1397" w:type="dxa"/>
            <w:tcBorders>
              <w:top w:val="nil"/>
              <w:left w:val="nil"/>
              <w:bottom w:val="nil"/>
              <w:right w:val="nil"/>
            </w:tcBorders>
            <w:vAlign w:val="center"/>
          </w:tcPr>
          <w:p w14:paraId="44A0D84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(0.0137)</w:t>
            </w:r>
          </w:p>
        </w:tc>
        <w:tc>
          <w:tcPr>
            <w:tcW w:w="1397" w:type="dxa"/>
            <w:tcBorders>
              <w:top w:val="nil"/>
              <w:left w:val="nil"/>
              <w:bottom w:val="nil"/>
              <w:right w:val="nil"/>
            </w:tcBorders>
            <w:vAlign w:val="center"/>
          </w:tcPr>
          <w:p w14:paraId="699666D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(0.0505)</w:t>
            </w:r>
          </w:p>
        </w:tc>
        <w:tc>
          <w:tcPr>
            <w:tcW w:w="1398" w:type="dxa"/>
            <w:tcBorders>
              <w:top w:val="nil"/>
              <w:left w:val="nil"/>
              <w:bottom w:val="nil"/>
              <w:right w:val="nil"/>
            </w:tcBorders>
            <w:vAlign w:val="center"/>
          </w:tcPr>
          <w:p w14:paraId="49F48D1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(0.0448)</w:t>
            </w:r>
          </w:p>
        </w:tc>
      </w:tr>
      <w:tr w:rsidR="0064611C" w:rsidRPr="00F14751" w14:paraId="1D92F220" w14:textId="77777777" w:rsidTr="006B126F">
        <w:trPr>
          <w:jc w:val="center"/>
        </w:trPr>
        <w:tc>
          <w:tcPr>
            <w:tcW w:w="1671" w:type="dxa"/>
            <w:tcBorders>
              <w:top w:val="nil"/>
              <w:left w:val="nil"/>
              <w:bottom w:val="nil"/>
              <w:right w:val="nil"/>
            </w:tcBorders>
            <w:vAlign w:val="center"/>
          </w:tcPr>
          <w:p w14:paraId="5065F694"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roofErr w:type="spellStart"/>
            <w:r w:rsidRPr="00F14751">
              <w:rPr>
                <w:rFonts w:ascii="Times New Roman" w:hAnsi="Times New Roman" w:cs="Times New Roman"/>
                <w:sz w:val="16"/>
                <w:szCs w:val="16"/>
              </w:rPr>
              <w:t>GDPgrowth</w:t>
            </w:r>
            <w:proofErr w:type="spellEnd"/>
          </w:p>
        </w:tc>
        <w:tc>
          <w:tcPr>
            <w:tcW w:w="1397" w:type="dxa"/>
            <w:tcBorders>
              <w:top w:val="nil"/>
              <w:left w:val="nil"/>
              <w:bottom w:val="nil"/>
              <w:right w:val="nil"/>
            </w:tcBorders>
            <w:vAlign w:val="center"/>
          </w:tcPr>
          <w:p w14:paraId="72B162C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-0.0169</w:t>
            </w:r>
          </w:p>
        </w:tc>
        <w:tc>
          <w:tcPr>
            <w:tcW w:w="1397" w:type="dxa"/>
            <w:tcBorders>
              <w:top w:val="nil"/>
              <w:left w:val="nil"/>
              <w:bottom w:val="nil"/>
              <w:right w:val="nil"/>
            </w:tcBorders>
            <w:vAlign w:val="center"/>
          </w:tcPr>
          <w:p w14:paraId="1A2681E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0.00128</w:t>
            </w:r>
          </w:p>
        </w:tc>
        <w:tc>
          <w:tcPr>
            <w:tcW w:w="1397" w:type="dxa"/>
            <w:tcBorders>
              <w:top w:val="nil"/>
              <w:left w:val="nil"/>
              <w:bottom w:val="nil"/>
              <w:right w:val="nil"/>
            </w:tcBorders>
            <w:vAlign w:val="center"/>
          </w:tcPr>
          <w:p w14:paraId="52520A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3.76e-05</w:t>
            </w:r>
          </w:p>
        </w:tc>
        <w:tc>
          <w:tcPr>
            <w:tcW w:w="1397" w:type="dxa"/>
            <w:tcBorders>
              <w:top w:val="nil"/>
              <w:left w:val="nil"/>
              <w:bottom w:val="nil"/>
              <w:right w:val="nil"/>
            </w:tcBorders>
            <w:vAlign w:val="center"/>
          </w:tcPr>
          <w:p w14:paraId="307267E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0.00131</w:t>
            </w:r>
          </w:p>
        </w:tc>
        <w:tc>
          <w:tcPr>
            <w:tcW w:w="1398" w:type="dxa"/>
            <w:tcBorders>
              <w:top w:val="nil"/>
              <w:left w:val="nil"/>
              <w:bottom w:val="nil"/>
              <w:right w:val="nil"/>
            </w:tcBorders>
            <w:vAlign w:val="center"/>
          </w:tcPr>
          <w:p w14:paraId="3009A73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-0.000656</w:t>
            </w:r>
          </w:p>
        </w:tc>
        <w:tc>
          <w:tcPr>
            <w:tcW w:w="1397" w:type="dxa"/>
            <w:tcBorders>
              <w:top w:val="nil"/>
              <w:left w:val="nil"/>
              <w:bottom w:val="nil"/>
              <w:right w:val="nil"/>
            </w:tcBorders>
            <w:vAlign w:val="center"/>
          </w:tcPr>
          <w:p w14:paraId="7D60EB0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0.00646</w:t>
            </w:r>
          </w:p>
        </w:tc>
        <w:tc>
          <w:tcPr>
            <w:tcW w:w="1397" w:type="dxa"/>
            <w:tcBorders>
              <w:top w:val="nil"/>
              <w:left w:val="nil"/>
              <w:bottom w:val="nil"/>
              <w:right w:val="nil"/>
            </w:tcBorders>
            <w:vAlign w:val="center"/>
          </w:tcPr>
          <w:p w14:paraId="0A265E8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0.00953</w:t>
            </w:r>
          </w:p>
        </w:tc>
        <w:tc>
          <w:tcPr>
            <w:tcW w:w="1397" w:type="dxa"/>
            <w:tcBorders>
              <w:top w:val="nil"/>
              <w:left w:val="nil"/>
              <w:bottom w:val="nil"/>
              <w:right w:val="nil"/>
            </w:tcBorders>
            <w:vAlign w:val="center"/>
          </w:tcPr>
          <w:p w14:paraId="7D04AD1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0.0136</w:t>
            </w:r>
          </w:p>
        </w:tc>
        <w:tc>
          <w:tcPr>
            <w:tcW w:w="1397" w:type="dxa"/>
            <w:tcBorders>
              <w:top w:val="nil"/>
              <w:left w:val="nil"/>
              <w:bottom w:val="nil"/>
              <w:right w:val="nil"/>
            </w:tcBorders>
            <w:vAlign w:val="center"/>
          </w:tcPr>
          <w:p w14:paraId="377236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-0.0303</w:t>
            </w:r>
          </w:p>
        </w:tc>
        <w:tc>
          <w:tcPr>
            <w:tcW w:w="1398" w:type="dxa"/>
            <w:tcBorders>
              <w:top w:val="nil"/>
              <w:left w:val="nil"/>
              <w:bottom w:val="nil"/>
              <w:right w:val="nil"/>
            </w:tcBorders>
            <w:vAlign w:val="center"/>
          </w:tcPr>
          <w:p w14:paraId="33A0095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-0.0167</w:t>
            </w:r>
          </w:p>
        </w:tc>
      </w:tr>
      <w:tr w:rsidR="0064611C" w:rsidRPr="00F14751" w14:paraId="2BDAB3F9" w14:textId="77777777" w:rsidTr="006B126F">
        <w:trPr>
          <w:jc w:val="center"/>
        </w:trPr>
        <w:tc>
          <w:tcPr>
            <w:tcW w:w="1671" w:type="dxa"/>
            <w:tcBorders>
              <w:top w:val="nil"/>
              <w:left w:val="nil"/>
              <w:bottom w:val="nil"/>
              <w:right w:val="nil"/>
            </w:tcBorders>
            <w:vAlign w:val="center"/>
          </w:tcPr>
          <w:p w14:paraId="295F6CD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4CDF95A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(0.0365)</w:t>
            </w:r>
          </w:p>
        </w:tc>
        <w:tc>
          <w:tcPr>
            <w:tcW w:w="1397" w:type="dxa"/>
            <w:tcBorders>
              <w:top w:val="nil"/>
              <w:left w:val="nil"/>
              <w:bottom w:val="nil"/>
              <w:right w:val="nil"/>
            </w:tcBorders>
            <w:vAlign w:val="center"/>
          </w:tcPr>
          <w:p w14:paraId="387CF2D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(0.00412)</w:t>
            </w:r>
          </w:p>
        </w:tc>
        <w:tc>
          <w:tcPr>
            <w:tcW w:w="1397" w:type="dxa"/>
            <w:tcBorders>
              <w:top w:val="nil"/>
              <w:left w:val="nil"/>
              <w:bottom w:val="nil"/>
              <w:right w:val="nil"/>
            </w:tcBorders>
            <w:vAlign w:val="center"/>
          </w:tcPr>
          <w:p w14:paraId="2C7C433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(0.00236)</w:t>
            </w:r>
          </w:p>
        </w:tc>
        <w:tc>
          <w:tcPr>
            <w:tcW w:w="1397" w:type="dxa"/>
            <w:tcBorders>
              <w:top w:val="nil"/>
              <w:left w:val="nil"/>
              <w:bottom w:val="nil"/>
              <w:right w:val="nil"/>
            </w:tcBorders>
            <w:vAlign w:val="center"/>
          </w:tcPr>
          <w:p w14:paraId="362CA36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(0.00584)</w:t>
            </w:r>
          </w:p>
        </w:tc>
        <w:tc>
          <w:tcPr>
            <w:tcW w:w="1398" w:type="dxa"/>
            <w:tcBorders>
              <w:top w:val="nil"/>
              <w:left w:val="nil"/>
              <w:bottom w:val="nil"/>
              <w:right w:val="nil"/>
            </w:tcBorders>
            <w:vAlign w:val="center"/>
          </w:tcPr>
          <w:p w14:paraId="69846B6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(0.00837)</w:t>
            </w:r>
          </w:p>
        </w:tc>
        <w:tc>
          <w:tcPr>
            <w:tcW w:w="1397" w:type="dxa"/>
            <w:tcBorders>
              <w:top w:val="nil"/>
              <w:left w:val="nil"/>
              <w:bottom w:val="nil"/>
              <w:right w:val="nil"/>
            </w:tcBorders>
            <w:vAlign w:val="center"/>
          </w:tcPr>
          <w:p w14:paraId="1818F38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(0.0117)</w:t>
            </w:r>
          </w:p>
        </w:tc>
        <w:tc>
          <w:tcPr>
            <w:tcW w:w="1397" w:type="dxa"/>
            <w:tcBorders>
              <w:top w:val="nil"/>
              <w:left w:val="nil"/>
              <w:bottom w:val="nil"/>
              <w:right w:val="nil"/>
            </w:tcBorders>
            <w:vAlign w:val="center"/>
          </w:tcPr>
          <w:p w14:paraId="104298B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(0.0170)</w:t>
            </w:r>
          </w:p>
        </w:tc>
        <w:tc>
          <w:tcPr>
            <w:tcW w:w="1397" w:type="dxa"/>
            <w:tcBorders>
              <w:top w:val="nil"/>
              <w:left w:val="nil"/>
              <w:bottom w:val="nil"/>
              <w:right w:val="nil"/>
            </w:tcBorders>
            <w:vAlign w:val="center"/>
          </w:tcPr>
          <w:p w14:paraId="65E8AFA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(0.0107)</w:t>
            </w:r>
          </w:p>
        </w:tc>
        <w:tc>
          <w:tcPr>
            <w:tcW w:w="1397" w:type="dxa"/>
            <w:tcBorders>
              <w:top w:val="nil"/>
              <w:left w:val="nil"/>
              <w:bottom w:val="nil"/>
              <w:right w:val="nil"/>
            </w:tcBorders>
            <w:vAlign w:val="center"/>
          </w:tcPr>
          <w:p w14:paraId="2AA8062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(0.0468)</w:t>
            </w:r>
          </w:p>
        </w:tc>
        <w:tc>
          <w:tcPr>
            <w:tcW w:w="1398" w:type="dxa"/>
            <w:tcBorders>
              <w:top w:val="nil"/>
              <w:left w:val="nil"/>
              <w:bottom w:val="nil"/>
              <w:right w:val="nil"/>
            </w:tcBorders>
            <w:vAlign w:val="center"/>
          </w:tcPr>
          <w:p w14:paraId="0B0076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(0.0369)</w:t>
            </w:r>
          </w:p>
        </w:tc>
      </w:tr>
      <w:tr w:rsidR="0064611C" w:rsidRPr="00F14751" w14:paraId="6304D92F" w14:textId="77777777" w:rsidTr="006B126F">
        <w:trPr>
          <w:jc w:val="center"/>
        </w:trPr>
        <w:tc>
          <w:tcPr>
            <w:tcW w:w="1671" w:type="dxa"/>
            <w:tcBorders>
              <w:top w:val="nil"/>
              <w:left w:val="nil"/>
              <w:bottom w:val="nil"/>
              <w:right w:val="nil"/>
            </w:tcBorders>
            <w:vAlign w:val="center"/>
          </w:tcPr>
          <w:p w14:paraId="003729F5"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School</w:t>
            </w:r>
          </w:p>
        </w:tc>
        <w:tc>
          <w:tcPr>
            <w:tcW w:w="1397" w:type="dxa"/>
            <w:tcBorders>
              <w:top w:val="nil"/>
              <w:left w:val="nil"/>
              <w:bottom w:val="nil"/>
              <w:right w:val="nil"/>
            </w:tcBorders>
            <w:vAlign w:val="center"/>
          </w:tcPr>
          <w:p w14:paraId="5F514EF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-4.220**</w:t>
            </w:r>
          </w:p>
        </w:tc>
        <w:tc>
          <w:tcPr>
            <w:tcW w:w="1397" w:type="dxa"/>
            <w:tcBorders>
              <w:top w:val="nil"/>
              <w:left w:val="nil"/>
              <w:bottom w:val="nil"/>
              <w:right w:val="nil"/>
            </w:tcBorders>
            <w:vAlign w:val="center"/>
          </w:tcPr>
          <w:p w14:paraId="4D4ED44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0.241</w:t>
            </w:r>
          </w:p>
        </w:tc>
        <w:tc>
          <w:tcPr>
            <w:tcW w:w="1397" w:type="dxa"/>
            <w:tcBorders>
              <w:top w:val="nil"/>
              <w:left w:val="nil"/>
              <w:bottom w:val="nil"/>
              <w:right w:val="nil"/>
            </w:tcBorders>
            <w:vAlign w:val="center"/>
          </w:tcPr>
          <w:p w14:paraId="6431EC9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0.337</w:t>
            </w:r>
          </w:p>
        </w:tc>
        <w:tc>
          <w:tcPr>
            <w:tcW w:w="1397" w:type="dxa"/>
            <w:tcBorders>
              <w:top w:val="nil"/>
              <w:left w:val="nil"/>
              <w:bottom w:val="nil"/>
              <w:right w:val="nil"/>
            </w:tcBorders>
            <w:vAlign w:val="center"/>
          </w:tcPr>
          <w:p w14:paraId="6A4E96C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0.578</w:t>
            </w:r>
          </w:p>
        </w:tc>
        <w:tc>
          <w:tcPr>
            <w:tcW w:w="1398" w:type="dxa"/>
            <w:tcBorders>
              <w:top w:val="nil"/>
              <w:left w:val="nil"/>
              <w:bottom w:val="nil"/>
              <w:right w:val="nil"/>
            </w:tcBorders>
            <w:vAlign w:val="center"/>
          </w:tcPr>
          <w:p w14:paraId="63FA368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0.924*</w:t>
            </w:r>
          </w:p>
        </w:tc>
        <w:tc>
          <w:tcPr>
            <w:tcW w:w="1397" w:type="dxa"/>
            <w:tcBorders>
              <w:top w:val="nil"/>
              <w:left w:val="nil"/>
              <w:bottom w:val="nil"/>
              <w:right w:val="nil"/>
            </w:tcBorders>
            <w:vAlign w:val="center"/>
          </w:tcPr>
          <w:p w14:paraId="110B307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1.234**</w:t>
            </w:r>
          </w:p>
        </w:tc>
        <w:tc>
          <w:tcPr>
            <w:tcW w:w="1397" w:type="dxa"/>
            <w:tcBorders>
              <w:top w:val="nil"/>
              <w:left w:val="nil"/>
              <w:bottom w:val="nil"/>
              <w:right w:val="nil"/>
            </w:tcBorders>
            <w:vAlign w:val="center"/>
          </w:tcPr>
          <w:p w14:paraId="754F01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1.137*</w:t>
            </w:r>
          </w:p>
        </w:tc>
        <w:tc>
          <w:tcPr>
            <w:tcW w:w="1397" w:type="dxa"/>
            <w:tcBorders>
              <w:top w:val="nil"/>
              <w:left w:val="nil"/>
              <w:bottom w:val="nil"/>
              <w:right w:val="nil"/>
            </w:tcBorders>
            <w:vAlign w:val="center"/>
          </w:tcPr>
          <w:p w14:paraId="72E71B1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0.228</w:t>
            </w:r>
          </w:p>
        </w:tc>
        <w:tc>
          <w:tcPr>
            <w:tcW w:w="1397" w:type="dxa"/>
            <w:tcBorders>
              <w:top w:val="nil"/>
              <w:left w:val="nil"/>
              <w:bottom w:val="nil"/>
              <w:right w:val="nil"/>
            </w:tcBorders>
            <w:vAlign w:val="center"/>
          </w:tcPr>
          <w:p w14:paraId="27065DE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-4.100**</w:t>
            </w:r>
          </w:p>
        </w:tc>
        <w:tc>
          <w:tcPr>
            <w:tcW w:w="1398" w:type="dxa"/>
            <w:tcBorders>
              <w:top w:val="nil"/>
              <w:left w:val="nil"/>
              <w:bottom w:val="nil"/>
              <w:right w:val="nil"/>
            </w:tcBorders>
            <w:vAlign w:val="center"/>
          </w:tcPr>
          <w:p w14:paraId="3A4E259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-3.872**</w:t>
            </w:r>
          </w:p>
        </w:tc>
      </w:tr>
      <w:tr w:rsidR="0064611C" w:rsidRPr="00F14751" w14:paraId="5CB75DEC" w14:textId="77777777" w:rsidTr="006B126F">
        <w:trPr>
          <w:jc w:val="center"/>
        </w:trPr>
        <w:tc>
          <w:tcPr>
            <w:tcW w:w="1671" w:type="dxa"/>
            <w:tcBorders>
              <w:top w:val="nil"/>
              <w:left w:val="nil"/>
              <w:bottom w:val="nil"/>
              <w:right w:val="nil"/>
            </w:tcBorders>
            <w:vAlign w:val="center"/>
          </w:tcPr>
          <w:p w14:paraId="4C0CDD4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2491DAA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(1.316)</w:t>
            </w:r>
          </w:p>
        </w:tc>
        <w:tc>
          <w:tcPr>
            <w:tcW w:w="1397" w:type="dxa"/>
            <w:tcBorders>
              <w:top w:val="nil"/>
              <w:left w:val="nil"/>
              <w:bottom w:val="nil"/>
              <w:right w:val="nil"/>
            </w:tcBorders>
            <w:vAlign w:val="center"/>
          </w:tcPr>
          <w:p w14:paraId="0A7D83F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(0.203)</w:t>
            </w:r>
          </w:p>
        </w:tc>
        <w:tc>
          <w:tcPr>
            <w:tcW w:w="1397" w:type="dxa"/>
            <w:tcBorders>
              <w:top w:val="nil"/>
              <w:left w:val="nil"/>
              <w:bottom w:val="nil"/>
              <w:right w:val="nil"/>
            </w:tcBorders>
            <w:vAlign w:val="center"/>
          </w:tcPr>
          <w:p w14:paraId="0C3D8CE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(0.165)</w:t>
            </w:r>
          </w:p>
        </w:tc>
        <w:tc>
          <w:tcPr>
            <w:tcW w:w="1397" w:type="dxa"/>
            <w:tcBorders>
              <w:top w:val="nil"/>
              <w:left w:val="nil"/>
              <w:bottom w:val="nil"/>
              <w:right w:val="nil"/>
            </w:tcBorders>
            <w:vAlign w:val="center"/>
          </w:tcPr>
          <w:p w14:paraId="305252E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(0.345)</w:t>
            </w:r>
          </w:p>
        </w:tc>
        <w:tc>
          <w:tcPr>
            <w:tcW w:w="1398" w:type="dxa"/>
            <w:tcBorders>
              <w:top w:val="nil"/>
              <w:left w:val="nil"/>
              <w:bottom w:val="nil"/>
              <w:right w:val="nil"/>
            </w:tcBorders>
            <w:vAlign w:val="center"/>
          </w:tcPr>
          <w:p w14:paraId="6143467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(0.344)</w:t>
            </w:r>
          </w:p>
        </w:tc>
        <w:tc>
          <w:tcPr>
            <w:tcW w:w="1397" w:type="dxa"/>
            <w:tcBorders>
              <w:top w:val="nil"/>
              <w:left w:val="nil"/>
              <w:bottom w:val="nil"/>
              <w:right w:val="nil"/>
            </w:tcBorders>
            <w:vAlign w:val="center"/>
          </w:tcPr>
          <w:p w14:paraId="6CF3990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(0.395)</w:t>
            </w:r>
          </w:p>
        </w:tc>
        <w:tc>
          <w:tcPr>
            <w:tcW w:w="1397" w:type="dxa"/>
            <w:tcBorders>
              <w:top w:val="nil"/>
              <w:left w:val="nil"/>
              <w:bottom w:val="nil"/>
              <w:right w:val="nil"/>
            </w:tcBorders>
            <w:vAlign w:val="center"/>
          </w:tcPr>
          <w:p w14:paraId="584177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(0.434)</w:t>
            </w:r>
          </w:p>
        </w:tc>
        <w:tc>
          <w:tcPr>
            <w:tcW w:w="1397" w:type="dxa"/>
            <w:tcBorders>
              <w:top w:val="nil"/>
              <w:left w:val="nil"/>
              <w:bottom w:val="nil"/>
              <w:right w:val="nil"/>
            </w:tcBorders>
            <w:vAlign w:val="center"/>
          </w:tcPr>
          <w:p w14:paraId="628AD12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(0.410)</w:t>
            </w:r>
          </w:p>
        </w:tc>
        <w:tc>
          <w:tcPr>
            <w:tcW w:w="1397" w:type="dxa"/>
            <w:tcBorders>
              <w:top w:val="nil"/>
              <w:left w:val="nil"/>
              <w:bottom w:val="nil"/>
              <w:right w:val="nil"/>
            </w:tcBorders>
            <w:vAlign w:val="center"/>
          </w:tcPr>
          <w:p w14:paraId="02870C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(1.299)</w:t>
            </w:r>
          </w:p>
        </w:tc>
        <w:tc>
          <w:tcPr>
            <w:tcW w:w="1398" w:type="dxa"/>
            <w:tcBorders>
              <w:top w:val="nil"/>
              <w:left w:val="nil"/>
              <w:bottom w:val="nil"/>
              <w:right w:val="nil"/>
            </w:tcBorders>
            <w:vAlign w:val="center"/>
          </w:tcPr>
          <w:p w14:paraId="11F0C4B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(1.156)</w:t>
            </w:r>
          </w:p>
        </w:tc>
      </w:tr>
      <w:tr w:rsidR="0064611C" w:rsidRPr="00F14751" w14:paraId="442D1856" w14:textId="77777777" w:rsidTr="006B126F">
        <w:trPr>
          <w:jc w:val="center"/>
        </w:trPr>
        <w:tc>
          <w:tcPr>
            <w:tcW w:w="1671" w:type="dxa"/>
            <w:tcBorders>
              <w:top w:val="nil"/>
              <w:left w:val="nil"/>
              <w:bottom w:val="nil"/>
              <w:right w:val="nil"/>
            </w:tcBorders>
            <w:vAlign w:val="center"/>
          </w:tcPr>
          <w:p w14:paraId="019B157C"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Death</w:t>
            </w:r>
          </w:p>
        </w:tc>
        <w:tc>
          <w:tcPr>
            <w:tcW w:w="1397" w:type="dxa"/>
            <w:tcBorders>
              <w:top w:val="nil"/>
              <w:left w:val="nil"/>
              <w:bottom w:val="nil"/>
              <w:right w:val="nil"/>
            </w:tcBorders>
            <w:vAlign w:val="center"/>
          </w:tcPr>
          <w:p w14:paraId="3593D4F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-2.179</w:t>
            </w:r>
          </w:p>
        </w:tc>
        <w:tc>
          <w:tcPr>
            <w:tcW w:w="1397" w:type="dxa"/>
            <w:tcBorders>
              <w:top w:val="nil"/>
              <w:left w:val="nil"/>
              <w:bottom w:val="nil"/>
              <w:right w:val="nil"/>
            </w:tcBorders>
            <w:vAlign w:val="center"/>
          </w:tcPr>
          <w:p w14:paraId="035EEEC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0.791**</w:t>
            </w:r>
          </w:p>
        </w:tc>
        <w:tc>
          <w:tcPr>
            <w:tcW w:w="1397" w:type="dxa"/>
            <w:tcBorders>
              <w:top w:val="nil"/>
              <w:left w:val="nil"/>
              <w:bottom w:val="nil"/>
              <w:right w:val="nil"/>
            </w:tcBorders>
            <w:vAlign w:val="center"/>
          </w:tcPr>
          <w:p w14:paraId="6BFB8A8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0.600**</w:t>
            </w:r>
          </w:p>
        </w:tc>
        <w:tc>
          <w:tcPr>
            <w:tcW w:w="1397" w:type="dxa"/>
            <w:tcBorders>
              <w:top w:val="nil"/>
              <w:left w:val="nil"/>
              <w:bottom w:val="nil"/>
              <w:right w:val="nil"/>
            </w:tcBorders>
            <w:vAlign w:val="center"/>
          </w:tcPr>
          <w:p w14:paraId="2BFD6F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1.392**</w:t>
            </w:r>
          </w:p>
        </w:tc>
        <w:tc>
          <w:tcPr>
            <w:tcW w:w="1398" w:type="dxa"/>
            <w:tcBorders>
              <w:top w:val="nil"/>
              <w:left w:val="nil"/>
              <w:bottom w:val="nil"/>
              <w:right w:val="nil"/>
            </w:tcBorders>
            <w:vAlign w:val="center"/>
          </w:tcPr>
          <w:p w14:paraId="34B9A55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0.511</w:t>
            </w:r>
          </w:p>
        </w:tc>
        <w:tc>
          <w:tcPr>
            <w:tcW w:w="1397" w:type="dxa"/>
            <w:tcBorders>
              <w:top w:val="nil"/>
              <w:left w:val="nil"/>
              <w:bottom w:val="nil"/>
              <w:right w:val="nil"/>
            </w:tcBorders>
            <w:vAlign w:val="center"/>
          </w:tcPr>
          <w:p w14:paraId="5108C0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-0.333</w:t>
            </w:r>
          </w:p>
        </w:tc>
        <w:tc>
          <w:tcPr>
            <w:tcW w:w="1397" w:type="dxa"/>
            <w:tcBorders>
              <w:top w:val="nil"/>
              <w:left w:val="nil"/>
              <w:bottom w:val="nil"/>
              <w:right w:val="nil"/>
            </w:tcBorders>
            <w:vAlign w:val="center"/>
          </w:tcPr>
          <w:p w14:paraId="57D12D5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-1.219**</w:t>
            </w:r>
          </w:p>
        </w:tc>
        <w:tc>
          <w:tcPr>
            <w:tcW w:w="1397" w:type="dxa"/>
            <w:tcBorders>
              <w:top w:val="nil"/>
              <w:left w:val="nil"/>
              <w:bottom w:val="nil"/>
              <w:right w:val="nil"/>
            </w:tcBorders>
            <w:vAlign w:val="center"/>
          </w:tcPr>
          <w:p w14:paraId="0EC5E75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-0.224</w:t>
            </w:r>
          </w:p>
        </w:tc>
        <w:tc>
          <w:tcPr>
            <w:tcW w:w="1397" w:type="dxa"/>
            <w:tcBorders>
              <w:top w:val="nil"/>
              <w:left w:val="nil"/>
              <w:bottom w:val="nil"/>
              <w:right w:val="nil"/>
            </w:tcBorders>
            <w:vAlign w:val="center"/>
          </w:tcPr>
          <w:p w14:paraId="59496C1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-0.126</w:t>
            </w:r>
          </w:p>
        </w:tc>
        <w:tc>
          <w:tcPr>
            <w:tcW w:w="1398" w:type="dxa"/>
            <w:tcBorders>
              <w:top w:val="nil"/>
              <w:left w:val="nil"/>
              <w:bottom w:val="nil"/>
              <w:right w:val="nil"/>
            </w:tcBorders>
            <w:vAlign w:val="center"/>
          </w:tcPr>
          <w:p w14:paraId="70C4ACF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-0.350</w:t>
            </w:r>
          </w:p>
        </w:tc>
      </w:tr>
      <w:tr w:rsidR="0064611C" w:rsidRPr="00F14751" w14:paraId="7087DD98" w14:textId="77777777" w:rsidTr="006B126F">
        <w:trPr>
          <w:jc w:val="center"/>
        </w:trPr>
        <w:tc>
          <w:tcPr>
            <w:tcW w:w="1671" w:type="dxa"/>
            <w:tcBorders>
              <w:top w:val="nil"/>
              <w:left w:val="nil"/>
              <w:bottom w:val="nil"/>
              <w:right w:val="nil"/>
            </w:tcBorders>
            <w:vAlign w:val="center"/>
          </w:tcPr>
          <w:p w14:paraId="110B7E8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0101A80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(1.544)</w:t>
            </w:r>
          </w:p>
        </w:tc>
        <w:tc>
          <w:tcPr>
            <w:tcW w:w="1397" w:type="dxa"/>
            <w:tcBorders>
              <w:top w:val="nil"/>
              <w:left w:val="nil"/>
              <w:bottom w:val="nil"/>
              <w:right w:val="nil"/>
            </w:tcBorders>
            <w:vAlign w:val="center"/>
          </w:tcPr>
          <w:p w14:paraId="3797199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(0.231)</w:t>
            </w:r>
          </w:p>
        </w:tc>
        <w:tc>
          <w:tcPr>
            <w:tcW w:w="1397" w:type="dxa"/>
            <w:tcBorders>
              <w:top w:val="nil"/>
              <w:left w:val="nil"/>
              <w:bottom w:val="nil"/>
              <w:right w:val="nil"/>
            </w:tcBorders>
            <w:vAlign w:val="center"/>
          </w:tcPr>
          <w:p w14:paraId="3ABD669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(0.208)</w:t>
            </w:r>
          </w:p>
        </w:tc>
        <w:tc>
          <w:tcPr>
            <w:tcW w:w="1397" w:type="dxa"/>
            <w:tcBorders>
              <w:top w:val="nil"/>
              <w:left w:val="nil"/>
              <w:bottom w:val="nil"/>
              <w:right w:val="nil"/>
            </w:tcBorders>
            <w:vAlign w:val="center"/>
          </w:tcPr>
          <w:p w14:paraId="0F1463C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(0.431)</w:t>
            </w:r>
          </w:p>
        </w:tc>
        <w:tc>
          <w:tcPr>
            <w:tcW w:w="1398" w:type="dxa"/>
            <w:tcBorders>
              <w:top w:val="nil"/>
              <w:left w:val="nil"/>
              <w:bottom w:val="nil"/>
              <w:right w:val="nil"/>
            </w:tcBorders>
            <w:vAlign w:val="center"/>
          </w:tcPr>
          <w:p w14:paraId="1C457F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(0.392)</w:t>
            </w:r>
          </w:p>
        </w:tc>
        <w:tc>
          <w:tcPr>
            <w:tcW w:w="1397" w:type="dxa"/>
            <w:tcBorders>
              <w:top w:val="nil"/>
              <w:left w:val="nil"/>
              <w:bottom w:val="nil"/>
              <w:right w:val="nil"/>
            </w:tcBorders>
            <w:vAlign w:val="center"/>
          </w:tcPr>
          <w:p w14:paraId="3147640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(0.249)</w:t>
            </w:r>
          </w:p>
        </w:tc>
        <w:tc>
          <w:tcPr>
            <w:tcW w:w="1397" w:type="dxa"/>
            <w:tcBorders>
              <w:top w:val="nil"/>
              <w:left w:val="nil"/>
              <w:bottom w:val="nil"/>
              <w:right w:val="nil"/>
            </w:tcBorders>
            <w:vAlign w:val="center"/>
          </w:tcPr>
          <w:p w14:paraId="1AD54E7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(0.329)</w:t>
            </w:r>
          </w:p>
        </w:tc>
        <w:tc>
          <w:tcPr>
            <w:tcW w:w="1397" w:type="dxa"/>
            <w:tcBorders>
              <w:top w:val="nil"/>
              <w:left w:val="nil"/>
              <w:bottom w:val="nil"/>
              <w:right w:val="nil"/>
            </w:tcBorders>
            <w:vAlign w:val="center"/>
          </w:tcPr>
          <w:p w14:paraId="042FF0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(0.271)</w:t>
            </w:r>
          </w:p>
        </w:tc>
        <w:tc>
          <w:tcPr>
            <w:tcW w:w="1397" w:type="dxa"/>
            <w:tcBorders>
              <w:top w:val="nil"/>
              <w:left w:val="nil"/>
              <w:bottom w:val="nil"/>
              <w:right w:val="nil"/>
            </w:tcBorders>
            <w:vAlign w:val="center"/>
          </w:tcPr>
          <w:p w14:paraId="3E2E988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(1.106)</w:t>
            </w:r>
          </w:p>
        </w:tc>
        <w:tc>
          <w:tcPr>
            <w:tcW w:w="1398" w:type="dxa"/>
            <w:tcBorders>
              <w:top w:val="nil"/>
              <w:left w:val="nil"/>
              <w:bottom w:val="nil"/>
              <w:right w:val="nil"/>
            </w:tcBorders>
            <w:vAlign w:val="center"/>
          </w:tcPr>
          <w:p w14:paraId="1C9DE5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(1.001)</w:t>
            </w:r>
          </w:p>
        </w:tc>
      </w:tr>
      <w:tr w:rsidR="0064611C" w:rsidRPr="00F14751" w14:paraId="626C0A29" w14:textId="77777777" w:rsidTr="006B126F">
        <w:trPr>
          <w:jc w:val="center"/>
        </w:trPr>
        <w:tc>
          <w:tcPr>
            <w:tcW w:w="1671" w:type="dxa"/>
            <w:tcBorders>
              <w:top w:val="nil"/>
              <w:left w:val="nil"/>
              <w:bottom w:val="nil"/>
              <w:right w:val="nil"/>
            </w:tcBorders>
            <w:vAlign w:val="center"/>
          </w:tcPr>
          <w:p w14:paraId="274D04A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roofErr w:type="spellStart"/>
            <w:r w:rsidRPr="00F14751">
              <w:rPr>
                <w:rFonts w:ascii="Times New Roman" w:hAnsi="Times New Roman" w:cs="Times New Roman"/>
                <w:sz w:val="16"/>
                <w:szCs w:val="16"/>
              </w:rPr>
              <w:t>UrbanPopgrowth</w:t>
            </w:r>
            <w:proofErr w:type="spellEnd"/>
          </w:p>
        </w:tc>
        <w:tc>
          <w:tcPr>
            <w:tcW w:w="1397" w:type="dxa"/>
            <w:tcBorders>
              <w:top w:val="nil"/>
              <w:left w:val="nil"/>
              <w:bottom w:val="nil"/>
              <w:right w:val="nil"/>
            </w:tcBorders>
            <w:vAlign w:val="center"/>
          </w:tcPr>
          <w:p w14:paraId="50B8855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0.468</w:t>
            </w:r>
          </w:p>
        </w:tc>
        <w:tc>
          <w:tcPr>
            <w:tcW w:w="1397" w:type="dxa"/>
            <w:tcBorders>
              <w:top w:val="nil"/>
              <w:left w:val="nil"/>
              <w:bottom w:val="nil"/>
              <w:right w:val="nil"/>
            </w:tcBorders>
            <w:vAlign w:val="center"/>
          </w:tcPr>
          <w:p w14:paraId="51E0FC9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-0.0509</w:t>
            </w:r>
          </w:p>
        </w:tc>
        <w:tc>
          <w:tcPr>
            <w:tcW w:w="1397" w:type="dxa"/>
            <w:tcBorders>
              <w:top w:val="nil"/>
              <w:left w:val="nil"/>
              <w:bottom w:val="nil"/>
              <w:right w:val="nil"/>
            </w:tcBorders>
            <w:vAlign w:val="center"/>
          </w:tcPr>
          <w:p w14:paraId="3F4691A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0.0281</w:t>
            </w:r>
          </w:p>
        </w:tc>
        <w:tc>
          <w:tcPr>
            <w:tcW w:w="1397" w:type="dxa"/>
            <w:tcBorders>
              <w:top w:val="nil"/>
              <w:left w:val="nil"/>
              <w:bottom w:val="nil"/>
              <w:right w:val="nil"/>
            </w:tcBorders>
            <w:vAlign w:val="center"/>
          </w:tcPr>
          <w:p w14:paraId="114EB65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-0.0228</w:t>
            </w:r>
          </w:p>
        </w:tc>
        <w:tc>
          <w:tcPr>
            <w:tcW w:w="1398" w:type="dxa"/>
            <w:tcBorders>
              <w:top w:val="nil"/>
              <w:left w:val="nil"/>
              <w:bottom w:val="nil"/>
              <w:right w:val="nil"/>
            </w:tcBorders>
            <w:vAlign w:val="center"/>
          </w:tcPr>
          <w:p w14:paraId="13B61F6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0.00408</w:t>
            </w:r>
          </w:p>
        </w:tc>
        <w:tc>
          <w:tcPr>
            <w:tcW w:w="1397" w:type="dxa"/>
            <w:tcBorders>
              <w:top w:val="nil"/>
              <w:left w:val="nil"/>
              <w:bottom w:val="nil"/>
              <w:right w:val="nil"/>
            </w:tcBorders>
            <w:vAlign w:val="center"/>
          </w:tcPr>
          <w:p w14:paraId="4CE0105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-0.164</w:t>
            </w:r>
          </w:p>
        </w:tc>
        <w:tc>
          <w:tcPr>
            <w:tcW w:w="1397" w:type="dxa"/>
            <w:tcBorders>
              <w:top w:val="nil"/>
              <w:left w:val="nil"/>
              <w:bottom w:val="nil"/>
              <w:right w:val="nil"/>
            </w:tcBorders>
            <w:vAlign w:val="center"/>
          </w:tcPr>
          <w:p w14:paraId="4AE04DA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-0.416</w:t>
            </w:r>
          </w:p>
        </w:tc>
        <w:tc>
          <w:tcPr>
            <w:tcW w:w="1397" w:type="dxa"/>
            <w:tcBorders>
              <w:top w:val="nil"/>
              <w:left w:val="nil"/>
              <w:bottom w:val="nil"/>
              <w:right w:val="nil"/>
            </w:tcBorders>
            <w:vAlign w:val="center"/>
          </w:tcPr>
          <w:p w14:paraId="1A0FA3F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-0.190</w:t>
            </w:r>
          </w:p>
        </w:tc>
        <w:tc>
          <w:tcPr>
            <w:tcW w:w="1397" w:type="dxa"/>
            <w:tcBorders>
              <w:top w:val="nil"/>
              <w:left w:val="nil"/>
              <w:bottom w:val="nil"/>
              <w:right w:val="nil"/>
            </w:tcBorders>
            <w:vAlign w:val="center"/>
          </w:tcPr>
          <w:p w14:paraId="6510DE5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0.788</w:t>
            </w:r>
          </w:p>
        </w:tc>
        <w:tc>
          <w:tcPr>
            <w:tcW w:w="1398" w:type="dxa"/>
            <w:tcBorders>
              <w:top w:val="nil"/>
              <w:left w:val="nil"/>
              <w:bottom w:val="nil"/>
              <w:right w:val="nil"/>
            </w:tcBorders>
            <w:vAlign w:val="center"/>
          </w:tcPr>
          <w:p w14:paraId="532F8E1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0.598</w:t>
            </w:r>
          </w:p>
        </w:tc>
      </w:tr>
      <w:tr w:rsidR="0064611C" w:rsidRPr="00F14751" w14:paraId="3D76FA32" w14:textId="77777777" w:rsidTr="006B126F">
        <w:trPr>
          <w:jc w:val="center"/>
        </w:trPr>
        <w:tc>
          <w:tcPr>
            <w:tcW w:w="1671" w:type="dxa"/>
            <w:tcBorders>
              <w:top w:val="nil"/>
              <w:left w:val="nil"/>
              <w:bottom w:val="nil"/>
              <w:right w:val="nil"/>
            </w:tcBorders>
            <w:vAlign w:val="center"/>
          </w:tcPr>
          <w:p w14:paraId="65CEAAF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4482EC4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(1.123)</w:t>
            </w:r>
          </w:p>
        </w:tc>
        <w:tc>
          <w:tcPr>
            <w:tcW w:w="1397" w:type="dxa"/>
            <w:tcBorders>
              <w:top w:val="nil"/>
              <w:left w:val="nil"/>
              <w:bottom w:val="nil"/>
              <w:right w:val="nil"/>
            </w:tcBorders>
            <w:vAlign w:val="center"/>
          </w:tcPr>
          <w:p w14:paraId="6DAE378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(0.0755)</w:t>
            </w:r>
          </w:p>
        </w:tc>
        <w:tc>
          <w:tcPr>
            <w:tcW w:w="1397" w:type="dxa"/>
            <w:tcBorders>
              <w:top w:val="nil"/>
              <w:left w:val="nil"/>
              <w:bottom w:val="nil"/>
              <w:right w:val="nil"/>
            </w:tcBorders>
            <w:vAlign w:val="center"/>
          </w:tcPr>
          <w:p w14:paraId="4F942B0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(0.103)</w:t>
            </w:r>
          </w:p>
        </w:tc>
        <w:tc>
          <w:tcPr>
            <w:tcW w:w="1397" w:type="dxa"/>
            <w:tcBorders>
              <w:top w:val="nil"/>
              <w:left w:val="nil"/>
              <w:bottom w:val="nil"/>
              <w:right w:val="nil"/>
            </w:tcBorders>
            <w:vAlign w:val="center"/>
          </w:tcPr>
          <w:p w14:paraId="02446D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(0.172)</w:t>
            </w:r>
          </w:p>
        </w:tc>
        <w:tc>
          <w:tcPr>
            <w:tcW w:w="1398" w:type="dxa"/>
            <w:tcBorders>
              <w:top w:val="nil"/>
              <w:left w:val="nil"/>
              <w:bottom w:val="nil"/>
              <w:right w:val="nil"/>
            </w:tcBorders>
            <w:vAlign w:val="center"/>
          </w:tcPr>
          <w:p w14:paraId="1635811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(0.302)</w:t>
            </w:r>
          </w:p>
        </w:tc>
        <w:tc>
          <w:tcPr>
            <w:tcW w:w="1397" w:type="dxa"/>
            <w:tcBorders>
              <w:top w:val="nil"/>
              <w:left w:val="nil"/>
              <w:bottom w:val="nil"/>
              <w:right w:val="nil"/>
            </w:tcBorders>
            <w:vAlign w:val="center"/>
          </w:tcPr>
          <w:p w14:paraId="1DA6B9A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(0.273)</w:t>
            </w:r>
          </w:p>
        </w:tc>
        <w:tc>
          <w:tcPr>
            <w:tcW w:w="1397" w:type="dxa"/>
            <w:tcBorders>
              <w:top w:val="nil"/>
              <w:left w:val="nil"/>
              <w:bottom w:val="nil"/>
              <w:right w:val="nil"/>
            </w:tcBorders>
            <w:vAlign w:val="center"/>
          </w:tcPr>
          <w:p w14:paraId="202D528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(0.255)</w:t>
            </w:r>
          </w:p>
        </w:tc>
        <w:tc>
          <w:tcPr>
            <w:tcW w:w="1397" w:type="dxa"/>
            <w:tcBorders>
              <w:top w:val="nil"/>
              <w:left w:val="nil"/>
              <w:bottom w:val="nil"/>
              <w:right w:val="nil"/>
            </w:tcBorders>
            <w:vAlign w:val="center"/>
          </w:tcPr>
          <w:p w14:paraId="05C2C4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(0.102)</w:t>
            </w:r>
          </w:p>
        </w:tc>
        <w:tc>
          <w:tcPr>
            <w:tcW w:w="1397" w:type="dxa"/>
            <w:tcBorders>
              <w:top w:val="nil"/>
              <w:left w:val="nil"/>
              <w:bottom w:val="nil"/>
              <w:right w:val="nil"/>
            </w:tcBorders>
            <w:vAlign w:val="center"/>
          </w:tcPr>
          <w:p w14:paraId="1BFE1C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(1.001)</w:t>
            </w:r>
          </w:p>
        </w:tc>
        <w:tc>
          <w:tcPr>
            <w:tcW w:w="1398" w:type="dxa"/>
            <w:tcBorders>
              <w:top w:val="nil"/>
              <w:left w:val="nil"/>
              <w:bottom w:val="nil"/>
              <w:right w:val="nil"/>
            </w:tcBorders>
            <w:vAlign w:val="center"/>
          </w:tcPr>
          <w:p w14:paraId="7EA93C3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(0.964)</w:t>
            </w:r>
          </w:p>
        </w:tc>
      </w:tr>
      <w:tr w:rsidR="0064611C" w:rsidRPr="00F14751" w14:paraId="0D0CF5A4" w14:textId="77777777" w:rsidTr="006B126F">
        <w:trPr>
          <w:jc w:val="center"/>
        </w:trPr>
        <w:tc>
          <w:tcPr>
            <w:tcW w:w="1671" w:type="dxa"/>
            <w:tcBorders>
              <w:top w:val="nil"/>
              <w:left w:val="nil"/>
              <w:bottom w:val="nil"/>
              <w:right w:val="nil"/>
            </w:tcBorders>
            <w:vAlign w:val="center"/>
          </w:tcPr>
          <w:p w14:paraId="1869144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Mercosur</w:t>
            </w:r>
          </w:p>
        </w:tc>
        <w:tc>
          <w:tcPr>
            <w:tcW w:w="1397" w:type="dxa"/>
            <w:tcBorders>
              <w:top w:val="nil"/>
              <w:left w:val="nil"/>
              <w:bottom w:val="nil"/>
              <w:right w:val="nil"/>
            </w:tcBorders>
            <w:vAlign w:val="center"/>
          </w:tcPr>
          <w:p w14:paraId="123B9F8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-3.531*</w:t>
            </w:r>
          </w:p>
        </w:tc>
        <w:tc>
          <w:tcPr>
            <w:tcW w:w="1397" w:type="dxa"/>
            <w:tcBorders>
              <w:top w:val="nil"/>
              <w:left w:val="nil"/>
              <w:bottom w:val="nil"/>
              <w:right w:val="nil"/>
            </w:tcBorders>
            <w:vAlign w:val="center"/>
          </w:tcPr>
          <w:p w14:paraId="1464505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-0.338</w:t>
            </w:r>
          </w:p>
        </w:tc>
        <w:tc>
          <w:tcPr>
            <w:tcW w:w="1397" w:type="dxa"/>
            <w:tcBorders>
              <w:top w:val="nil"/>
              <w:left w:val="nil"/>
              <w:bottom w:val="nil"/>
              <w:right w:val="nil"/>
            </w:tcBorders>
            <w:vAlign w:val="center"/>
          </w:tcPr>
          <w:p w14:paraId="676BFAD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0.269</w:t>
            </w:r>
          </w:p>
        </w:tc>
        <w:tc>
          <w:tcPr>
            <w:tcW w:w="1397" w:type="dxa"/>
            <w:tcBorders>
              <w:top w:val="nil"/>
              <w:left w:val="nil"/>
              <w:bottom w:val="nil"/>
              <w:right w:val="nil"/>
            </w:tcBorders>
            <w:vAlign w:val="center"/>
          </w:tcPr>
          <w:p w14:paraId="3482078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-0.0696</w:t>
            </w:r>
          </w:p>
        </w:tc>
        <w:tc>
          <w:tcPr>
            <w:tcW w:w="1398" w:type="dxa"/>
            <w:tcBorders>
              <w:top w:val="nil"/>
              <w:left w:val="nil"/>
              <w:bottom w:val="nil"/>
              <w:right w:val="nil"/>
            </w:tcBorders>
            <w:vAlign w:val="center"/>
          </w:tcPr>
          <w:p w14:paraId="7B66C90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1.022*</w:t>
            </w:r>
          </w:p>
        </w:tc>
        <w:tc>
          <w:tcPr>
            <w:tcW w:w="1397" w:type="dxa"/>
            <w:tcBorders>
              <w:top w:val="nil"/>
              <w:left w:val="nil"/>
              <w:bottom w:val="nil"/>
              <w:right w:val="nil"/>
            </w:tcBorders>
            <w:vAlign w:val="center"/>
          </w:tcPr>
          <w:p w14:paraId="313C458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1.511*</w:t>
            </w:r>
          </w:p>
        </w:tc>
        <w:tc>
          <w:tcPr>
            <w:tcW w:w="1397" w:type="dxa"/>
            <w:tcBorders>
              <w:top w:val="nil"/>
              <w:left w:val="nil"/>
              <w:bottom w:val="nil"/>
              <w:right w:val="nil"/>
            </w:tcBorders>
            <w:vAlign w:val="center"/>
          </w:tcPr>
          <w:p w14:paraId="70450A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1.162</w:t>
            </w:r>
          </w:p>
        </w:tc>
        <w:tc>
          <w:tcPr>
            <w:tcW w:w="1397" w:type="dxa"/>
            <w:tcBorders>
              <w:top w:val="nil"/>
              <w:left w:val="nil"/>
              <w:bottom w:val="nil"/>
              <w:right w:val="nil"/>
            </w:tcBorders>
            <w:vAlign w:val="center"/>
          </w:tcPr>
          <w:p w14:paraId="23BE958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0.372</w:t>
            </w:r>
          </w:p>
        </w:tc>
        <w:tc>
          <w:tcPr>
            <w:tcW w:w="1397" w:type="dxa"/>
            <w:tcBorders>
              <w:top w:val="nil"/>
              <w:left w:val="nil"/>
              <w:bottom w:val="nil"/>
              <w:right w:val="nil"/>
            </w:tcBorders>
            <w:vAlign w:val="center"/>
          </w:tcPr>
          <w:p w14:paraId="617C37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-3.997</w:t>
            </w:r>
          </w:p>
        </w:tc>
        <w:tc>
          <w:tcPr>
            <w:tcW w:w="1398" w:type="dxa"/>
            <w:tcBorders>
              <w:top w:val="nil"/>
              <w:left w:val="nil"/>
              <w:bottom w:val="nil"/>
              <w:right w:val="nil"/>
            </w:tcBorders>
            <w:vAlign w:val="center"/>
          </w:tcPr>
          <w:p w14:paraId="7563B46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-3.625</w:t>
            </w:r>
          </w:p>
        </w:tc>
      </w:tr>
      <w:tr w:rsidR="0064611C" w:rsidRPr="00F14751" w14:paraId="7FB5329E" w14:textId="77777777" w:rsidTr="006B126F">
        <w:trPr>
          <w:jc w:val="center"/>
        </w:trPr>
        <w:tc>
          <w:tcPr>
            <w:tcW w:w="1671" w:type="dxa"/>
            <w:tcBorders>
              <w:top w:val="nil"/>
              <w:left w:val="nil"/>
              <w:right w:val="nil"/>
            </w:tcBorders>
            <w:vAlign w:val="center"/>
          </w:tcPr>
          <w:p w14:paraId="453851CB"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right w:val="nil"/>
            </w:tcBorders>
            <w:vAlign w:val="center"/>
          </w:tcPr>
          <w:p w14:paraId="1CA6C1F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(1.625)</w:t>
            </w:r>
          </w:p>
        </w:tc>
        <w:tc>
          <w:tcPr>
            <w:tcW w:w="1397" w:type="dxa"/>
            <w:tcBorders>
              <w:top w:val="nil"/>
              <w:left w:val="nil"/>
              <w:right w:val="nil"/>
            </w:tcBorders>
            <w:vAlign w:val="center"/>
          </w:tcPr>
          <w:p w14:paraId="446B3BA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(0.263)</w:t>
            </w:r>
          </w:p>
        </w:tc>
        <w:tc>
          <w:tcPr>
            <w:tcW w:w="1397" w:type="dxa"/>
            <w:tcBorders>
              <w:top w:val="nil"/>
              <w:left w:val="nil"/>
              <w:right w:val="nil"/>
            </w:tcBorders>
            <w:vAlign w:val="center"/>
          </w:tcPr>
          <w:p w14:paraId="60DC4E3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(0.133)</w:t>
            </w:r>
          </w:p>
        </w:tc>
        <w:tc>
          <w:tcPr>
            <w:tcW w:w="1397" w:type="dxa"/>
            <w:tcBorders>
              <w:top w:val="nil"/>
              <w:left w:val="nil"/>
              <w:right w:val="nil"/>
            </w:tcBorders>
            <w:vAlign w:val="center"/>
          </w:tcPr>
          <w:p w14:paraId="7EB2221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(0.306)</w:t>
            </w:r>
          </w:p>
        </w:tc>
        <w:tc>
          <w:tcPr>
            <w:tcW w:w="1398" w:type="dxa"/>
            <w:tcBorders>
              <w:top w:val="nil"/>
              <w:left w:val="nil"/>
              <w:right w:val="nil"/>
            </w:tcBorders>
            <w:vAlign w:val="center"/>
          </w:tcPr>
          <w:p w14:paraId="12D2EBC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(0.457)</w:t>
            </w:r>
          </w:p>
        </w:tc>
        <w:tc>
          <w:tcPr>
            <w:tcW w:w="1397" w:type="dxa"/>
            <w:tcBorders>
              <w:top w:val="nil"/>
              <w:left w:val="nil"/>
              <w:right w:val="nil"/>
            </w:tcBorders>
            <w:vAlign w:val="center"/>
          </w:tcPr>
          <w:p w14:paraId="40AD05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(0.630)</w:t>
            </w:r>
          </w:p>
        </w:tc>
        <w:tc>
          <w:tcPr>
            <w:tcW w:w="1397" w:type="dxa"/>
            <w:tcBorders>
              <w:top w:val="nil"/>
              <w:left w:val="nil"/>
              <w:right w:val="nil"/>
            </w:tcBorders>
            <w:vAlign w:val="center"/>
          </w:tcPr>
          <w:p w14:paraId="48C0388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(0.947)</w:t>
            </w:r>
          </w:p>
        </w:tc>
        <w:tc>
          <w:tcPr>
            <w:tcW w:w="1397" w:type="dxa"/>
            <w:tcBorders>
              <w:top w:val="nil"/>
              <w:left w:val="nil"/>
              <w:right w:val="nil"/>
            </w:tcBorders>
            <w:vAlign w:val="center"/>
          </w:tcPr>
          <w:p w14:paraId="114696F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(0.583)</w:t>
            </w:r>
          </w:p>
        </w:tc>
        <w:tc>
          <w:tcPr>
            <w:tcW w:w="1397" w:type="dxa"/>
            <w:tcBorders>
              <w:top w:val="nil"/>
              <w:left w:val="nil"/>
              <w:right w:val="nil"/>
            </w:tcBorders>
            <w:vAlign w:val="center"/>
          </w:tcPr>
          <w:p w14:paraId="5C19A9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(2.241)</w:t>
            </w:r>
          </w:p>
        </w:tc>
        <w:tc>
          <w:tcPr>
            <w:tcW w:w="1398" w:type="dxa"/>
            <w:tcBorders>
              <w:top w:val="nil"/>
              <w:left w:val="nil"/>
              <w:right w:val="nil"/>
            </w:tcBorders>
            <w:vAlign w:val="center"/>
          </w:tcPr>
          <w:p w14:paraId="5F81556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(1.777)</w:t>
            </w:r>
          </w:p>
        </w:tc>
      </w:tr>
      <w:tr w:rsidR="0064611C" w:rsidRPr="00F14751" w14:paraId="24A1479C"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6563C312"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roofErr w:type="spellStart"/>
            <w:r w:rsidRPr="00F14751">
              <w:rPr>
                <w:rFonts w:ascii="Times New Roman" w:hAnsi="Times New Roman" w:cs="Times New Roman"/>
                <w:sz w:val="16"/>
                <w:szCs w:val="16"/>
              </w:rPr>
              <w:t>Unasur</w:t>
            </w:r>
            <w:proofErr w:type="spellEnd"/>
          </w:p>
        </w:tc>
        <w:tc>
          <w:tcPr>
            <w:tcW w:w="1397" w:type="dxa"/>
            <w:tcBorders>
              <w:top w:val="nil"/>
              <w:left w:val="nil"/>
              <w:bottom w:val="nil"/>
              <w:right w:val="nil"/>
            </w:tcBorders>
            <w:vAlign w:val="center"/>
          </w:tcPr>
          <w:p w14:paraId="3F3F642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-1.222</w:t>
            </w:r>
          </w:p>
        </w:tc>
        <w:tc>
          <w:tcPr>
            <w:tcW w:w="1397" w:type="dxa"/>
            <w:tcBorders>
              <w:top w:val="nil"/>
              <w:left w:val="nil"/>
              <w:bottom w:val="nil"/>
              <w:right w:val="nil"/>
            </w:tcBorders>
            <w:vAlign w:val="center"/>
          </w:tcPr>
          <w:p w14:paraId="7DF1109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0.0957</w:t>
            </w:r>
          </w:p>
        </w:tc>
        <w:tc>
          <w:tcPr>
            <w:tcW w:w="1397" w:type="dxa"/>
            <w:tcBorders>
              <w:top w:val="nil"/>
              <w:left w:val="nil"/>
              <w:bottom w:val="nil"/>
              <w:right w:val="nil"/>
            </w:tcBorders>
            <w:vAlign w:val="center"/>
          </w:tcPr>
          <w:p w14:paraId="241753F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0.103</w:t>
            </w:r>
          </w:p>
        </w:tc>
        <w:tc>
          <w:tcPr>
            <w:tcW w:w="1397" w:type="dxa"/>
            <w:tcBorders>
              <w:top w:val="nil"/>
              <w:left w:val="nil"/>
              <w:bottom w:val="nil"/>
              <w:right w:val="nil"/>
            </w:tcBorders>
            <w:vAlign w:val="center"/>
          </w:tcPr>
          <w:p w14:paraId="2DFC169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0.199</w:t>
            </w:r>
          </w:p>
        </w:tc>
        <w:tc>
          <w:tcPr>
            <w:tcW w:w="1398" w:type="dxa"/>
            <w:tcBorders>
              <w:top w:val="nil"/>
              <w:left w:val="nil"/>
              <w:bottom w:val="nil"/>
              <w:right w:val="nil"/>
            </w:tcBorders>
            <w:vAlign w:val="center"/>
          </w:tcPr>
          <w:p w14:paraId="3AFBC17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0.248</w:t>
            </w:r>
          </w:p>
        </w:tc>
        <w:tc>
          <w:tcPr>
            <w:tcW w:w="1397" w:type="dxa"/>
            <w:tcBorders>
              <w:top w:val="nil"/>
              <w:left w:val="nil"/>
              <w:bottom w:val="nil"/>
              <w:right w:val="nil"/>
            </w:tcBorders>
            <w:vAlign w:val="center"/>
          </w:tcPr>
          <w:p w14:paraId="673938C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0.317</w:t>
            </w:r>
          </w:p>
        </w:tc>
        <w:tc>
          <w:tcPr>
            <w:tcW w:w="1397" w:type="dxa"/>
            <w:tcBorders>
              <w:top w:val="nil"/>
              <w:left w:val="nil"/>
              <w:bottom w:val="nil"/>
              <w:right w:val="nil"/>
            </w:tcBorders>
            <w:vAlign w:val="center"/>
          </w:tcPr>
          <w:p w14:paraId="19435E7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0.432</w:t>
            </w:r>
          </w:p>
        </w:tc>
        <w:tc>
          <w:tcPr>
            <w:tcW w:w="1397" w:type="dxa"/>
            <w:tcBorders>
              <w:top w:val="nil"/>
              <w:left w:val="nil"/>
              <w:bottom w:val="nil"/>
              <w:right w:val="nil"/>
            </w:tcBorders>
            <w:vAlign w:val="center"/>
          </w:tcPr>
          <w:p w14:paraId="488BDB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0.138</w:t>
            </w:r>
          </w:p>
        </w:tc>
        <w:tc>
          <w:tcPr>
            <w:tcW w:w="1397" w:type="dxa"/>
            <w:tcBorders>
              <w:top w:val="nil"/>
              <w:left w:val="nil"/>
              <w:bottom w:val="nil"/>
              <w:right w:val="nil"/>
            </w:tcBorders>
            <w:vAlign w:val="center"/>
          </w:tcPr>
          <w:p w14:paraId="3882595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-1.335</w:t>
            </w:r>
          </w:p>
        </w:tc>
        <w:tc>
          <w:tcPr>
            <w:tcW w:w="1398" w:type="dxa"/>
            <w:tcBorders>
              <w:top w:val="nil"/>
              <w:left w:val="nil"/>
              <w:bottom w:val="nil"/>
              <w:right w:val="nil"/>
            </w:tcBorders>
            <w:vAlign w:val="center"/>
          </w:tcPr>
          <w:p w14:paraId="7BA92F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-1.197</w:t>
            </w:r>
          </w:p>
        </w:tc>
      </w:tr>
      <w:tr w:rsidR="0064611C" w:rsidRPr="00F14751" w14:paraId="002FDBD3"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5A44E65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20457A1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(1.307)</w:t>
            </w:r>
          </w:p>
        </w:tc>
        <w:tc>
          <w:tcPr>
            <w:tcW w:w="1397" w:type="dxa"/>
            <w:tcBorders>
              <w:top w:val="nil"/>
              <w:left w:val="nil"/>
              <w:bottom w:val="nil"/>
              <w:right w:val="nil"/>
            </w:tcBorders>
            <w:vAlign w:val="center"/>
          </w:tcPr>
          <w:p w14:paraId="2468853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(0.151)</w:t>
            </w:r>
          </w:p>
        </w:tc>
        <w:tc>
          <w:tcPr>
            <w:tcW w:w="1397" w:type="dxa"/>
            <w:tcBorders>
              <w:top w:val="nil"/>
              <w:left w:val="nil"/>
              <w:bottom w:val="nil"/>
              <w:right w:val="nil"/>
            </w:tcBorders>
            <w:vAlign w:val="center"/>
          </w:tcPr>
          <w:p w14:paraId="58CB5AC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(0.114)</w:t>
            </w:r>
          </w:p>
        </w:tc>
        <w:tc>
          <w:tcPr>
            <w:tcW w:w="1397" w:type="dxa"/>
            <w:tcBorders>
              <w:top w:val="nil"/>
              <w:left w:val="nil"/>
              <w:bottom w:val="nil"/>
              <w:right w:val="nil"/>
            </w:tcBorders>
            <w:vAlign w:val="center"/>
          </w:tcPr>
          <w:p w14:paraId="0C678A2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(0.262)</w:t>
            </w:r>
          </w:p>
        </w:tc>
        <w:tc>
          <w:tcPr>
            <w:tcW w:w="1398" w:type="dxa"/>
            <w:tcBorders>
              <w:top w:val="nil"/>
              <w:left w:val="nil"/>
              <w:bottom w:val="nil"/>
              <w:right w:val="nil"/>
            </w:tcBorders>
            <w:vAlign w:val="center"/>
          </w:tcPr>
          <w:p w14:paraId="7B2B8A3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(0.278)</w:t>
            </w:r>
          </w:p>
        </w:tc>
        <w:tc>
          <w:tcPr>
            <w:tcW w:w="1397" w:type="dxa"/>
            <w:tcBorders>
              <w:top w:val="nil"/>
              <w:left w:val="nil"/>
              <w:bottom w:val="nil"/>
              <w:right w:val="nil"/>
            </w:tcBorders>
            <w:vAlign w:val="center"/>
          </w:tcPr>
          <w:p w14:paraId="5061C1C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(0.275)</w:t>
            </w:r>
          </w:p>
        </w:tc>
        <w:tc>
          <w:tcPr>
            <w:tcW w:w="1397" w:type="dxa"/>
            <w:tcBorders>
              <w:top w:val="nil"/>
              <w:left w:val="nil"/>
              <w:bottom w:val="nil"/>
              <w:right w:val="nil"/>
            </w:tcBorders>
            <w:vAlign w:val="center"/>
          </w:tcPr>
          <w:p w14:paraId="51540E3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(0.310)</w:t>
            </w:r>
          </w:p>
        </w:tc>
        <w:tc>
          <w:tcPr>
            <w:tcW w:w="1397" w:type="dxa"/>
            <w:tcBorders>
              <w:top w:val="nil"/>
              <w:left w:val="nil"/>
              <w:bottom w:val="nil"/>
              <w:right w:val="nil"/>
            </w:tcBorders>
            <w:vAlign w:val="center"/>
          </w:tcPr>
          <w:p w14:paraId="20B237C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(0.243)</w:t>
            </w:r>
          </w:p>
        </w:tc>
        <w:tc>
          <w:tcPr>
            <w:tcW w:w="1397" w:type="dxa"/>
            <w:tcBorders>
              <w:top w:val="nil"/>
              <w:left w:val="nil"/>
              <w:bottom w:val="nil"/>
              <w:right w:val="nil"/>
            </w:tcBorders>
            <w:vAlign w:val="center"/>
          </w:tcPr>
          <w:p w14:paraId="7012F1C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(1.227)</w:t>
            </w:r>
          </w:p>
        </w:tc>
        <w:tc>
          <w:tcPr>
            <w:tcW w:w="1398" w:type="dxa"/>
            <w:tcBorders>
              <w:top w:val="nil"/>
              <w:left w:val="nil"/>
              <w:bottom w:val="nil"/>
              <w:right w:val="nil"/>
            </w:tcBorders>
            <w:vAlign w:val="center"/>
          </w:tcPr>
          <w:p w14:paraId="21D1943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(1.098)</w:t>
            </w:r>
          </w:p>
        </w:tc>
      </w:tr>
      <w:tr w:rsidR="0064611C" w:rsidRPr="00F14751" w14:paraId="01033BD2"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4710D8F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DOP ($2)</w:t>
            </w:r>
          </w:p>
        </w:tc>
        <w:tc>
          <w:tcPr>
            <w:tcW w:w="1397" w:type="dxa"/>
            <w:tcBorders>
              <w:top w:val="nil"/>
              <w:left w:val="nil"/>
              <w:bottom w:val="nil"/>
              <w:right w:val="nil"/>
            </w:tcBorders>
            <w:vAlign w:val="center"/>
          </w:tcPr>
          <w:p w14:paraId="6C602EC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0.0214**</w:t>
            </w:r>
          </w:p>
        </w:tc>
        <w:tc>
          <w:tcPr>
            <w:tcW w:w="1397" w:type="dxa"/>
            <w:tcBorders>
              <w:top w:val="nil"/>
              <w:left w:val="nil"/>
              <w:bottom w:val="nil"/>
              <w:right w:val="nil"/>
            </w:tcBorders>
            <w:vAlign w:val="center"/>
          </w:tcPr>
          <w:p w14:paraId="40EEA51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-0.00252</w:t>
            </w:r>
          </w:p>
        </w:tc>
        <w:tc>
          <w:tcPr>
            <w:tcW w:w="1397" w:type="dxa"/>
            <w:tcBorders>
              <w:top w:val="nil"/>
              <w:left w:val="nil"/>
              <w:bottom w:val="nil"/>
              <w:right w:val="nil"/>
            </w:tcBorders>
            <w:vAlign w:val="center"/>
          </w:tcPr>
          <w:p w14:paraId="1E402A5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-0.00291***</w:t>
            </w:r>
          </w:p>
        </w:tc>
        <w:tc>
          <w:tcPr>
            <w:tcW w:w="1397" w:type="dxa"/>
            <w:tcBorders>
              <w:top w:val="nil"/>
              <w:left w:val="nil"/>
              <w:bottom w:val="nil"/>
              <w:right w:val="nil"/>
            </w:tcBorders>
            <w:vAlign w:val="center"/>
          </w:tcPr>
          <w:p w14:paraId="1EA4196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-0.00543**</w:t>
            </w:r>
          </w:p>
        </w:tc>
        <w:tc>
          <w:tcPr>
            <w:tcW w:w="1398" w:type="dxa"/>
            <w:tcBorders>
              <w:top w:val="nil"/>
              <w:left w:val="nil"/>
              <w:bottom w:val="nil"/>
              <w:right w:val="nil"/>
            </w:tcBorders>
            <w:vAlign w:val="center"/>
          </w:tcPr>
          <w:p w14:paraId="187046B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-0.00522***</w:t>
            </w:r>
          </w:p>
        </w:tc>
        <w:tc>
          <w:tcPr>
            <w:tcW w:w="1397" w:type="dxa"/>
            <w:tcBorders>
              <w:top w:val="nil"/>
              <w:left w:val="nil"/>
              <w:bottom w:val="nil"/>
              <w:right w:val="nil"/>
            </w:tcBorders>
            <w:vAlign w:val="center"/>
          </w:tcPr>
          <w:p w14:paraId="26548A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-0.00482</w:t>
            </w:r>
          </w:p>
        </w:tc>
        <w:tc>
          <w:tcPr>
            <w:tcW w:w="1397" w:type="dxa"/>
            <w:tcBorders>
              <w:top w:val="nil"/>
              <w:left w:val="nil"/>
              <w:bottom w:val="nil"/>
              <w:right w:val="nil"/>
            </w:tcBorders>
            <w:vAlign w:val="center"/>
          </w:tcPr>
          <w:p w14:paraId="1451618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-0.000563</w:t>
            </w:r>
          </w:p>
        </w:tc>
        <w:tc>
          <w:tcPr>
            <w:tcW w:w="1397" w:type="dxa"/>
            <w:tcBorders>
              <w:top w:val="nil"/>
              <w:left w:val="nil"/>
              <w:bottom w:val="nil"/>
              <w:right w:val="nil"/>
            </w:tcBorders>
            <w:vAlign w:val="center"/>
          </w:tcPr>
          <w:p w14:paraId="111777E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0.000636</w:t>
            </w:r>
          </w:p>
        </w:tc>
        <w:tc>
          <w:tcPr>
            <w:tcW w:w="1397" w:type="dxa"/>
            <w:tcBorders>
              <w:top w:val="nil"/>
              <w:left w:val="nil"/>
              <w:bottom w:val="nil"/>
              <w:right w:val="nil"/>
            </w:tcBorders>
            <w:vAlign w:val="center"/>
          </w:tcPr>
          <w:p w14:paraId="4C5E7B3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0.0154</w:t>
            </w:r>
          </w:p>
        </w:tc>
        <w:tc>
          <w:tcPr>
            <w:tcW w:w="1398" w:type="dxa"/>
            <w:tcBorders>
              <w:top w:val="nil"/>
              <w:left w:val="nil"/>
              <w:bottom w:val="nil"/>
              <w:right w:val="nil"/>
            </w:tcBorders>
            <w:vAlign w:val="center"/>
          </w:tcPr>
          <w:p w14:paraId="5FA967E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0.0160</w:t>
            </w:r>
          </w:p>
        </w:tc>
      </w:tr>
      <w:tr w:rsidR="0064611C" w:rsidRPr="00F14751" w14:paraId="7C774309"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741A9E49"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3C373CC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(0.00631)</w:t>
            </w:r>
          </w:p>
        </w:tc>
        <w:tc>
          <w:tcPr>
            <w:tcW w:w="1397" w:type="dxa"/>
            <w:tcBorders>
              <w:top w:val="nil"/>
              <w:left w:val="nil"/>
              <w:bottom w:val="nil"/>
              <w:right w:val="nil"/>
            </w:tcBorders>
            <w:vAlign w:val="center"/>
          </w:tcPr>
          <w:p w14:paraId="2E24413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(0.00142)</w:t>
            </w:r>
          </w:p>
        </w:tc>
        <w:tc>
          <w:tcPr>
            <w:tcW w:w="1397" w:type="dxa"/>
            <w:tcBorders>
              <w:top w:val="nil"/>
              <w:left w:val="nil"/>
              <w:bottom w:val="nil"/>
              <w:right w:val="nil"/>
            </w:tcBorders>
            <w:vAlign w:val="center"/>
          </w:tcPr>
          <w:p w14:paraId="3FE7A6E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(0.000334)</w:t>
            </w:r>
          </w:p>
        </w:tc>
        <w:tc>
          <w:tcPr>
            <w:tcW w:w="1397" w:type="dxa"/>
            <w:tcBorders>
              <w:top w:val="nil"/>
              <w:left w:val="nil"/>
              <w:bottom w:val="nil"/>
              <w:right w:val="nil"/>
            </w:tcBorders>
            <w:vAlign w:val="center"/>
          </w:tcPr>
          <w:p w14:paraId="34FB2C1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(0.00159)</w:t>
            </w:r>
          </w:p>
        </w:tc>
        <w:tc>
          <w:tcPr>
            <w:tcW w:w="1398" w:type="dxa"/>
            <w:tcBorders>
              <w:top w:val="nil"/>
              <w:left w:val="nil"/>
              <w:bottom w:val="nil"/>
              <w:right w:val="nil"/>
            </w:tcBorders>
            <w:vAlign w:val="center"/>
          </w:tcPr>
          <w:p w14:paraId="22D8047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(0.000958)</w:t>
            </w:r>
          </w:p>
        </w:tc>
        <w:tc>
          <w:tcPr>
            <w:tcW w:w="1397" w:type="dxa"/>
            <w:tcBorders>
              <w:top w:val="nil"/>
              <w:left w:val="nil"/>
              <w:bottom w:val="nil"/>
              <w:right w:val="nil"/>
            </w:tcBorders>
            <w:vAlign w:val="center"/>
          </w:tcPr>
          <w:p w14:paraId="543112D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(0.00286)</w:t>
            </w:r>
          </w:p>
        </w:tc>
        <w:tc>
          <w:tcPr>
            <w:tcW w:w="1397" w:type="dxa"/>
            <w:tcBorders>
              <w:top w:val="nil"/>
              <w:left w:val="nil"/>
              <w:bottom w:val="nil"/>
              <w:right w:val="nil"/>
            </w:tcBorders>
            <w:vAlign w:val="center"/>
          </w:tcPr>
          <w:p w14:paraId="79AC9D5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(0.00552)</w:t>
            </w:r>
          </w:p>
        </w:tc>
        <w:tc>
          <w:tcPr>
            <w:tcW w:w="1397" w:type="dxa"/>
            <w:tcBorders>
              <w:top w:val="nil"/>
              <w:left w:val="nil"/>
              <w:bottom w:val="nil"/>
              <w:right w:val="nil"/>
            </w:tcBorders>
            <w:vAlign w:val="center"/>
          </w:tcPr>
          <w:p w14:paraId="6E1E022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(0.00467)</w:t>
            </w:r>
          </w:p>
        </w:tc>
        <w:tc>
          <w:tcPr>
            <w:tcW w:w="1397" w:type="dxa"/>
            <w:tcBorders>
              <w:top w:val="nil"/>
              <w:left w:val="nil"/>
              <w:bottom w:val="nil"/>
              <w:right w:val="nil"/>
            </w:tcBorders>
            <w:vAlign w:val="center"/>
          </w:tcPr>
          <w:p w14:paraId="104483E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(0.0121)</w:t>
            </w:r>
          </w:p>
        </w:tc>
        <w:tc>
          <w:tcPr>
            <w:tcW w:w="1398" w:type="dxa"/>
            <w:tcBorders>
              <w:top w:val="nil"/>
              <w:left w:val="nil"/>
              <w:bottom w:val="nil"/>
              <w:right w:val="nil"/>
            </w:tcBorders>
            <w:vAlign w:val="center"/>
          </w:tcPr>
          <w:p w14:paraId="2F842B2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(0.00782)</w:t>
            </w:r>
          </w:p>
        </w:tc>
      </w:tr>
      <w:tr w:rsidR="0064611C" w:rsidRPr="00F14751" w14:paraId="5AD7BB6A"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0653BD5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Constant</w:t>
            </w:r>
          </w:p>
        </w:tc>
        <w:tc>
          <w:tcPr>
            <w:tcW w:w="1397" w:type="dxa"/>
            <w:tcBorders>
              <w:top w:val="nil"/>
              <w:left w:val="nil"/>
              <w:bottom w:val="nil"/>
              <w:right w:val="nil"/>
            </w:tcBorders>
            <w:vAlign w:val="center"/>
          </w:tcPr>
          <w:p w14:paraId="55944D7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88.98***</w:t>
            </w:r>
          </w:p>
        </w:tc>
        <w:tc>
          <w:tcPr>
            <w:tcW w:w="1397" w:type="dxa"/>
            <w:tcBorders>
              <w:top w:val="nil"/>
              <w:left w:val="nil"/>
              <w:bottom w:val="nil"/>
              <w:right w:val="nil"/>
            </w:tcBorders>
            <w:vAlign w:val="center"/>
          </w:tcPr>
          <w:p w14:paraId="356C75F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-2.995</w:t>
            </w:r>
          </w:p>
        </w:tc>
        <w:tc>
          <w:tcPr>
            <w:tcW w:w="1397" w:type="dxa"/>
            <w:tcBorders>
              <w:top w:val="nil"/>
              <w:left w:val="nil"/>
              <w:bottom w:val="nil"/>
              <w:right w:val="nil"/>
            </w:tcBorders>
            <w:vAlign w:val="center"/>
          </w:tcPr>
          <w:p w14:paraId="1CF582B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-2.474</w:t>
            </w:r>
          </w:p>
        </w:tc>
        <w:tc>
          <w:tcPr>
            <w:tcW w:w="1397" w:type="dxa"/>
            <w:tcBorders>
              <w:top w:val="nil"/>
              <w:left w:val="nil"/>
              <w:bottom w:val="nil"/>
              <w:right w:val="nil"/>
            </w:tcBorders>
            <w:vAlign w:val="center"/>
          </w:tcPr>
          <w:p w14:paraId="11A5142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-5.469</w:t>
            </w:r>
          </w:p>
        </w:tc>
        <w:tc>
          <w:tcPr>
            <w:tcW w:w="1398" w:type="dxa"/>
            <w:tcBorders>
              <w:top w:val="nil"/>
              <w:left w:val="nil"/>
              <w:bottom w:val="nil"/>
              <w:right w:val="nil"/>
            </w:tcBorders>
            <w:vAlign w:val="center"/>
          </w:tcPr>
          <w:p w14:paraId="0502FC4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-1.709</w:t>
            </w:r>
          </w:p>
        </w:tc>
        <w:tc>
          <w:tcPr>
            <w:tcW w:w="1397" w:type="dxa"/>
            <w:tcBorders>
              <w:top w:val="nil"/>
              <w:left w:val="nil"/>
              <w:bottom w:val="nil"/>
              <w:right w:val="nil"/>
            </w:tcBorders>
            <w:vAlign w:val="center"/>
          </w:tcPr>
          <w:p w14:paraId="5E95F18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4.814</w:t>
            </w:r>
          </w:p>
        </w:tc>
        <w:tc>
          <w:tcPr>
            <w:tcW w:w="1397" w:type="dxa"/>
            <w:tcBorders>
              <w:top w:val="nil"/>
              <w:left w:val="nil"/>
              <w:bottom w:val="nil"/>
              <w:right w:val="nil"/>
            </w:tcBorders>
            <w:vAlign w:val="center"/>
          </w:tcPr>
          <w:p w14:paraId="395FED4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20.24</w:t>
            </w:r>
          </w:p>
        </w:tc>
        <w:tc>
          <w:tcPr>
            <w:tcW w:w="1397" w:type="dxa"/>
            <w:tcBorders>
              <w:top w:val="nil"/>
              <w:left w:val="nil"/>
              <w:bottom w:val="nil"/>
              <w:right w:val="nil"/>
            </w:tcBorders>
            <w:vAlign w:val="center"/>
          </w:tcPr>
          <w:p w14:paraId="301DEAA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18.36*</w:t>
            </w:r>
          </w:p>
        </w:tc>
        <w:tc>
          <w:tcPr>
            <w:tcW w:w="1397" w:type="dxa"/>
            <w:tcBorders>
              <w:top w:val="nil"/>
              <w:left w:val="nil"/>
              <w:bottom w:val="nil"/>
              <w:right w:val="nil"/>
            </w:tcBorders>
            <w:vAlign w:val="center"/>
          </w:tcPr>
          <w:p w14:paraId="06C09F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63.76</w:t>
            </w:r>
          </w:p>
        </w:tc>
        <w:tc>
          <w:tcPr>
            <w:tcW w:w="1398" w:type="dxa"/>
            <w:tcBorders>
              <w:top w:val="nil"/>
              <w:left w:val="nil"/>
              <w:bottom w:val="nil"/>
              <w:right w:val="nil"/>
            </w:tcBorders>
            <w:vAlign w:val="center"/>
          </w:tcPr>
          <w:p w14:paraId="26AD210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82.12**</w:t>
            </w:r>
          </w:p>
        </w:tc>
      </w:tr>
      <w:tr w:rsidR="0064611C" w:rsidRPr="00F14751" w14:paraId="1777113B"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213DB71D"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57A692B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(19.08)</w:t>
            </w:r>
          </w:p>
        </w:tc>
        <w:tc>
          <w:tcPr>
            <w:tcW w:w="1397" w:type="dxa"/>
            <w:tcBorders>
              <w:top w:val="nil"/>
              <w:left w:val="nil"/>
              <w:bottom w:val="nil"/>
              <w:right w:val="nil"/>
            </w:tcBorders>
            <w:vAlign w:val="center"/>
          </w:tcPr>
          <w:p w14:paraId="2C56BB9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(3.306)</w:t>
            </w:r>
          </w:p>
        </w:tc>
        <w:tc>
          <w:tcPr>
            <w:tcW w:w="1397" w:type="dxa"/>
            <w:tcBorders>
              <w:top w:val="nil"/>
              <w:left w:val="nil"/>
              <w:bottom w:val="nil"/>
              <w:right w:val="nil"/>
            </w:tcBorders>
            <w:vAlign w:val="center"/>
          </w:tcPr>
          <w:p w14:paraId="16674C2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(1.601)</w:t>
            </w:r>
          </w:p>
        </w:tc>
        <w:tc>
          <w:tcPr>
            <w:tcW w:w="1397" w:type="dxa"/>
            <w:tcBorders>
              <w:top w:val="nil"/>
              <w:left w:val="nil"/>
              <w:bottom w:val="nil"/>
              <w:right w:val="nil"/>
            </w:tcBorders>
            <w:vAlign w:val="center"/>
          </w:tcPr>
          <w:p w14:paraId="13E2164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(4.178)</w:t>
            </w:r>
          </w:p>
        </w:tc>
        <w:tc>
          <w:tcPr>
            <w:tcW w:w="1398" w:type="dxa"/>
            <w:tcBorders>
              <w:top w:val="nil"/>
              <w:left w:val="nil"/>
              <w:bottom w:val="nil"/>
              <w:right w:val="nil"/>
            </w:tcBorders>
            <w:vAlign w:val="center"/>
          </w:tcPr>
          <w:p w14:paraId="637DFAB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(4.731)</w:t>
            </w:r>
          </w:p>
        </w:tc>
        <w:tc>
          <w:tcPr>
            <w:tcW w:w="1397" w:type="dxa"/>
            <w:tcBorders>
              <w:top w:val="nil"/>
              <w:left w:val="nil"/>
              <w:bottom w:val="nil"/>
              <w:right w:val="nil"/>
            </w:tcBorders>
            <w:vAlign w:val="center"/>
          </w:tcPr>
          <w:p w14:paraId="7307EC2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(7.934)</w:t>
            </w:r>
          </w:p>
        </w:tc>
        <w:tc>
          <w:tcPr>
            <w:tcW w:w="1397" w:type="dxa"/>
            <w:tcBorders>
              <w:top w:val="nil"/>
              <w:left w:val="nil"/>
              <w:bottom w:val="nil"/>
              <w:right w:val="nil"/>
            </w:tcBorders>
            <w:vAlign w:val="center"/>
          </w:tcPr>
          <w:p w14:paraId="11FCBFA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(14.48)</w:t>
            </w:r>
          </w:p>
        </w:tc>
        <w:tc>
          <w:tcPr>
            <w:tcW w:w="1397" w:type="dxa"/>
            <w:tcBorders>
              <w:top w:val="nil"/>
              <w:left w:val="nil"/>
              <w:bottom w:val="nil"/>
              <w:right w:val="nil"/>
            </w:tcBorders>
            <w:vAlign w:val="center"/>
          </w:tcPr>
          <w:p w14:paraId="28508DB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(8.045)</w:t>
            </w:r>
          </w:p>
        </w:tc>
        <w:tc>
          <w:tcPr>
            <w:tcW w:w="1397" w:type="dxa"/>
            <w:tcBorders>
              <w:top w:val="nil"/>
              <w:left w:val="nil"/>
              <w:bottom w:val="nil"/>
              <w:right w:val="nil"/>
            </w:tcBorders>
            <w:vAlign w:val="center"/>
          </w:tcPr>
          <w:p w14:paraId="355A1DA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(30.07)</w:t>
            </w:r>
          </w:p>
        </w:tc>
        <w:tc>
          <w:tcPr>
            <w:tcW w:w="1398" w:type="dxa"/>
            <w:tcBorders>
              <w:top w:val="nil"/>
              <w:left w:val="nil"/>
              <w:bottom w:val="nil"/>
              <w:right w:val="nil"/>
            </w:tcBorders>
            <w:vAlign w:val="center"/>
          </w:tcPr>
          <w:p w14:paraId="5D300D3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(22.14)</w:t>
            </w:r>
          </w:p>
        </w:tc>
      </w:tr>
      <w:tr w:rsidR="0064611C" w:rsidRPr="00F14751" w14:paraId="32C542FD"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4DDCC4A6"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p>
        </w:tc>
        <w:tc>
          <w:tcPr>
            <w:tcW w:w="1397" w:type="dxa"/>
            <w:tcBorders>
              <w:top w:val="nil"/>
              <w:left w:val="nil"/>
              <w:bottom w:val="nil"/>
              <w:right w:val="nil"/>
            </w:tcBorders>
            <w:vAlign w:val="center"/>
          </w:tcPr>
          <w:p w14:paraId="2970E15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6A81493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7CE31D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2FF437A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8" w:type="dxa"/>
            <w:tcBorders>
              <w:top w:val="nil"/>
              <w:left w:val="nil"/>
              <w:bottom w:val="nil"/>
              <w:right w:val="nil"/>
            </w:tcBorders>
            <w:vAlign w:val="center"/>
          </w:tcPr>
          <w:p w14:paraId="4707C1E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0FA5C82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65FB695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7904EFC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7" w:type="dxa"/>
            <w:tcBorders>
              <w:top w:val="nil"/>
              <w:left w:val="nil"/>
              <w:bottom w:val="nil"/>
              <w:right w:val="nil"/>
            </w:tcBorders>
            <w:vAlign w:val="center"/>
          </w:tcPr>
          <w:p w14:paraId="4D7019A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c>
          <w:tcPr>
            <w:tcW w:w="1398" w:type="dxa"/>
            <w:tcBorders>
              <w:top w:val="nil"/>
              <w:left w:val="nil"/>
              <w:bottom w:val="nil"/>
              <w:right w:val="nil"/>
            </w:tcBorders>
            <w:vAlign w:val="center"/>
          </w:tcPr>
          <w:p w14:paraId="6094426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p>
        </w:tc>
      </w:tr>
      <w:tr w:rsidR="0064611C" w:rsidRPr="00F14751" w14:paraId="594707AF"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54A7B342"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Observations</w:t>
            </w:r>
          </w:p>
        </w:tc>
        <w:tc>
          <w:tcPr>
            <w:tcW w:w="1397" w:type="dxa"/>
            <w:tcBorders>
              <w:top w:val="nil"/>
              <w:left w:val="nil"/>
              <w:bottom w:val="nil"/>
              <w:right w:val="nil"/>
            </w:tcBorders>
            <w:vAlign w:val="center"/>
          </w:tcPr>
          <w:p w14:paraId="4094D28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285D5FE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213613F7"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32A8B0C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8" w:type="dxa"/>
            <w:tcBorders>
              <w:top w:val="nil"/>
              <w:left w:val="nil"/>
              <w:bottom w:val="nil"/>
              <w:right w:val="nil"/>
            </w:tcBorders>
            <w:vAlign w:val="center"/>
          </w:tcPr>
          <w:p w14:paraId="0C9308D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7FC77A5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22AE6CE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18956E7B"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7" w:type="dxa"/>
            <w:tcBorders>
              <w:top w:val="nil"/>
              <w:left w:val="nil"/>
              <w:bottom w:val="nil"/>
              <w:right w:val="nil"/>
            </w:tcBorders>
            <w:vAlign w:val="center"/>
          </w:tcPr>
          <w:p w14:paraId="37BC28DF"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c>
          <w:tcPr>
            <w:tcW w:w="1398" w:type="dxa"/>
            <w:tcBorders>
              <w:top w:val="nil"/>
              <w:left w:val="nil"/>
              <w:bottom w:val="nil"/>
              <w:right w:val="nil"/>
            </w:tcBorders>
            <w:vAlign w:val="center"/>
          </w:tcPr>
          <w:p w14:paraId="4878B1BA"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75</w:t>
            </w:r>
          </w:p>
        </w:tc>
      </w:tr>
      <w:tr w:rsidR="0064611C" w:rsidRPr="00F14751" w14:paraId="3F3F282E"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14FE999F"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R-squared</w:t>
            </w:r>
          </w:p>
        </w:tc>
        <w:tc>
          <w:tcPr>
            <w:tcW w:w="1397" w:type="dxa"/>
            <w:tcBorders>
              <w:top w:val="nil"/>
              <w:left w:val="nil"/>
              <w:bottom w:val="nil"/>
              <w:right w:val="nil"/>
            </w:tcBorders>
            <w:vAlign w:val="center"/>
          </w:tcPr>
          <w:p w14:paraId="0658227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0.821</w:t>
            </w:r>
          </w:p>
        </w:tc>
        <w:tc>
          <w:tcPr>
            <w:tcW w:w="1397" w:type="dxa"/>
            <w:tcBorders>
              <w:top w:val="nil"/>
              <w:left w:val="nil"/>
              <w:bottom w:val="nil"/>
              <w:right w:val="nil"/>
            </w:tcBorders>
            <w:vAlign w:val="center"/>
          </w:tcPr>
          <w:p w14:paraId="7E2EB71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0.800</w:t>
            </w:r>
          </w:p>
        </w:tc>
        <w:tc>
          <w:tcPr>
            <w:tcW w:w="1397" w:type="dxa"/>
            <w:tcBorders>
              <w:top w:val="nil"/>
              <w:left w:val="nil"/>
              <w:bottom w:val="nil"/>
              <w:right w:val="nil"/>
            </w:tcBorders>
            <w:vAlign w:val="center"/>
          </w:tcPr>
          <w:p w14:paraId="613316B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0.835</w:t>
            </w:r>
          </w:p>
        </w:tc>
        <w:tc>
          <w:tcPr>
            <w:tcW w:w="1397" w:type="dxa"/>
            <w:tcBorders>
              <w:top w:val="nil"/>
              <w:left w:val="nil"/>
              <w:bottom w:val="nil"/>
              <w:right w:val="nil"/>
            </w:tcBorders>
            <w:vAlign w:val="center"/>
          </w:tcPr>
          <w:p w14:paraId="7FFA719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0.813</w:t>
            </w:r>
          </w:p>
        </w:tc>
        <w:tc>
          <w:tcPr>
            <w:tcW w:w="1398" w:type="dxa"/>
            <w:tcBorders>
              <w:top w:val="nil"/>
              <w:left w:val="nil"/>
              <w:bottom w:val="nil"/>
              <w:right w:val="nil"/>
            </w:tcBorders>
            <w:vAlign w:val="center"/>
          </w:tcPr>
          <w:p w14:paraId="45E5BB2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0.864</w:t>
            </w:r>
          </w:p>
        </w:tc>
        <w:tc>
          <w:tcPr>
            <w:tcW w:w="1397" w:type="dxa"/>
            <w:tcBorders>
              <w:top w:val="nil"/>
              <w:left w:val="nil"/>
              <w:bottom w:val="nil"/>
              <w:right w:val="nil"/>
            </w:tcBorders>
            <w:vAlign w:val="center"/>
          </w:tcPr>
          <w:p w14:paraId="194896D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0.856</w:t>
            </w:r>
          </w:p>
        </w:tc>
        <w:tc>
          <w:tcPr>
            <w:tcW w:w="1397" w:type="dxa"/>
            <w:tcBorders>
              <w:top w:val="nil"/>
              <w:left w:val="nil"/>
              <w:bottom w:val="nil"/>
              <w:right w:val="nil"/>
            </w:tcBorders>
            <w:vAlign w:val="center"/>
          </w:tcPr>
          <w:p w14:paraId="10D066C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0.729</w:t>
            </w:r>
          </w:p>
        </w:tc>
        <w:tc>
          <w:tcPr>
            <w:tcW w:w="1397" w:type="dxa"/>
            <w:tcBorders>
              <w:top w:val="nil"/>
              <w:left w:val="nil"/>
              <w:bottom w:val="nil"/>
              <w:right w:val="nil"/>
            </w:tcBorders>
            <w:vAlign w:val="center"/>
          </w:tcPr>
          <w:p w14:paraId="260335D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0.670</w:t>
            </w:r>
          </w:p>
        </w:tc>
        <w:tc>
          <w:tcPr>
            <w:tcW w:w="1397" w:type="dxa"/>
            <w:tcBorders>
              <w:top w:val="nil"/>
              <w:left w:val="nil"/>
              <w:bottom w:val="nil"/>
              <w:right w:val="nil"/>
            </w:tcBorders>
            <w:vAlign w:val="center"/>
          </w:tcPr>
          <w:p w14:paraId="6434206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0.785</w:t>
            </w:r>
          </w:p>
        </w:tc>
        <w:tc>
          <w:tcPr>
            <w:tcW w:w="1398" w:type="dxa"/>
            <w:tcBorders>
              <w:top w:val="nil"/>
              <w:left w:val="nil"/>
              <w:bottom w:val="nil"/>
              <w:right w:val="nil"/>
            </w:tcBorders>
            <w:vAlign w:val="center"/>
          </w:tcPr>
          <w:p w14:paraId="3ECC50A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0.830</w:t>
            </w:r>
          </w:p>
        </w:tc>
      </w:tr>
      <w:tr w:rsidR="0064611C" w:rsidRPr="00F14751" w14:paraId="72A7A727" w14:textId="77777777" w:rsidTr="006B126F">
        <w:tblPrEx>
          <w:tblBorders>
            <w:bottom w:val="single" w:sz="6" w:space="0" w:color="auto"/>
          </w:tblBorders>
        </w:tblPrEx>
        <w:trPr>
          <w:jc w:val="center"/>
        </w:trPr>
        <w:tc>
          <w:tcPr>
            <w:tcW w:w="1671" w:type="dxa"/>
            <w:tcBorders>
              <w:top w:val="nil"/>
              <w:left w:val="nil"/>
              <w:bottom w:val="nil"/>
              <w:right w:val="nil"/>
            </w:tcBorders>
            <w:vAlign w:val="center"/>
          </w:tcPr>
          <w:p w14:paraId="74F53CCE" w14:textId="77777777" w:rsidR="0064611C" w:rsidRPr="00F14751" w:rsidRDefault="00D3672E"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Number of C</w:t>
            </w:r>
            <w:r w:rsidR="0064611C" w:rsidRPr="00F14751">
              <w:rPr>
                <w:rFonts w:ascii="Times New Roman" w:hAnsi="Times New Roman" w:cs="Times New Roman"/>
                <w:sz w:val="16"/>
                <w:szCs w:val="16"/>
              </w:rPr>
              <w:t>ountries</w:t>
            </w:r>
          </w:p>
        </w:tc>
        <w:tc>
          <w:tcPr>
            <w:tcW w:w="1397" w:type="dxa"/>
            <w:tcBorders>
              <w:top w:val="nil"/>
              <w:left w:val="nil"/>
              <w:bottom w:val="nil"/>
              <w:right w:val="nil"/>
            </w:tcBorders>
            <w:vAlign w:val="center"/>
          </w:tcPr>
          <w:p w14:paraId="7F2AB1B4"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23F044C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538C0A1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3E6B24B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8" w:type="dxa"/>
            <w:tcBorders>
              <w:top w:val="nil"/>
              <w:left w:val="nil"/>
              <w:bottom w:val="nil"/>
              <w:right w:val="nil"/>
            </w:tcBorders>
            <w:vAlign w:val="center"/>
          </w:tcPr>
          <w:p w14:paraId="2F6C4198"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671D3823"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66FF815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7311AC49"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7" w:type="dxa"/>
            <w:tcBorders>
              <w:top w:val="nil"/>
              <w:left w:val="nil"/>
              <w:bottom w:val="nil"/>
              <w:right w:val="nil"/>
            </w:tcBorders>
            <w:vAlign w:val="center"/>
          </w:tcPr>
          <w:p w14:paraId="080B69E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c>
          <w:tcPr>
            <w:tcW w:w="1398" w:type="dxa"/>
            <w:tcBorders>
              <w:top w:val="nil"/>
              <w:left w:val="nil"/>
              <w:bottom w:val="nil"/>
              <w:right w:val="nil"/>
            </w:tcBorders>
            <w:vAlign w:val="center"/>
          </w:tcPr>
          <w:p w14:paraId="38E98BD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5</w:t>
            </w:r>
          </w:p>
        </w:tc>
      </w:tr>
      <w:tr w:rsidR="0064611C" w:rsidRPr="00F14751" w14:paraId="5C7A372E" w14:textId="77777777" w:rsidTr="006B126F">
        <w:tblPrEx>
          <w:tblBorders>
            <w:bottom w:val="single" w:sz="6" w:space="0" w:color="auto"/>
          </w:tblBorders>
        </w:tblPrEx>
        <w:trPr>
          <w:jc w:val="center"/>
        </w:trPr>
        <w:tc>
          <w:tcPr>
            <w:tcW w:w="1671" w:type="dxa"/>
            <w:tcBorders>
              <w:top w:val="nil"/>
              <w:left w:val="nil"/>
              <w:bottom w:val="single" w:sz="4" w:space="0" w:color="auto"/>
              <w:right w:val="nil"/>
            </w:tcBorders>
            <w:vAlign w:val="center"/>
          </w:tcPr>
          <w:p w14:paraId="24C46567" w14:textId="77777777" w:rsidR="0064611C" w:rsidRPr="00F14751" w:rsidRDefault="0064611C" w:rsidP="006B126F">
            <w:pPr>
              <w:widowControl w:val="0"/>
              <w:autoSpaceDE w:val="0"/>
              <w:autoSpaceDN w:val="0"/>
              <w:adjustRightInd w:val="0"/>
              <w:spacing w:after="0" w:line="240" w:lineRule="auto"/>
              <w:rPr>
                <w:rFonts w:ascii="Times New Roman" w:hAnsi="Times New Roman" w:cs="Times New Roman"/>
                <w:sz w:val="16"/>
                <w:szCs w:val="16"/>
              </w:rPr>
            </w:pPr>
            <w:r w:rsidRPr="00F14751">
              <w:rPr>
                <w:rFonts w:ascii="Times New Roman" w:hAnsi="Times New Roman" w:cs="Times New Roman"/>
                <w:sz w:val="16"/>
                <w:szCs w:val="16"/>
              </w:rPr>
              <w:t>Robust SE</w:t>
            </w:r>
          </w:p>
        </w:tc>
        <w:tc>
          <w:tcPr>
            <w:tcW w:w="1397" w:type="dxa"/>
            <w:tcBorders>
              <w:top w:val="nil"/>
              <w:left w:val="nil"/>
              <w:bottom w:val="single" w:sz="4" w:space="0" w:color="auto"/>
              <w:right w:val="nil"/>
            </w:tcBorders>
            <w:vAlign w:val="center"/>
          </w:tcPr>
          <w:p w14:paraId="1D72D8F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59FB411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16FC1D3E"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60FA94DC"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8" w:type="dxa"/>
            <w:tcBorders>
              <w:top w:val="nil"/>
              <w:left w:val="nil"/>
              <w:bottom w:val="single" w:sz="4" w:space="0" w:color="auto"/>
              <w:right w:val="nil"/>
            </w:tcBorders>
            <w:vAlign w:val="center"/>
          </w:tcPr>
          <w:p w14:paraId="082DA4C0"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5A1611A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1BAFD41D"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436928F6"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7" w:type="dxa"/>
            <w:tcBorders>
              <w:top w:val="nil"/>
              <w:left w:val="nil"/>
              <w:bottom w:val="single" w:sz="4" w:space="0" w:color="auto"/>
              <w:right w:val="nil"/>
            </w:tcBorders>
            <w:vAlign w:val="center"/>
          </w:tcPr>
          <w:p w14:paraId="345549B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c>
          <w:tcPr>
            <w:tcW w:w="1398" w:type="dxa"/>
            <w:tcBorders>
              <w:top w:val="nil"/>
              <w:left w:val="nil"/>
              <w:bottom w:val="single" w:sz="4" w:space="0" w:color="auto"/>
              <w:right w:val="nil"/>
            </w:tcBorders>
            <w:vAlign w:val="center"/>
          </w:tcPr>
          <w:p w14:paraId="46F913D2"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Yes</w:t>
            </w:r>
          </w:p>
        </w:tc>
      </w:tr>
    </w:tbl>
    <w:p w14:paraId="57A3BC05"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pPr>
      <w:r w:rsidRPr="00F14751">
        <w:rPr>
          <w:rFonts w:ascii="Times New Roman" w:hAnsi="Times New Roman" w:cs="Times New Roman"/>
          <w:sz w:val="16"/>
          <w:szCs w:val="16"/>
        </w:rPr>
        <w:t>Robust standard errors in parentheses</w:t>
      </w:r>
    </w:p>
    <w:p w14:paraId="3F7103A1" w14:textId="77777777" w:rsidR="0064611C" w:rsidRPr="00F14751" w:rsidRDefault="0064611C" w:rsidP="006B126F">
      <w:pPr>
        <w:widowControl w:val="0"/>
        <w:autoSpaceDE w:val="0"/>
        <w:autoSpaceDN w:val="0"/>
        <w:adjustRightInd w:val="0"/>
        <w:spacing w:after="0" w:line="240" w:lineRule="auto"/>
        <w:jc w:val="center"/>
        <w:rPr>
          <w:rFonts w:ascii="Times New Roman" w:hAnsi="Times New Roman" w:cs="Times New Roman"/>
          <w:sz w:val="16"/>
          <w:szCs w:val="16"/>
        </w:rPr>
        <w:sectPr w:rsidR="0064611C" w:rsidRPr="00F14751" w:rsidSect="0054568F">
          <w:pgSz w:w="15840" w:h="12240" w:orient="landscape"/>
          <w:pgMar w:top="1440" w:right="1440" w:bottom="1440" w:left="1440" w:header="708" w:footer="708" w:gutter="0"/>
          <w:cols w:space="708"/>
          <w:docGrid w:linePitch="360"/>
        </w:sectPr>
      </w:pPr>
      <w:r w:rsidRPr="00F14751">
        <w:rPr>
          <w:rFonts w:ascii="Times New Roman" w:hAnsi="Times New Roman" w:cs="Times New Roman"/>
          <w:sz w:val="16"/>
          <w:szCs w:val="16"/>
        </w:rPr>
        <w:t xml:space="preserve">*** p&lt;0.01, ** </w:t>
      </w:r>
      <w:r w:rsidR="006C6271" w:rsidRPr="00F14751">
        <w:rPr>
          <w:rFonts w:ascii="Times New Roman" w:hAnsi="Times New Roman" w:cs="Times New Roman"/>
          <w:sz w:val="16"/>
          <w:szCs w:val="16"/>
        </w:rPr>
        <w:t>p&lt;0.05, * p&lt;0.1</w:t>
      </w:r>
    </w:p>
    <w:p w14:paraId="6DA4FBF8" w14:textId="77777777" w:rsidR="00DE1107" w:rsidRPr="00F14751" w:rsidRDefault="00D00A4A" w:rsidP="00C8508E">
      <w:pPr>
        <w:pStyle w:val="NoSpacing"/>
        <w:spacing w:line="360" w:lineRule="auto"/>
        <w:jc w:val="both"/>
        <w:rPr>
          <w:rFonts w:asciiTheme="majorHAnsi" w:hAnsiTheme="majorHAnsi"/>
          <w:b/>
          <w:sz w:val="28"/>
          <w:szCs w:val="24"/>
        </w:rPr>
      </w:pPr>
      <w:r w:rsidRPr="00F14751">
        <w:rPr>
          <w:rFonts w:asciiTheme="majorHAnsi" w:hAnsiTheme="majorHAnsi"/>
          <w:b/>
          <w:sz w:val="28"/>
          <w:szCs w:val="24"/>
        </w:rPr>
        <w:t>7. Conclusion</w:t>
      </w:r>
    </w:p>
    <w:p w14:paraId="6D635A0B" w14:textId="77777777" w:rsidR="00D00A4A" w:rsidRPr="00F14751" w:rsidRDefault="00D00A4A" w:rsidP="00C8508E">
      <w:pPr>
        <w:pStyle w:val="NoSpacing"/>
        <w:spacing w:line="360" w:lineRule="auto"/>
        <w:jc w:val="both"/>
        <w:rPr>
          <w:rFonts w:asciiTheme="majorHAnsi" w:hAnsiTheme="majorHAnsi"/>
          <w:b/>
          <w:sz w:val="24"/>
          <w:szCs w:val="24"/>
        </w:rPr>
      </w:pPr>
    </w:p>
    <w:p w14:paraId="17824911" w14:textId="1749497B" w:rsidR="00E63ABA" w:rsidRDefault="00D00A4A" w:rsidP="00C8508E">
      <w:pPr>
        <w:pStyle w:val="NoSpacing"/>
        <w:spacing w:line="360" w:lineRule="auto"/>
        <w:jc w:val="both"/>
        <w:rPr>
          <w:rFonts w:asciiTheme="majorHAnsi" w:hAnsiTheme="majorHAnsi"/>
          <w:sz w:val="24"/>
          <w:szCs w:val="24"/>
        </w:rPr>
      </w:pPr>
      <w:r w:rsidRPr="00F14751">
        <w:rPr>
          <w:rFonts w:asciiTheme="majorHAnsi" w:hAnsiTheme="majorHAnsi"/>
          <w:sz w:val="24"/>
          <w:szCs w:val="24"/>
        </w:rPr>
        <w:t xml:space="preserve">This </w:t>
      </w:r>
      <w:r w:rsidR="00426F80">
        <w:rPr>
          <w:rFonts w:asciiTheme="majorHAnsi" w:hAnsiTheme="majorHAnsi"/>
          <w:sz w:val="24"/>
          <w:szCs w:val="24"/>
        </w:rPr>
        <w:t>study examines empirically</w:t>
      </w:r>
      <w:r w:rsidR="0044145E" w:rsidRPr="00F14751">
        <w:rPr>
          <w:rFonts w:asciiTheme="majorHAnsi" w:hAnsiTheme="majorHAnsi"/>
          <w:sz w:val="24"/>
          <w:szCs w:val="24"/>
        </w:rPr>
        <w:t xml:space="preserve"> the relationship between structural reforms and poverty and inequality </w:t>
      </w:r>
      <w:r w:rsidR="001A36BC" w:rsidRPr="00F14751">
        <w:rPr>
          <w:rFonts w:asciiTheme="majorHAnsi" w:hAnsiTheme="majorHAnsi"/>
          <w:sz w:val="24"/>
          <w:szCs w:val="24"/>
        </w:rPr>
        <w:t xml:space="preserve">for 13 Latin American countries </w:t>
      </w:r>
      <w:r w:rsidR="0044145E" w:rsidRPr="00F14751">
        <w:rPr>
          <w:rFonts w:asciiTheme="majorHAnsi" w:hAnsiTheme="majorHAnsi"/>
          <w:sz w:val="24"/>
          <w:szCs w:val="24"/>
        </w:rPr>
        <w:t>in the period 1985</w:t>
      </w:r>
      <w:r w:rsidR="009F6C47" w:rsidRPr="00F14751">
        <w:rPr>
          <w:rFonts w:asciiTheme="majorHAnsi" w:hAnsiTheme="majorHAnsi"/>
          <w:sz w:val="24"/>
          <w:szCs w:val="24"/>
        </w:rPr>
        <w:t>-</w:t>
      </w:r>
      <w:r w:rsidR="0044145E" w:rsidRPr="00F14751">
        <w:rPr>
          <w:rFonts w:asciiTheme="majorHAnsi" w:hAnsiTheme="majorHAnsi"/>
          <w:sz w:val="24"/>
          <w:szCs w:val="24"/>
        </w:rPr>
        <w:t xml:space="preserve">2010. Thereby, it </w:t>
      </w:r>
      <w:r w:rsidR="007E41E2">
        <w:rPr>
          <w:rFonts w:asciiTheme="majorHAnsi" w:hAnsiTheme="majorHAnsi"/>
          <w:sz w:val="24"/>
          <w:szCs w:val="24"/>
        </w:rPr>
        <w:t xml:space="preserve">does </w:t>
      </w:r>
      <w:r w:rsidR="0044145E" w:rsidRPr="00F14751">
        <w:rPr>
          <w:rFonts w:asciiTheme="majorHAnsi" w:hAnsiTheme="majorHAnsi"/>
          <w:sz w:val="24"/>
          <w:szCs w:val="24"/>
        </w:rPr>
        <w:t xml:space="preserve">not </w:t>
      </w:r>
      <w:r w:rsidR="002E4734" w:rsidRPr="00F14751">
        <w:rPr>
          <w:rFonts w:asciiTheme="majorHAnsi" w:hAnsiTheme="majorHAnsi"/>
          <w:sz w:val="24"/>
          <w:szCs w:val="24"/>
        </w:rPr>
        <w:t xml:space="preserve">only </w:t>
      </w:r>
      <w:r w:rsidR="00D3672E" w:rsidRPr="00F14751">
        <w:rPr>
          <w:rFonts w:asciiTheme="majorHAnsi" w:hAnsiTheme="majorHAnsi"/>
          <w:sz w:val="24"/>
          <w:szCs w:val="24"/>
        </w:rPr>
        <w:t>examine</w:t>
      </w:r>
      <w:r w:rsidR="0044145E" w:rsidRPr="00F14751">
        <w:rPr>
          <w:rFonts w:asciiTheme="majorHAnsi" w:hAnsiTheme="majorHAnsi"/>
          <w:sz w:val="24"/>
          <w:szCs w:val="24"/>
        </w:rPr>
        <w:t xml:space="preserve"> </w:t>
      </w:r>
      <w:r w:rsidR="002E4734" w:rsidRPr="00F14751">
        <w:rPr>
          <w:rFonts w:asciiTheme="majorHAnsi" w:hAnsiTheme="majorHAnsi"/>
          <w:sz w:val="24"/>
          <w:szCs w:val="24"/>
        </w:rPr>
        <w:t xml:space="preserve">the general </w:t>
      </w:r>
      <w:r w:rsidR="00D3672E" w:rsidRPr="00F14751">
        <w:rPr>
          <w:rFonts w:asciiTheme="majorHAnsi" w:hAnsiTheme="majorHAnsi"/>
          <w:sz w:val="24"/>
          <w:szCs w:val="24"/>
        </w:rPr>
        <w:t>effect</w:t>
      </w:r>
      <w:r w:rsidR="002E4734" w:rsidRPr="00F14751">
        <w:rPr>
          <w:rFonts w:asciiTheme="majorHAnsi" w:hAnsiTheme="majorHAnsi"/>
          <w:sz w:val="24"/>
          <w:szCs w:val="24"/>
        </w:rPr>
        <w:t>s</w:t>
      </w:r>
      <w:r w:rsidR="00D3672E" w:rsidRPr="00F14751">
        <w:rPr>
          <w:rFonts w:asciiTheme="majorHAnsi" w:hAnsiTheme="majorHAnsi"/>
          <w:sz w:val="24"/>
          <w:szCs w:val="24"/>
        </w:rPr>
        <w:t xml:space="preserve"> of </w:t>
      </w:r>
      <w:r w:rsidR="0044145E" w:rsidRPr="00F14751">
        <w:rPr>
          <w:rFonts w:asciiTheme="majorHAnsi" w:hAnsiTheme="majorHAnsi"/>
          <w:sz w:val="24"/>
          <w:szCs w:val="24"/>
        </w:rPr>
        <w:t xml:space="preserve">the structural reforms, but also </w:t>
      </w:r>
      <w:r w:rsidR="00D3672E" w:rsidRPr="00F14751">
        <w:rPr>
          <w:rFonts w:asciiTheme="majorHAnsi" w:hAnsiTheme="majorHAnsi"/>
          <w:sz w:val="24"/>
          <w:szCs w:val="24"/>
        </w:rPr>
        <w:t>evaluates</w:t>
      </w:r>
      <w:r w:rsidR="0044145E" w:rsidRPr="00F14751">
        <w:rPr>
          <w:rFonts w:asciiTheme="majorHAnsi" w:hAnsiTheme="majorHAnsi"/>
          <w:sz w:val="24"/>
          <w:szCs w:val="24"/>
        </w:rPr>
        <w:t xml:space="preserve"> the effect</w:t>
      </w:r>
      <w:r w:rsidR="00D3672E" w:rsidRPr="00F14751">
        <w:rPr>
          <w:rFonts w:asciiTheme="majorHAnsi" w:hAnsiTheme="majorHAnsi"/>
          <w:sz w:val="24"/>
          <w:szCs w:val="24"/>
        </w:rPr>
        <w:t>s</w:t>
      </w:r>
      <w:r w:rsidR="0044145E" w:rsidRPr="00F14751">
        <w:rPr>
          <w:rFonts w:asciiTheme="majorHAnsi" w:hAnsiTheme="majorHAnsi"/>
          <w:sz w:val="24"/>
          <w:szCs w:val="24"/>
        </w:rPr>
        <w:t xml:space="preserve"> </w:t>
      </w:r>
      <w:r w:rsidR="00572DEB" w:rsidRPr="00F14751">
        <w:rPr>
          <w:rFonts w:asciiTheme="majorHAnsi" w:hAnsiTheme="majorHAnsi"/>
          <w:sz w:val="24"/>
          <w:szCs w:val="24"/>
        </w:rPr>
        <w:t>of</w:t>
      </w:r>
      <w:r w:rsidR="0044145E" w:rsidRPr="00F14751">
        <w:rPr>
          <w:rFonts w:asciiTheme="majorHAnsi" w:hAnsiTheme="majorHAnsi"/>
          <w:sz w:val="24"/>
          <w:szCs w:val="24"/>
        </w:rPr>
        <w:t xml:space="preserve"> each individual reform area</w:t>
      </w:r>
      <w:r w:rsidR="00572DEB" w:rsidRPr="00F14751">
        <w:rPr>
          <w:rFonts w:asciiTheme="majorHAnsi" w:hAnsiTheme="majorHAnsi"/>
          <w:sz w:val="24"/>
          <w:szCs w:val="24"/>
        </w:rPr>
        <w:t xml:space="preserve"> on poverty and inequality</w:t>
      </w:r>
      <w:r w:rsidR="0044145E" w:rsidRPr="00F14751">
        <w:rPr>
          <w:rFonts w:asciiTheme="majorHAnsi" w:hAnsiTheme="majorHAnsi"/>
          <w:sz w:val="24"/>
          <w:szCs w:val="24"/>
        </w:rPr>
        <w:t>.</w:t>
      </w:r>
      <w:r w:rsidR="00E63ABA" w:rsidRPr="00F14751">
        <w:rPr>
          <w:rFonts w:asciiTheme="majorHAnsi" w:hAnsiTheme="majorHAnsi"/>
          <w:sz w:val="24"/>
          <w:szCs w:val="24"/>
        </w:rPr>
        <w:t xml:space="preserve"> In addition, </w:t>
      </w:r>
      <w:r w:rsidR="00881A90">
        <w:rPr>
          <w:rFonts w:asciiTheme="majorHAnsi" w:hAnsiTheme="majorHAnsi"/>
          <w:sz w:val="24"/>
          <w:szCs w:val="24"/>
        </w:rPr>
        <w:t xml:space="preserve">it includes a new measure of poverty. </w:t>
      </w:r>
      <w:r w:rsidR="0049681A">
        <w:rPr>
          <w:rFonts w:asciiTheme="majorHAnsi" w:hAnsiTheme="majorHAnsi"/>
          <w:sz w:val="24"/>
          <w:szCs w:val="24"/>
        </w:rPr>
        <w:t>Also</w:t>
      </w:r>
      <w:r w:rsidR="00881A90">
        <w:rPr>
          <w:rFonts w:asciiTheme="majorHAnsi" w:hAnsiTheme="majorHAnsi"/>
          <w:sz w:val="24"/>
          <w:szCs w:val="24"/>
        </w:rPr>
        <w:t xml:space="preserve">, it does not only </w:t>
      </w:r>
      <w:r w:rsidR="00881A90" w:rsidRPr="00F14751">
        <w:rPr>
          <w:rFonts w:asciiTheme="majorHAnsi" w:hAnsiTheme="majorHAnsi"/>
          <w:sz w:val="24"/>
        </w:rPr>
        <w:t xml:space="preserve">evaluate the impact on inequality by looking at changes </w:t>
      </w:r>
      <w:r w:rsidR="00881A90">
        <w:rPr>
          <w:rFonts w:asciiTheme="majorHAnsi" w:hAnsiTheme="majorHAnsi"/>
          <w:sz w:val="24"/>
        </w:rPr>
        <w:t xml:space="preserve">in </w:t>
      </w:r>
      <w:r w:rsidR="00881A90" w:rsidRPr="00F14751">
        <w:rPr>
          <w:rFonts w:asciiTheme="majorHAnsi" w:hAnsiTheme="majorHAnsi"/>
          <w:sz w:val="24"/>
        </w:rPr>
        <w:t xml:space="preserve">the Gini coefficient, but also at changes </w:t>
      </w:r>
      <w:r w:rsidR="00881A90">
        <w:rPr>
          <w:rFonts w:asciiTheme="majorHAnsi" w:hAnsiTheme="majorHAnsi"/>
          <w:sz w:val="24"/>
        </w:rPr>
        <w:t>in</w:t>
      </w:r>
      <w:r w:rsidR="00881A90" w:rsidRPr="00F14751">
        <w:rPr>
          <w:rFonts w:asciiTheme="majorHAnsi" w:hAnsiTheme="majorHAnsi"/>
          <w:sz w:val="24"/>
        </w:rPr>
        <w:t xml:space="preserve"> income held by deciles and quintiles.</w:t>
      </w:r>
      <w:r w:rsidR="000E2E13">
        <w:rPr>
          <w:rFonts w:asciiTheme="majorHAnsi" w:hAnsiTheme="majorHAnsi"/>
          <w:sz w:val="24"/>
        </w:rPr>
        <w:t xml:space="preserve"> </w:t>
      </w:r>
      <w:r w:rsidR="00881A90">
        <w:rPr>
          <w:rFonts w:asciiTheme="majorHAnsi" w:hAnsiTheme="majorHAnsi"/>
          <w:sz w:val="24"/>
          <w:szCs w:val="24"/>
        </w:rPr>
        <w:t xml:space="preserve">Furthermore, </w:t>
      </w:r>
      <w:r w:rsidR="00E63ABA" w:rsidRPr="00F14751">
        <w:rPr>
          <w:rFonts w:asciiTheme="majorHAnsi" w:hAnsiTheme="majorHAnsi"/>
          <w:sz w:val="24"/>
          <w:szCs w:val="24"/>
        </w:rPr>
        <w:t xml:space="preserve">it makes a distinction </w:t>
      </w:r>
      <w:r w:rsidR="009F6C47" w:rsidRPr="00F14751">
        <w:rPr>
          <w:rFonts w:asciiTheme="majorHAnsi" w:hAnsiTheme="majorHAnsi"/>
          <w:sz w:val="24"/>
          <w:szCs w:val="24"/>
        </w:rPr>
        <w:t xml:space="preserve">between high poverty and high inequality countries, and low poverty and low inequality countries. </w:t>
      </w:r>
    </w:p>
    <w:p w14:paraId="7C39C865" w14:textId="3376C746" w:rsidR="003B13F0" w:rsidRDefault="000F7798" w:rsidP="00C8508E">
      <w:pPr>
        <w:pStyle w:val="NoSpacing"/>
        <w:spacing w:line="360" w:lineRule="auto"/>
        <w:jc w:val="both"/>
        <w:rPr>
          <w:rFonts w:asciiTheme="majorHAnsi" w:hAnsiTheme="majorHAnsi"/>
          <w:sz w:val="24"/>
          <w:szCs w:val="24"/>
        </w:rPr>
      </w:pPr>
      <w:r>
        <w:rPr>
          <w:rFonts w:asciiTheme="majorHAnsi" w:hAnsiTheme="majorHAnsi"/>
          <w:sz w:val="24"/>
          <w:szCs w:val="24"/>
        </w:rPr>
        <w:tab/>
      </w:r>
      <w:r w:rsidR="00DE7944" w:rsidRPr="00F14751">
        <w:rPr>
          <w:rFonts w:asciiTheme="majorHAnsi" w:hAnsiTheme="majorHAnsi"/>
          <w:sz w:val="24"/>
          <w:szCs w:val="24"/>
        </w:rPr>
        <w:t xml:space="preserve">In sum, the estimation results show that </w:t>
      </w:r>
      <w:r w:rsidR="003B13F0">
        <w:rPr>
          <w:rFonts w:asciiTheme="majorHAnsi" w:hAnsiTheme="majorHAnsi"/>
          <w:sz w:val="24"/>
          <w:szCs w:val="24"/>
        </w:rPr>
        <w:t xml:space="preserve">the implementation of </w:t>
      </w:r>
      <w:r w:rsidR="00DE7944" w:rsidRPr="00F14751">
        <w:rPr>
          <w:rFonts w:asciiTheme="majorHAnsi" w:hAnsiTheme="majorHAnsi"/>
          <w:sz w:val="24"/>
          <w:szCs w:val="24"/>
        </w:rPr>
        <w:t>structural reform</w:t>
      </w:r>
      <w:r w:rsidR="003B13F0">
        <w:rPr>
          <w:rFonts w:asciiTheme="majorHAnsi" w:hAnsiTheme="majorHAnsi"/>
          <w:sz w:val="24"/>
          <w:szCs w:val="24"/>
        </w:rPr>
        <w:t>s in Latin America</w:t>
      </w:r>
      <w:r w:rsidR="00DE7944" w:rsidRPr="00F14751">
        <w:rPr>
          <w:rFonts w:asciiTheme="majorHAnsi" w:hAnsiTheme="majorHAnsi"/>
          <w:sz w:val="24"/>
          <w:szCs w:val="24"/>
        </w:rPr>
        <w:t>, in general, and</w:t>
      </w:r>
      <w:r w:rsidR="007C1F92" w:rsidRPr="00F14751">
        <w:rPr>
          <w:rFonts w:asciiTheme="majorHAnsi" w:hAnsiTheme="majorHAnsi"/>
          <w:sz w:val="24"/>
          <w:szCs w:val="24"/>
        </w:rPr>
        <w:t xml:space="preserve"> financial reforms and privatizations, in particular, have increased both the extent and depth of poverty. The other reform areas had no effect on poverty. </w:t>
      </w:r>
      <w:r w:rsidR="003B13F0">
        <w:rPr>
          <w:rFonts w:asciiTheme="majorHAnsi" w:hAnsiTheme="majorHAnsi"/>
          <w:sz w:val="24"/>
          <w:szCs w:val="24"/>
        </w:rPr>
        <w:t xml:space="preserve">With respect to inequality, the different reform areas had different and offsetting effects; </w:t>
      </w:r>
      <w:r w:rsidR="003B13F0" w:rsidRPr="00F14751">
        <w:rPr>
          <w:rFonts w:asciiTheme="majorHAnsi" w:hAnsiTheme="majorHAnsi"/>
          <w:sz w:val="24"/>
        </w:rPr>
        <w:t>financial and labor reforms increased inequality, while tax reforms and privatizations decreased</w:t>
      </w:r>
      <w:r w:rsidR="003B13F0">
        <w:rPr>
          <w:rFonts w:asciiTheme="majorHAnsi" w:hAnsiTheme="majorHAnsi"/>
          <w:sz w:val="24"/>
        </w:rPr>
        <w:t xml:space="preserve"> inequality. Trade reforms did</w:t>
      </w:r>
      <w:r w:rsidR="003B13F0" w:rsidRPr="00F14751">
        <w:rPr>
          <w:rFonts w:asciiTheme="majorHAnsi" w:hAnsiTheme="majorHAnsi"/>
          <w:sz w:val="24"/>
        </w:rPr>
        <w:t xml:space="preserve"> not have a significant effect on inequality.</w:t>
      </w:r>
      <w:r w:rsidR="003B13F0">
        <w:rPr>
          <w:rFonts w:asciiTheme="majorHAnsi" w:hAnsiTheme="majorHAnsi"/>
          <w:sz w:val="24"/>
        </w:rPr>
        <w:t xml:space="preserve"> As a result, structural reforms, in general, had no significant effect on inequality in Latin America in the period 1985-2010. </w:t>
      </w:r>
    </w:p>
    <w:p w14:paraId="4FC9C5DF" w14:textId="692D9282" w:rsidR="009F6C47" w:rsidRPr="00F14751" w:rsidRDefault="009F6C47" w:rsidP="00C8508E">
      <w:pPr>
        <w:pStyle w:val="NoSpacing"/>
        <w:spacing w:line="360" w:lineRule="auto"/>
        <w:jc w:val="both"/>
        <w:rPr>
          <w:rFonts w:asciiTheme="majorHAnsi" w:hAnsiTheme="majorHAnsi"/>
          <w:sz w:val="24"/>
        </w:rPr>
      </w:pPr>
      <w:r w:rsidRPr="00F14751">
        <w:rPr>
          <w:rFonts w:asciiTheme="majorHAnsi" w:hAnsiTheme="majorHAnsi"/>
          <w:sz w:val="24"/>
        </w:rPr>
        <w:tab/>
        <w:t xml:space="preserve">In high poverty and high inequality countries structural reforms, in general, do </w:t>
      </w:r>
      <w:r w:rsidR="002F3622" w:rsidRPr="00F14751">
        <w:rPr>
          <w:rFonts w:asciiTheme="majorHAnsi" w:hAnsiTheme="majorHAnsi"/>
          <w:sz w:val="24"/>
        </w:rPr>
        <w:t>not have had</w:t>
      </w:r>
      <w:r w:rsidRPr="00F14751">
        <w:rPr>
          <w:rFonts w:asciiTheme="majorHAnsi" w:hAnsiTheme="majorHAnsi"/>
          <w:sz w:val="24"/>
        </w:rPr>
        <w:t xml:space="preserve"> significant effect on poverty si</w:t>
      </w:r>
      <w:r w:rsidR="002F3622" w:rsidRPr="00F14751">
        <w:rPr>
          <w:rFonts w:asciiTheme="majorHAnsi" w:hAnsiTheme="majorHAnsi"/>
          <w:sz w:val="24"/>
        </w:rPr>
        <w:t>nce none of the reform areas had</w:t>
      </w:r>
      <w:r w:rsidRPr="00F14751">
        <w:rPr>
          <w:rFonts w:asciiTheme="majorHAnsi" w:hAnsiTheme="majorHAnsi"/>
          <w:sz w:val="24"/>
        </w:rPr>
        <w:t xml:space="preserve"> a significant effect. Regarding inequality, structural reforms, in general, and tax reforms</w:t>
      </w:r>
      <w:r w:rsidR="007C1F92" w:rsidRPr="00F14751">
        <w:rPr>
          <w:rFonts w:asciiTheme="majorHAnsi" w:hAnsiTheme="majorHAnsi"/>
          <w:sz w:val="24"/>
        </w:rPr>
        <w:t>,</w:t>
      </w:r>
      <w:r w:rsidRPr="00F14751">
        <w:rPr>
          <w:rFonts w:asciiTheme="majorHAnsi" w:hAnsiTheme="majorHAnsi"/>
          <w:sz w:val="24"/>
        </w:rPr>
        <w:t xml:space="preserve"> in particular, </w:t>
      </w:r>
      <w:r w:rsidR="0004078E" w:rsidRPr="00F14751">
        <w:rPr>
          <w:rFonts w:asciiTheme="majorHAnsi" w:hAnsiTheme="majorHAnsi"/>
          <w:sz w:val="24"/>
        </w:rPr>
        <w:t>increase</w:t>
      </w:r>
      <w:r w:rsidR="002F3622" w:rsidRPr="00F14751">
        <w:rPr>
          <w:rFonts w:asciiTheme="majorHAnsi" w:hAnsiTheme="majorHAnsi"/>
          <w:sz w:val="24"/>
        </w:rPr>
        <w:t>d</w:t>
      </w:r>
      <w:r w:rsidR="0004078E" w:rsidRPr="00F14751">
        <w:rPr>
          <w:rFonts w:asciiTheme="majorHAnsi" w:hAnsiTheme="majorHAnsi"/>
          <w:sz w:val="24"/>
        </w:rPr>
        <w:t xml:space="preserve"> the share of income held by poor and decrease</w:t>
      </w:r>
      <w:r w:rsidR="002F3622" w:rsidRPr="00F14751">
        <w:rPr>
          <w:rFonts w:asciiTheme="majorHAnsi" w:hAnsiTheme="majorHAnsi"/>
          <w:sz w:val="24"/>
        </w:rPr>
        <w:t>d</w:t>
      </w:r>
      <w:r w:rsidR="0004078E" w:rsidRPr="00F14751">
        <w:rPr>
          <w:rFonts w:asciiTheme="majorHAnsi" w:hAnsiTheme="majorHAnsi"/>
          <w:sz w:val="24"/>
        </w:rPr>
        <w:t xml:space="preserve"> the share of inc</w:t>
      </w:r>
      <w:r w:rsidR="007C1F92" w:rsidRPr="00F14751">
        <w:rPr>
          <w:rFonts w:asciiTheme="majorHAnsi" w:hAnsiTheme="majorHAnsi"/>
          <w:sz w:val="24"/>
        </w:rPr>
        <w:t>ome held by the rich in society</w:t>
      </w:r>
      <w:r w:rsidR="002F3622" w:rsidRPr="00F14751">
        <w:rPr>
          <w:rFonts w:asciiTheme="majorHAnsi" w:hAnsiTheme="majorHAnsi"/>
          <w:sz w:val="24"/>
        </w:rPr>
        <w:t>.</w:t>
      </w:r>
      <w:r w:rsidR="007A3245">
        <w:rPr>
          <w:rFonts w:asciiTheme="majorHAnsi" w:hAnsiTheme="majorHAnsi"/>
          <w:sz w:val="24"/>
        </w:rPr>
        <w:t xml:space="preserve"> </w:t>
      </w:r>
    </w:p>
    <w:p w14:paraId="324FD507" w14:textId="145A6CB5" w:rsidR="007934CC" w:rsidRDefault="0004078E" w:rsidP="007934CC">
      <w:pPr>
        <w:pStyle w:val="NoSpacing"/>
        <w:spacing w:line="360" w:lineRule="auto"/>
        <w:jc w:val="both"/>
        <w:rPr>
          <w:rFonts w:asciiTheme="majorHAnsi" w:hAnsiTheme="majorHAnsi"/>
          <w:sz w:val="24"/>
          <w:szCs w:val="24"/>
        </w:rPr>
      </w:pPr>
      <w:r w:rsidRPr="00F14751">
        <w:rPr>
          <w:rFonts w:asciiTheme="majorHAnsi" w:hAnsiTheme="majorHAnsi"/>
          <w:sz w:val="24"/>
        </w:rPr>
        <w:tab/>
        <w:t>In low poverty and low inequality countries structural reforms, in general,</w:t>
      </w:r>
      <w:r w:rsidR="007C1F92" w:rsidRPr="00F14751">
        <w:rPr>
          <w:rFonts w:asciiTheme="majorHAnsi" w:hAnsiTheme="majorHAnsi"/>
          <w:sz w:val="24"/>
        </w:rPr>
        <w:t xml:space="preserve"> and trade reforms, in particular,</w:t>
      </w:r>
      <w:r w:rsidRPr="00F14751">
        <w:rPr>
          <w:rFonts w:asciiTheme="majorHAnsi" w:hAnsiTheme="majorHAnsi"/>
          <w:sz w:val="24"/>
        </w:rPr>
        <w:t xml:space="preserve"> increase</w:t>
      </w:r>
      <w:r w:rsidR="002F3622" w:rsidRPr="00F14751">
        <w:rPr>
          <w:rFonts w:asciiTheme="majorHAnsi" w:hAnsiTheme="majorHAnsi"/>
          <w:sz w:val="24"/>
        </w:rPr>
        <w:t>d</w:t>
      </w:r>
      <w:r w:rsidRPr="00F14751">
        <w:rPr>
          <w:rFonts w:asciiTheme="majorHAnsi" w:hAnsiTheme="majorHAnsi"/>
          <w:sz w:val="24"/>
        </w:rPr>
        <w:t xml:space="preserve"> the depth of poverty. </w:t>
      </w:r>
      <w:r w:rsidRPr="00F14751">
        <w:rPr>
          <w:rFonts w:asciiTheme="majorHAnsi" w:hAnsiTheme="majorHAnsi"/>
          <w:sz w:val="24"/>
          <w:szCs w:val="24"/>
        </w:rPr>
        <w:t>With respect to inequality, structural reforms, in general</w:t>
      </w:r>
      <w:r w:rsidR="00793FA1">
        <w:rPr>
          <w:rFonts w:asciiTheme="majorHAnsi" w:hAnsiTheme="majorHAnsi"/>
          <w:sz w:val="24"/>
          <w:szCs w:val="24"/>
        </w:rPr>
        <w:t>,</w:t>
      </w:r>
      <w:r w:rsidRPr="00F14751">
        <w:rPr>
          <w:rFonts w:asciiTheme="majorHAnsi" w:hAnsiTheme="majorHAnsi"/>
          <w:sz w:val="24"/>
          <w:szCs w:val="24"/>
        </w:rPr>
        <w:t xml:space="preserve"> distribute</w:t>
      </w:r>
      <w:r w:rsidR="002F3622" w:rsidRPr="00F14751">
        <w:rPr>
          <w:rFonts w:asciiTheme="majorHAnsi" w:hAnsiTheme="majorHAnsi"/>
          <w:sz w:val="24"/>
          <w:szCs w:val="24"/>
        </w:rPr>
        <w:t>d</w:t>
      </w:r>
      <w:r w:rsidRPr="00F14751">
        <w:rPr>
          <w:rFonts w:asciiTheme="majorHAnsi" w:hAnsiTheme="majorHAnsi"/>
          <w:sz w:val="24"/>
          <w:szCs w:val="24"/>
        </w:rPr>
        <w:t xml:space="preserve"> income more equally among the population. This is mainly due to the fact that privatizations decrease</w:t>
      </w:r>
      <w:r w:rsidR="002F3622" w:rsidRPr="00F14751">
        <w:rPr>
          <w:rFonts w:asciiTheme="majorHAnsi" w:hAnsiTheme="majorHAnsi"/>
          <w:sz w:val="24"/>
          <w:szCs w:val="24"/>
        </w:rPr>
        <w:t xml:space="preserve">d </w:t>
      </w:r>
      <w:r w:rsidRPr="00F14751">
        <w:rPr>
          <w:rFonts w:asciiTheme="majorHAnsi" w:hAnsiTheme="majorHAnsi"/>
          <w:sz w:val="24"/>
          <w:szCs w:val="24"/>
        </w:rPr>
        <w:t>the share of income held by the rich and increase</w:t>
      </w:r>
      <w:r w:rsidR="002F3622" w:rsidRPr="00F14751">
        <w:rPr>
          <w:rFonts w:asciiTheme="majorHAnsi" w:hAnsiTheme="majorHAnsi"/>
          <w:sz w:val="24"/>
          <w:szCs w:val="24"/>
        </w:rPr>
        <w:t>d</w:t>
      </w:r>
      <w:r w:rsidRPr="00F14751">
        <w:rPr>
          <w:rFonts w:asciiTheme="majorHAnsi" w:hAnsiTheme="majorHAnsi"/>
          <w:sz w:val="24"/>
          <w:szCs w:val="24"/>
        </w:rPr>
        <w:t xml:space="preserve"> the share of income held by the rest of </w:t>
      </w:r>
      <w:r w:rsidR="007C1F92" w:rsidRPr="00F14751">
        <w:rPr>
          <w:rFonts w:asciiTheme="majorHAnsi" w:hAnsiTheme="majorHAnsi"/>
          <w:sz w:val="24"/>
          <w:szCs w:val="24"/>
        </w:rPr>
        <w:t>the population.</w:t>
      </w:r>
    </w:p>
    <w:p w14:paraId="4A360CA1" w14:textId="77777777" w:rsidR="00C55986" w:rsidRDefault="00793FA1" w:rsidP="00C55986">
      <w:pPr>
        <w:pStyle w:val="NoSpacing"/>
        <w:spacing w:line="360" w:lineRule="auto"/>
        <w:jc w:val="both"/>
        <w:rPr>
          <w:rFonts w:asciiTheme="majorHAnsi" w:hAnsiTheme="majorHAnsi"/>
          <w:sz w:val="24"/>
          <w:szCs w:val="24"/>
        </w:rPr>
      </w:pPr>
      <w:r>
        <w:rPr>
          <w:rFonts w:asciiTheme="majorHAnsi" w:hAnsiTheme="majorHAnsi"/>
          <w:sz w:val="24"/>
          <w:szCs w:val="24"/>
        </w:rPr>
        <w:tab/>
        <w:t xml:space="preserve">The results show that different reforms have different effects on poverty and inequality. </w:t>
      </w:r>
      <w:r w:rsidR="000F7798">
        <w:rPr>
          <w:rFonts w:asciiTheme="majorHAnsi" w:hAnsiTheme="majorHAnsi"/>
          <w:sz w:val="24"/>
          <w:szCs w:val="24"/>
        </w:rPr>
        <w:t xml:space="preserve">Their </w:t>
      </w:r>
      <w:r w:rsidR="008E4C2D">
        <w:rPr>
          <w:rFonts w:asciiTheme="majorHAnsi" w:hAnsiTheme="majorHAnsi"/>
          <w:sz w:val="24"/>
          <w:szCs w:val="24"/>
        </w:rPr>
        <w:t>impact</w:t>
      </w:r>
      <w:r w:rsidR="000F7798">
        <w:rPr>
          <w:rFonts w:asciiTheme="majorHAnsi" w:hAnsiTheme="majorHAnsi"/>
          <w:sz w:val="24"/>
          <w:szCs w:val="24"/>
        </w:rPr>
        <w:t xml:space="preserve"> depends largely on the type of c</w:t>
      </w:r>
      <w:r w:rsidR="009F704B">
        <w:rPr>
          <w:rFonts w:asciiTheme="majorHAnsi" w:hAnsiTheme="majorHAnsi"/>
          <w:sz w:val="24"/>
          <w:szCs w:val="24"/>
        </w:rPr>
        <w:t>ountry in which they are implemented</w:t>
      </w:r>
      <w:r w:rsidR="000F7798">
        <w:rPr>
          <w:rFonts w:asciiTheme="majorHAnsi" w:hAnsiTheme="majorHAnsi"/>
          <w:sz w:val="24"/>
          <w:szCs w:val="24"/>
        </w:rPr>
        <w:t xml:space="preserve">. In general, the result suggests that structural reforms have worsened poverty. However, the results also suggest </w:t>
      </w:r>
      <w:r w:rsidR="008E4C2D">
        <w:rPr>
          <w:rFonts w:asciiTheme="majorHAnsi" w:hAnsiTheme="majorHAnsi"/>
          <w:sz w:val="24"/>
          <w:szCs w:val="24"/>
        </w:rPr>
        <w:t>that tax reforms and privatizations have reduced inequality in high poverty and high inequality, and low poverty and low inequality countries, respectively.</w:t>
      </w:r>
      <w:r w:rsidR="009F704B">
        <w:rPr>
          <w:rFonts w:asciiTheme="majorHAnsi" w:hAnsiTheme="majorHAnsi"/>
          <w:sz w:val="24"/>
          <w:szCs w:val="24"/>
        </w:rPr>
        <w:t xml:space="preserve"> </w:t>
      </w:r>
      <w:r w:rsidR="008E4C2D">
        <w:rPr>
          <w:rFonts w:asciiTheme="majorHAnsi" w:hAnsiTheme="majorHAnsi"/>
          <w:sz w:val="24"/>
          <w:szCs w:val="24"/>
        </w:rPr>
        <w:t xml:space="preserve">By implementing reforms in tax policy and privatizing state enterprises, governments of these sorts of countries could reduce inequality, and eventually further decrease poverty and inequality. However, further research is necessary </w:t>
      </w:r>
      <w:r w:rsidR="009F704B">
        <w:rPr>
          <w:rFonts w:asciiTheme="majorHAnsi" w:hAnsiTheme="majorHAnsi"/>
          <w:sz w:val="24"/>
          <w:szCs w:val="24"/>
        </w:rPr>
        <w:t>to study</w:t>
      </w:r>
      <w:r w:rsidR="008E4C2D">
        <w:rPr>
          <w:rFonts w:asciiTheme="majorHAnsi" w:hAnsiTheme="majorHAnsi"/>
          <w:sz w:val="24"/>
          <w:szCs w:val="24"/>
        </w:rPr>
        <w:t xml:space="preserve"> the precise channels through which these two reforms impact the distribution of income. This could give better insight into what type of tax reforms and privatizations precisely n</w:t>
      </w:r>
      <w:r w:rsidR="009F704B">
        <w:rPr>
          <w:rFonts w:asciiTheme="majorHAnsi" w:hAnsiTheme="majorHAnsi"/>
          <w:sz w:val="24"/>
          <w:szCs w:val="24"/>
        </w:rPr>
        <w:t xml:space="preserve">eed to be implemented in order to reduce income inequality. </w:t>
      </w:r>
      <w:r w:rsidR="008E4C2D">
        <w:rPr>
          <w:rFonts w:asciiTheme="majorHAnsi" w:hAnsiTheme="majorHAnsi"/>
          <w:sz w:val="24"/>
          <w:szCs w:val="24"/>
        </w:rPr>
        <w:t xml:space="preserve"> </w:t>
      </w:r>
    </w:p>
    <w:p w14:paraId="16B2C660" w14:textId="77777777" w:rsidR="00C55986" w:rsidRDefault="00C55986" w:rsidP="00C55986">
      <w:pPr>
        <w:pStyle w:val="NoSpacing"/>
        <w:spacing w:line="360" w:lineRule="auto"/>
        <w:jc w:val="both"/>
        <w:rPr>
          <w:rFonts w:asciiTheme="majorHAnsi" w:hAnsiTheme="majorHAnsi"/>
          <w:sz w:val="24"/>
          <w:szCs w:val="24"/>
        </w:rPr>
      </w:pPr>
    </w:p>
    <w:p w14:paraId="04FC9D20" w14:textId="77777777" w:rsidR="00C55986" w:rsidRDefault="00C55986">
      <w:pPr>
        <w:rPr>
          <w:rFonts w:asciiTheme="majorHAnsi" w:hAnsiTheme="majorHAnsi"/>
          <w:sz w:val="24"/>
          <w:szCs w:val="24"/>
        </w:rPr>
      </w:pPr>
      <w:r>
        <w:rPr>
          <w:rFonts w:asciiTheme="majorHAnsi" w:hAnsiTheme="majorHAnsi"/>
          <w:sz w:val="24"/>
          <w:szCs w:val="24"/>
        </w:rPr>
        <w:br w:type="page"/>
      </w:r>
    </w:p>
    <w:p w14:paraId="7FBCB901" w14:textId="637119EE" w:rsidR="00936CF5" w:rsidRPr="00C55986" w:rsidRDefault="00936CF5" w:rsidP="00C55986">
      <w:pPr>
        <w:pStyle w:val="NoSpacing"/>
        <w:spacing w:line="360" w:lineRule="auto"/>
        <w:jc w:val="both"/>
        <w:rPr>
          <w:rFonts w:asciiTheme="majorHAnsi" w:hAnsiTheme="majorHAnsi"/>
          <w:sz w:val="24"/>
          <w:szCs w:val="24"/>
        </w:rPr>
      </w:pPr>
      <w:r w:rsidRPr="00F14751">
        <w:rPr>
          <w:rFonts w:asciiTheme="majorHAnsi" w:hAnsiTheme="majorHAnsi"/>
          <w:b/>
          <w:sz w:val="28"/>
        </w:rPr>
        <w:t>References</w:t>
      </w:r>
    </w:p>
    <w:p w14:paraId="06125427" w14:textId="77777777" w:rsidR="00936CF5" w:rsidRPr="00F14751" w:rsidRDefault="00936CF5" w:rsidP="00C8508E">
      <w:pPr>
        <w:pStyle w:val="NoSpacing"/>
        <w:spacing w:line="360" w:lineRule="auto"/>
        <w:jc w:val="both"/>
        <w:rPr>
          <w:rFonts w:asciiTheme="majorHAnsi" w:hAnsiTheme="majorHAnsi"/>
          <w:sz w:val="24"/>
        </w:rPr>
      </w:pPr>
    </w:p>
    <w:p w14:paraId="08330828" w14:textId="6953506B" w:rsidR="00B56237" w:rsidRDefault="00A87B08" w:rsidP="002C37FD">
      <w:pPr>
        <w:pStyle w:val="NoSpacing"/>
        <w:spacing w:line="360" w:lineRule="auto"/>
        <w:rPr>
          <w:rFonts w:asciiTheme="majorHAnsi" w:hAnsiTheme="majorHAnsi"/>
          <w:i/>
          <w:sz w:val="24"/>
        </w:rPr>
      </w:pPr>
      <w:proofErr w:type="spellStart"/>
      <w:r>
        <w:rPr>
          <w:rFonts w:asciiTheme="majorHAnsi" w:hAnsiTheme="majorHAnsi"/>
          <w:sz w:val="24"/>
        </w:rPr>
        <w:t>Barro</w:t>
      </w:r>
      <w:proofErr w:type="spellEnd"/>
      <w:r>
        <w:rPr>
          <w:rFonts w:asciiTheme="majorHAnsi" w:hAnsiTheme="majorHAnsi"/>
          <w:sz w:val="24"/>
        </w:rPr>
        <w:t xml:space="preserve">, R., </w:t>
      </w:r>
      <w:r w:rsidR="00B56237" w:rsidRPr="00F14751">
        <w:rPr>
          <w:rFonts w:asciiTheme="majorHAnsi" w:hAnsiTheme="majorHAnsi"/>
          <w:sz w:val="24"/>
        </w:rPr>
        <w:t xml:space="preserve">and Lee, J-H. (2010), ‘A New Data Set of Educational Attainment in the World, </w:t>
      </w:r>
      <w:r w:rsidR="00B56237" w:rsidRPr="00F14751">
        <w:rPr>
          <w:rFonts w:asciiTheme="majorHAnsi" w:hAnsiTheme="majorHAnsi"/>
          <w:sz w:val="24"/>
        </w:rPr>
        <w:tab/>
        <w:t xml:space="preserve">1950-2010’, </w:t>
      </w:r>
      <w:r w:rsidR="00B56237" w:rsidRPr="00F14751">
        <w:rPr>
          <w:rFonts w:asciiTheme="majorHAnsi" w:hAnsiTheme="majorHAnsi"/>
          <w:i/>
          <w:sz w:val="24"/>
        </w:rPr>
        <w:t xml:space="preserve">Journal of Development Economics, Vol. 104, Pp. 184-198. </w:t>
      </w:r>
    </w:p>
    <w:p w14:paraId="461249BA" w14:textId="77777777" w:rsidR="00C8508E" w:rsidRDefault="00C8508E" w:rsidP="002C37FD">
      <w:pPr>
        <w:pStyle w:val="NoSpacing"/>
        <w:spacing w:line="360" w:lineRule="auto"/>
        <w:rPr>
          <w:rFonts w:asciiTheme="majorHAnsi" w:hAnsiTheme="majorHAnsi"/>
          <w:i/>
          <w:sz w:val="24"/>
        </w:rPr>
      </w:pPr>
    </w:p>
    <w:p w14:paraId="2F5B9EB9" w14:textId="78579424" w:rsidR="00C8508E" w:rsidRPr="00C8508E" w:rsidRDefault="00C8508E" w:rsidP="002C37FD">
      <w:pPr>
        <w:pStyle w:val="NoSpacing"/>
        <w:spacing w:line="360" w:lineRule="auto"/>
        <w:rPr>
          <w:rFonts w:asciiTheme="majorHAnsi" w:hAnsiTheme="majorHAnsi"/>
          <w:i/>
          <w:sz w:val="24"/>
        </w:rPr>
      </w:pPr>
      <w:proofErr w:type="spellStart"/>
      <w:r w:rsidRPr="00C8508E">
        <w:rPr>
          <w:rFonts w:asciiTheme="majorHAnsi" w:hAnsiTheme="majorHAnsi"/>
          <w:sz w:val="24"/>
        </w:rPr>
        <w:t>Brakman</w:t>
      </w:r>
      <w:proofErr w:type="spellEnd"/>
      <w:r w:rsidRPr="00C8508E">
        <w:rPr>
          <w:rFonts w:asciiTheme="majorHAnsi" w:hAnsiTheme="majorHAnsi"/>
          <w:sz w:val="24"/>
        </w:rPr>
        <w:t xml:space="preserve">, S., </w:t>
      </w:r>
      <w:proofErr w:type="spellStart"/>
      <w:r w:rsidR="00A87B08">
        <w:rPr>
          <w:rFonts w:asciiTheme="majorHAnsi" w:hAnsiTheme="majorHAnsi"/>
          <w:sz w:val="24"/>
        </w:rPr>
        <w:t>Garretsen</w:t>
      </w:r>
      <w:proofErr w:type="spellEnd"/>
      <w:r w:rsidR="00A87B08">
        <w:rPr>
          <w:rFonts w:asciiTheme="majorHAnsi" w:hAnsiTheme="majorHAnsi"/>
          <w:sz w:val="24"/>
        </w:rPr>
        <w:t>, H.,</w:t>
      </w:r>
      <w:r w:rsidRPr="00C8508E">
        <w:rPr>
          <w:rFonts w:asciiTheme="majorHAnsi" w:hAnsiTheme="majorHAnsi"/>
          <w:sz w:val="24"/>
        </w:rPr>
        <w:t xml:space="preserve"> Van </w:t>
      </w:r>
      <w:proofErr w:type="spellStart"/>
      <w:r w:rsidRPr="00C8508E">
        <w:rPr>
          <w:rFonts w:asciiTheme="majorHAnsi" w:hAnsiTheme="majorHAnsi"/>
          <w:sz w:val="24"/>
        </w:rPr>
        <w:t>Marrewijk</w:t>
      </w:r>
      <w:proofErr w:type="spellEnd"/>
      <w:r w:rsidRPr="00C8508E">
        <w:rPr>
          <w:rFonts w:asciiTheme="majorHAnsi" w:hAnsiTheme="majorHAnsi"/>
          <w:sz w:val="24"/>
        </w:rPr>
        <w:t xml:space="preserve">, C., and Van </w:t>
      </w:r>
      <w:proofErr w:type="spellStart"/>
      <w:r w:rsidRPr="00C8508E">
        <w:rPr>
          <w:rFonts w:asciiTheme="majorHAnsi" w:hAnsiTheme="majorHAnsi"/>
          <w:sz w:val="24"/>
        </w:rPr>
        <w:t>Witteloostuijn</w:t>
      </w:r>
      <w:proofErr w:type="spellEnd"/>
      <w:r w:rsidRPr="00C8508E">
        <w:rPr>
          <w:rFonts w:asciiTheme="majorHAnsi" w:hAnsiTheme="majorHAnsi"/>
          <w:sz w:val="24"/>
        </w:rPr>
        <w:t>, A. (2006), ‘</w:t>
      </w:r>
      <w:r>
        <w:rPr>
          <w:rFonts w:asciiTheme="majorHAnsi" w:hAnsiTheme="majorHAnsi"/>
          <w:sz w:val="24"/>
        </w:rPr>
        <w:t>Nations</w:t>
      </w:r>
      <w:r>
        <w:rPr>
          <w:rFonts w:asciiTheme="majorHAnsi" w:hAnsiTheme="majorHAnsi"/>
          <w:sz w:val="24"/>
        </w:rPr>
        <w:tab/>
      </w:r>
      <w:r w:rsidRPr="00C8508E">
        <w:rPr>
          <w:rFonts w:asciiTheme="majorHAnsi" w:hAnsiTheme="majorHAnsi"/>
          <w:sz w:val="24"/>
        </w:rPr>
        <w:t>and Firms in the Global Economy. An Introduc</w:t>
      </w:r>
      <w:r>
        <w:rPr>
          <w:rFonts w:asciiTheme="majorHAnsi" w:hAnsiTheme="majorHAnsi"/>
          <w:sz w:val="24"/>
        </w:rPr>
        <w:t>tion to International Economics</w:t>
      </w:r>
      <w:r>
        <w:rPr>
          <w:rFonts w:asciiTheme="majorHAnsi" w:hAnsiTheme="majorHAnsi"/>
          <w:sz w:val="24"/>
        </w:rPr>
        <w:tab/>
      </w:r>
      <w:r w:rsidRPr="00C8508E">
        <w:rPr>
          <w:rFonts w:asciiTheme="majorHAnsi" w:hAnsiTheme="majorHAnsi"/>
          <w:sz w:val="24"/>
        </w:rPr>
        <w:t>and Businesses</w:t>
      </w:r>
      <w:r>
        <w:rPr>
          <w:rFonts w:asciiTheme="majorHAnsi" w:hAnsiTheme="majorHAnsi"/>
          <w:sz w:val="24"/>
        </w:rPr>
        <w:t xml:space="preserve">’, </w:t>
      </w:r>
      <w:r>
        <w:rPr>
          <w:rFonts w:asciiTheme="majorHAnsi" w:hAnsiTheme="majorHAnsi"/>
          <w:i/>
          <w:sz w:val="24"/>
        </w:rPr>
        <w:t xml:space="preserve">Cambridge University Press, United Kingdom. </w:t>
      </w:r>
    </w:p>
    <w:p w14:paraId="28CC8B8C" w14:textId="77777777" w:rsidR="00407488" w:rsidRPr="00C8508E" w:rsidRDefault="00407488" w:rsidP="002C37FD">
      <w:pPr>
        <w:pStyle w:val="NoSpacing"/>
        <w:spacing w:line="360" w:lineRule="auto"/>
        <w:rPr>
          <w:rFonts w:asciiTheme="majorHAnsi" w:hAnsiTheme="majorHAnsi"/>
          <w:i/>
          <w:sz w:val="24"/>
        </w:rPr>
      </w:pPr>
    </w:p>
    <w:p w14:paraId="4A12495C" w14:textId="77777777" w:rsidR="00B3167E" w:rsidRPr="00F14751" w:rsidRDefault="000D0784" w:rsidP="002C37FD">
      <w:pPr>
        <w:pStyle w:val="NoSpacing"/>
        <w:spacing w:line="360" w:lineRule="auto"/>
        <w:rPr>
          <w:rFonts w:asciiTheme="majorHAnsi" w:hAnsiTheme="majorHAnsi"/>
          <w:i/>
          <w:sz w:val="24"/>
        </w:rPr>
      </w:pPr>
      <w:proofErr w:type="spellStart"/>
      <w:r w:rsidRPr="00F14751">
        <w:rPr>
          <w:rFonts w:asciiTheme="majorHAnsi" w:hAnsiTheme="majorHAnsi"/>
          <w:sz w:val="24"/>
        </w:rPr>
        <w:t>Buccife</w:t>
      </w:r>
      <w:r w:rsidR="0012500C" w:rsidRPr="00F14751">
        <w:rPr>
          <w:rFonts w:asciiTheme="majorHAnsi" w:hAnsiTheme="majorHAnsi"/>
          <w:sz w:val="24"/>
        </w:rPr>
        <w:t>r</w:t>
      </w:r>
      <w:r w:rsidRPr="00F14751">
        <w:rPr>
          <w:rFonts w:asciiTheme="majorHAnsi" w:hAnsiTheme="majorHAnsi"/>
          <w:sz w:val="24"/>
        </w:rPr>
        <w:t>ro</w:t>
      </w:r>
      <w:proofErr w:type="spellEnd"/>
      <w:r w:rsidRPr="00F14751">
        <w:rPr>
          <w:rFonts w:asciiTheme="majorHAnsi" w:hAnsiTheme="majorHAnsi"/>
          <w:sz w:val="24"/>
        </w:rPr>
        <w:t>, J. (2010), ‘Economic Restructuring and Poverty/Income Inequality in Latin</w:t>
      </w:r>
      <w:r w:rsidR="00B56237" w:rsidRPr="00F14751">
        <w:rPr>
          <w:rFonts w:asciiTheme="majorHAnsi" w:hAnsiTheme="majorHAnsi"/>
          <w:sz w:val="24"/>
        </w:rPr>
        <w:tab/>
      </w:r>
      <w:r w:rsidRPr="00F14751">
        <w:rPr>
          <w:rFonts w:asciiTheme="majorHAnsi" w:hAnsiTheme="majorHAnsi"/>
          <w:sz w:val="24"/>
        </w:rPr>
        <w:t xml:space="preserve"> America’, </w:t>
      </w:r>
      <w:r w:rsidRPr="00F14751">
        <w:rPr>
          <w:rFonts w:asciiTheme="majorHAnsi" w:hAnsiTheme="majorHAnsi"/>
          <w:i/>
          <w:sz w:val="24"/>
        </w:rPr>
        <w:t>The Journal of Sustainable Development, Vol. 4, Issue 1 (2010), Pp. 1-16</w:t>
      </w:r>
      <w:r w:rsidR="007B073E" w:rsidRPr="00F14751">
        <w:rPr>
          <w:rFonts w:asciiTheme="majorHAnsi" w:hAnsiTheme="majorHAnsi"/>
          <w:i/>
          <w:sz w:val="24"/>
        </w:rPr>
        <w:t>.</w:t>
      </w:r>
    </w:p>
    <w:p w14:paraId="3A951D8C" w14:textId="77777777" w:rsidR="007F0874" w:rsidRPr="00F14751" w:rsidRDefault="007F0874" w:rsidP="002C37FD">
      <w:pPr>
        <w:pStyle w:val="NoSpacing"/>
        <w:spacing w:line="360" w:lineRule="auto"/>
        <w:rPr>
          <w:rFonts w:asciiTheme="majorHAnsi" w:hAnsiTheme="majorHAnsi"/>
          <w:sz w:val="24"/>
        </w:rPr>
      </w:pPr>
    </w:p>
    <w:p w14:paraId="059B5682" w14:textId="77777777" w:rsidR="00FF4422" w:rsidRPr="00F14751" w:rsidRDefault="00FF4422" w:rsidP="002C37FD">
      <w:pPr>
        <w:pStyle w:val="NoSpacing"/>
        <w:spacing w:line="360" w:lineRule="auto"/>
        <w:rPr>
          <w:rFonts w:asciiTheme="majorHAnsi" w:hAnsiTheme="majorHAnsi"/>
          <w:i/>
          <w:sz w:val="24"/>
          <w:szCs w:val="24"/>
        </w:rPr>
      </w:pPr>
      <w:r w:rsidRPr="00F14751">
        <w:rPr>
          <w:rFonts w:asciiTheme="majorHAnsi" w:hAnsiTheme="majorHAnsi"/>
          <w:sz w:val="24"/>
          <w:szCs w:val="24"/>
        </w:rPr>
        <w:t>Center for Systematic Peace (2014), ‘Polity IV Project, Political Regime Characteristics</w:t>
      </w:r>
      <w:r w:rsidRPr="00F14751">
        <w:rPr>
          <w:rFonts w:asciiTheme="majorHAnsi" w:hAnsiTheme="majorHAnsi"/>
          <w:sz w:val="24"/>
          <w:szCs w:val="24"/>
        </w:rPr>
        <w:tab/>
        <w:t xml:space="preserve">and Transitions, 1800-2013’, </w:t>
      </w:r>
      <w:r w:rsidRPr="00F14751">
        <w:rPr>
          <w:rFonts w:asciiTheme="majorHAnsi" w:hAnsiTheme="majorHAnsi"/>
          <w:i/>
          <w:sz w:val="24"/>
          <w:szCs w:val="24"/>
        </w:rPr>
        <w:t>retrieved from:</w:t>
      </w:r>
    </w:p>
    <w:p w14:paraId="33527A1E" w14:textId="77777777" w:rsidR="00FF4422" w:rsidRPr="00F14751" w:rsidRDefault="00F16A0E" w:rsidP="002C37FD">
      <w:pPr>
        <w:pStyle w:val="NoSpacing"/>
        <w:spacing w:line="360" w:lineRule="auto"/>
        <w:ind w:firstLine="708"/>
        <w:rPr>
          <w:rStyle w:val="Hyperlink"/>
          <w:rFonts w:asciiTheme="majorHAnsi" w:hAnsiTheme="majorHAnsi"/>
          <w:i/>
          <w:sz w:val="24"/>
          <w:szCs w:val="24"/>
        </w:rPr>
      </w:pPr>
      <w:hyperlink r:id="rId20" w:history="1">
        <w:r w:rsidR="00FF4422" w:rsidRPr="00F14751">
          <w:rPr>
            <w:rStyle w:val="Hyperlink"/>
            <w:rFonts w:asciiTheme="majorHAnsi" w:hAnsiTheme="majorHAnsi"/>
            <w:i/>
            <w:sz w:val="24"/>
            <w:szCs w:val="24"/>
          </w:rPr>
          <w:t>http://www.systemicpeace.org/inscrdata.html</w:t>
        </w:r>
      </w:hyperlink>
    </w:p>
    <w:p w14:paraId="7E238FE9" w14:textId="77777777" w:rsidR="00FF4422" w:rsidRPr="00F14751" w:rsidRDefault="00FF4422" w:rsidP="002C37FD">
      <w:pPr>
        <w:pStyle w:val="NoSpacing"/>
        <w:spacing w:line="360" w:lineRule="auto"/>
        <w:rPr>
          <w:rFonts w:asciiTheme="majorHAnsi" w:hAnsiTheme="majorHAnsi"/>
          <w:i/>
          <w:sz w:val="24"/>
          <w:szCs w:val="24"/>
        </w:rPr>
      </w:pPr>
    </w:p>
    <w:p w14:paraId="3554D4A2" w14:textId="52DB101B" w:rsidR="0043238F" w:rsidRPr="00F14751" w:rsidRDefault="007F0874" w:rsidP="002C37FD">
      <w:pPr>
        <w:pStyle w:val="NoSpacing"/>
        <w:spacing w:line="360" w:lineRule="auto"/>
        <w:rPr>
          <w:rFonts w:asciiTheme="majorHAnsi" w:hAnsiTheme="majorHAnsi"/>
          <w:i/>
          <w:sz w:val="24"/>
        </w:rPr>
      </w:pPr>
      <w:r w:rsidRPr="00F14751">
        <w:rPr>
          <w:rFonts w:asciiTheme="majorHAnsi" w:hAnsiTheme="majorHAnsi"/>
          <w:sz w:val="24"/>
        </w:rPr>
        <w:t>Dollar D.</w:t>
      </w:r>
      <w:r w:rsidR="00A87B08">
        <w:rPr>
          <w:rFonts w:asciiTheme="majorHAnsi" w:hAnsiTheme="majorHAnsi"/>
          <w:sz w:val="24"/>
        </w:rPr>
        <w:t>,</w:t>
      </w:r>
      <w:r w:rsidRPr="00F14751">
        <w:rPr>
          <w:rFonts w:asciiTheme="majorHAnsi" w:hAnsiTheme="majorHAnsi"/>
          <w:sz w:val="24"/>
        </w:rPr>
        <w:t xml:space="preserve"> and </w:t>
      </w:r>
      <w:proofErr w:type="spellStart"/>
      <w:r w:rsidRPr="00F14751">
        <w:rPr>
          <w:rFonts w:asciiTheme="majorHAnsi" w:hAnsiTheme="majorHAnsi"/>
          <w:sz w:val="24"/>
        </w:rPr>
        <w:t>Kraay</w:t>
      </w:r>
      <w:proofErr w:type="spellEnd"/>
      <w:r w:rsidRPr="00F14751">
        <w:rPr>
          <w:rFonts w:asciiTheme="majorHAnsi" w:hAnsiTheme="majorHAnsi"/>
          <w:sz w:val="24"/>
        </w:rPr>
        <w:t>, A. (</w:t>
      </w:r>
      <w:r w:rsidR="0043238F" w:rsidRPr="00F14751">
        <w:rPr>
          <w:rFonts w:asciiTheme="majorHAnsi" w:hAnsiTheme="majorHAnsi"/>
          <w:sz w:val="24"/>
        </w:rPr>
        <w:t>2000</w:t>
      </w:r>
      <w:r w:rsidRPr="00F14751">
        <w:rPr>
          <w:rFonts w:asciiTheme="majorHAnsi" w:hAnsiTheme="majorHAnsi"/>
          <w:sz w:val="24"/>
        </w:rPr>
        <w:t xml:space="preserve">), ‘Growth is </w:t>
      </w:r>
      <w:proofErr w:type="gramStart"/>
      <w:r w:rsidRPr="00F14751">
        <w:rPr>
          <w:rFonts w:asciiTheme="majorHAnsi" w:hAnsiTheme="majorHAnsi"/>
          <w:sz w:val="24"/>
        </w:rPr>
        <w:t>Good</w:t>
      </w:r>
      <w:proofErr w:type="gramEnd"/>
      <w:r w:rsidRPr="00F14751">
        <w:rPr>
          <w:rFonts w:asciiTheme="majorHAnsi" w:hAnsiTheme="majorHAnsi"/>
          <w:sz w:val="24"/>
        </w:rPr>
        <w:t xml:space="preserve"> for the Poor’, </w:t>
      </w:r>
      <w:r w:rsidR="00C8508E">
        <w:rPr>
          <w:rFonts w:asciiTheme="majorHAnsi" w:hAnsiTheme="majorHAnsi"/>
          <w:i/>
          <w:sz w:val="24"/>
        </w:rPr>
        <w:t>Development Research</w:t>
      </w:r>
      <w:r w:rsidR="00C8508E">
        <w:rPr>
          <w:rFonts w:asciiTheme="majorHAnsi" w:hAnsiTheme="majorHAnsi"/>
          <w:i/>
          <w:sz w:val="24"/>
        </w:rPr>
        <w:tab/>
        <w:t>Group, Washington DC: World Bank.</w:t>
      </w:r>
    </w:p>
    <w:p w14:paraId="126E0F6A" w14:textId="77777777" w:rsidR="0043238F" w:rsidRPr="00F14751" w:rsidRDefault="0043238F" w:rsidP="002C37FD">
      <w:pPr>
        <w:pStyle w:val="NoSpacing"/>
        <w:spacing w:line="360" w:lineRule="auto"/>
        <w:rPr>
          <w:rFonts w:asciiTheme="majorHAnsi" w:hAnsiTheme="majorHAnsi"/>
          <w:i/>
          <w:sz w:val="24"/>
        </w:rPr>
      </w:pPr>
    </w:p>
    <w:p w14:paraId="235210B4" w14:textId="77777777" w:rsidR="007F0874" w:rsidRPr="00F14751" w:rsidRDefault="007F0874" w:rsidP="002C37FD">
      <w:pPr>
        <w:pStyle w:val="NoSpacing"/>
        <w:spacing w:line="360" w:lineRule="auto"/>
        <w:rPr>
          <w:rFonts w:asciiTheme="majorHAnsi" w:hAnsiTheme="majorHAnsi"/>
          <w:i/>
          <w:sz w:val="24"/>
        </w:rPr>
      </w:pPr>
      <w:r w:rsidRPr="00F14751">
        <w:rPr>
          <w:rFonts w:asciiTheme="majorHAnsi" w:hAnsiTheme="majorHAnsi"/>
          <w:sz w:val="24"/>
        </w:rPr>
        <w:t xml:space="preserve">Edwards, S. (1997), ‘Trade Policy, Growth and Income Distribution’, </w:t>
      </w:r>
      <w:proofErr w:type="gramStart"/>
      <w:r w:rsidRPr="00F14751">
        <w:rPr>
          <w:rFonts w:asciiTheme="majorHAnsi" w:hAnsiTheme="majorHAnsi"/>
          <w:i/>
          <w:sz w:val="24"/>
        </w:rPr>
        <w:t>The</w:t>
      </w:r>
      <w:proofErr w:type="gramEnd"/>
      <w:r w:rsidRPr="00F14751">
        <w:rPr>
          <w:rFonts w:asciiTheme="majorHAnsi" w:hAnsiTheme="majorHAnsi"/>
          <w:i/>
          <w:sz w:val="24"/>
        </w:rPr>
        <w:t xml:space="preserve"> American </w:t>
      </w:r>
      <w:r w:rsidR="00B56237" w:rsidRPr="00F14751">
        <w:rPr>
          <w:rFonts w:asciiTheme="majorHAnsi" w:hAnsiTheme="majorHAnsi"/>
          <w:i/>
          <w:sz w:val="24"/>
        </w:rPr>
        <w:tab/>
      </w:r>
      <w:r w:rsidRPr="00F14751">
        <w:rPr>
          <w:rFonts w:asciiTheme="majorHAnsi" w:hAnsiTheme="majorHAnsi"/>
          <w:i/>
          <w:sz w:val="24"/>
        </w:rPr>
        <w:t xml:space="preserve">Economic Review, Vol. 87, No. 2, Papers and Proceedings of the Hundred and Fourth </w:t>
      </w:r>
      <w:r w:rsidR="00B56237" w:rsidRPr="00F14751">
        <w:rPr>
          <w:rFonts w:asciiTheme="majorHAnsi" w:hAnsiTheme="majorHAnsi"/>
          <w:i/>
          <w:sz w:val="24"/>
        </w:rPr>
        <w:tab/>
      </w:r>
      <w:r w:rsidRPr="00F14751">
        <w:rPr>
          <w:rFonts w:asciiTheme="majorHAnsi" w:hAnsiTheme="majorHAnsi"/>
          <w:i/>
          <w:sz w:val="24"/>
        </w:rPr>
        <w:t>Annual Meeting of the American Economic Association (May, 1997), Pp. 205-2010</w:t>
      </w:r>
    </w:p>
    <w:p w14:paraId="1E578FE7" w14:textId="77777777" w:rsidR="007F0874" w:rsidRPr="00F14751" w:rsidRDefault="007F0874" w:rsidP="002C37FD">
      <w:pPr>
        <w:pStyle w:val="NoSpacing"/>
        <w:spacing w:line="360" w:lineRule="auto"/>
        <w:rPr>
          <w:rFonts w:asciiTheme="majorHAnsi" w:hAnsiTheme="majorHAnsi"/>
          <w:i/>
          <w:sz w:val="24"/>
        </w:rPr>
      </w:pPr>
    </w:p>
    <w:p w14:paraId="20384179" w14:textId="13129640" w:rsidR="00D35080" w:rsidRPr="00DA7BD5" w:rsidRDefault="00DA7BD5" w:rsidP="002C37FD">
      <w:pPr>
        <w:pStyle w:val="NoSpacing"/>
        <w:spacing w:line="360" w:lineRule="auto"/>
        <w:rPr>
          <w:rFonts w:asciiTheme="majorHAnsi" w:hAnsiTheme="majorHAnsi"/>
          <w:sz w:val="24"/>
        </w:rPr>
      </w:pPr>
      <w:proofErr w:type="spellStart"/>
      <w:r>
        <w:rPr>
          <w:rFonts w:asciiTheme="majorHAnsi" w:hAnsiTheme="majorHAnsi"/>
          <w:sz w:val="24"/>
        </w:rPr>
        <w:t>Feenstra</w:t>
      </w:r>
      <w:proofErr w:type="spellEnd"/>
      <w:r w:rsidR="00D35080" w:rsidRPr="00F14751">
        <w:rPr>
          <w:rFonts w:asciiTheme="majorHAnsi" w:hAnsiTheme="majorHAnsi"/>
          <w:sz w:val="24"/>
        </w:rPr>
        <w:t xml:space="preserve">, R.C., </w:t>
      </w:r>
      <w:proofErr w:type="spellStart"/>
      <w:r w:rsidR="00D35080" w:rsidRPr="00F14751">
        <w:rPr>
          <w:rFonts w:asciiTheme="majorHAnsi" w:hAnsiTheme="majorHAnsi"/>
          <w:sz w:val="24"/>
        </w:rPr>
        <w:t>Inklaar</w:t>
      </w:r>
      <w:proofErr w:type="spellEnd"/>
      <w:r w:rsidR="00D35080" w:rsidRPr="00F14751">
        <w:rPr>
          <w:rFonts w:asciiTheme="majorHAnsi" w:hAnsiTheme="majorHAnsi"/>
          <w:sz w:val="24"/>
        </w:rPr>
        <w:t>, R.</w:t>
      </w:r>
      <w:r w:rsidR="00A87B08">
        <w:rPr>
          <w:rFonts w:asciiTheme="majorHAnsi" w:hAnsiTheme="majorHAnsi"/>
          <w:sz w:val="24"/>
        </w:rPr>
        <w:t>,</w:t>
      </w:r>
      <w:r w:rsidR="00D35080" w:rsidRPr="00F14751">
        <w:rPr>
          <w:rFonts w:asciiTheme="majorHAnsi" w:hAnsiTheme="majorHAnsi"/>
          <w:sz w:val="24"/>
        </w:rPr>
        <w:t xml:space="preserve"> and </w:t>
      </w:r>
      <w:proofErr w:type="spellStart"/>
      <w:r w:rsidR="00D35080" w:rsidRPr="00F14751">
        <w:rPr>
          <w:rFonts w:asciiTheme="majorHAnsi" w:hAnsiTheme="majorHAnsi"/>
          <w:sz w:val="24"/>
        </w:rPr>
        <w:t>Timmer</w:t>
      </w:r>
      <w:proofErr w:type="spellEnd"/>
      <w:r w:rsidR="00D35080" w:rsidRPr="00F14751">
        <w:rPr>
          <w:rFonts w:asciiTheme="majorHAnsi" w:hAnsiTheme="majorHAnsi"/>
          <w:sz w:val="24"/>
        </w:rPr>
        <w:t>, M.P. (2015), ‘The Next Generation of the Penn</w:t>
      </w:r>
      <w:r w:rsidR="00B56237" w:rsidRPr="00F14751">
        <w:rPr>
          <w:rFonts w:asciiTheme="majorHAnsi" w:hAnsiTheme="majorHAnsi"/>
          <w:sz w:val="24"/>
        </w:rPr>
        <w:tab/>
      </w:r>
      <w:r w:rsidR="00D35080" w:rsidRPr="00F14751">
        <w:rPr>
          <w:rFonts w:asciiTheme="majorHAnsi" w:hAnsiTheme="majorHAnsi"/>
          <w:sz w:val="24"/>
        </w:rPr>
        <w:t xml:space="preserve"> World Table’, </w:t>
      </w:r>
      <w:r w:rsidR="00D35080" w:rsidRPr="00F14751">
        <w:rPr>
          <w:rFonts w:asciiTheme="majorHAnsi" w:hAnsiTheme="majorHAnsi"/>
          <w:i/>
          <w:sz w:val="24"/>
        </w:rPr>
        <w:t>American Economic Review</w:t>
      </w:r>
      <w:r w:rsidR="00D573EF" w:rsidRPr="00F14751">
        <w:rPr>
          <w:rFonts w:asciiTheme="majorHAnsi" w:hAnsiTheme="majorHAnsi"/>
          <w:sz w:val="24"/>
        </w:rPr>
        <w:t xml:space="preserve">, </w:t>
      </w:r>
      <w:r w:rsidR="00D573EF" w:rsidRPr="00F14751">
        <w:rPr>
          <w:rFonts w:asciiTheme="majorHAnsi" w:hAnsiTheme="majorHAnsi"/>
          <w:i/>
          <w:sz w:val="24"/>
        </w:rPr>
        <w:t>version 8.0.</w:t>
      </w:r>
    </w:p>
    <w:p w14:paraId="29348D69" w14:textId="77777777" w:rsidR="0043238F" w:rsidRPr="00F14751" w:rsidRDefault="0043238F" w:rsidP="002C37FD">
      <w:pPr>
        <w:pStyle w:val="NoSpacing"/>
        <w:spacing w:line="360" w:lineRule="auto"/>
        <w:rPr>
          <w:rFonts w:asciiTheme="majorHAnsi" w:hAnsiTheme="majorHAnsi"/>
          <w:sz w:val="24"/>
        </w:rPr>
      </w:pPr>
    </w:p>
    <w:p w14:paraId="6021AF70" w14:textId="29B20304" w:rsidR="00893B94" w:rsidRDefault="0012500C" w:rsidP="002C37FD">
      <w:pPr>
        <w:pStyle w:val="NoSpacing"/>
        <w:spacing w:line="360" w:lineRule="auto"/>
        <w:rPr>
          <w:rFonts w:asciiTheme="majorHAnsi" w:hAnsiTheme="majorHAnsi"/>
          <w:i/>
          <w:sz w:val="24"/>
        </w:rPr>
      </w:pPr>
      <w:proofErr w:type="spellStart"/>
      <w:r w:rsidRPr="00F14751">
        <w:rPr>
          <w:rFonts w:asciiTheme="majorHAnsi" w:hAnsiTheme="majorHAnsi"/>
          <w:sz w:val="24"/>
        </w:rPr>
        <w:t>Forteza</w:t>
      </w:r>
      <w:proofErr w:type="spellEnd"/>
      <w:r w:rsidRPr="00F14751">
        <w:rPr>
          <w:rFonts w:asciiTheme="majorHAnsi" w:hAnsiTheme="majorHAnsi"/>
          <w:sz w:val="24"/>
        </w:rPr>
        <w:t>.</w:t>
      </w:r>
      <w:r w:rsidR="0043238F" w:rsidRPr="00F14751">
        <w:rPr>
          <w:rFonts w:asciiTheme="majorHAnsi" w:hAnsiTheme="majorHAnsi"/>
          <w:sz w:val="24"/>
        </w:rPr>
        <w:t xml:space="preserve"> A., </w:t>
      </w:r>
      <w:proofErr w:type="spellStart"/>
      <w:r w:rsidR="0043238F" w:rsidRPr="00F14751">
        <w:rPr>
          <w:rFonts w:asciiTheme="majorHAnsi" w:hAnsiTheme="majorHAnsi"/>
          <w:sz w:val="24"/>
        </w:rPr>
        <w:t>Tammasi</w:t>
      </w:r>
      <w:proofErr w:type="spellEnd"/>
      <w:r w:rsidR="0043238F" w:rsidRPr="00F14751">
        <w:rPr>
          <w:rFonts w:asciiTheme="majorHAnsi" w:hAnsiTheme="majorHAnsi"/>
          <w:sz w:val="24"/>
        </w:rPr>
        <w:t>, M</w:t>
      </w:r>
      <w:r w:rsidR="00A87B08">
        <w:rPr>
          <w:rFonts w:asciiTheme="majorHAnsi" w:hAnsiTheme="majorHAnsi"/>
          <w:sz w:val="24"/>
        </w:rPr>
        <w:t>.,</w:t>
      </w:r>
      <w:r w:rsidR="0043238F" w:rsidRPr="00F14751">
        <w:rPr>
          <w:rFonts w:asciiTheme="majorHAnsi" w:hAnsiTheme="majorHAnsi"/>
          <w:sz w:val="24"/>
        </w:rPr>
        <w:t xml:space="preserve"> and Herrera, G. (2006), ‘Understanding Reform in Latin </w:t>
      </w:r>
      <w:r w:rsidR="00B56237" w:rsidRPr="00F14751">
        <w:rPr>
          <w:rFonts w:asciiTheme="majorHAnsi" w:hAnsiTheme="majorHAnsi"/>
          <w:sz w:val="24"/>
        </w:rPr>
        <w:tab/>
      </w:r>
      <w:r w:rsidR="0043238F" w:rsidRPr="00F14751">
        <w:rPr>
          <w:rFonts w:asciiTheme="majorHAnsi" w:hAnsiTheme="majorHAnsi"/>
          <w:sz w:val="24"/>
        </w:rPr>
        <w:t>America’</w:t>
      </w:r>
      <w:r w:rsidR="002F3622" w:rsidRPr="00F14751">
        <w:rPr>
          <w:rFonts w:asciiTheme="majorHAnsi" w:hAnsiTheme="majorHAnsi"/>
          <w:sz w:val="24"/>
        </w:rPr>
        <w:t>, Global</w:t>
      </w:r>
      <w:r w:rsidR="00F85802" w:rsidRPr="00F14751">
        <w:rPr>
          <w:rFonts w:asciiTheme="majorHAnsi" w:hAnsiTheme="majorHAnsi"/>
          <w:i/>
          <w:sz w:val="24"/>
        </w:rPr>
        <w:t xml:space="preserve"> Development Network, Global Research Project on Understanding </w:t>
      </w:r>
      <w:r w:rsidR="00B56237" w:rsidRPr="00F14751">
        <w:rPr>
          <w:rFonts w:asciiTheme="majorHAnsi" w:hAnsiTheme="majorHAnsi"/>
          <w:i/>
          <w:sz w:val="24"/>
        </w:rPr>
        <w:tab/>
      </w:r>
      <w:r w:rsidR="00F85802" w:rsidRPr="00F14751">
        <w:rPr>
          <w:rFonts w:asciiTheme="majorHAnsi" w:hAnsiTheme="majorHAnsi"/>
          <w:i/>
          <w:sz w:val="24"/>
        </w:rPr>
        <w:t>Reform: Synthesis of Country Studies from Latin America</w:t>
      </w:r>
      <w:r w:rsidR="007B073E" w:rsidRPr="00F14751">
        <w:rPr>
          <w:rFonts w:asciiTheme="majorHAnsi" w:hAnsiTheme="majorHAnsi"/>
          <w:i/>
          <w:sz w:val="24"/>
        </w:rPr>
        <w:t>.</w:t>
      </w:r>
    </w:p>
    <w:p w14:paraId="59569C52" w14:textId="77777777" w:rsidR="00C8508E" w:rsidRDefault="00C8508E" w:rsidP="002C37FD">
      <w:pPr>
        <w:pStyle w:val="NoSpacing"/>
        <w:spacing w:line="360" w:lineRule="auto"/>
        <w:rPr>
          <w:rFonts w:asciiTheme="majorHAnsi" w:hAnsiTheme="majorHAnsi"/>
          <w:i/>
          <w:sz w:val="24"/>
        </w:rPr>
      </w:pPr>
    </w:p>
    <w:p w14:paraId="6AB7DF10" w14:textId="5B811850" w:rsidR="00C8508E" w:rsidRPr="00C8508E" w:rsidRDefault="00C8508E" w:rsidP="002C37FD">
      <w:pPr>
        <w:pStyle w:val="NoSpacing"/>
        <w:spacing w:line="360" w:lineRule="auto"/>
        <w:rPr>
          <w:rFonts w:asciiTheme="majorHAnsi" w:hAnsiTheme="majorHAnsi"/>
          <w:i/>
          <w:sz w:val="24"/>
        </w:rPr>
      </w:pPr>
      <w:r>
        <w:rPr>
          <w:rFonts w:asciiTheme="majorHAnsi" w:hAnsiTheme="majorHAnsi"/>
          <w:sz w:val="24"/>
        </w:rPr>
        <w:t xml:space="preserve">Goldberg, P.K., and </w:t>
      </w:r>
      <w:proofErr w:type="spellStart"/>
      <w:r>
        <w:rPr>
          <w:rFonts w:asciiTheme="majorHAnsi" w:hAnsiTheme="majorHAnsi"/>
          <w:sz w:val="24"/>
        </w:rPr>
        <w:t>Pavcnik</w:t>
      </w:r>
      <w:proofErr w:type="spellEnd"/>
      <w:r>
        <w:rPr>
          <w:rFonts w:asciiTheme="majorHAnsi" w:hAnsiTheme="majorHAnsi"/>
          <w:sz w:val="24"/>
        </w:rPr>
        <w:t>, N. (2004), ‘Trade, Ineq</w:t>
      </w:r>
      <w:r w:rsidR="00A87B08">
        <w:rPr>
          <w:rFonts w:asciiTheme="majorHAnsi" w:hAnsiTheme="majorHAnsi"/>
          <w:sz w:val="24"/>
        </w:rPr>
        <w:t>uality, and Poverty; What Do We</w:t>
      </w:r>
      <w:r w:rsidR="00A87B08">
        <w:rPr>
          <w:rFonts w:asciiTheme="majorHAnsi" w:hAnsiTheme="majorHAnsi"/>
          <w:sz w:val="24"/>
        </w:rPr>
        <w:tab/>
      </w:r>
      <w:r>
        <w:rPr>
          <w:rFonts w:asciiTheme="majorHAnsi" w:hAnsiTheme="majorHAnsi"/>
          <w:sz w:val="24"/>
        </w:rPr>
        <w:t xml:space="preserve">Know? </w:t>
      </w:r>
      <w:r w:rsidR="00A87B08">
        <w:rPr>
          <w:rFonts w:asciiTheme="majorHAnsi" w:hAnsiTheme="majorHAnsi"/>
          <w:sz w:val="24"/>
        </w:rPr>
        <w:t>Evidence from R</w:t>
      </w:r>
      <w:r>
        <w:rPr>
          <w:rFonts w:asciiTheme="majorHAnsi" w:hAnsiTheme="majorHAnsi"/>
          <w:sz w:val="24"/>
        </w:rPr>
        <w:t>ecent Trade Libera</w:t>
      </w:r>
      <w:r w:rsidR="00A87B08">
        <w:rPr>
          <w:rFonts w:asciiTheme="majorHAnsi" w:hAnsiTheme="majorHAnsi"/>
          <w:sz w:val="24"/>
        </w:rPr>
        <w:t>lization Episodes in Developing</w:t>
      </w:r>
      <w:r w:rsidR="00A87B08">
        <w:rPr>
          <w:rFonts w:asciiTheme="majorHAnsi" w:hAnsiTheme="majorHAnsi"/>
          <w:sz w:val="24"/>
        </w:rPr>
        <w:tab/>
      </w:r>
      <w:r>
        <w:rPr>
          <w:rFonts w:asciiTheme="majorHAnsi" w:hAnsiTheme="majorHAnsi"/>
          <w:sz w:val="24"/>
        </w:rPr>
        <w:t xml:space="preserve">Countries’, </w:t>
      </w:r>
      <w:r>
        <w:rPr>
          <w:rFonts w:asciiTheme="majorHAnsi" w:hAnsiTheme="majorHAnsi"/>
          <w:i/>
          <w:sz w:val="24"/>
        </w:rPr>
        <w:t xml:space="preserve">NBER Working Papers No. 10593, June 2004. </w:t>
      </w:r>
    </w:p>
    <w:p w14:paraId="075441AB" w14:textId="77777777" w:rsidR="00D573EF" w:rsidRDefault="00D573EF" w:rsidP="002C37FD">
      <w:pPr>
        <w:pStyle w:val="NoSpacing"/>
        <w:spacing w:line="360" w:lineRule="auto"/>
        <w:rPr>
          <w:rFonts w:asciiTheme="majorHAnsi" w:hAnsiTheme="majorHAnsi"/>
          <w:i/>
          <w:sz w:val="24"/>
        </w:rPr>
      </w:pPr>
    </w:p>
    <w:p w14:paraId="1F661E13" w14:textId="6B0A0402" w:rsidR="00C8508E" w:rsidRDefault="00C8508E" w:rsidP="002C37FD">
      <w:pPr>
        <w:pStyle w:val="NoSpacing"/>
        <w:spacing w:line="360" w:lineRule="auto"/>
        <w:rPr>
          <w:rFonts w:asciiTheme="majorHAnsi" w:hAnsiTheme="majorHAnsi"/>
          <w:i/>
          <w:sz w:val="24"/>
        </w:rPr>
      </w:pPr>
      <w:r>
        <w:rPr>
          <w:rFonts w:asciiTheme="majorHAnsi" w:hAnsiTheme="majorHAnsi"/>
          <w:sz w:val="24"/>
        </w:rPr>
        <w:t xml:space="preserve">Kaplan, D.S. (2009), ‘Job Creation and Labor Reform in Latin America’, </w:t>
      </w:r>
      <w:r>
        <w:rPr>
          <w:rFonts w:asciiTheme="majorHAnsi" w:hAnsiTheme="majorHAnsi"/>
          <w:i/>
          <w:sz w:val="24"/>
        </w:rPr>
        <w:t>Journal of</w:t>
      </w:r>
      <w:r>
        <w:rPr>
          <w:rFonts w:asciiTheme="majorHAnsi" w:hAnsiTheme="majorHAnsi"/>
          <w:i/>
          <w:sz w:val="24"/>
        </w:rPr>
        <w:tab/>
        <w:t>Comparative Economics 37, 91-105.</w:t>
      </w:r>
    </w:p>
    <w:p w14:paraId="028E9CFE" w14:textId="77777777" w:rsidR="00A87B08" w:rsidRDefault="00A87B08" w:rsidP="002C37FD">
      <w:pPr>
        <w:pStyle w:val="NoSpacing"/>
        <w:spacing w:line="360" w:lineRule="auto"/>
        <w:rPr>
          <w:rFonts w:asciiTheme="majorHAnsi" w:hAnsiTheme="majorHAnsi"/>
          <w:i/>
          <w:sz w:val="24"/>
        </w:rPr>
      </w:pPr>
    </w:p>
    <w:p w14:paraId="34296D47" w14:textId="22E4BE3A" w:rsidR="00A87B08" w:rsidRPr="00A87B08" w:rsidRDefault="00A87B08" w:rsidP="002C37FD">
      <w:pPr>
        <w:pStyle w:val="NoSpacing"/>
        <w:spacing w:line="360" w:lineRule="auto"/>
        <w:rPr>
          <w:rFonts w:asciiTheme="majorHAnsi" w:hAnsiTheme="majorHAnsi"/>
          <w:i/>
          <w:sz w:val="24"/>
        </w:rPr>
      </w:pPr>
      <w:proofErr w:type="spellStart"/>
      <w:r>
        <w:rPr>
          <w:rFonts w:asciiTheme="majorHAnsi" w:hAnsiTheme="majorHAnsi"/>
          <w:sz w:val="24"/>
        </w:rPr>
        <w:t>Kikeri</w:t>
      </w:r>
      <w:proofErr w:type="spellEnd"/>
      <w:r>
        <w:rPr>
          <w:rFonts w:asciiTheme="majorHAnsi" w:hAnsiTheme="majorHAnsi"/>
          <w:sz w:val="24"/>
        </w:rPr>
        <w:t xml:space="preserve">, S. (1998), ‘Privatization and Labor’, </w:t>
      </w:r>
      <w:r>
        <w:rPr>
          <w:rFonts w:asciiTheme="majorHAnsi" w:hAnsiTheme="majorHAnsi"/>
          <w:i/>
          <w:sz w:val="24"/>
        </w:rPr>
        <w:t>World Bank Technical Paper 396.</w:t>
      </w:r>
    </w:p>
    <w:p w14:paraId="7A1EB93C" w14:textId="77777777" w:rsidR="00C8508E" w:rsidRPr="00C8508E" w:rsidRDefault="00C8508E" w:rsidP="002C37FD">
      <w:pPr>
        <w:pStyle w:val="NoSpacing"/>
        <w:spacing w:line="360" w:lineRule="auto"/>
        <w:rPr>
          <w:rFonts w:asciiTheme="majorHAnsi" w:hAnsiTheme="majorHAnsi"/>
          <w:i/>
          <w:sz w:val="24"/>
        </w:rPr>
      </w:pPr>
    </w:p>
    <w:p w14:paraId="4667F8C4" w14:textId="77777777" w:rsidR="00893B94" w:rsidRPr="00F14751" w:rsidRDefault="00D573EF" w:rsidP="002C37FD">
      <w:pPr>
        <w:pStyle w:val="NoSpacing"/>
        <w:spacing w:line="360" w:lineRule="auto"/>
        <w:rPr>
          <w:rFonts w:asciiTheme="majorHAnsi" w:hAnsiTheme="majorHAnsi"/>
          <w:i/>
          <w:sz w:val="24"/>
        </w:rPr>
      </w:pPr>
      <w:r w:rsidRPr="00F14751">
        <w:rPr>
          <w:rFonts w:asciiTheme="majorHAnsi" w:hAnsiTheme="majorHAnsi"/>
          <w:sz w:val="24"/>
        </w:rPr>
        <w:t xml:space="preserve">Kuznets, S. (1955), ‘Economic Growth and Income Inequality’, </w:t>
      </w:r>
      <w:r w:rsidRPr="00F14751">
        <w:rPr>
          <w:rFonts w:asciiTheme="majorHAnsi" w:hAnsiTheme="majorHAnsi"/>
          <w:i/>
          <w:sz w:val="24"/>
        </w:rPr>
        <w:t>The American Economic</w:t>
      </w:r>
      <w:r w:rsidRPr="00F14751">
        <w:rPr>
          <w:rFonts w:asciiTheme="majorHAnsi" w:hAnsiTheme="majorHAnsi"/>
          <w:i/>
          <w:sz w:val="24"/>
        </w:rPr>
        <w:tab/>
        <w:t>Review, Vol XLV, March 1955, Number one.</w:t>
      </w:r>
    </w:p>
    <w:p w14:paraId="1DBF4129" w14:textId="77777777" w:rsidR="00D573EF" w:rsidRPr="00F14751" w:rsidRDefault="00D573EF" w:rsidP="002C37FD">
      <w:pPr>
        <w:pStyle w:val="NoSpacing"/>
        <w:spacing w:line="360" w:lineRule="auto"/>
        <w:rPr>
          <w:rFonts w:asciiTheme="majorHAnsi" w:hAnsiTheme="majorHAnsi"/>
          <w:sz w:val="24"/>
        </w:rPr>
      </w:pPr>
    </w:p>
    <w:p w14:paraId="4D338016" w14:textId="77777777" w:rsidR="00F85802" w:rsidRPr="00F14751" w:rsidRDefault="00893B94" w:rsidP="002C37FD">
      <w:pPr>
        <w:pStyle w:val="NoSpacing"/>
        <w:spacing w:line="360" w:lineRule="auto"/>
        <w:rPr>
          <w:rFonts w:asciiTheme="majorHAnsi" w:hAnsiTheme="majorHAnsi"/>
          <w:i/>
          <w:sz w:val="24"/>
        </w:rPr>
      </w:pPr>
      <w:r w:rsidRPr="00F14751">
        <w:rPr>
          <w:rFonts w:asciiTheme="majorHAnsi" w:hAnsiTheme="majorHAnsi"/>
          <w:sz w:val="24"/>
        </w:rPr>
        <w:t>Lora, E. (2012), ‘Structural Reforms in Latin America: What Has Been Reformed and</w:t>
      </w:r>
      <w:r w:rsidR="00B56237" w:rsidRPr="00F14751">
        <w:rPr>
          <w:rFonts w:asciiTheme="majorHAnsi" w:hAnsiTheme="majorHAnsi"/>
          <w:sz w:val="24"/>
        </w:rPr>
        <w:tab/>
      </w:r>
      <w:r w:rsidRPr="00F14751">
        <w:rPr>
          <w:rFonts w:asciiTheme="majorHAnsi" w:hAnsiTheme="majorHAnsi"/>
          <w:sz w:val="24"/>
        </w:rPr>
        <w:t xml:space="preserve"> How to Measure It (Updated Version)’, </w:t>
      </w:r>
      <w:r w:rsidR="00B56237" w:rsidRPr="00F14751">
        <w:rPr>
          <w:rFonts w:asciiTheme="majorHAnsi" w:hAnsiTheme="majorHAnsi"/>
          <w:i/>
          <w:sz w:val="24"/>
        </w:rPr>
        <w:t>Inter-American Development Bank</w:t>
      </w:r>
      <w:r w:rsidRPr="00F14751">
        <w:rPr>
          <w:rFonts w:asciiTheme="majorHAnsi" w:hAnsiTheme="majorHAnsi"/>
          <w:i/>
          <w:sz w:val="24"/>
        </w:rPr>
        <w:t>,</w:t>
      </w:r>
      <w:r w:rsidR="00B56237" w:rsidRPr="00F14751">
        <w:rPr>
          <w:rFonts w:asciiTheme="majorHAnsi" w:hAnsiTheme="majorHAnsi"/>
          <w:i/>
          <w:sz w:val="24"/>
        </w:rPr>
        <w:tab/>
      </w:r>
      <w:r w:rsidR="00B56237" w:rsidRPr="00F14751">
        <w:rPr>
          <w:rFonts w:asciiTheme="majorHAnsi" w:hAnsiTheme="majorHAnsi"/>
          <w:i/>
          <w:sz w:val="24"/>
        </w:rPr>
        <w:tab/>
      </w:r>
      <w:r w:rsidRPr="00F14751">
        <w:rPr>
          <w:rFonts w:asciiTheme="majorHAnsi" w:hAnsiTheme="majorHAnsi"/>
          <w:i/>
          <w:sz w:val="24"/>
        </w:rPr>
        <w:t xml:space="preserve"> Working Papers series No. IDB-WP-346.</w:t>
      </w:r>
    </w:p>
    <w:p w14:paraId="4BC59CB1" w14:textId="77777777" w:rsidR="00893B94" w:rsidRPr="00F14751" w:rsidRDefault="00893B94" w:rsidP="002C37FD">
      <w:pPr>
        <w:pStyle w:val="NoSpacing"/>
        <w:spacing w:line="360" w:lineRule="auto"/>
        <w:rPr>
          <w:rFonts w:asciiTheme="majorHAnsi" w:hAnsiTheme="majorHAnsi"/>
          <w:sz w:val="24"/>
        </w:rPr>
      </w:pPr>
    </w:p>
    <w:p w14:paraId="7718FDD3" w14:textId="77777777" w:rsidR="008F3A88" w:rsidRPr="00F14751" w:rsidRDefault="008F3A88" w:rsidP="002C37FD">
      <w:pPr>
        <w:pStyle w:val="NoSpacing"/>
        <w:spacing w:line="360" w:lineRule="auto"/>
        <w:rPr>
          <w:rFonts w:asciiTheme="majorHAnsi" w:hAnsiTheme="majorHAnsi"/>
          <w:i/>
          <w:sz w:val="24"/>
        </w:rPr>
      </w:pPr>
      <w:r w:rsidRPr="00F14751">
        <w:rPr>
          <w:rFonts w:asciiTheme="majorHAnsi" w:hAnsiTheme="majorHAnsi"/>
          <w:sz w:val="24"/>
        </w:rPr>
        <w:t>Morley, S.A. (2000</w:t>
      </w:r>
      <w:r w:rsidR="00F85802" w:rsidRPr="00F14751">
        <w:rPr>
          <w:rFonts w:asciiTheme="majorHAnsi" w:hAnsiTheme="majorHAnsi"/>
          <w:sz w:val="24"/>
        </w:rPr>
        <w:t>), ‘The effects of growth and economic reform on income distribution</w:t>
      </w:r>
      <w:r w:rsidR="00B56237" w:rsidRPr="00F14751">
        <w:rPr>
          <w:rFonts w:asciiTheme="majorHAnsi" w:hAnsiTheme="majorHAnsi"/>
          <w:sz w:val="24"/>
        </w:rPr>
        <w:tab/>
      </w:r>
      <w:r w:rsidR="00F85802" w:rsidRPr="00F14751">
        <w:rPr>
          <w:rFonts w:asciiTheme="majorHAnsi" w:hAnsiTheme="majorHAnsi"/>
          <w:sz w:val="24"/>
        </w:rPr>
        <w:t xml:space="preserve"> in Latin America’, </w:t>
      </w:r>
      <w:proofErr w:type="spellStart"/>
      <w:r w:rsidR="00F85802" w:rsidRPr="00F14751">
        <w:rPr>
          <w:rFonts w:asciiTheme="majorHAnsi" w:hAnsiTheme="majorHAnsi"/>
          <w:i/>
          <w:sz w:val="24"/>
        </w:rPr>
        <w:t>Cepal</w:t>
      </w:r>
      <w:proofErr w:type="spellEnd"/>
      <w:r w:rsidR="00F85802" w:rsidRPr="00F14751">
        <w:rPr>
          <w:rFonts w:asciiTheme="majorHAnsi" w:hAnsiTheme="majorHAnsi"/>
          <w:i/>
          <w:sz w:val="24"/>
        </w:rPr>
        <w:t xml:space="preserve"> Review 71, August 2000</w:t>
      </w:r>
      <w:r w:rsidR="007B073E" w:rsidRPr="00F14751">
        <w:rPr>
          <w:rFonts w:asciiTheme="majorHAnsi" w:hAnsiTheme="majorHAnsi"/>
          <w:i/>
          <w:sz w:val="24"/>
        </w:rPr>
        <w:t>.</w:t>
      </w:r>
    </w:p>
    <w:p w14:paraId="14CE8B74" w14:textId="77777777" w:rsidR="003B1602" w:rsidRPr="00F14751" w:rsidRDefault="003B1602" w:rsidP="002C37FD">
      <w:pPr>
        <w:pStyle w:val="NoSpacing"/>
        <w:spacing w:line="360" w:lineRule="auto"/>
        <w:rPr>
          <w:rFonts w:asciiTheme="majorHAnsi" w:hAnsiTheme="majorHAnsi"/>
          <w:sz w:val="24"/>
        </w:rPr>
      </w:pPr>
    </w:p>
    <w:p w14:paraId="454E92D9" w14:textId="0A69B29A" w:rsidR="001C618D" w:rsidRDefault="008F3A88" w:rsidP="002C37FD">
      <w:pPr>
        <w:pStyle w:val="NoSpacing"/>
        <w:spacing w:line="360" w:lineRule="auto"/>
        <w:rPr>
          <w:rFonts w:asciiTheme="majorHAnsi" w:hAnsiTheme="majorHAnsi"/>
          <w:i/>
          <w:sz w:val="24"/>
        </w:rPr>
      </w:pPr>
      <w:r w:rsidRPr="00F14751">
        <w:rPr>
          <w:rFonts w:asciiTheme="majorHAnsi" w:hAnsiTheme="majorHAnsi"/>
          <w:sz w:val="24"/>
        </w:rPr>
        <w:t>Morley, S.A. (2001), ‘The income distribution problem in Latin America and</w:t>
      </w:r>
      <w:r w:rsidR="00543B11" w:rsidRPr="00F14751">
        <w:rPr>
          <w:rFonts w:asciiTheme="majorHAnsi" w:hAnsiTheme="majorHAnsi"/>
          <w:sz w:val="24"/>
        </w:rPr>
        <w:tab/>
      </w:r>
      <w:r w:rsidRPr="00F14751">
        <w:rPr>
          <w:rFonts w:asciiTheme="majorHAnsi" w:hAnsiTheme="majorHAnsi"/>
          <w:sz w:val="24"/>
        </w:rPr>
        <w:t xml:space="preserve"> the</w:t>
      </w:r>
      <w:r w:rsidR="007E41E2">
        <w:rPr>
          <w:rFonts w:asciiTheme="majorHAnsi" w:hAnsiTheme="majorHAnsi"/>
          <w:sz w:val="24"/>
        </w:rPr>
        <w:t xml:space="preserve"> </w:t>
      </w:r>
      <w:r w:rsidR="007E41E2">
        <w:rPr>
          <w:rFonts w:asciiTheme="majorHAnsi" w:hAnsiTheme="majorHAnsi"/>
          <w:sz w:val="24"/>
        </w:rPr>
        <w:tab/>
      </w:r>
      <w:r w:rsidRPr="00F14751">
        <w:rPr>
          <w:rFonts w:asciiTheme="majorHAnsi" w:hAnsiTheme="majorHAnsi"/>
          <w:sz w:val="24"/>
        </w:rPr>
        <w:t xml:space="preserve">Caribbean’, </w:t>
      </w:r>
      <w:r w:rsidR="000D74CA" w:rsidRPr="00F14751">
        <w:rPr>
          <w:rFonts w:asciiTheme="majorHAnsi" w:hAnsiTheme="majorHAnsi"/>
          <w:i/>
          <w:sz w:val="24"/>
        </w:rPr>
        <w:t xml:space="preserve">United Nations Publication </w:t>
      </w:r>
      <w:proofErr w:type="spellStart"/>
      <w:r w:rsidR="001C618D">
        <w:rPr>
          <w:rFonts w:asciiTheme="majorHAnsi" w:hAnsiTheme="majorHAnsi"/>
          <w:i/>
          <w:sz w:val="24"/>
        </w:rPr>
        <w:t>Cepal</w:t>
      </w:r>
      <w:proofErr w:type="spellEnd"/>
      <w:r w:rsidR="001C618D">
        <w:rPr>
          <w:rFonts w:asciiTheme="majorHAnsi" w:hAnsiTheme="majorHAnsi"/>
          <w:i/>
          <w:sz w:val="24"/>
        </w:rPr>
        <w:t>, Santiago, Chile, 2001.</w:t>
      </w:r>
    </w:p>
    <w:p w14:paraId="790E0A93" w14:textId="77777777" w:rsidR="001C618D" w:rsidRDefault="001C618D" w:rsidP="002C37FD">
      <w:pPr>
        <w:pStyle w:val="NoSpacing"/>
        <w:spacing w:line="360" w:lineRule="auto"/>
        <w:rPr>
          <w:rFonts w:asciiTheme="majorHAnsi" w:hAnsiTheme="majorHAnsi"/>
          <w:i/>
          <w:sz w:val="24"/>
        </w:rPr>
      </w:pPr>
    </w:p>
    <w:p w14:paraId="2AB8B36C" w14:textId="6568DED9" w:rsidR="001C618D" w:rsidRDefault="001C618D" w:rsidP="002C37FD">
      <w:pPr>
        <w:pStyle w:val="NoSpacing"/>
        <w:spacing w:line="360" w:lineRule="auto"/>
        <w:rPr>
          <w:rFonts w:asciiTheme="majorHAnsi" w:hAnsiTheme="majorHAnsi"/>
          <w:i/>
          <w:sz w:val="24"/>
        </w:rPr>
      </w:pPr>
      <w:proofErr w:type="spellStart"/>
      <w:r>
        <w:rPr>
          <w:rFonts w:asciiTheme="majorHAnsi" w:hAnsiTheme="majorHAnsi"/>
          <w:sz w:val="24"/>
        </w:rPr>
        <w:t>Ocampo</w:t>
      </w:r>
      <w:proofErr w:type="spellEnd"/>
      <w:r>
        <w:rPr>
          <w:rFonts w:asciiTheme="majorHAnsi" w:hAnsiTheme="majorHAnsi"/>
          <w:sz w:val="24"/>
        </w:rPr>
        <w:t>, J.A. (2004), ‘Latin America’s Growth and Equity Frustrations During Structural</w:t>
      </w:r>
      <w:r>
        <w:rPr>
          <w:rFonts w:asciiTheme="majorHAnsi" w:hAnsiTheme="majorHAnsi"/>
          <w:sz w:val="24"/>
        </w:rPr>
        <w:tab/>
        <w:t xml:space="preserve">Reforms’, </w:t>
      </w:r>
      <w:r>
        <w:rPr>
          <w:rFonts w:asciiTheme="majorHAnsi" w:hAnsiTheme="majorHAnsi"/>
          <w:i/>
          <w:sz w:val="24"/>
        </w:rPr>
        <w:t>Journal of Economic Perspectives, Volume 18, Number 2, Spring 2004,</w:t>
      </w:r>
      <w:r>
        <w:rPr>
          <w:rFonts w:asciiTheme="majorHAnsi" w:hAnsiTheme="majorHAnsi"/>
          <w:i/>
          <w:sz w:val="24"/>
        </w:rPr>
        <w:tab/>
        <w:t xml:space="preserve">Pages 67-88. </w:t>
      </w:r>
    </w:p>
    <w:p w14:paraId="67EF077A" w14:textId="77777777" w:rsidR="006D2CD1" w:rsidRPr="00F14751" w:rsidRDefault="006D2CD1" w:rsidP="002C37FD">
      <w:pPr>
        <w:pStyle w:val="NoSpacing"/>
        <w:spacing w:line="360" w:lineRule="auto"/>
        <w:rPr>
          <w:rFonts w:asciiTheme="majorHAnsi" w:hAnsiTheme="majorHAnsi"/>
          <w:i/>
          <w:sz w:val="24"/>
        </w:rPr>
      </w:pPr>
    </w:p>
    <w:p w14:paraId="57FED180" w14:textId="36F8F7B6" w:rsidR="00F85802" w:rsidRPr="00F14751" w:rsidRDefault="007E41E2" w:rsidP="002C37FD">
      <w:pPr>
        <w:pStyle w:val="NoSpacing"/>
        <w:spacing w:line="360" w:lineRule="auto"/>
        <w:rPr>
          <w:rFonts w:asciiTheme="majorHAnsi" w:hAnsiTheme="majorHAnsi"/>
          <w:i/>
          <w:sz w:val="24"/>
        </w:rPr>
      </w:pPr>
      <w:proofErr w:type="spellStart"/>
      <w:r>
        <w:rPr>
          <w:rFonts w:asciiTheme="majorHAnsi" w:hAnsiTheme="majorHAnsi"/>
          <w:sz w:val="24"/>
        </w:rPr>
        <w:t>Studen</w:t>
      </w:r>
      <w:r w:rsidR="006D2CD1" w:rsidRPr="00F14751">
        <w:rPr>
          <w:rFonts w:asciiTheme="majorHAnsi" w:hAnsiTheme="majorHAnsi"/>
          <w:sz w:val="24"/>
        </w:rPr>
        <w:t>mund</w:t>
      </w:r>
      <w:proofErr w:type="spellEnd"/>
      <w:r w:rsidR="006D2CD1" w:rsidRPr="00F14751">
        <w:rPr>
          <w:rFonts w:asciiTheme="majorHAnsi" w:hAnsiTheme="majorHAnsi"/>
          <w:sz w:val="24"/>
        </w:rPr>
        <w:t xml:space="preserve">, A.H. (2011), ‘Using Econometrics, </w:t>
      </w:r>
      <w:proofErr w:type="gramStart"/>
      <w:r w:rsidR="006D2CD1" w:rsidRPr="00F14751">
        <w:rPr>
          <w:rFonts w:asciiTheme="majorHAnsi" w:hAnsiTheme="majorHAnsi"/>
          <w:sz w:val="24"/>
        </w:rPr>
        <w:t>A</w:t>
      </w:r>
      <w:proofErr w:type="gramEnd"/>
      <w:r w:rsidR="006D2CD1" w:rsidRPr="00F14751">
        <w:rPr>
          <w:rFonts w:asciiTheme="majorHAnsi" w:hAnsiTheme="majorHAnsi"/>
          <w:sz w:val="24"/>
        </w:rPr>
        <w:t xml:space="preserve"> Practical Guide. Sixth Edition’ </w:t>
      </w:r>
      <w:r w:rsidR="006D2CD1" w:rsidRPr="00F14751">
        <w:rPr>
          <w:rFonts w:asciiTheme="majorHAnsi" w:hAnsiTheme="majorHAnsi"/>
          <w:i/>
          <w:sz w:val="24"/>
        </w:rPr>
        <w:t>Boston,</w:t>
      </w:r>
      <w:r w:rsidR="006D2CD1" w:rsidRPr="00F14751">
        <w:rPr>
          <w:rFonts w:asciiTheme="majorHAnsi" w:hAnsiTheme="majorHAnsi"/>
          <w:i/>
          <w:sz w:val="24"/>
        </w:rPr>
        <w:tab/>
        <w:t xml:space="preserve"> Addison-Wesley.</w:t>
      </w:r>
    </w:p>
    <w:p w14:paraId="65B7F0D7" w14:textId="77777777" w:rsidR="006D2CD1" w:rsidRPr="00F14751" w:rsidRDefault="006D2CD1" w:rsidP="002C37FD">
      <w:pPr>
        <w:pStyle w:val="NoSpacing"/>
        <w:spacing w:line="360" w:lineRule="auto"/>
        <w:rPr>
          <w:rFonts w:asciiTheme="majorHAnsi" w:hAnsiTheme="majorHAnsi"/>
          <w:i/>
          <w:sz w:val="24"/>
        </w:rPr>
      </w:pPr>
    </w:p>
    <w:p w14:paraId="5C9F6409" w14:textId="77777777" w:rsidR="007F0874" w:rsidRPr="00F14751" w:rsidRDefault="00F85802" w:rsidP="002C37FD">
      <w:pPr>
        <w:pStyle w:val="NoSpacing"/>
        <w:spacing w:line="360" w:lineRule="auto"/>
        <w:rPr>
          <w:rFonts w:asciiTheme="majorHAnsi" w:hAnsiTheme="majorHAnsi"/>
          <w:i/>
          <w:sz w:val="24"/>
        </w:rPr>
      </w:pPr>
      <w:proofErr w:type="spellStart"/>
      <w:r w:rsidRPr="00F14751">
        <w:rPr>
          <w:rFonts w:asciiTheme="majorHAnsi" w:hAnsiTheme="majorHAnsi"/>
          <w:sz w:val="24"/>
        </w:rPr>
        <w:t>Székely</w:t>
      </w:r>
      <w:proofErr w:type="spellEnd"/>
      <w:r w:rsidRPr="00F14751">
        <w:rPr>
          <w:rFonts w:asciiTheme="majorHAnsi" w:hAnsiTheme="majorHAnsi"/>
          <w:sz w:val="24"/>
        </w:rPr>
        <w:t>, M. (2003), ‘</w:t>
      </w:r>
      <w:proofErr w:type="gramStart"/>
      <w:r w:rsidRPr="00F14751">
        <w:rPr>
          <w:rFonts w:asciiTheme="majorHAnsi" w:hAnsiTheme="majorHAnsi"/>
          <w:sz w:val="24"/>
        </w:rPr>
        <w:t>The</w:t>
      </w:r>
      <w:proofErr w:type="gramEnd"/>
      <w:r w:rsidRPr="00F14751">
        <w:rPr>
          <w:rFonts w:asciiTheme="majorHAnsi" w:hAnsiTheme="majorHAnsi"/>
          <w:sz w:val="24"/>
        </w:rPr>
        <w:t xml:space="preserve"> 1990s in Latin America: Another Decade of Persistent</w:t>
      </w:r>
      <w:r w:rsidR="00B56237" w:rsidRPr="00F14751">
        <w:rPr>
          <w:rFonts w:asciiTheme="majorHAnsi" w:hAnsiTheme="majorHAnsi"/>
          <w:sz w:val="24"/>
        </w:rPr>
        <w:tab/>
      </w:r>
      <w:r w:rsidR="00B56237" w:rsidRPr="00F14751">
        <w:rPr>
          <w:rFonts w:asciiTheme="majorHAnsi" w:hAnsiTheme="majorHAnsi"/>
          <w:sz w:val="24"/>
        </w:rPr>
        <w:tab/>
      </w:r>
      <w:r w:rsidRPr="00F14751">
        <w:rPr>
          <w:rFonts w:asciiTheme="majorHAnsi" w:hAnsiTheme="majorHAnsi"/>
          <w:sz w:val="24"/>
        </w:rPr>
        <w:t xml:space="preserve"> Inequality, But With Somewhat Lower Poverty’, </w:t>
      </w:r>
      <w:r w:rsidRPr="00F14751">
        <w:rPr>
          <w:rFonts w:asciiTheme="majorHAnsi" w:hAnsiTheme="majorHAnsi"/>
          <w:i/>
          <w:sz w:val="24"/>
        </w:rPr>
        <w:t>Journal of Applied Economics, Vol</w:t>
      </w:r>
      <w:r w:rsidR="00B56237" w:rsidRPr="00F14751">
        <w:rPr>
          <w:rFonts w:asciiTheme="majorHAnsi" w:hAnsiTheme="majorHAnsi"/>
          <w:i/>
          <w:sz w:val="24"/>
        </w:rPr>
        <w:tab/>
      </w:r>
      <w:r w:rsidRPr="00F14751">
        <w:rPr>
          <w:rFonts w:asciiTheme="majorHAnsi" w:hAnsiTheme="majorHAnsi"/>
          <w:i/>
          <w:sz w:val="24"/>
        </w:rPr>
        <w:t xml:space="preserve"> VI, No. 2 (November 2003), Pp. 317-339</w:t>
      </w:r>
      <w:r w:rsidR="007B073E" w:rsidRPr="00F14751">
        <w:rPr>
          <w:rFonts w:asciiTheme="majorHAnsi" w:hAnsiTheme="majorHAnsi"/>
          <w:i/>
          <w:sz w:val="24"/>
        </w:rPr>
        <w:t>.</w:t>
      </w:r>
    </w:p>
    <w:p w14:paraId="69CD97BE" w14:textId="77777777" w:rsidR="005D07BA" w:rsidRPr="00F14751" w:rsidRDefault="005D07BA" w:rsidP="002C37FD">
      <w:pPr>
        <w:pStyle w:val="NoSpacing"/>
        <w:spacing w:line="360" w:lineRule="auto"/>
        <w:rPr>
          <w:rFonts w:asciiTheme="majorHAnsi" w:hAnsiTheme="majorHAnsi"/>
          <w:i/>
          <w:sz w:val="24"/>
        </w:rPr>
      </w:pPr>
    </w:p>
    <w:p w14:paraId="3C6274BD" w14:textId="70E726E5" w:rsidR="00A87B08" w:rsidRDefault="00A87B08" w:rsidP="002C37FD">
      <w:pPr>
        <w:pStyle w:val="NoSpacing"/>
        <w:spacing w:line="360" w:lineRule="auto"/>
        <w:rPr>
          <w:rFonts w:asciiTheme="majorHAnsi" w:hAnsiTheme="majorHAnsi"/>
          <w:i/>
          <w:sz w:val="24"/>
        </w:rPr>
      </w:pPr>
      <w:proofErr w:type="spellStart"/>
      <w:r>
        <w:rPr>
          <w:rFonts w:asciiTheme="majorHAnsi" w:hAnsiTheme="majorHAnsi"/>
          <w:sz w:val="24"/>
        </w:rPr>
        <w:t>Te</w:t>
      </w:r>
      <w:proofErr w:type="spellEnd"/>
      <w:r>
        <w:rPr>
          <w:rFonts w:asciiTheme="majorHAnsi" w:hAnsiTheme="majorHAnsi"/>
          <w:sz w:val="24"/>
        </w:rPr>
        <w:t xml:space="preserve"> </w:t>
      </w:r>
      <w:proofErr w:type="spellStart"/>
      <w:r>
        <w:rPr>
          <w:rFonts w:asciiTheme="majorHAnsi" w:hAnsiTheme="majorHAnsi"/>
          <w:sz w:val="24"/>
        </w:rPr>
        <w:t>Velde</w:t>
      </w:r>
      <w:proofErr w:type="spellEnd"/>
      <w:r>
        <w:rPr>
          <w:rFonts w:asciiTheme="majorHAnsi" w:hAnsiTheme="majorHAnsi"/>
          <w:sz w:val="24"/>
        </w:rPr>
        <w:t>, D.W. (2003), ‘Foreign Direct Investment and Income Inequality in Latin</w:t>
      </w:r>
      <w:r>
        <w:rPr>
          <w:rFonts w:asciiTheme="majorHAnsi" w:hAnsiTheme="majorHAnsi"/>
          <w:sz w:val="24"/>
        </w:rPr>
        <w:tab/>
        <w:t xml:space="preserve">America’, </w:t>
      </w:r>
      <w:r>
        <w:rPr>
          <w:rFonts w:asciiTheme="majorHAnsi" w:hAnsiTheme="majorHAnsi"/>
          <w:i/>
          <w:sz w:val="24"/>
        </w:rPr>
        <w:t>Overseas Development Institute, April 2003.</w:t>
      </w:r>
    </w:p>
    <w:p w14:paraId="505210F3" w14:textId="77777777" w:rsidR="00A87B08" w:rsidRPr="00A87B08" w:rsidRDefault="00A87B08" w:rsidP="002C37FD">
      <w:pPr>
        <w:pStyle w:val="NoSpacing"/>
        <w:spacing w:line="360" w:lineRule="auto"/>
        <w:rPr>
          <w:rFonts w:asciiTheme="majorHAnsi" w:hAnsiTheme="majorHAnsi"/>
          <w:i/>
          <w:sz w:val="24"/>
        </w:rPr>
      </w:pPr>
    </w:p>
    <w:p w14:paraId="0F433223" w14:textId="77777777" w:rsidR="007F0874" w:rsidRPr="00F14751" w:rsidRDefault="005D07BA" w:rsidP="002C37FD">
      <w:pPr>
        <w:pStyle w:val="NoSpacing"/>
        <w:spacing w:line="360" w:lineRule="auto"/>
        <w:rPr>
          <w:rFonts w:asciiTheme="majorHAnsi" w:hAnsiTheme="majorHAnsi"/>
          <w:i/>
          <w:sz w:val="24"/>
        </w:rPr>
      </w:pPr>
      <w:proofErr w:type="spellStart"/>
      <w:r w:rsidRPr="00F14751">
        <w:rPr>
          <w:rFonts w:asciiTheme="majorHAnsi" w:hAnsiTheme="majorHAnsi"/>
          <w:sz w:val="24"/>
        </w:rPr>
        <w:t>Verbeek</w:t>
      </w:r>
      <w:proofErr w:type="spellEnd"/>
      <w:r w:rsidRPr="00F14751">
        <w:rPr>
          <w:rFonts w:asciiTheme="majorHAnsi" w:hAnsiTheme="majorHAnsi"/>
          <w:sz w:val="24"/>
        </w:rPr>
        <w:t xml:space="preserve">, M. (2012), ‘A Guide to Modern Econometrics. Fourth Edition’, </w:t>
      </w:r>
      <w:r w:rsidRPr="00F14751">
        <w:rPr>
          <w:rFonts w:asciiTheme="majorHAnsi" w:hAnsiTheme="majorHAnsi"/>
          <w:i/>
          <w:sz w:val="24"/>
        </w:rPr>
        <w:t>Wiley</w:t>
      </w:r>
      <w:r w:rsidR="007B073E" w:rsidRPr="00F14751">
        <w:rPr>
          <w:rFonts w:asciiTheme="majorHAnsi" w:hAnsiTheme="majorHAnsi"/>
          <w:i/>
          <w:sz w:val="24"/>
        </w:rPr>
        <w:t>.</w:t>
      </w:r>
    </w:p>
    <w:p w14:paraId="1FE72196" w14:textId="77777777" w:rsidR="007F0874" w:rsidRPr="00F14751" w:rsidRDefault="007F0874" w:rsidP="002C37FD">
      <w:pPr>
        <w:pStyle w:val="NoSpacing"/>
        <w:spacing w:line="360" w:lineRule="auto"/>
        <w:rPr>
          <w:rFonts w:asciiTheme="majorHAnsi" w:hAnsiTheme="majorHAnsi"/>
          <w:i/>
          <w:sz w:val="24"/>
        </w:rPr>
      </w:pPr>
    </w:p>
    <w:p w14:paraId="01004C2A" w14:textId="4104FDC8" w:rsidR="00FF4422" w:rsidRPr="00F14751" w:rsidRDefault="002C37FD" w:rsidP="002C37FD">
      <w:pPr>
        <w:pStyle w:val="NoSpacing"/>
        <w:spacing w:line="360" w:lineRule="auto"/>
        <w:rPr>
          <w:rFonts w:asciiTheme="majorHAnsi" w:hAnsiTheme="majorHAnsi"/>
          <w:sz w:val="24"/>
          <w:szCs w:val="24"/>
        </w:rPr>
      </w:pPr>
      <w:r>
        <w:rPr>
          <w:rFonts w:asciiTheme="majorHAnsi" w:hAnsiTheme="majorHAnsi"/>
          <w:sz w:val="24"/>
        </w:rPr>
        <w:t xml:space="preserve">World </w:t>
      </w:r>
      <w:r w:rsidR="00EB7F66" w:rsidRPr="00F14751">
        <w:rPr>
          <w:rFonts w:asciiTheme="majorHAnsi" w:hAnsiTheme="majorHAnsi"/>
          <w:sz w:val="24"/>
        </w:rPr>
        <w:t>Bank (2015),</w:t>
      </w:r>
      <w:r w:rsidR="00EB7F66" w:rsidRPr="00F14751">
        <w:rPr>
          <w:rFonts w:asciiTheme="majorHAnsi" w:hAnsiTheme="majorHAnsi"/>
          <w:i/>
          <w:sz w:val="24"/>
        </w:rPr>
        <w:t xml:space="preserve"> </w:t>
      </w:r>
      <w:r w:rsidR="00EB7F66" w:rsidRPr="00F14751">
        <w:rPr>
          <w:rFonts w:asciiTheme="majorHAnsi" w:hAnsiTheme="majorHAnsi"/>
          <w:sz w:val="24"/>
        </w:rPr>
        <w:t xml:space="preserve">World Development Indicators Database, </w:t>
      </w:r>
      <w:r w:rsidR="00EB7F66" w:rsidRPr="00F14751">
        <w:rPr>
          <w:rFonts w:asciiTheme="majorHAnsi" w:hAnsiTheme="majorHAnsi"/>
          <w:i/>
          <w:sz w:val="24"/>
        </w:rPr>
        <w:t>Washington, DC</w:t>
      </w:r>
      <w:r w:rsidR="00FF4422" w:rsidRPr="00F14751">
        <w:rPr>
          <w:rFonts w:asciiTheme="majorHAnsi" w:hAnsiTheme="majorHAnsi"/>
          <w:i/>
          <w:sz w:val="24"/>
        </w:rPr>
        <w:t>,</w:t>
      </w:r>
      <w:r w:rsidR="00FF4422" w:rsidRPr="00F14751">
        <w:rPr>
          <w:rFonts w:asciiTheme="majorHAnsi" w:hAnsiTheme="majorHAnsi"/>
          <w:i/>
          <w:sz w:val="24"/>
        </w:rPr>
        <w:tab/>
      </w:r>
      <w:r w:rsidR="00FF4422" w:rsidRPr="00F14751">
        <w:rPr>
          <w:rFonts w:asciiTheme="majorHAnsi" w:hAnsiTheme="majorHAnsi"/>
          <w:i/>
          <w:sz w:val="24"/>
          <w:szCs w:val="24"/>
        </w:rPr>
        <w:t>retrieved from:</w:t>
      </w:r>
      <w:r w:rsidR="00FF4422" w:rsidRPr="00F14751">
        <w:rPr>
          <w:rFonts w:asciiTheme="majorHAnsi" w:hAnsiTheme="majorHAnsi"/>
          <w:sz w:val="24"/>
          <w:szCs w:val="24"/>
        </w:rPr>
        <w:t xml:space="preserve"> </w:t>
      </w:r>
      <w:hyperlink r:id="rId21" w:history="1">
        <w:r w:rsidR="00FF4422" w:rsidRPr="00F14751">
          <w:rPr>
            <w:rStyle w:val="Hyperlink"/>
            <w:rFonts w:asciiTheme="majorHAnsi" w:hAnsiTheme="majorHAnsi"/>
            <w:i/>
            <w:sz w:val="24"/>
            <w:szCs w:val="24"/>
          </w:rPr>
          <w:t>www.data.worldbank.org</w:t>
        </w:r>
      </w:hyperlink>
      <w:r w:rsidR="00FF4422" w:rsidRPr="00F14751">
        <w:rPr>
          <w:rFonts w:asciiTheme="majorHAnsi" w:hAnsiTheme="majorHAnsi"/>
          <w:i/>
          <w:sz w:val="24"/>
          <w:szCs w:val="24"/>
        </w:rPr>
        <w:t xml:space="preserve"> </w:t>
      </w:r>
    </w:p>
    <w:p w14:paraId="0376A47A" w14:textId="77777777" w:rsidR="004B6670" w:rsidRPr="00F14751" w:rsidRDefault="004B6670" w:rsidP="00C8508E">
      <w:pPr>
        <w:pStyle w:val="NoSpacing"/>
        <w:spacing w:line="360" w:lineRule="auto"/>
        <w:jc w:val="both"/>
        <w:rPr>
          <w:rFonts w:asciiTheme="majorHAnsi" w:hAnsiTheme="majorHAnsi"/>
          <w:i/>
          <w:sz w:val="24"/>
        </w:rPr>
        <w:sectPr w:rsidR="004B6670" w:rsidRPr="00F14751" w:rsidSect="00B278CE">
          <w:pgSz w:w="11906" w:h="16838"/>
          <w:pgMar w:top="1417" w:right="1417" w:bottom="1417" w:left="1417" w:header="708" w:footer="708" w:gutter="0"/>
          <w:cols w:space="708"/>
          <w:docGrid w:linePitch="360"/>
        </w:sectPr>
      </w:pPr>
    </w:p>
    <w:p w14:paraId="79909F28" w14:textId="77777777" w:rsidR="004B6670" w:rsidRPr="00F14751" w:rsidRDefault="004B6670" w:rsidP="00C8508E">
      <w:pPr>
        <w:pStyle w:val="NoSpacing"/>
        <w:spacing w:line="360" w:lineRule="auto"/>
        <w:jc w:val="both"/>
        <w:rPr>
          <w:rFonts w:asciiTheme="majorHAnsi" w:hAnsiTheme="majorHAnsi"/>
          <w:b/>
          <w:sz w:val="28"/>
        </w:rPr>
      </w:pPr>
      <w:r w:rsidRPr="00F14751">
        <w:rPr>
          <w:rFonts w:asciiTheme="majorHAnsi" w:hAnsiTheme="majorHAnsi"/>
          <w:b/>
          <w:sz w:val="28"/>
        </w:rPr>
        <w:t>Appendix</w:t>
      </w:r>
    </w:p>
    <w:p w14:paraId="3C36A7C4" w14:textId="77777777" w:rsidR="004B6670" w:rsidRPr="00E56869" w:rsidRDefault="004B6670" w:rsidP="00C8508E">
      <w:pPr>
        <w:pStyle w:val="NoSpacing"/>
        <w:spacing w:line="360" w:lineRule="auto"/>
        <w:jc w:val="both"/>
        <w:rPr>
          <w:rFonts w:asciiTheme="majorHAnsi" w:hAnsiTheme="majorHAnsi"/>
          <w:sz w:val="24"/>
        </w:rPr>
      </w:pPr>
    </w:p>
    <w:p w14:paraId="17CEE9E4" w14:textId="5C5243CA" w:rsidR="004B6670" w:rsidRPr="00F14751" w:rsidRDefault="005E594F" w:rsidP="00C8508E">
      <w:pPr>
        <w:pStyle w:val="NoSpacing"/>
        <w:spacing w:line="360" w:lineRule="auto"/>
        <w:jc w:val="both"/>
        <w:rPr>
          <w:rFonts w:asciiTheme="majorHAnsi" w:hAnsiTheme="majorHAnsi"/>
          <w:sz w:val="24"/>
        </w:rPr>
      </w:pPr>
      <w:r>
        <w:rPr>
          <w:rFonts w:asciiTheme="majorHAnsi" w:hAnsiTheme="majorHAnsi"/>
          <w:sz w:val="24"/>
        </w:rPr>
        <w:t>1. Correlation m</w:t>
      </w:r>
      <w:r w:rsidR="004B6670" w:rsidRPr="00F14751">
        <w:rPr>
          <w:rFonts w:asciiTheme="majorHAnsi" w:hAnsiTheme="majorHAnsi"/>
          <w:sz w:val="24"/>
        </w:rPr>
        <w:t>atrix</w:t>
      </w:r>
    </w:p>
    <w:tbl>
      <w:tblPr>
        <w:tblStyle w:val="TableGrid"/>
        <w:tblW w:w="16354" w:type="dxa"/>
        <w:jc w:val="center"/>
        <w:tblLayout w:type="fixed"/>
        <w:tblLook w:val="04A0" w:firstRow="1" w:lastRow="0" w:firstColumn="1" w:lastColumn="0" w:noHBand="0" w:noVBand="1"/>
      </w:tblPr>
      <w:tblGrid>
        <w:gridCol w:w="1264"/>
        <w:gridCol w:w="887"/>
        <w:gridCol w:w="888"/>
        <w:gridCol w:w="887"/>
        <w:gridCol w:w="888"/>
        <w:gridCol w:w="888"/>
        <w:gridCol w:w="887"/>
        <w:gridCol w:w="888"/>
        <w:gridCol w:w="888"/>
        <w:gridCol w:w="887"/>
        <w:gridCol w:w="888"/>
        <w:gridCol w:w="888"/>
        <w:gridCol w:w="887"/>
        <w:gridCol w:w="888"/>
        <w:gridCol w:w="888"/>
        <w:gridCol w:w="887"/>
        <w:gridCol w:w="888"/>
        <w:gridCol w:w="888"/>
      </w:tblGrid>
      <w:tr w:rsidR="004B6670" w:rsidRPr="00F14751" w14:paraId="0EBF6430" w14:textId="77777777" w:rsidTr="009824F5">
        <w:trPr>
          <w:trHeight w:val="394"/>
          <w:jc w:val="center"/>
        </w:trPr>
        <w:tc>
          <w:tcPr>
            <w:tcW w:w="1264" w:type="dxa"/>
          </w:tcPr>
          <w:p w14:paraId="77EF8194" w14:textId="77777777" w:rsidR="004B6670" w:rsidRPr="007174B5" w:rsidRDefault="004B6670" w:rsidP="00C8508E">
            <w:pPr>
              <w:pStyle w:val="NoSpacing"/>
              <w:spacing w:line="360" w:lineRule="auto"/>
              <w:jc w:val="both"/>
              <w:rPr>
                <w:rFonts w:asciiTheme="majorHAnsi" w:hAnsiTheme="majorHAnsi"/>
                <w:sz w:val="16"/>
                <w:szCs w:val="16"/>
              </w:rPr>
            </w:pPr>
          </w:p>
        </w:tc>
        <w:tc>
          <w:tcPr>
            <w:tcW w:w="887" w:type="dxa"/>
            <w:vAlign w:val="center"/>
          </w:tcPr>
          <w:p w14:paraId="3A4AFBFC"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PHR ($2)</w:t>
            </w:r>
          </w:p>
        </w:tc>
        <w:tc>
          <w:tcPr>
            <w:tcW w:w="888" w:type="dxa"/>
            <w:vAlign w:val="center"/>
          </w:tcPr>
          <w:p w14:paraId="69B1B7B4"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PHR ($1.25)</w:t>
            </w:r>
          </w:p>
        </w:tc>
        <w:tc>
          <w:tcPr>
            <w:tcW w:w="887" w:type="dxa"/>
            <w:vAlign w:val="center"/>
          </w:tcPr>
          <w:p w14:paraId="61E16754"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PGR ($2)</w:t>
            </w:r>
          </w:p>
        </w:tc>
        <w:tc>
          <w:tcPr>
            <w:tcW w:w="888" w:type="dxa"/>
            <w:vAlign w:val="center"/>
          </w:tcPr>
          <w:p w14:paraId="1F45F3C9"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PGR ($1.25)</w:t>
            </w:r>
          </w:p>
        </w:tc>
        <w:tc>
          <w:tcPr>
            <w:tcW w:w="888" w:type="dxa"/>
            <w:vAlign w:val="center"/>
          </w:tcPr>
          <w:p w14:paraId="59A61992" w14:textId="77777777" w:rsidR="004B6670" w:rsidRPr="007174B5" w:rsidRDefault="004B6670" w:rsidP="009824F5">
            <w:pPr>
              <w:pStyle w:val="NoSpacing"/>
              <w:spacing w:line="360" w:lineRule="auto"/>
              <w:jc w:val="center"/>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($2)</w:t>
            </w:r>
          </w:p>
        </w:tc>
        <w:tc>
          <w:tcPr>
            <w:tcW w:w="887" w:type="dxa"/>
            <w:vAlign w:val="center"/>
          </w:tcPr>
          <w:p w14:paraId="542FCEAE" w14:textId="77777777" w:rsidR="004B6670" w:rsidRPr="007174B5" w:rsidRDefault="004B6670" w:rsidP="009824F5">
            <w:pPr>
              <w:pStyle w:val="NoSpacing"/>
              <w:spacing w:line="360" w:lineRule="auto"/>
              <w:jc w:val="center"/>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($1.25)</w:t>
            </w:r>
          </w:p>
        </w:tc>
        <w:tc>
          <w:tcPr>
            <w:tcW w:w="888" w:type="dxa"/>
            <w:vAlign w:val="center"/>
          </w:tcPr>
          <w:p w14:paraId="4918BE7B"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cs="Times New Roman"/>
                <w:sz w:val="16"/>
                <w:szCs w:val="16"/>
              </w:rPr>
              <w:t>Gini</w:t>
            </w:r>
          </w:p>
        </w:tc>
        <w:tc>
          <w:tcPr>
            <w:tcW w:w="888" w:type="dxa"/>
            <w:vAlign w:val="center"/>
          </w:tcPr>
          <w:p w14:paraId="55504348"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D1</w:t>
            </w:r>
          </w:p>
        </w:tc>
        <w:tc>
          <w:tcPr>
            <w:tcW w:w="887" w:type="dxa"/>
            <w:vAlign w:val="center"/>
          </w:tcPr>
          <w:p w14:paraId="03320FC1"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D2</w:t>
            </w:r>
          </w:p>
        </w:tc>
        <w:tc>
          <w:tcPr>
            <w:tcW w:w="888" w:type="dxa"/>
            <w:vAlign w:val="center"/>
          </w:tcPr>
          <w:p w14:paraId="3293167D"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Q1</w:t>
            </w:r>
          </w:p>
        </w:tc>
        <w:tc>
          <w:tcPr>
            <w:tcW w:w="888" w:type="dxa"/>
            <w:vAlign w:val="center"/>
          </w:tcPr>
          <w:p w14:paraId="4FD275CE"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Q2</w:t>
            </w:r>
          </w:p>
        </w:tc>
        <w:tc>
          <w:tcPr>
            <w:tcW w:w="887" w:type="dxa"/>
            <w:vAlign w:val="center"/>
          </w:tcPr>
          <w:p w14:paraId="57FE39C0"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Q3</w:t>
            </w:r>
          </w:p>
        </w:tc>
        <w:tc>
          <w:tcPr>
            <w:tcW w:w="888" w:type="dxa"/>
            <w:vAlign w:val="center"/>
          </w:tcPr>
          <w:p w14:paraId="4EFA5364"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Q4</w:t>
            </w:r>
          </w:p>
        </w:tc>
        <w:tc>
          <w:tcPr>
            <w:tcW w:w="888" w:type="dxa"/>
            <w:vAlign w:val="center"/>
          </w:tcPr>
          <w:p w14:paraId="745DF898"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Q5</w:t>
            </w:r>
          </w:p>
        </w:tc>
        <w:tc>
          <w:tcPr>
            <w:tcW w:w="887" w:type="dxa"/>
            <w:vAlign w:val="center"/>
          </w:tcPr>
          <w:p w14:paraId="5416D42E"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D9</w:t>
            </w:r>
          </w:p>
        </w:tc>
        <w:tc>
          <w:tcPr>
            <w:tcW w:w="888" w:type="dxa"/>
            <w:vAlign w:val="center"/>
          </w:tcPr>
          <w:p w14:paraId="0AD6D762" w14:textId="77777777" w:rsidR="004B6670"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D10</w:t>
            </w:r>
          </w:p>
        </w:tc>
        <w:tc>
          <w:tcPr>
            <w:tcW w:w="888" w:type="dxa"/>
            <w:vAlign w:val="center"/>
          </w:tcPr>
          <w:p w14:paraId="6F1188F0"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SRI</w:t>
            </w:r>
          </w:p>
        </w:tc>
      </w:tr>
      <w:tr w:rsidR="004B6670" w:rsidRPr="00F14751" w14:paraId="2FC88F21" w14:textId="77777777" w:rsidTr="009824F5">
        <w:trPr>
          <w:trHeight w:val="394"/>
          <w:jc w:val="center"/>
        </w:trPr>
        <w:tc>
          <w:tcPr>
            <w:tcW w:w="1264" w:type="dxa"/>
            <w:vAlign w:val="center"/>
          </w:tcPr>
          <w:p w14:paraId="5F7348CC" w14:textId="77777777" w:rsidR="004B6670" w:rsidRPr="007174B5" w:rsidRDefault="004B6670"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PHR ($2)</w:t>
            </w:r>
          </w:p>
        </w:tc>
        <w:tc>
          <w:tcPr>
            <w:tcW w:w="887" w:type="dxa"/>
            <w:vAlign w:val="center"/>
          </w:tcPr>
          <w:p w14:paraId="64BC9F43"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3336AF6C"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53F4932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8BE45F6"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68EE5CD"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1312D7D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4EF424C"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9CF4CB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20BF63B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9617643"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B02E22C"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18AB992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A1F984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922BD14"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44BC92D0"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1591AC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265A06F"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796F8F31" w14:textId="77777777" w:rsidTr="009824F5">
        <w:trPr>
          <w:trHeight w:val="394"/>
          <w:jc w:val="center"/>
        </w:trPr>
        <w:tc>
          <w:tcPr>
            <w:tcW w:w="1264" w:type="dxa"/>
            <w:vAlign w:val="center"/>
          </w:tcPr>
          <w:p w14:paraId="3C279F6F" w14:textId="77777777" w:rsidR="004B6670" w:rsidRPr="007174B5" w:rsidRDefault="004B6670"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PHR ($1.25)</w:t>
            </w:r>
          </w:p>
        </w:tc>
        <w:tc>
          <w:tcPr>
            <w:tcW w:w="887" w:type="dxa"/>
            <w:vAlign w:val="center"/>
          </w:tcPr>
          <w:p w14:paraId="571C32E0"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009693</w:t>
            </w:r>
          </w:p>
        </w:tc>
        <w:tc>
          <w:tcPr>
            <w:tcW w:w="888" w:type="dxa"/>
            <w:vAlign w:val="center"/>
          </w:tcPr>
          <w:p w14:paraId="6FD89523"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7" w:type="dxa"/>
            <w:vAlign w:val="center"/>
          </w:tcPr>
          <w:p w14:paraId="62DE50C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5CDE63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706AD5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6634D41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3BA8A3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65561D4"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4496F9E7"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EFDDE5E"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C48B8F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2CED4057"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4CA0434"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50FF403"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0110EF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9785846"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8DF4BE7"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077BB984" w14:textId="77777777" w:rsidTr="009824F5">
        <w:trPr>
          <w:trHeight w:val="394"/>
          <w:jc w:val="center"/>
        </w:trPr>
        <w:tc>
          <w:tcPr>
            <w:tcW w:w="1264" w:type="dxa"/>
            <w:vAlign w:val="center"/>
          </w:tcPr>
          <w:p w14:paraId="47D5466F" w14:textId="77777777" w:rsidR="004B6670" w:rsidRPr="007174B5" w:rsidRDefault="004B6670"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PGR ($2)</w:t>
            </w:r>
          </w:p>
        </w:tc>
        <w:tc>
          <w:tcPr>
            <w:tcW w:w="887" w:type="dxa"/>
            <w:vAlign w:val="center"/>
          </w:tcPr>
          <w:p w14:paraId="5BFBDF13"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0.9665</w:t>
            </w:r>
          </w:p>
        </w:tc>
        <w:tc>
          <w:tcPr>
            <w:tcW w:w="888" w:type="dxa"/>
            <w:vAlign w:val="center"/>
          </w:tcPr>
          <w:p w14:paraId="68A9B211"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0.9964</w:t>
            </w:r>
          </w:p>
        </w:tc>
        <w:tc>
          <w:tcPr>
            <w:tcW w:w="887" w:type="dxa"/>
            <w:vAlign w:val="center"/>
          </w:tcPr>
          <w:p w14:paraId="51213208"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0189406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978DE61"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7CF7E7B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D81FAFD"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E869C7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5D2E6CC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9101AC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9E05A9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F0087A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2611D56"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2AF35E7"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16B3813D"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F71BBF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9456D37"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6879CAC6" w14:textId="77777777" w:rsidTr="009824F5">
        <w:trPr>
          <w:trHeight w:val="394"/>
          <w:jc w:val="center"/>
        </w:trPr>
        <w:tc>
          <w:tcPr>
            <w:tcW w:w="1264" w:type="dxa"/>
            <w:vAlign w:val="center"/>
          </w:tcPr>
          <w:p w14:paraId="3088AAF6" w14:textId="77777777" w:rsidR="004B6670" w:rsidRPr="007174B5" w:rsidRDefault="004B6670"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PGR ($1.25)</w:t>
            </w:r>
          </w:p>
        </w:tc>
        <w:tc>
          <w:tcPr>
            <w:tcW w:w="887" w:type="dxa"/>
            <w:vAlign w:val="center"/>
          </w:tcPr>
          <w:p w14:paraId="06136714"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0.8804</w:t>
            </w:r>
          </w:p>
        </w:tc>
        <w:tc>
          <w:tcPr>
            <w:tcW w:w="888" w:type="dxa"/>
            <w:vAlign w:val="center"/>
          </w:tcPr>
          <w:p w14:paraId="31661739"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0.9581</w:t>
            </w:r>
          </w:p>
        </w:tc>
        <w:tc>
          <w:tcPr>
            <w:tcW w:w="887" w:type="dxa"/>
            <w:vAlign w:val="center"/>
          </w:tcPr>
          <w:p w14:paraId="3495BEF3"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0.9716</w:t>
            </w:r>
          </w:p>
        </w:tc>
        <w:tc>
          <w:tcPr>
            <w:tcW w:w="888" w:type="dxa"/>
            <w:vAlign w:val="center"/>
          </w:tcPr>
          <w:p w14:paraId="6FCB3090"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6112FEA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30C0D7C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12328E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CE56C40"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3876CBF6"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07B67D2"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94AB9C1"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22C5127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D62CBB3"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22D9C1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3ACB221C"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DE865A3"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78FF368"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5D3AFD7C" w14:textId="77777777" w:rsidTr="009824F5">
        <w:trPr>
          <w:trHeight w:val="394"/>
          <w:jc w:val="center"/>
        </w:trPr>
        <w:tc>
          <w:tcPr>
            <w:tcW w:w="1264" w:type="dxa"/>
            <w:vAlign w:val="center"/>
          </w:tcPr>
          <w:p w14:paraId="236500A6" w14:textId="77777777" w:rsidR="004B6670" w:rsidRPr="007174B5" w:rsidRDefault="004B6670" w:rsidP="009824F5">
            <w:pPr>
              <w:pStyle w:val="NoSpacing"/>
              <w:spacing w:line="360" w:lineRule="auto"/>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($2)</w:t>
            </w:r>
          </w:p>
        </w:tc>
        <w:tc>
          <w:tcPr>
            <w:tcW w:w="887" w:type="dxa"/>
            <w:vAlign w:val="center"/>
          </w:tcPr>
          <w:p w14:paraId="74D6974D"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0.8949</w:t>
            </w:r>
          </w:p>
        </w:tc>
        <w:tc>
          <w:tcPr>
            <w:tcW w:w="888" w:type="dxa"/>
            <w:vAlign w:val="center"/>
          </w:tcPr>
          <w:p w14:paraId="67774B3F"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0.9452</w:t>
            </w:r>
          </w:p>
        </w:tc>
        <w:tc>
          <w:tcPr>
            <w:tcW w:w="887" w:type="dxa"/>
            <w:vAlign w:val="center"/>
          </w:tcPr>
          <w:p w14:paraId="668EADD7"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0.9382</w:t>
            </w:r>
          </w:p>
        </w:tc>
        <w:tc>
          <w:tcPr>
            <w:tcW w:w="888" w:type="dxa"/>
            <w:vAlign w:val="center"/>
          </w:tcPr>
          <w:p w14:paraId="0AAFF7E9"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0.9316</w:t>
            </w:r>
          </w:p>
        </w:tc>
        <w:tc>
          <w:tcPr>
            <w:tcW w:w="888" w:type="dxa"/>
            <w:vAlign w:val="center"/>
          </w:tcPr>
          <w:p w14:paraId="1BC66137"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7" w:type="dxa"/>
            <w:vAlign w:val="center"/>
          </w:tcPr>
          <w:p w14:paraId="248C3DF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3332156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36C071B"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25965DD"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3AA5749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876FCF4"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7D318A7"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8656375"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4A56075"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7726A5C"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B66F6A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8115D74"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3EB4B15C" w14:textId="77777777" w:rsidTr="009824F5">
        <w:trPr>
          <w:trHeight w:val="394"/>
          <w:jc w:val="center"/>
        </w:trPr>
        <w:tc>
          <w:tcPr>
            <w:tcW w:w="1264" w:type="dxa"/>
            <w:vAlign w:val="center"/>
          </w:tcPr>
          <w:p w14:paraId="3B1B6FCA" w14:textId="77777777" w:rsidR="004B6670" w:rsidRPr="007174B5" w:rsidRDefault="004B6670" w:rsidP="009824F5">
            <w:pPr>
              <w:pStyle w:val="NoSpacing"/>
              <w:spacing w:line="360" w:lineRule="auto"/>
              <w:rPr>
                <w:rFonts w:asciiTheme="majorHAnsi" w:hAnsiTheme="majorHAnsi" w:cs="Times New Roman"/>
                <w:sz w:val="16"/>
                <w:szCs w:val="16"/>
              </w:rPr>
            </w:pPr>
            <w:proofErr w:type="spellStart"/>
            <w:r w:rsidRPr="007174B5">
              <w:rPr>
                <w:rFonts w:asciiTheme="majorHAnsi" w:hAnsiTheme="majorHAnsi" w:cs="Times New Roman"/>
                <w:sz w:val="16"/>
                <w:szCs w:val="16"/>
              </w:rPr>
              <w:t>DoP</w:t>
            </w:r>
            <w:proofErr w:type="spellEnd"/>
            <w:r w:rsidRPr="007174B5">
              <w:rPr>
                <w:rFonts w:asciiTheme="majorHAnsi" w:hAnsiTheme="majorHAnsi" w:cs="Times New Roman"/>
                <w:sz w:val="16"/>
                <w:szCs w:val="16"/>
              </w:rPr>
              <w:t xml:space="preserve"> ($1.25)</w:t>
            </w:r>
          </w:p>
        </w:tc>
        <w:tc>
          <w:tcPr>
            <w:tcW w:w="887" w:type="dxa"/>
            <w:vAlign w:val="center"/>
          </w:tcPr>
          <w:p w14:paraId="269C67E2"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0.8009</w:t>
            </w:r>
          </w:p>
        </w:tc>
        <w:tc>
          <w:tcPr>
            <w:tcW w:w="888" w:type="dxa"/>
            <w:vAlign w:val="center"/>
          </w:tcPr>
          <w:p w14:paraId="594A183A"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0.8923</w:t>
            </w:r>
          </w:p>
        </w:tc>
        <w:tc>
          <w:tcPr>
            <w:tcW w:w="887" w:type="dxa"/>
            <w:vAlign w:val="center"/>
          </w:tcPr>
          <w:p w14:paraId="0A903BB8"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0.8940</w:t>
            </w:r>
          </w:p>
        </w:tc>
        <w:tc>
          <w:tcPr>
            <w:tcW w:w="888" w:type="dxa"/>
            <w:vAlign w:val="center"/>
          </w:tcPr>
          <w:p w14:paraId="5A4FC2BB"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0.9193</w:t>
            </w:r>
          </w:p>
        </w:tc>
        <w:tc>
          <w:tcPr>
            <w:tcW w:w="888" w:type="dxa"/>
            <w:vAlign w:val="center"/>
          </w:tcPr>
          <w:p w14:paraId="40EE6550"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0.9718</w:t>
            </w:r>
          </w:p>
        </w:tc>
        <w:tc>
          <w:tcPr>
            <w:tcW w:w="887" w:type="dxa"/>
            <w:vAlign w:val="center"/>
          </w:tcPr>
          <w:p w14:paraId="14B17EB0"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7855EA7E"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311EBB2"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318BD253"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C1078A4"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EF11825"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2384B37"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44AA358D"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0D54162"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203A314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73825BF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B0F22BE"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5B5C4CA1" w14:textId="77777777" w:rsidTr="009824F5">
        <w:trPr>
          <w:trHeight w:val="394"/>
          <w:jc w:val="center"/>
        </w:trPr>
        <w:tc>
          <w:tcPr>
            <w:tcW w:w="1264" w:type="dxa"/>
            <w:vAlign w:val="center"/>
          </w:tcPr>
          <w:p w14:paraId="3504E446" w14:textId="77777777" w:rsidR="004B6670" w:rsidRPr="007174B5" w:rsidRDefault="004B6670"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Gini</w:t>
            </w:r>
          </w:p>
        </w:tc>
        <w:tc>
          <w:tcPr>
            <w:tcW w:w="887" w:type="dxa"/>
            <w:vAlign w:val="center"/>
          </w:tcPr>
          <w:p w14:paraId="17B620B5"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0.6561</w:t>
            </w:r>
          </w:p>
        </w:tc>
        <w:tc>
          <w:tcPr>
            <w:tcW w:w="888" w:type="dxa"/>
            <w:vAlign w:val="center"/>
          </w:tcPr>
          <w:p w14:paraId="411179F9"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0.6562</w:t>
            </w:r>
          </w:p>
        </w:tc>
        <w:tc>
          <w:tcPr>
            <w:tcW w:w="887" w:type="dxa"/>
            <w:vAlign w:val="center"/>
          </w:tcPr>
          <w:p w14:paraId="56812477"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0.6578</w:t>
            </w:r>
          </w:p>
        </w:tc>
        <w:tc>
          <w:tcPr>
            <w:tcW w:w="888" w:type="dxa"/>
            <w:vAlign w:val="center"/>
          </w:tcPr>
          <w:p w14:paraId="3360CF5C"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0.6211</w:t>
            </w:r>
          </w:p>
        </w:tc>
        <w:tc>
          <w:tcPr>
            <w:tcW w:w="888" w:type="dxa"/>
            <w:vAlign w:val="center"/>
          </w:tcPr>
          <w:p w14:paraId="23FFC601"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0.5531</w:t>
            </w:r>
          </w:p>
        </w:tc>
        <w:tc>
          <w:tcPr>
            <w:tcW w:w="887" w:type="dxa"/>
            <w:vAlign w:val="center"/>
          </w:tcPr>
          <w:p w14:paraId="265BD614" w14:textId="77777777" w:rsidR="004B6670"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0.5009</w:t>
            </w:r>
          </w:p>
        </w:tc>
        <w:tc>
          <w:tcPr>
            <w:tcW w:w="888" w:type="dxa"/>
            <w:vAlign w:val="center"/>
          </w:tcPr>
          <w:p w14:paraId="2C307C35"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5B19C6E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06F0A154"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5869CE55"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E1D8345"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7D41D996"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62454281"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615482D"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497E9CBF"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1950204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31F33C47" w14:textId="77777777" w:rsidR="004B6670" w:rsidRPr="007174B5" w:rsidRDefault="004B6670" w:rsidP="009824F5">
            <w:pPr>
              <w:pStyle w:val="NoSpacing"/>
              <w:spacing w:line="360" w:lineRule="auto"/>
              <w:jc w:val="center"/>
              <w:rPr>
                <w:rFonts w:asciiTheme="majorHAnsi" w:hAnsiTheme="majorHAnsi"/>
                <w:sz w:val="16"/>
                <w:szCs w:val="16"/>
              </w:rPr>
            </w:pPr>
          </w:p>
        </w:tc>
      </w:tr>
      <w:tr w:rsidR="004B6670" w:rsidRPr="00F14751" w14:paraId="6333EF26" w14:textId="77777777" w:rsidTr="009824F5">
        <w:trPr>
          <w:trHeight w:val="394"/>
          <w:jc w:val="center"/>
        </w:trPr>
        <w:tc>
          <w:tcPr>
            <w:tcW w:w="1264" w:type="dxa"/>
            <w:vAlign w:val="center"/>
          </w:tcPr>
          <w:p w14:paraId="7EF49859" w14:textId="77777777" w:rsidR="004B6670" w:rsidRPr="007174B5" w:rsidRDefault="004B6670"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D1</w:t>
            </w:r>
          </w:p>
        </w:tc>
        <w:tc>
          <w:tcPr>
            <w:tcW w:w="887" w:type="dxa"/>
            <w:vAlign w:val="center"/>
          </w:tcPr>
          <w:p w14:paraId="088582B3" w14:textId="77777777" w:rsidR="004B6670" w:rsidRPr="007174B5" w:rsidRDefault="007174B5"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-0.6814</w:t>
            </w:r>
          </w:p>
        </w:tc>
        <w:tc>
          <w:tcPr>
            <w:tcW w:w="888" w:type="dxa"/>
            <w:vAlign w:val="center"/>
          </w:tcPr>
          <w:p w14:paraId="04F3C3F4"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-0.7559</w:t>
            </w:r>
          </w:p>
        </w:tc>
        <w:tc>
          <w:tcPr>
            <w:tcW w:w="887" w:type="dxa"/>
            <w:vAlign w:val="center"/>
          </w:tcPr>
          <w:p w14:paraId="16B12097"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-0.7713</w:t>
            </w:r>
          </w:p>
        </w:tc>
        <w:tc>
          <w:tcPr>
            <w:tcW w:w="888" w:type="dxa"/>
            <w:vAlign w:val="center"/>
          </w:tcPr>
          <w:p w14:paraId="243BF622"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-0.8111</w:t>
            </w:r>
          </w:p>
        </w:tc>
        <w:tc>
          <w:tcPr>
            <w:tcW w:w="888" w:type="dxa"/>
            <w:vAlign w:val="center"/>
          </w:tcPr>
          <w:p w14:paraId="2B5E2F73" w14:textId="77777777" w:rsidR="004B6670" w:rsidRPr="007174B5"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-0.5893</w:t>
            </w:r>
          </w:p>
        </w:tc>
        <w:tc>
          <w:tcPr>
            <w:tcW w:w="887" w:type="dxa"/>
            <w:vAlign w:val="center"/>
          </w:tcPr>
          <w:p w14:paraId="574F11FD" w14:textId="77777777" w:rsidR="004B6670"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-0.5823</w:t>
            </w:r>
          </w:p>
        </w:tc>
        <w:tc>
          <w:tcPr>
            <w:tcW w:w="888" w:type="dxa"/>
            <w:vAlign w:val="center"/>
          </w:tcPr>
          <w:p w14:paraId="0F71EE21" w14:textId="77777777" w:rsidR="004B6670"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-0.7887</w:t>
            </w:r>
          </w:p>
        </w:tc>
        <w:tc>
          <w:tcPr>
            <w:tcW w:w="888" w:type="dxa"/>
            <w:vAlign w:val="center"/>
          </w:tcPr>
          <w:p w14:paraId="20C92BF3" w14:textId="77777777" w:rsidR="004B6670" w:rsidRPr="007174B5" w:rsidRDefault="004B6670"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7" w:type="dxa"/>
            <w:vAlign w:val="center"/>
          </w:tcPr>
          <w:p w14:paraId="60A7D973"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24DF841"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439A98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5329B107"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01794598"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46F88D9" w14:textId="77777777" w:rsidR="004B6670" w:rsidRPr="007174B5" w:rsidRDefault="004B6670" w:rsidP="009824F5">
            <w:pPr>
              <w:pStyle w:val="NoSpacing"/>
              <w:spacing w:line="360" w:lineRule="auto"/>
              <w:jc w:val="center"/>
              <w:rPr>
                <w:rFonts w:asciiTheme="majorHAnsi" w:hAnsiTheme="majorHAnsi"/>
                <w:sz w:val="16"/>
                <w:szCs w:val="16"/>
              </w:rPr>
            </w:pPr>
          </w:p>
        </w:tc>
        <w:tc>
          <w:tcPr>
            <w:tcW w:w="887" w:type="dxa"/>
            <w:vAlign w:val="center"/>
          </w:tcPr>
          <w:p w14:paraId="65E1C240"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20E5F94A" w14:textId="77777777" w:rsidR="004B6670" w:rsidRPr="007174B5" w:rsidRDefault="004B6670" w:rsidP="009824F5">
            <w:pPr>
              <w:pStyle w:val="NoSpacing"/>
              <w:spacing w:line="360" w:lineRule="auto"/>
              <w:jc w:val="center"/>
              <w:rPr>
                <w:rFonts w:asciiTheme="majorHAnsi" w:hAnsiTheme="majorHAnsi"/>
                <w:sz w:val="16"/>
                <w:szCs w:val="16"/>
              </w:rPr>
            </w:pPr>
          </w:p>
        </w:tc>
        <w:tc>
          <w:tcPr>
            <w:tcW w:w="888" w:type="dxa"/>
            <w:vAlign w:val="center"/>
          </w:tcPr>
          <w:p w14:paraId="31995A8F" w14:textId="77777777" w:rsidR="004B6670" w:rsidRPr="007174B5" w:rsidRDefault="004B6670" w:rsidP="009824F5">
            <w:pPr>
              <w:pStyle w:val="NoSpacing"/>
              <w:spacing w:line="360" w:lineRule="auto"/>
              <w:jc w:val="center"/>
              <w:rPr>
                <w:rFonts w:asciiTheme="majorHAnsi" w:hAnsiTheme="majorHAnsi"/>
                <w:sz w:val="16"/>
                <w:szCs w:val="16"/>
              </w:rPr>
            </w:pPr>
          </w:p>
        </w:tc>
      </w:tr>
      <w:tr w:rsidR="009D5EE6" w:rsidRPr="00F14751" w14:paraId="72EEA949" w14:textId="77777777" w:rsidTr="009824F5">
        <w:trPr>
          <w:trHeight w:val="394"/>
          <w:jc w:val="center"/>
        </w:trPr>
        <w:tc>
          <w:tcPr>
            <w:tcW w:w="1264" w:type="dxa"/>
            <w:vAlign w:val="center"/>
          </w:tcPr>
          <w:p w14:paraId="5A6A5E6B"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D2</w:t>
            </w:r>
          </w:p>
        </w:tc>
        <w:tc>
          <w:tcPr>
            <w:tcW w:w="887" w:type="dxa"/>
            <w:vAlign w:val="center"/>
          </w:tcPr>
          <w:p w14:paraId="3DB51200"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-0.756</w:t>
            </w:r>
          </w:p>
        </w:tc>
        <w:tc>
          <w:tcPr>
            <w:tcW w:w="888" w:type="dxa"/>
            <w:vAlign w:val="center"/>
          </w:tcPr>
          <w:p w14:paraId="66806FC0"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-0.7726</w:t>
            </w:r>
          </w:p>
        </w:tc>
        <w:tc>
          <w:tcPr>
            <w:tcW w:w="887" w:type="dxa"/>
            <w:vAlign w:val="center"/>
          </w:tcPr>
          <w:p w14:paraId="684C0C36"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-0.7758</w:t>
            </w:r>
          </w:p>
        </w:tc>
        <w:tc>
          <w:tcPr>
            <w:tcW w:w="888" w:type="dxa"/>
            <w:vAlign w:val="center"/>
          </w:tcPr>
          <w:p w14:paraId="487D704C"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-0.7644</w:t>
            </w:r>
          </w:p>
        </w:tc>
        <w:tc>
          <w:tcPr>
            <w:tcW w:w="888" w:type="dxa"/>
            <w:vAlign w:val="center"/>
          </w:tcPr>
          <w:p w14:paraId="0F49F70B"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-0.6529</w:t>
            </w:r>
          </w:p>
        </w:tc>
        <w:tc>
          <w:tcPr>
            <w:tcW w:w="887" w:type="dxa"/>
            <w:vAlign w:val="center"/>
          </w:tcPr>
          <w:p w14:paraId="239715E6"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-0.6291</w:t>
            </w:r>
          </w:p>
        </w:tc>
        <w:tc>
          <w:tcPr>
            <w:tcW w:w="888" w:type="dxa"/>
            <w:vAlign w:val="center"/>
          </w:tcPr>
          <w:p w14:paraId="762FD52B"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-0.9412</w:t>
            </w:r>
          </w:p>
        </w:tc>
        <w:tc>
          <w:tcPr>
            <w:tcW w:w="888" w:type="dxa"/>
            <w:vAlign w:val="center"/>
          </w:tcPr>
          <w:p w14:paraId="2411D0CD"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0.8832</w:t>
            </w:r>
          </w:p>
        </w:tc>
        <w:tc>
          <w:tcPr>
            <w:tcW w:w="887" w:type="dxa"/>
            <w:vAlign w:val="center"/>
          </w:tcPr>
          <w:p w14:paraId="5A841DD1"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1978B07F"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4617BC3F"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179D9B00"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145007E0"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5D4ACAAE"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194E58CB"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6DB12694"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4021FCDE"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31B41E1D" w14:textId="77777777" w:rsidTr="009824F5">
        <w:trPr>
          <w:trHeight w:val="394"/>
          <w:jc w:val="center"/>
        </w:trPr>
        <w:tc>
          <w:tcPr>
            <w:tcW w:w="1264" w:type="dxa"/>
            <w:vAlign w:val="center"/>
          </w:tcPr>
          <w:p w14:paraId="48E15127"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Q1</w:t>
            </w:r>
          </w:p>
        </w:tc>
        <w:tc>
          <w:tcPr>
            <w:tcW w:w="887" w:type="dxa"/>
            <w:vAlign w:val="center"/>
          </w:tcPr>
          <w:p w14:paraId="06F313EC"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-0.7317</w:t>
            </w:r>
          </w:p>
        </w:tc>
        <w:tc>
          <w:tcPr>
            <w:tcW w:w="888" w:type="dxa"/>
            <w:vAlign w:val="center"/>
          </w:tcPr>
          <w:p w14:paraId="364FF48A"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-0.7780</w:t>
            </w:r>
          </w:p>
        </w:tc>
        <w:tc>
          <w:tcPr>
            <w:tcW w:w="887" w:type="dxa"/>
            <w:vAlign w:val="center"/>
          </w:tcPr>
          <w:p w14:paraId="346527A1"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-0.7972</w:t>
            </w:r>
          </w:p>
        </w:tc>
        <w:tc>
          <w:tcPr>
            <w:tcW w:w="888" w:type="dxa"/>
            <w:vAlign w:val="center"/>
          </w:tcPr>
          <w:p w14:paraId="27AE08A2"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-0.8103</w:t>
            </w:r>
          </w:p>
        </w:tc>
        <w:tc>
          <w:tcPr>
            <w:tcW w:w="888" w:type="dxa"/>
            <w:vAlign w:val="center"/>
          </w:tcPr>
          <w:p w14:paraId="5A8DEAB8"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-0.6419</w:t>
            </w:r>
          </w:p>
        </w:tc>
        <w:tc>
          <w:tcPr>
            <w:tcW w:w="887" w:type="dxa"/>
            <w:vAlign w:val="center"/>
          </w:tcPr>
          <w:p w14:paraId="117273B5"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0.-6255</w:t>
            </w:r>
          </w:p>
        </w:tc>
        <w:tc>
          <w:tcPr>
            <w:tcW w:w="888" w:type="dxa"/>
            <w:vAlign w:val="center"/>
          </w:tcPr>
          <w:p w14:paraId="6ECD9894"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-0.8959</w:t>
            </w:r>
          </w:p>
        </w:tc>
        <w:tc>
          <w:tcPr>
            <w:tcW w:w="888" w:type="dxa"/>
            <w:vAlign w:val="center"/>
          </w:tcPr>
          <w:p w14:paraId="60635DF3"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0.9668</w:t>
            </w:r>
          </w:p>
        </w:tc>
        <w:tc>
          <w:tcPr>
            <w:tcW w:w="887" w:type="dxa"/>
            <w:vAlign w:val="center"/>
          </w:tcPr>
          <w:p w14:paraId="5F181A9A"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0.9738</w:t>
            </w:r>
          </w:p>
        </w:tc>
        <w:tc>
          <w:tcPr>
            <w:tcW w:w="888" w:type="dxa"/>
            <w:vAlign w:val="center"/>
          </w:tcPr>
          <w:p w14:paraId="3AC1724B"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2A4A73C0"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054751B0"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1C15849D"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008D2CF1"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4301CBFA"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36FB1907"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59FBF35D"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2EA3DDC5" w14:textId="77777777" w:rsidTr="009824F5">
        <w:trPr>
          <w:trHeight w:val="394"/>
          <w:jc w:val="center"/>
        </w:trPr>
        <w:tc>
          <w:tcPr>
            <w:tcW w:w="1264" w:type="dxa"/>
            <w:vAlign w:val="center"/>
          </w:tcPr>
          <w:p w14:paraId="65F40484"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Q2</w:t>
            </w:r>
          </w:p>
        </w:tc>
        <w:tc>
          <w:tcPr>
            <w:tcW w:w="887" w:type="dxa"/>
            <w:vAlign w:val="center"/>
          </w:tcPr>
          <w:p w14:paraId="5D5E2ED1"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-0.6464</w:t>
            </w:r>
          </w:p>
        </w:tc>
        <w:tc>
          <w:tcPr>
            <w:tcW w:w="888" w:type="dxa"/>
            <w:vAlign w:val="center"/>
          </w:tcPr>
          <w:p w14:paraId="0136F33A"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-0.6465</w:t>
            </w:r>
          </w:p>
        </w:tc>
        <w:tc>
          <w:tcPr>
            <w:tcW w:w="887" w:type="dxa"/>
            <w:vAlign w:val="center"/>
          </w:tcPr>
          <w:p w14:paraId="341DAFBE"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-0.6443</w:t>
            </w:r>
          </w:p>
        </w:tc>
        <w:tc>
          <w:tcPr>
            <w:tcW w:w="888" w:type="dxa"/>
            <w:vAlign w:val="center"/>
          </w:tcPr>
          <w:p w14:paraId="71EBE44A"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-0.6022</w:t>
            </w:r>
          </w:p>
        </w:tc>
        <w:tc>
          <w:tcPr>
            <w:tcW w:w="888" w:type="dxa"/>
            <w:vAlign w:val="center"/>
          </w:tcPr>
          <w:p w14:paraId="01A1CF2E"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-0.5522</w:t>
            </w:r>
          </w:p>
        </w:tc>
        <w:tc>
          <w:tcPr>
            <w:tcW w:w="887" w:type="dxa"/>
            <w:vAlign w:val="center"/>
          </w:tcPr>
          <w:p w14:paraId="3795BCF3"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-0.5019</w:t>
            </w:r>
          </w:p>
        </w:tc>
        <w:tc>
          <w:tcPr>
            <w:tcW w:w="888" w:type="dxa"/>
            <w:vAlign w:val="center"/>
          </w:tcPr>
          <w:p w14:paraId="067E9AB0"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-0.9882</w:t>
            </w:r>
          </w:p>
        </w:tc>
        <w:tc>
          <w:tcPr>
            <w:tcW w:w="888" w:type="dxa"/>
            <w:vAlign w:val="center"/>
          </w:tcPr>
          <w:p w14:paraId="4200F9CD"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0.7553</w:t>
            </w:r>
          </w:p>
        </w:tc>
        <w:tc>
          <w:tcPr>
            <w:tcW w:w="887" w:type="dxa"/>
            <w:vAlign w:val="center"/>
          </w:tcPr>
          <w:p w14:paraId="3A7BF93A"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0.9494</w:t>
            </w:r>
          </w:p>
        </w:tc>
        <w:tc>
          <w:tcPr>
            <w:tcW w:w="888" w:type="dxa"/>
            <w:vAlign w:val="center"/>
          </w:tcPr>
          <w:p w14:paraId="4114F20C"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0.8841</w:t>
            </w:r>
          </w:p>
        </w:tc>
        <w:tc>
          <w:tcPr>
            <w:tcW w:w="888" w:type="dxa"/>
            <w:vAlign w:val="center"/>
          </w:tcPr>
          <w:p w14:paraId="5B96973E"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7" w:type="dxa"/>
            <w:vAlign w:val="center"/>
          </w:tcPr>
          <w:p w14:paraId="3B34FA0B"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7A694DA3"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34D457A8"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5133A22B"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44E1392B"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0F5AEF88"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40803A5B" w14:textId="77777777" w:rsidTr="009824F5">
        <w:trPr>
          <w:trHeight w:val="394"/>
          <w:jc w:val="center"/>
        </w:trPr>
        <w:tc>
          <w:tcPr>
            <w:tcW w:w="1264" w:type="dxa"/>
            <w:vAlign w:val="center"/>
          </w:tcPr>
          <w:p w14:paraId="5F7F8C3B"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Q3</w:t>
            </w:r>
          </w:p>
        </w:tc>
        <w:tc>
          <w:tcPr>
            <w:tcW w:w="887" w:type="dxa"/>
            <w:vAlign w:val="center"/>
          </w:tcPr>
          <w:p w14:paraId="3B33A015"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-0.5411</w:t>
            </w:r>
          </w:p>
        </w:tc>
        <w:tc>
          <w:tcPr>
            <w:tcW w:w="888" w:type="dxa"/>
            <w:vAlign w:val="center"/>
          </w:tcPr>
          <w:p w14:paraId="469107A4"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-0.5140</w:t>
            </w:r>
          </w:p>
        </w:tc>
        <w:tc>
          <w:tcPr>
            <w:tcW w:w="887" w:type="dxa"/>
            <w:vAlign w:val="center"/>
          </w:tcPr>
          <w:p w14:paraId="44DEF964"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-0.5124</w:t>
            </w:r>
          </w:p>
        </w:tc>
        <w:tc>
          <w:tcPr>
            <w:tcW w:w="888" w:type="dxa"/>
            <w:vAlign w:val="center"/>
          </w:tcPr>
          <w:p w14:paraId="391250DD"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-0.4569</w:t>
            </w:r>
          </w:p>
        </w:tc>
        <w:tc>
          <w:tcPr>
            <w:tcW w:w="888" w:type="dxa"/>
            <w:vAlign w:val="center"/>
          </w:tcPr>
          <w:p w14:paraId="0EB4F878"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-0.4392</w:t>
            </w:r>
          </w:p>
        </w:tc>
        <w:tc>
          <w:tcPr>
            <w:tcW w:w="887" w:type="dxa"/>
            <w:vAlign w:val="center"/>
          </w:tcPr>
          <w:p w14:paraId="4FACC053"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-0.3735</w:t>
            </w:r>
          </w:p>
        </w:tc>
        <w:tc>
          <w:tcPr>
            <w:tcW w:w="888" w:type="dxa"/>
            <w:vAlign w:val="center"/>
          </w:tcPr>
          <w:p w14:paraId="315B1ADA"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-0.9675</w:t>
            </w:r>
          </w:p>
        </w:tc>
        <w:tc>
          <w:tcPr>
            <w:tcW w:w="888" w:type="dxa"/>
            <w:vAlign w:val="center"/>
          </w:tcPr>
          <w:p w14:paraId="0F21E9DA"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0.6313</w:t>
            </w:r>
          </w:p>
        </w:tc>
        <w:tc>
          <w:tcPr>
            <w:tcW w:w="887" w:type="dxa"/>
            <w:vAlign w:val="center"/>
          </w:tcPr>
          <w:p w14:paraId="2314FCB4"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0.8384</w:t>
            </w:r>
          </w:p>
        </w:tc>
        <w:tc>
          <w:tcPr>
            <w:tcW w:w="888" w:type="dxa"/>
            <w:vAlign w:val="center"/>
          </w:tcPr>
          <w:p w14:paraId="772F5B2E"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0.7634</w:t>
            </w:r>
          </w:p>
        </w:tc>
        <w:tc>
          <w:tcPr>
            <w:tcW w:w="888" w:type="dxa"/>
            <w:vAlign w:val="center"/>
          </w:tcPr>
          <w:p w14:paraId="6EC9F316" w14:textId="77777777" w:rsidR="009D5EE6" w:rsidRPr="007174B5"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0.9591</w:t>
            </w:r>
          </w:p>
        </w:tc>
        <w:tc>
          <w:tcPr>
            <w:tcW w:w="887" w:type="dxa"/>
            <w:vAlign w:val="center"/>
          </w:tcPr>
          <w:p w14:paraId="547F8B1A"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3C0844E1"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24473CD0"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5BF4BF91"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57660CDE"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01088FC5"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1E279252" w14:textId="77777777" w:rsidTr="009824F5">
        <w:trPr>
          <w:trHeight w:val="394"/>
          <w:jc w:val="center"/>
        </w:trPr>
        <w:tc>
          <w:tcPr>
            <w:tcW w:w="1264" w:type="dxa"/>
            <w:vAlign w:val="center"/>
          </w:tcPr>
          <w:p w14:paraId="124B7AF9"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Q4</w:t>
            </w:r>
          </w:p>
        </w:tc>
        <w:tc>
          <w:tcPr>
            <w:tcW w:w="887" w:type="dxa"/>
            <w:vAlign w:val="center"/>
          </w:tcPr>
          <w:p w14:paraId="74B94D17"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-0.4179</w:t>
            </w:r>
          </w:p>
        </w:tc>
        <w:tc>
          <w:tcPr>
            <w:tcW w:w="888" w:type="dxa"/>
            <w:vAlign w:val="center"/>
          </w:tcPr>
          <w:p w14:paraId="03CF52C3"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-0.3628</w:t>
            </w:r>
          </w:p>
        </w:tc>
        <w:tc>
          <w:tcPr>
            <w:tcW w:w="887" w:type="dxa"/>
            <w:vAlign w:val="center"/>
          </w:tcPr>
          <w:p w14:paraId="43A6A96E"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-0.3627</w:t>
            </w:r>
          </w:p>
        </w:tc>
        <w:tc>
          <w:tcPr>
            <w:tcW w:w="888" w:type="dxa"/>
            <w:vAlign w:val="center"/>
          </w:tcPr>
          <w:p w14:paraId="6BBEA957"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-0.2964</w:t>
            </w:r>
          </w:p>
        </w:tc>
        <w:tc>
          <w:tcPr>
            <w:tcW w:w="888" w:type="dxa"/>
            <w:vAlign w:val="center"/>
          </w:tcPr>
          <w:p w14:paraId="0C735A48"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-0.3175</w:t>
            </w:r>
          </w:p>
        </w:tc>
        <w:tc>
          <w:tcPr>
            <w:tcW w:w="887" w:type="dxa"/>
            <w:vAlign w:val="center"/>
          </w:tcPr>
          <w:p w14:paraId="405B3062"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-0.2445</w:t>
            </w:r>
          </w:p>
        </w:tc>
        <w:tc>
          <w:tcPr>
            <w:tcW w:w="888" w:type="dxa"/>
            <w:vAlign w:val="center"/>
          </w:tcPr>
          <w:p w14:paraId="055BEA3C"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-0.8734</w:t>
            </w:r>
          </w:p>
        </w:tc>
        <w:tc>
          <w:tcPr>
            <w:tcW w:w="888" w:type="dxa"/>
            <w:vAlign w:val="center"/>
          </w:tcPr>
          <w:p w14:paraId="3235AFFA"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0.4552</w:t>
            </w:r>
          </w:p>
        </w:tc>
        <w:tc>
          <w:tcPr>
            <w:tcW w:w="887" w:type="dxa"/>
            <w:vAlign w:val="center"/>
          </w:tcPr>
          <w:p w14:paraId="50ACDBCB"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0.6670</w:t>
            </w:r>
          </w:p>
        </w:tc>
        <w:tc>
          <w:tcPr>
            <w:tcW w:w="888" w:type="dxa"/>
            <w:vAlign w:val="center"/>
          </w:tcPr>
          <w:p w14:paraId="1278C9A6"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0.5845</w:t>
            </w:r>
          </w:p>
        </w:tc>
        <w:tc>
          <w:tcPr>
            <w:tcW w:w="888" w:type="dxa"/>
            <w:vAlign w:val="center"/>
          </w:tcPr>
          <w:p w14:paraId="3EDCA30C" w14:textId="77777777" w:rsidR="009D5EE6" w:rsidRPr="007174B5"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0.8372</w:t>
            </w:r>
          </w:p>
        </w:tc>
        <w:tc>
          <w:tcPr>
            <w:tcW w:w="887" w:type="dxa"/>
            <w:vAlign w:val="center"/>
          </w:tcPr>
          <w:p w14:paraId="3167D09D"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0.9463</w:t>
            </w:r>
          </w:p>
        </w:tc>
        <w:tc>
          <w:tcPr>
            <w:tcW w:w="888" w:type="dxa"/>
            <w:vAlign w:val="center"/>
          </w:tcPr>
          <w:p w14:paraId="76BAD4EC"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78876348" w14:textId="77777777" w:rsidR="009D5EE6" w:rsidRPr="007174B5" w:rsidRDefault="009D5EE6" w:rsidP="009824F5">
            <w:pPr>
              <w:pStyle w:val="NoSpacing"/>
              <w:spacing w:line="360" w:lineRule="auto"/>
              <w:jc w:val="center"/>
              <w:rPr>
                <w:rFonts w:asciiTheme="majorHAnsi" w:hAnsiTheme="majorHAnsi"/>
                <w:sz w:val="16"/>
                <w:szCs w:val="16"/>
              </w:rPr>
            </w:pPr>
          </w:p>
        </w:tc>
        <w:tc>
          <w:tcPr>
            <w:tcW w:w="887" w:type="dxa"/>
            <w:vAlign w:val="center"/>
          </w:tcPr>
          <w:p w14:paraId="7CF8C39A"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6E74F449"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17CC92C7"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37FB5A7C" w14:textId="77777777" w:rsidTr="009824F5">
        <w:trPr>
          <w:trHeight w:val="394"/>
          <w:jc w:val="center"/>
        </w:trPr>
        <w:tc>
          <w:tcPr>
            <w:tcW w:w="1264" w:type="dxa"/>
            <w:vAlign w:val="center"/>
          </w:tcPr>
          <w:p w14:paraId="6F2505D7"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Q5</w:t>
            </w:r>
          </w:p>
        </w:tc>
        <w:tc>
          <w:tcPr>
            <w:tcW w:w="887" w:type="dxa"/>
            <w:vAlign w:val="center"/>
          </w:tcPr>
          <w:p w14:paraId="7A5DEFD4"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0.6073</w:t>
            </w:r>
          </w:p>
        </w:tc>
        <w:tc>
          <w:tcPr>
            <w:tcW w:w="888" w:type="dxa"/>
            <w:vAlign w:val="center"/>
          </w:tcPr>
          <w:p w14:paraId="00C6996C"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0.5947</w:t>
            </w:r>
          </w:p>
        </w:tc>
        <w:tc>
          <w:tcPr>
            <w:tcW w:w="887" w:type="dxa"/>
            <w:vAlign w:val="center"/>
          </w:tcPr>
          <w:p w14:paraId="5DF86C05"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0.5956</w:t>
            </w:r>
          </w:p>
        </w:tc>
        <w:tc>
          <w:tcPr>
            <w:tcW w:w="888" w:type="dxa"/>
            <w:vAlign w:val="center"/>
          </w:tcPr>
          <w:p w14:paraId="1E54E6F8"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0.5511</w:t>
            </w:r>
          </w:p>
        </w:tc>
        <w:tc>
          <w:tcPr>
            <w:tcW w:w="888" w:type="dxa"/>
            <w:vAlign w:val="center"/>
          </w:tcPr>
          <w:p w14:paraId="3A2D6D4B"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0.5037</w:t>
            </w:r>
          </w:p>
        </w:tc>
        <w:tc>
          <w:tcPr>
            <w:tcW w:w="887" w:type="dxa"/>
            <w:vAlign w:val="center"/>
          </w:tcPr>
          <w:p w14:paraId="7BC6AEBC"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0.4459</w:t>
            </w:r>
          </w:p>
        </w:tc>
        <w:tc>
          <w:tcPr>
            <w:tcW w:w="888" w:type="dxa"/>
            <w:vAlign w:val="center"/>
          </w:tcPr>
          <w:p w14:paraId="102A4FFF"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0.9932</w:t>
            </w:r>
          </w:p>
        </w:tc>
        <w:tc>
          <w:tcPr>
            <w:tcW w:w="888" w:type="dxa"/>
            <w:vAlign w:val="center"/>
          </w:tcPr>
          <w:p w14:paraId="424B9A1E"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-0.7231</w:t>
            </w:r>
          </w:p>
        </w:tc>
        <w:tc>
          <w:tcPr>
            <w:tcW w:w="887" w:type="dxa"/>
            <w:vAlign w:val="center"/>
          </w:tcPr>
          <w:p w14:paraId="69643861"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-0.8995</w:t>
            </w:r>
          </w:p>
        </w:tc>
        <w:tc>
          <w:tcPr>
            <w:tcW w:w="888" w:type="dxa"/>
            <w:vAlign w:val="center"/>
          </w:tcPr>
          <w:p w14:paraId="44D3C604"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-0.8413</w:t>
            </w:r>
          </w:p>
        </w:tc>
        <w:tc>
          <w:tcPr>
            <w:tcW w:w="888" w:type="dxa"/>
            <w:vAlign w:val="center"/>
          </w:tcPr>
          <w:p w14:paraId="0B606D0F" w14:textId="77777777" w:rsidR="009D5EE6" w:rsidRPr="007174B5"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-0.9894</w:t>
            </w:r>
          </w:p>
        </w:tc>
        <w:tc>
          <w:tcPr>
            <w:tcW w:w="887" w:type="dxa"/>
            <w:vAlign w:val="center"/>
          </w:tcPr>
          <w:p w14:paraId="0D44979E"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-0.9891</w:t>
            </w:r>
          </w:p>
        </w:tc>
        <w:tc>
          <w:tcPr>
            <w:tcW w:w="888" w:type="dxa"/>
            <w:vAlign w:val="center"/>
          </w:tcPr>
          <w:p w14:paraId="1B794099"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-0.9200</w:t>
            </w:r>
          </w:p>
        </w:tc>
        <w:tc>
          <w:tcPr>
            <w:tcW w:w="888" w:type="dxa"/>
            <w:vAlign w:val="center"/>
          </w:tcPr>
          <w:p w14:paraId="15AFE9E7"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7" w:type="dxa"/>
            <w:vAlign w:val="center"/>
          </w:tcPr>
          <w:p w14:paraId="18ACFEDD"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3FBA23C0"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62FA50D1"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0A03D9FA" w14:textId="77777777" w:rsidTr="009824F5">
        <w:trPr>
          <w:trHeight w:val="394"/>
          <w:jc w:val="center"/>
        </w:trPr>
        <w:tc>
          <w:tcPr>
            <w:tcW w:w="1264" w:type="dxa"/>
            <w:vAlign w:val="center"/>
          </w:tcPr>
          <w:p w14:paraId="40CB2ADA"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D9</w:t>
            </w:r>
          </w:p>
        </w:tc>
        <w:tc>
          <w:tcPr>
            <w:tcW w:w="887" w:type="dxa"/>
            <w:vAlign w:val="center"/>
          </w:tcPr>
          <w:p w14:paraId="4D37C4F0"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-0.0563</w:t>
            </w:r>
          </w:p>
        </w:tc>
        <w:tc>
          <w:tcPr>
            <w:tcW w:w="888" w:type="dxa"/>
            <w:vAlign w:val="center"/>
          </w:tcPr>
          <w:p w14:paraId="6F8AF98F"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0.0468</w:t>
            </w:r>
          </w:p>
        </w:tc>
        <w:tc>
          <w:tcPr>
            <w:tcW w:w="887" w:type="dxa"/>
            <w:vAlign w:val="center"/>
          </w:tcPr>
          <w:p w14:paraId="4194E300"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0.0511</w:t>
            </w:r>
          </w:p>
        </w:tc>
        <w:tc>
          <w:tcPr>
            <w:tcW w:w="888" w:type="dxa"/>
            <w:vAlign w:val="center"/>
          </w:tcPr>
          <w:p w14:paraId="07D5612D"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0.1378</w:t>
            </w:r>
          </w:p>
        </w:tc>
        <w:tc>
          <w:tcPr>
            <w:tcW w:w="888" w:type="dxa"/>
            <w:vAlign w:val="center"/>
          </w:tcPr>
          <w:p w14:paraId="1FFDBD96"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0.0033</w:t>
            </w:r>
          </w:p>
        </w:tc>
        <w:tc>
          <w:tcPr>
            <w:tcW w:w="887" w:type="dxa"/>
            <w:vAlign w:val="center"/>
          </w:tcPr>
          <w:p w14:paraId="645EECD8"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0.0740</w:t>
            </w:r>
          </w:p>
        </w:tc>
        <w:tc>
          <w:tcPr>
            <w:tcW w:w="888" w:type="dxa"/>
            <w:vAlign w:val="center"/>
          </w:tcPr>
          <w:p w14:paraId="28B11401"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-0.2333</w:t>
            </w:r>
          </w:p>
        </w:tc>
        <w:tc>
          <w:tcPr>
            <w:tcW w:w="888" w:type="dxa"/>
            <w:vAlign w:val="center"/>
          </w:tcPr>
          <w:p w14:paraId="2C5935AB"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-0.1576</w:t>
            </w:r>
          </w:p>
        </w:tc>
        <w:tc>
          <w:tcPr>
            <w:tcW w:w="887" w:type="dxa"/>
            <w:vAlign w:val="center"/>
          </w:tcPr>
          <w:p w14:paraId="756CA9A6"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-0.0131</w:t>
            </w:r>
          </w:p>
        </w:tc>
        <w:tc>
          <w:tcPr>
            <w:tcW w:w="888" w:type="dxa"/>
            <w:vAlign w:val="center"/>
          </w:tcPr>
          <w:p w14:paraId="64B53EE9"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-0.0836</w:t>
            </w:r>
          </w:p>
        </w:tc>
        <w:tc>
          <w:tcPr>
            <w:tcW w:w="888" w:type="dxa"/>
            <w:vAlign w:val="center"/>
          </w:tcPr>
          <w:p w14:paraId="183B695B" w14:textId="77777777" w:rsidR="009D5EE6" w:rsidRPr="007174B5"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0.1500</w:t>
            </w:r>
          </w:p>
        </w:tc>
        <w:tc>
          <w:tcPr>
            <w:tcW w:w="887" w:type="dxa"/>
            <w:vAlign w:val="center"/>
          </w:tcPr>
          <w:p w14:paraId="3A459370"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0.3288</w:t>
            </w:r>
          </w:p>
        </w:tc>
        <w:tc>
          <w:tcPr>
            <w:tcW w:w="888" w:type="dxa"/>
            <w:vAlign w:val="center"/>
          </w:tcPr>
          <w:p w14:paraId="1A35FF30"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0.5824</w:t>
            </w:r>
          </w:p>
        </w:tc>
        <w:tc>
          <w:tcPr>
            <w:tcW w:w="888" w:type="dxa"/>
            <w:vAlign w:val="center"/>
          </w:tcPr>
          <w:p w14:paraId="248BA390"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-0.2930</w:t>
            </w:r>
          </w:p>
        </w:tc>
        <w:tc>
          <w:tcPr>
            <w:tcW w:w="887" w:type="dxa"/>
            <w:vAlign w:val="center"/>
          </w:tcPr>
          <w:p w14:paraId="1C0E9DF6"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77CEA741" w14:textId="77777777" w:rsidR="009D5EE6" w:rsidRPr="007174B5" w:rsidRDefault="009D5EE6" w:rsidP="009824F5">
            <w:pPr>
              <w:pStyle w:val="NoSpacing"/>
              <w:spacing w:line="360" w:lineRule="auto"/>
              <w:jc w:val="center"/>
              <w:rPr>
                <w:rFonts w:asciiTheme="majorHAnsi" w:hAnsiTheme="majorHAnsi"/>
                <w:sz w:val="16"/>
                <w:szCs w:val="16"/>
              </w:rPr>
            </w:pPr>
          </w:p>
        </w:tc>
        <w:tc>
          <w:tcPr>
            <w:tcW w:w="888" w:type="dxa"/>
            <w:vAlign w:val="center"/>
          </w:tcPr>
          <w:p w14:paraId="4DF34DFE"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252807A1" w14:textId="77777777" w:rsidTr="009824F5">
        <w:trPr>
          <w:trHeight w:val="394"/>
          <w:jc w:val="center"/>
        </w:trPr>
        <w:tc>
          <w:tcPr>
            <w:tcW w:w="1264" w:type="dxa"/>
            <w:vAlign w:val="center"/>
          </w:tcPr>
          <w:p w14:paraId="50CDF0FC"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D10</w:t>
            </w:r>
          </w:p>
        </w:tc>
        <w:tc>
          <w:tcPr>
            <w:tcW w:w="887" w:type="dxa"/>
            <w:vAlign w:val="center"/>
          </w:tcPr>
          <w:p w14:paraId="07A2D0FC"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0.877</w:t>
            </w:r>
          </w:p>
        </w:tc>
        <w:tc>
          <w:tcPr>
            <w:tcW w:w="888" w:type="dxa"/>
            <w:vAlign w:val="center"/>
          </w:tcPr>
          <w:p w14:paraId="0C381A6F"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0.5627</w:t>
            </w:r>
          </w:p>
        </w:tc>
        <w:tc>
          <w:tcPr>
            <w:tcW w:w="887" w:type="dxa"/>
            <w:vAlign w:val="center"/>
          </w:tcPr>
          <w:p w14:paraId="5F5AC15B"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0.5630</w:t>
            </w:r>
          </w:p>
        </w:tc>
        <w:tc>
          <w:tcPr>
            <w:tcW w:w="888" w:type="dxa"/>
            <w:vAlign w:val="center"/>
          </w:tcPr>
          <w:p w14:paraId="37B8A044"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0.5097</w:t>
            </w:r>
          </w:p>
        </w:tc>
        <w:tc>
          <w:tcPr>
            <w:tcW w:w="888" w:type="dxa"/>
            <w:vAlign w:val="center"/>
          </w:tcPr>
          <w:p w14:paraId="40E9333C"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0.4812</w:t>
            </w:r>
          </w:p>
        </w:tc>
        <w:tc>
          <w:tcPr>
            <w:tcW w:w="887" w:type="dxa"/>
            <w:vAlign w:val="center"/>
          </w:tcPr>
          <w:p w14:paraId="4D5F592A"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0.4171</w:t>
            </w:r>
          </w:p>
        </w:tc>
        <w:tc>
          <w:tcPr>
            <w:tcW w:w="888" w:type="dxa"/>
            <w:vAlign w:val="center"/>
          </w:tcPr>
          <w:p w14:paraId="5DEC8E53"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0.9788</w:t>
            </w:r>
          </w:p>
        </w:tc>
        <w:tc>
          <w:tcPr>
            <w:tcW w:w="888" w:type="dxa"/>
            <w:vAlign w:val="center"/>
          </w:tcPr>
          <w:p w14:paraId="571CFFD6"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-0.6715</w:t>
            </w:r>
          </w:p>
        </w:tc>
        <w:tc>
          <w:tcPr>
            <w:tcW w:w="887" w:type="dxa"/>
            <w:vAlign w:val="center"/>
          </w:tcPr>
          <w:p w14:paraId="0E8F8DFC"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-0.8584</w:t>
            </w:r>
          </w:p>
        </w:tc>
        <w:tc>
          <w:tcPr>
            <w:tcW w:w="888" w:type="dxa"/>
            <w:vAlign w:val="center"/>
          </w:tcPr>
          <w:p w14:paraId="3446BCD6"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-0.7938</w:t>
            </w:r>
          </w:p>
        </w:tc>
        <w:tc>
          <w:tcPr>
            <w:tcW w:w="888" w:type="dxa"/>
            <w:vAlign w:val="center"/>
          </w:tcPr>
          <w:p w14:paraId="18C731BD" w14:textId="77777777" w:rsidR="009D5EE6" w:rsidRPr="007174B5"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-0.9561</w:t>
            </w:r>
          </w:p>
        </w:tc>
        <w:tc>
          <w:tcPr>
            <w:tcW w:w="887" w:type="dxa"/>
            <w:vAlign w:val="center"/>
          </w:tcPr>
          <w:p w14:paraId="2CCBEAE4"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-0.9869</w:t>
            </w:r>
          </w:p>
        </w:tc>
        <w:tc>
          <w:tcPr>
            <w:tcW w:w="888" w:type="dxa"/>
            <w:vAlign w:val="center"/>
          </w:tcPr>
          <w:p w14:paraId="25FEEE64"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-0.9526</w:t>
            </w:r>
          </w:p>
        </w:tc>
        <w:tc>
          <w:tcPr>
            <w:tcW w:w="888" w:type="dxa"/>
            <w:vAlign w:val="center"/>
          </w:tcPr>
          <w:p w14:paraId="400C49B2"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0.9928</w:t>
            </w:r>
          </w:p>
        </w:tc>
        <w:tc>
          <w:tcPr>
            <w:tcW w:w="887" w:type="dxa"/>
            <w:vAlign w:val="center"/>
          </w:tcPr>
          <w:p w14:paraId="32740390"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-0.4055</w:t>
            </w:r>
          </w:p>
        </w:tc>
        <w:tc>
          <w:tcPr>
            <w:tcW w:w="888" w:type="dxa"/>
            <w:vAlign w:val="center"/>
          </w:tcPr>
          <w:p w14:paraId="27B9733F"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c>
          <w:tcPr>
            <w:tcW w:w="888" w:type="dxa"/>
            <w:vAlign w:val="center"/>
          </w:tcPr>
          <w:p w14:paraId="1086F9C0" w14:textId="77777777" w:rsidR="009D5EE6" w:rsidRPr="007174B5" w:rsidRDefault="009D5EE6" w:rsidP="009824F5">
            <w:pPr>
              <w:pStyle w:val="NoSpacing"/>
              <w:spacing w:line="360" w:lineRule="auto"/>
              <w:jc w:val="center"/>
              <w:rPr>
                <w:rFonts w:asciiTheme="majorHAnsi" w:hAnsiTheme="majorHAnsi"/>
                <w:sz w:val="16"/>
                <w:szCs w:val="16"/>
              </w:rPr>
            </w:pPr>
          </w:p>
        </w:tc>
      </w:tr>
      <w:tr w:rsidR="009D5EE6" w:rsidRPr="00F14751" w14:paraId="24F7D487" w14:textId="77777777" w:rsidTr="009824F5">
        <w:trPr>
          <w:trHeight w:val="394"/>
          <w:jc w:val="center"/>
        </w:trPr>
        <w:tc>
          <w:tcPr>
            <w:tcW w:w="1264" w:type="dxa"/>
            <w:vAlign w:val="center"/>
          </w:tcPr>
          <w:p w14:paraId="0BB96CE7" w14:textId="77777777" w:rsidR="009D5EE6" w:rsidRPr="007174B5" w:rsidRDefault="009D5EE6" w:rsidP="009824F5">
            <w:pPr>
              <w:pStyle w:val="NoSpacing"/>
              <w:spacing w:line="360" w:lineRule="auto"/>
              <w:rPr>
                <w:rFonts w:asciiTheme="majorHAnsi" w:hAnsiTheme="majorHAnsi" w:cs="Times New Roman"/>
                <w:sz w:val="16"/>
                <w:szCs w:val="16"/>
              </w:rPr>
            </w:pPr>
            <w:r w:rsidRPr="007174B5">
              <w:rPr>
                <w:rFonts w:asciiTheme="majorHAnsi" w:hAnsiTheme="majorHAnsi" w:cs="Times New Roman"/>
                <w:sz w:val="16"/>
                <w:szCs w:val="16"/>
              </w:rPr>
              <w:t>SRI</w:t>
            </w:r>
          </w:p>
        </w:tc>
        <w:tc>
          <w:tcPr>
            <w:tcW w:w="887" w:type="dxa"/>
            <w:vAlign w:val="center"/>
          </w:tcPr>
          <w:p w14:paraId="6393A359"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-0.1038</w:t>
            </w:r>
          </w:p>
        </w:tc>
        <w:tc>
          <w:tcPr>
            <w:tcW w:w="888" w:type="dxa"/>
            <w:vAlign w:val="center"/>
          </w:tcPr>
          <w:p w14:paraId="31EE6779"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0.0876</w:t>
            </w:r>
          </w:p>
        </w:tc>
        <w:tc>
          <w:tcPr>
            <w:tcW w:w="887" w:type="dxa"/>
            <w:vAlign w:val="center"/>
          </w:tcPr>
          <w:p w14:paraId="22045424"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-0.0737</w:t>
            </w:r>
          </w:p>
        </w:tc>
        <w:tc>
          <w:tcPr>
            <w:tcW w:w="888" w:type="dxa"/>
            <w:vAlign w:val="center"/>
          </w:tcPr>
          <w:p w14:paraId="1B1CB1FC"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-0.0293</w:t>
            </w:r>
          </w:p>
        </w:tc>
        <w:tc>
          <w:tcPr>
            <w:tcW w:w="888" w:type="dxa"/>
            <w:vAlign w:val="center"/>
          </w:tcPr>
          <w:p w14:paraId="36E4E045"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-0.1153</w:t>
            </w:r>
          </w:p>
        </w:tc>
        <w:tc>
          <w:tcPr>
            <w:tcW w:w="887" w:type="dxa"/>
            <w:vAlign w:val="center"/>
          </w:tcPr>
          <w:p w14:paraId="057C9B19"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-0.5070</w:t>
            </w:r>
          </w:p>
        </w:tc>
        <w:tc>
          <w:tcPr>
            <w:tcW w:w="888" w:type="dxa"/>
            <w:vAlign w:val="center"/>
          </w:tcPr>
          <w:p w14:paraId="1856D45E" w14:textId="77777777" w:rsidR="009D5EE6" w:rsidRPr="007174B5"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0.0649</w:t>
            </w:r>
          </w:p>
        </w:tc>
        <w:tc>
          <w:tcPr>
            <w:tcW w:w="888" w:type="dxa"/>
            <w:vAlign w:val="center"/>
          </w:tcPr>
          <w:p w14:paraId="561DDC29"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-0.0593</w:t>
            </w:r>
          </w:p>
        </w:tc>
        <w:tc>
          <w:tcPr>
            <w:tcW w:w="887" w:type="dxa"/>
            <w:vAlign w:val="center"/>
          </w:tcPr>
          <w:p w14:paraId="5293EBB5"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-0.0643</w:t>
            </w:r>
          </w:p>
        </w:tc>
        <w:tc>
          <w:tcPr>
            <w:tcW w:w="888" w:type="dxa"/>
            <w:vAlign w:val="center"/>
          </w:tcPr>
          <w:p w14:paraId="0FC65E4A" w14:textId="77777777" w:rsidR="009D5EE6" w:rsidRPr="007174B5"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-0.0638</w:t>
            </w:r>
          </w:p>
        </w:tc>
        <w:tc>
          <w:tcPr>
            <w:tcW w:w="888" w:type="dxa"/>
            <w:vAlign w:val="center"/>
          </w:tcPr>
          <w:p w14:paraId="481C0710" w14:textId="77777777" w:rsidR="009D5EE6" w:rsidRPr="007174B5"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-0.0449</w:t>
            </w:r>
          </w:p>
        </w:tc>
        <w:tc>
          <w:tcPr>
            <w:tcW w:w="887" w:type="dxa"/>
            <w:vAlign w:val="center"/>
          </w:tcPr>
          <w:p w14:paraId="7647C3E8"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-0.0504</w:t>
            </w:r>
          </w:p>
        </w:tc>
        <w:tc>
          <w:tcPr>
            <w:tcW w:w="888" w:type="dxa"/>
            <w:vAlign w:val="center"/>
          </w:tcPr>
          <w:p w14:paraId="3A3385FB"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-0.0862</w:t>
            </w:r>
          </w:p>
        </w:tc>
        <w:tc>
          <w:tcPr>
            <w:tcW w:w="888" w:type="dxa"/>
            <w:vAlign w:val="center"/>
          </w:tcPr>
          <w:p w14:paraId="65A7BAD5"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0.0658</w:t>
            </w:r>
          </w:p>
        </w:tc>
        <w:tc>
          <w:tcPr>
            <w:tcW w:w="887" w:type="dxa"/>
            <w:vAlign w:val="center"/>
          </w:tcPr>
          <w:p w14:paraId="6EB7769C"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-0.1249</w:t>
            </w:r>
          </w:p>
        </w:tc>
        <w:tc>
          <w:tcPr>
            <w:tcW w:w="888" w:type="dxa"/>
            <w:vAlign w:val="center"/>
          </w:tcPr>
          <w:p w14:paraId="0F4E3AD5" w14:textId="77777777" w:rsidR="009D5EE6" w:rsidRPr="007174B5"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0.0786</w:t>
            </w:r>
          </w:p>
        </w:tc>
        <w:tc>
          <w:tcPr>
            <w:tcW w:w="888" w:type="dxa"/>
            <w:vAlign w:val="center"/>
          </w:tcPr>
          <w:p w14:paraId="4733B01B" w14:textId="77777777" w:rsidR="009D5EE6" w:rsidRPr="007174B5" w:rsidRDefault="009D5EE6" w:rsidP="009824F5">
            <w:pPr>
              <w:pStyle w:val="NoSpacing"/>
              <w:spacing w:line="360" w:lineRule="auto"/>
              <w:jc w:val="center"/>
              <w:rPr>
                <w:rFonts w:asciiTheme="majorHAnsi" w:hAnsiTheme="majorHAnsi"/>
                <w:sz w:val="16"/>
                <w:szCs w:val="16"/>
              </w:rPr>
            </w:pPr>
            <w:r w:rsidRPr="007174B5">
              <w:rPr>
                <w:rFonts w:asciiTheme="majorHAnsi" w:hAnsiTheme="majorHAnsi"/>
                <w:sz w:val="16"/>
                <w:szCs w:val="16"/>
              </w:rPr>
              <w:t>1.0000</w:t>
            </w:r>
          </w:p>
        </w:tc>
      </w:tr>
    </w:tbl>
    <w:p w14:paraId="52A0F4EA" w14:textId="77777777" w:rsidR="007F0874" w:rsidRPr="00F14751" w:rsidRDefault="007F0874" w:rsidP="00C8508E">
      <w:pPr>
        <w:pStyle w:val="NoSpacing"/>
        <w:spacing w:line="360" w:lineRule="auto"/>
        <w:jc w:val="both"/>
        <w:rPr>
          <w:rFonts w:asciiTheme="majorHAnsi" w:hAnsiTheme="majorHAnsi"/>
          <w:b/>
          <w:i/>
        </w:rPr>
        <w:sectPr w:rsidR="007F0874" w:rsidRPr="00F14751" w:rsidSect="004B6670">
          <w:pgSz w:w="16838" w:h="11906" w:orient="landscape"/>
          <w:pgMar w:top="1417" w:right="1417" w:bottom="1417" w:left="1417" w:header="708" w:footer="708" w:gutter="0"/>
          <w:cols w:space="708"/>
          <w:docGrid w:linePitch="360"/>
        </w:sectPr>
      </w:pPr>
    </w:p>
    <w:tbl>
      <w:tblPr>
        <w:tblStyle w:val="TableGrid"/>
        <w:tblW w:w="16354" w:type="dxa"/>
        <w:jc w:val="center"/>
        <w:tblLayout w:type="fixed"/>
        <w:tblLook w:val="04A0" w:firstRow="1" w:lastRow="0" w:firstColumn="1" w:lastColumn="0" w:noHBand="0" w:noVBand="1"/>
      </w:tblPr>
      <w:tblGrid>
        <w:gridCol w:w="1264"/>
        <w:gridCol w:w="887"/>
        <w:gridCol w:w="888"/>
        <w:gridCol w:w="887"/>
        <w:gridCol w:w="888"/>
        <w:gridCol w:w="888"/>
        <w:gridCol w:w="887"/>
        <w:gridCol w:w="888"/>
        <w:gridCol w:w="888"/>
        <w:gridCol w:w="887"/>
        <w:gridCol w:w="888"/>
        <w:gridCol w:w="888"/>
        <w:gridCol w:w="887"/>
        <w:gridCol w:w="888"/>
        <w:gridCol w:w="888"/>
        <w:gridCol w:w="887"/>
        <w:gridCol w:w="888"/>
        <w:gridCol w:w="888"/>
      </w:tblGrid>
      <w:tr w:rsidR="007174B5" w:rsidRPr="00F14751" w14:paraId="24BE3859" w14:textId="77777777" w:rsidTr="009824F5">
        <w:trPr>
          <w:trHeight w:val="394"/>
          <w:jc w:val="center"/>
        </w:trPr>
        <w:tc>
          <w:tcPr>
            <w:tcW w:w="1264" w:type="dxa"/>
          </w:tcPr>
          <w:p w14:paraId="03E0A5DB" w14:textId="77777777" w:rsidR="007174B5" w:rsidRPr="00F14751" w:rsidRDefault="007174B5" w:rsidP="00C8508E">
            <w:pPr>
              <w:pStyle w:val="NoSpacing"/>
              <w:spacing w:line="360" w:lineRule="auto"/>
              <w:jc w:val="both"/>
              <w:rPr>
                <w:rFonts w:asciiTheme="majorHAnsi" w:hAnsiTheme="majorHAnsi"/>
                <w:sz w:val="16"/>
                <w:szCs w:val="16"/>
              </w:rPr>
            </w:pPr>
          </w:p>
        </w:tc>
        <w:tc>
          <w:tcPr>
            <w:tcW w:w="887" w:type="dxa"/>
            <w:vAlign w:val="center"/>
          </w:tcPr>
          <w:p w14:paraId="5C4764CD"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cs="Times New Roman"/>
                <w:sz w:val="16"/>
                <w:szCs w:val="16"/>
              </w:rPr>
              <w:t>PHR ($2)</w:t>
            </w:r>
          </w:p>
        </w:tc>
        <w:tc>
          <w:tcPr>
            <w:tcW w:w="888" w:type="dxa"/>
            <w:vAlign w:val="center"/>
          </w:tcPr>
          <w:p w14:paraId="39F2E6B0"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cs="Times New Roman"/>
                <w:sz w:val="16"/>
                <w:szCs w:val="16"/>
              </w:rPr>
              <w:t>PHR ($1.25)</w:t>
            </w:r>
          </w:p>
        </w:tc>
        <w:tc>
          <w:tcPr>
            <w:tcW w:w="887" w:type="dxa"/>
            <w:vAlign w:val="center"/>
          </w:tcPr>
          <w:p w14:paraId="3688BC17"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cs="Times New Roman"/>
                <w:sz w:val="16"/>
                <w:szCs w:val="16"/>
              </w:rPr>
              <w:t>PGR ($2)</w:t>
            </w:r>
          </w:p>
        </w:tc>
        <w:tc>
          <w:tcPr>
            <w:tcW w:w="888" w:type="dxa"/>
            <w:vAlign w:val="center"/>
          </w:tcPr>
          <w:p w14:paraId="36A48324"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cs="Times New Roman"/>
                <w:sz w:val="16"/>
                <w:szCs w:val="16"/>
              </w:rPr>
              <w:t>PGR ($1.25)</w:t>
            </w:r>
          </w:p>
        </w:tc>
        <w:tc>
          <w:tcPr>
            <w:tcW w:w="888" w:type="dxa"/>
            <w:vAlign w:val="center"/>
          </w:tcPr>
          <w:p w14:paraId="6047CC2D" w14:textId="77777777" w:rsidR="007174B5" w:rsidRPr="00F14751" w:rsidRDefault="007174B5" w:rsidP="009824F5">
            <w:pPr>
              <w:pStyle w:val="NoSpacing"/>
              <w:spacing w:line="360" w:lineRule="auto"/>
              <w:jc w:val="center"/>
              <w:rPr>
                <w:rFonts w:asciiTheme="majorHAnsi" w:hAnsiTheme="majorHAnsi" w:cs="Times New Roman"/>
                <w:sz w:val="16"/>
                <w:szCs w:val="16"/>
              </w:rPr>
            </w:pPr>
            <w:proofErr w:type="spellStart"/>
            <w:r w:rsidRPr="00F14751">
              <w:rPr>
                <w:rFonts w:asciiTheme="majorHAnsi" w:hAnsiTheme="majorHAnsi" w:cs="Times New Roman"/>
                <w:sz w:val="16"/>
                <w:szCs w:val="16"/>
              </w:rPr>
              <w:t>DoP</w:t>
            </w:r>
            <w:proofErr w:type="spellEnd"/>
            <w:r w:rsidRPr="00F14751">
              <w:rPr>
                <w:rFonts w:asciiTheme="majorHAnsi" w:hAnsiTheme="majorHAnsi" w:cs="Times New Roman"/>
                <w:sz w:val="16"/>
                <w:szCs w:val="16"/>
              </w:rPr>
              <w:t xml:space="preserve"> ($2)</w:t>
            </w:r>
          </w:p>
        </w:tc>
        <w:tc>
          <w:tcPr>
            <w:tcW w:w="887" w:type="dxa"/>
            <w:vAlign w:val="center"/>
          </w:tcPr>
          <w:p w14:paraId="3D70BADB" w14:textId="77777777" w:rsidR="007174B5" w:rsidRPr="00F14751" w:rsidRDefault="007174B5" w:rsidP="009824F5">
            <w:pPr>
              <w:pStyle w:val="NoSpacing"/>
              <w:spacing w:line="360" w:lineRule="auto"/>
              <w:jc w:val="center"/>
              <w:rPr>
                <w:rFonts w:asciiTheme="majorHAnsi" w:hAnsiTheme="majorHAnsi" w:cs="Times New Roman"/>
                <w:sz w:val="16"/>
                <w:szCs w:val="16"/>
              </w:rPr>
            </w:pPr>
            <w:proofErr w:type="spellStart"/>
            <w:r w:rsidRPr="00F14751">
              <w:rPr>
                <w:rFonts w:asciiTheme="majorHAnsi" w:hAnsiTheme="majorHAnsi" w:cs="Times New Roman"/>
                <w:sz w:val="16"/>
                <w:szCs w:val="16"/>
              </w:rPr>
              <w:t>DoP</w:t>
            </w:r>
            <w:proofErr w:type="spellEnd"/>
            <w:r w:rsidRPr="00F14751">
              <w:rPr>
                <w:rFonts w:asciiTheme="majorHAnsi" w:hAnsiTheme="majorHAnsi" w:cs="Times New Roman"/>
                <w:sz w:val="16"/>
                <w:szCs w:val="16"/>
              </w:rPr>
              <w:t xml:space="preserve"> ($1.25)</w:t>
            </w:r>
          </w:p>
        </w:tc>
        <w:tc>
          <w:tcPr>
            <w:tcW w:w="888" w:type="dxa"/>
            <w:vAlign w:val="center"/>
          </w:tcPr>
          <w:p w14:paraId="28BD3B9A"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cs="Times New Roman"/>
                <w:sz w:val="16"/>
                <w:szCs w:val="16"/>
              </w:rPr>
              <w:t>Gini</w:t>
            </w:r>
          </w:p>
        </w:tc>
        <w:tc>
          <w:tcPr>
            <w:tcW w:w="888" w:type="dxa"/>
            <w:vAlign w:val="center"/>
          </w:tcPr>
          <w:p w14:paraId="7EA446D4"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sz w:val="16"/>
                <w:szCs w:val="16"/>
              </w:rPr>
              <w:t>D1</w:t>
            </w:r>
          </w:p>
        </w:tc>
        <w:tc>
          <w:tcPr>
            <w:tcW w:w="887" w:type="dxa"/>
            <w:vAlign w:val="center"/>
          </w:tcPr>
          <w:p w14:paraId="7F3E2295"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sz w:val="16"/>
                <w:szCs w:val="16"/>
              </w:rPr>
              <w:t>D2</w:t>
            </w:r>
          </w:p>
        </w:tc>
        <w:tc>
          <w:tcPr>
            <w:tcW w:w="888" w:type="dxa"/>
            <w:vAlign w:val="center"/>
          </w:tcPr>
          <w:p w14:paraId="0DC199CE"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Q1</w:t>
            </w:r>
          </w:p>
        </w:tc>
        <w:tc>
          <w:tcPr>
            <w:tcW w:w="888" w:type="dxa"/>
            <w:vAlign w:val="center"/>
          </w:tcPr>
          <w:p w14:paraId="5736280F"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Q2</w:t>
            </w:r>
          </w:p>
        </w:tc>
        <w:tc>
          <w:tcPr>
            <w:tcW w:w="887" w:type="dxa"/>
            <w:vAlign w:val="center"/>
          </w:tcPr>
          <w:p w14:paraId="53ABB871"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sz w:val="16"/>
                <w:szCs w:val="16"/>
              </w:rPr>
              <w:t>Q</w:t>
            </w:r>
            <w:r w:rsidR="009A27CA">
              <w:rPr>
                <w:rFonts w:asciiTheme="majorHAnsi" w:hAnsiTheme="majorHAnsi"/>
                <w:sz w:val="16"/>
                <w:szCs w:val="16"/>
              </w:rPr>
              <w:t>3</w:t>
            </w:r>
          </w:p>
        </w:tc>
        <w:tc>
          <w:tcPr>
            <w:tcW w:w="888" w:type="dxa"/>
            <w:vAlign w:val="center"/>
          </w:tcPr>
          <w:p w14:paraId="7DCF9D97"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Q4</w:t>
            </w:r>
          </w:p>
        </w:tc>
        <w:tc>
          <w:tcPr>
            <w:tcW w:w="888" w:type="dxa"/>
            <w:vAlign w:val="center"/>
          </w:tcPr>
          <w:p w14:paraId="20DDA231"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Q5</w:t>
            </w:r>
          </w:p>
        </w:tc>
        <w:tc>
          <w:tcPr>
            <w:tcW w:w="887" w:type="dxa"/>
            <w:vAlign w:val="center"/>
          </w:tcPr>
          <w:p w14:paraId="71A400D9"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D9</w:t>
            </w:r>
          </w:p>
        </w:tc>
        <w:tc>
          <w:tcPr>
            <w:tcW w:w="888" w:type="dxa"/>
            <w:vAlign w:val="center"/>
          </w:tcPr>
          <w:p w14:paraId="3BC176E0"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D10</w:t>
            </w:r>
          </w:p>
        </w:tc>
        <w:tc>
          <w:tcPr>
            <w:tcW w:w="888" w:type="dxa"/>
            <w:vAlign w:val="center"/>
          </w:tcPr>
          <w:p w14:paraId="07FA348A" w14:textId="77777777" w:rsidR="007174B5" w:rsidRPr="00F14751" w:rsidRDefault="007174B5" w:rsidP="009824F5">
            <w:pPr>
              <w:pStyle w:val="NoSpacing"/>
              <w:spacing w:line="360" w:lineRule="auto"/>
              <w:jc w:val="center"/>
              <w:rPr>
                <w:rFonts w:asciiTheme="majorHAnsi" w:hAnsiTheme="majorHAnsi"/>
                <w:sz w:val="16"/>
                <w:szCs w:val="16"/>
              </w:rPr>
            </w:pPr>
            <w:r w:rsidRPr="00F14751">
              <w:rPr>
                <w:rFonts w:asciiTheme="majorHAnsi" w:hAnsiTheme="majorHAnsi"/>
                <w:sz w:val="16"/>
                <w:szCs w:val="16"/>
              </w:rPr>
              <w:t>SRI</w:t>
            </w:r>
          </w:p>
        </w:tc>
      </w:tr>
      <w:tr w:rsidR="007174B5" w:rsidRPr="00F14751" w14:paraId="2D9D9602" w14:textId="77777777" w:rsidTr="009824F5">
        <w:trPr>
          <w:trHeight w:val="394"/>
          <w:jc w:val="center"/>
        </w:trPr>
        <w:tc>
          <w:tcPr>
            <w:tcW w:w="1264" w:type="dxa"/>
            <w:vAlign w:val="center"/>
          </w:tcPr>
          <w:p w14:paraId="30847A3C"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Trade</w:t>
            </w:r>
          </w:p>
        </w:tc>
        <w:tc>
          <w:tcPr>
            <w:tcW w:w="887" w:type="dxa"/>
            <w:vAlign w:val="center"/>
          </w:tcPr>
          <w:p w14:paraId="655229B5"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-0.1995</w:t>
            </w:r>
          </w:p>
        </w:tc>
        <w:tc>
          <w:tcPr>
            <w:tcW w:w="888" w:type="dxa"/>
            <w:vAlign w:val="center"/>
          </w:tcPr>
          <w:p w14:paraId="1C1703C3"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-0.1813</w:t>
            </w:r>
          </w:p>
        </w:tc>
        <w:tc>
          <w:tcPr>
            <w:tcW w:w="887" w:type="dxa"/>
            <w:vAlign w:val="center"/>
          </w:tcPr>
          <w:p w14:paraId="39F7FEBF"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-0.1590</w:t>
            </w:r>
          </w:p>
        </w:tc>
        <w:tc>
          <w:tcPr>
            <w:tcW w:w="888" w:type="dxa"/>
            <w:vAlign w:val="center"/>
          </w:tcPr>
          <w:p w14:paraId="79F4B3FC"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-0.0952</w:t>
            </w:r>
          </w:p>
        </w:tc>
        <w:tc>
          <w:tcPr>
            <w:tcW w:w="888" w:type="dxa"/>
            <w:vAlign w:val="center"/>
          </w:tcPr>
          <w:p w14:paraId="3BA9B924"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-0.1895</w:t>
            </w:r>
          </w:p>
        </w:tc>
        <w:tc>
          <w:tcPr>
            <w:tcW w:w="887" w:type="dxa"/>
            <w:vAlign w:val="center"/>
          </w:tcPr>
          <w:p w14:paraId="793077CF"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-0.1260</w:t>
            </w:r>
          </w:p>
        </w:tc>
        <w:tc>
          <w:tcPr>
            <w:tcW w:w="888" w:type="dxa"/>
            <w:vAlign w:val="center"/>
          </w:tcPr>
          <w:p w14:paraId="53714951"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-0.1416</w:t>
            </w:r>
          </w:p>
        </w:tc>
        <w:tc>
          <w:tcPr>
            <w:tcW w:w="888" w:type="dxa"/>
            <w:vAlign w:val="center"/>
          </w:tcPr>
          <w:p w14:paraId="3C1691DA"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0.0488</w:t>
            </w:r>
          </w:p>
        </w:tc>
        <w:tc>
          <w:tcPr>
            <w:tcW w:w="887" w:type="dxa"/>
            <w:vAlign w:val="center"/>
          </w:tcPr>
          <w:p w14:paraId="48E6217A"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0.1358</w:t>
            </w:r>
          </w:p>
        </w:tc>
        <w:tc>
          <w:tcPr>
            <w:tcW w:w="888" w:type="dxa"/>
            <w:vAlign w:val="center"/>
          </w:tcPr>
          <w:p w14:paraId="3F9F1186"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0.0977</w:t>
            </w:r>
          </w:p>
        </w:tc>
        <w:tc>
          <w:tcPr>
            <w:tcW w:w="888" w:type="dxa"/>
            <w:vAlign w:val="center"/>
          </w:tcPr>
          <w:p w14:paraId="5470111A"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0.1757</w:t>
            </w:r>
          </w:p>
        </w:tc>
        <w:tc>
          <w:tcPr>
            <w:tcW w:w="887" w:type="dxa"/>
            <w:vAlign w:val="center"/>
          </w:tcPr>
          <w:p w14:paraId="6A4D00F6"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0.1661</w:t>
            </w:r>
          </w:p>
        </w:tc>
        <w:tc>
          <w:tcPr>
            <w:tcW w:w="888" w:type="dxa"/>
            <w:vAlign w:val="center"/>
          </w:tcPr>
          <w:p w14:paraId="272ADA80"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0.1148</w:t>
            </w:r>
          </w:p>
        </w:tc>
        <w:tc>
          <w:tcPr>
            <w:tcW w:w="888" w:type="dxa"/>
            <w:vAlign w:val="center"/>
          </w:tcPr>
          <w:p w14:paraId="320D2104"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-0.1497</w:t>
            </w:r>
          </w:p>
        </w:tc>
        <w:tc>
          <w:tcPr>
            <w:tcW w:w="887" w:type="dxa"/>
            <w:vAlign w:val="center"/>
          </w:tcPr>
          <w:p w14:paraId="3CB858F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-0.0455</w:t>
            </w:r>
          </w:p>
        </w:tc>
        <w:tc>
          <w:tcPr>
            <w:tcW w:w="888" w:type="dxa"/>
            <w:vAlign w:val="center"/>
          </w:tcPr>
          <w:p w14:paraId="073AC724"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-0.1374</w:t>
            </w:r>
          </w:p>
        </w:tc>
        <w:tc>
          <w:tcPr>
            <w:tcW w:w="888" w:type="dxa"/>
            <w:vAlign w:val="center"/>
          </w:tcPr>
          <w:p w14:paraId="74F672C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0.7375</w:t>
            </w:r>
          </w:p>
        </w:tc>
      </w:tr>
      <w:tr w:rsidR="007174B5" w:rsidRPr="00F14751" w14:paraId="06D92B09" w14:textId="77777777" w:rsidTr="009824F5">
        <w:trPr>
          <w:trHeight w:val="394"/>
          <w:jc w:val="center"/>
        </w:trPr>
        <w:tc>
          <w:tcPr>
            <w:tcW w:w="1264" w:type="dxa"/>
            <w:vAlign w:val="center"/>
          </w:tcPr>
          <w:p w14:paraId="11908540"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Financial</w:t>
            </w:r>
          </w:p>
        </w:tc>
        <w:tc>
          <w:tcPr>
            <w:tcW w:w="887" w:type="dxa"/>
            <w:vAlign w:val="center"/>
          </w:tcPr>
          <w:p w14:paraId="70549667"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-0.1286</w:t>
            </w:r>
          </w:p>
        </w:tc>
        <w:tc>
          <w:tcPr>
            <w:tcW w:w="888" w:type="dxa"/>
            <w:vAlign w:val="center"/>
          </w:tcPr>
          <w:p w14:paraId="781AE96C"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-0.349</w:t>
            </w:r>
          </w:p>
        </w:tc>
        <w:tc>
          <w:tcPr>
            <w:tcW w:w="887" w:type="dxa"/>
            <w:vAlign w:val="center"/>
          </w:tcPr>
          <w:p w14:paraId="3B79C5C0"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-0.1232</w:t>
            </w:r>
          </w:p>
        </w:tc>
        <w:tc>
          <w:tcPr>
            <w:tcW w:w="888" w:type="dxa"/>
            <w:vAlign w:val="center"/>
          </w:tcPr>
          <w:p w14:paraId="49A437C8"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-0.1003</w:t>
            </w:r>
          </w:p>
        </w:tc>
        <w:tc>
          <w:tcPr>
            <w:tcW w:w="888" w:type="dxa"/>
            <w:vAlign w:val="center"/>
          </w:tcPr>
          <w:p w14:paraId="3BFCD61D"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-0.1300</w:t>
            </w:r>
          </w:p>
        </w:tc>
        <w:tc>
          <w:tcPr>
            <w:tcW w:w="887" w:type="dxa"/>
            <w:vAlign w:val="center"/>
          </w:tcPr>
          <w:p w14:paraId="6DAEE3EF"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-0.0864</w:t>
            </w:r>
          </w:p>
        </w:tc>
        <w:tc>
          <w:tcPr>
            <w:tcW w:w="888" w:type="dxa"/>
            <w:vAlign w:val="center"/>
          </w:tcPr>
          <w:p w14:paraId="696B3A03"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-0.0502</w:t>
            </w:r>
          </w:p>
        </w:tc>
        <w:tc>
          <w:tcPr>
            <w:tcW w:w="888" w:type="dxa"/>
            <w:vAlign w:val="center"/>
          </w:tcPr>
          <w:p w14:paraId="519D7E66"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0.0828</w:t>
            </w:r>
          </w:p>
        </w:tc>
        <w:tc>
          <w:tcPr>
            <w:tcW w:w="887" w:type="dxa"/>
            <w:vAlign w:val="center"/>
          </w:tcPr>
          <w:p w14:paraId="2206EBD1"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0.0076</w:t>
            </w:r>
          </w:p>
        </w:tc>
        <w:tc>
          <w:tcPr>
            <w:tcW w:w="888" w:type="dxa"/>
            <w:vAlign w:val="center"/>
          </w:tcPr>
          <w:p w14:paraId="7E9185D1"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0.0443</w:t>
            </w:r>
          </w:p>
        </w:tc>
        <w:tc>
          <w:tcPr>
            <w:tcW w:w="888" w:type="dxa"/>
            <w:vAlign w:val="center"/>
          </w:tcPr>
          <w:p w14:paraId="2FC79B69"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0.0362</w:t>
            </w:r>
          </w:p>
        </w:tc>
        <w:tc>
          <w:tcPr>
            <w:tcW w:w="887" w:type="dxa"/>
            <w:vAlign w:val="center"/>
          </w:tcPr>
          <w:p w14:paraId="17A1E7FC"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0.0645</w:t>
            </w:r>
          </w:p>
        </w:tc>
        <w:tc>
          <w:tcPr>
            <w:tcW w:w="888" w:type="dxa"/>
            <w:vAlign w:val="center"/>
          </w:tcPr>
          <w:p w14:paraId="394D640C"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0.0463</w:t>
            </w:r>
          </w:p>
        </w:tc>
        <w:tc>
          <w:tcPr>
            <w:tcW w:w="888" w:type="dxa"/>
            <w:vAlign w:val="center"/>
          </w:tcPr>
          <w:p w14:paraId="6903EE5C"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-0.0517</w:t>
            </w:r>
          </w:p>
        </w:tc>
        <w:tc>
          <w:tcPr>
            <w:tcW w:w="887" w:type="dxa"/>
            <w:vAlign w:val="center"/>
          </w:tcPr>
          <w:p w14:paraId="56DC1CA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-0.0350</w:t>
            </w:r>
          </w:p>
        </w:tc>
        <w:tc>
          <w:tcPr>
            <w:tcW w:w="888" w:type="dxa"/>
            <w:vAlign w:val="center"/>
          </w:tcPr>
          <w:p w14:paraId="55434B31"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-0.0450</w:t>
            </w:r>
          </w:p>
        </w:tc>
        <w:tc>
          <w:tcPr>
            <w:tcW w:w="888" w:type="dxa"/>
            <w:vAlign w:val="center"/>
          </w:tcPr>
          <w:p w14:paraId="11A87690"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0.7744</w:t>
            </w:r>
          </w:p>
        </w:tc>
      </w:tr>
      <w:tr w:rsidR="007174B5" w:rsidRPr="00F14751" w14:paraId="5BE923D3" w14:textId="77777777" w:rsidTr="009824F5">
        <w:trPr>
          <w:trHeight w:val="394"/>
          <w:jc w:val="center"/>
        </w:trPr>
        <w:tc>
          <w:tcPr>
            <w:tcW w:w="1264" w:type="dxa"/>
            <w:vAlign w:val="center"/>
          </w:tcPr>
          <w:p w14:paraId="5454BF00"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Tax</w:t>
            </w:r>
          </w:p>
        </w:tc>
        <w:tc>
          <w:tcPr>
            <w:tcW w:w="887" w:type="dxa"/>
            <w:vAlign w:val="center"/>
          </w:tcPr>
          <w:p w14:paraId="52304ED2"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-0.2993</w:t>
            </w:r>
          </w:p>
        </w:tc>
        <w:tc>
          <w:tcPr>
            <w:tcW w:w="888" w:type="dxa"/>
            <w:vAlign w:val="center"/>
          </w:tcPr>
          <w:p w14:paraId="224CB6BE"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-0.2820</w:t>
            </w:r>
          </w:p>
        </w:tc>
        <w:tc>
          <w:tcPr>
            <w:tcW w:w="887" w:type="dxa"/>
            <w:vAlign w:val="center"/>
          </w:tcPr>
          <w:p w14:paraId="740B5270"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-0.2797</w:t>
            </w:r>
          </w:p>
        </w:tc>
        <w:tc>
          <w:tcPr>
            <w:tcW w:w="888" w:type="dxa"/>
            <w:vAlign w:val="center"/>
          </w:tcPr>
          <w:p w14:paraId="71669476"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-0.2420</w:t>
            </w:r>
          </w:p>
        </w:tc>
        <w:tc>
          <w:tcPr>
            <w:tcW w:w="888" w:type="dxa"/>
            <w:vAlign w:val="center"/>
          </w:tcPr>
          <w:p w14:paraId="075A63CA"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-0.2697</w:t>
            </w:r>
          </w:p>
        </w:tc>
        <w:tc>
          <w:tcPr>
            <w:tcW w:w="887" w:type="dxa"/>
            <w:vAlign w:val="center"/>
          </w:tcPr>
          <w:p w14:paraId="31B2E5AB"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-0.2131</w:t>
            </w:r>
          </w:p>
        </w:tc>
        <w:tc>
          <w:tcPr>
            <w:tcW w:w="888" w:type="dxa"/>
            <w:vAlign w:val="center"/>
          </w:tcPr>
          <w:p w14:paraId="3721AE2F"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-0.2043</w:t>
            </w:r>
          </w:p>
        </w:tc>
        <w:tc>
          <w:tcPr>
            <w:tcW w:w="888" w:type="dxa"/>
            <w:vAlign w:val="center"/>
          </w:tcPr>
          <w:p w14:paraId="22240B7B"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0.1753</w:t>
            </w:r>
          </w:p>
        </w:tc>
        <w:tc>
          <w:tcPr>
            <w:tcW w:w="887" w:type="dxa"/>
            <w:vAlign w:val="center"/>
          </w:tcPr>
          <w:p w14:paraId="5BD92F52"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0.2031</w:t>
            </w:r>
          </w:p>
        </w:tc>
        <w:tc>
          <w:tcPr>
            <w:tcW w:w="888" w:type="dxa"/>
            <w:vAlign w:val="center"/>
          </w:tcPr>
          <w:p w14:paraId="35F93B20"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0.1958</w:t>
            </w:r>
          </w:p>
        </w:tc>
        <w:tc>
          <w:tcPr>
            <w:tcW w:w="888" w:type="dxa"/>
            <w:vAlign w:val="center"/>
          </w:tcPr>
          <w:p w14:paraId="355E0867"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0.2211</w:t>
            </w:r>
          </w:p>
        </w:tc>
        <w:tc>
          <w:tcPr>
            <w:tcW w:w="887" w:type="dxa"/>
            <w:vAlign w:val="center"/>
          </w:tcPr>
          <w:p w14:paraId="73751FB9"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0.2093</w:t>
            </w:r>
          </w:p>
        </w:tc>
        <w:tc>
          <w:tcPr>
            <w:tcW w:w="888" w:type="dxa"/>
            <w:vAlign w:val="center"/>
          </w:tcPr>
          <w:p w14:paraId="6F4EE0E8"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0.1509</w:t>
            </w:r>
          </w:p>
        </w:tc>
        <w:tc>
          <w:tcPr>
            <w:tcW w:w="888" w:type="dxa"/>
            <w:vAlign w:val="center"/>
          </w:tcPr>
          <w:p w14:paraId="40172947"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-0.2058</w:t>
            </w:r>
          </w:p>
        </w:tc>
        <w:tc>
          <w:tcPr>
            <w:tcW w:w="887" w:type="dxa"/>
            <w:vAlign w:val="center"/>
          </w:tcPr>
          <w:p w14:paraId="53977284"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-0.1050</w:t>
            </w:r>
          </w:p>
        </w:tc>
        <w:tc>
          <w:tcPr>
            <w:tcW w:w="888" w:type="dxa"/>
            <w:vAlign w:val="center"/>
          </w:tcPr>
          <w:p w14:paraId="7411171A"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-0.1836</w:t>
            </w:r>
          </w:p>
        </w:tc>
        <w:tc>
          <w:tcPr>
            <w:tcW w:w="888" w:type="dxa"/>
            <w:vAlign w:val="center"/>
          </w:tcPr>
          <w:p w14:paraId="4EB048E4"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0.5226</w:t>
            </w:r>
          </w:p>
        </w:tc>
      </w:tr>
      <w:tr w:rsidR="007174B5" w:rsidRPr="00F14751" w14:paraId="078F7300" w14:textId="77777777" w:rsidTr="009824F5">
        <w:trPr>
          <w:trHeight w:val="394"/>
          <w:jc w:val="center"/>
        </w:trPr>
        <w:tc>
          <w:tcPr>
            <w:tcW w:w="1264" w:type="dxa"/>
            <w:vAlign w:val="center"/>
          </w:tcPr>
          <w:p w14:paraId="1A103D0E"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Privatizations</w:t>
            </w:r>
          </w:p>
        </w:tc>
        <w:tc>
          <w:tcPr>
            <w:tcW w:w="887" w:type="dxa"/>
            <w:vAlign w:val="center"/>
          </w:tcPr>
          <w:p w14:paraId="7C030F09"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0.0705</w:t>
            </w:r>
          </w:p>
        </w:tc>
        <w:tc>
          <w:tcPr>
            <w:tcW w:w="888" w:type="dxa"/>
            <w:vAlign w:val="center"/>
          </w:tcPr>
          <w:p w14:paraId="1C64BB04"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0.1002</w:t>
            </w:r>
          </w:p>
        </w:tc>
        <w:tc>
          <w:tcPr>
            <w:tcW w:w="887" w:type="dxa"/>
            <w:vAlign w:val="center"/>
          </w:tcPr>
          <w:p w14:paraId="5F674DE9"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0.1085</w:t>
            </w:r>
          </w:p>
        </w:tc>
        <w:tc>
          <w:tcPr>
            <w:tcW w:w="888" w:type="dxa"/>
            <w:vAlign w:val="center"/>
          </w:tcPr>
          <w:p w14:paraId="1924CC19"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0.1438</w:t>
            </w:r>
          </w:p>
        </w:tc>
        <w:tc>
          <w:tcPr>
            <w:tcW w:w="888" w:type="dxa"/>
            <w:vAlign w:val="center"/>
          </w:tcPr>
          <w:p w14:paraId="33B69680"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0.0790</w:t>
            </w:r>
          </w:p>
        </w:tc>
        <w:tc>
          <w:tcPr>
            <w:tcW w:w="887" w:type="dxa"/>
            <w:vAlign w:val="center"/>
          </w:tcPr>
          <w:p w14:paraId="7EB887E9"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0.1305</w:t>
            </w:r>
          </w:p>
        </w:tc>
        <w:tc>
          <w:tcPr>
            <w:tcW w:w="888" w:type="dxa"/>
            <w:vAlign w:val="center"/>
          </w:tcPr>
          <w:p w14:paraId="0842E691"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0.1587</w:t>
            </w:r>
          </w:p>
        </w:tc>
        <w:tc>
          <w:tcPr>
            <w:tcW w:w="888" w:type="dxa"/>
            <w:vAlign w:val="center"/>
          </w:tcPr>
          <w:p w14:paraId="0993F1F7"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-0.1396</w:t>
            </w:r>
          </w:p>
        </w:tc>
        <w:tc>
          <w:tcPr>
            <w:tcW w:w="887" w:type="dxa"/>
            <w:vAlign w:val="center"/>
          </w:tcPr>
          <w:p w14:paraId="0BB6476F"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-0.1876</w:t>
            </w:r>
          </w:p>
        </w:tc>
        <w:tc>
          <w:tcPr>
            <w:tcW w:w="888" w:type="dxa"/>
            <w:vAlign w:val="center"/>
          </w:tcPr>
          <w:p w14:paraId="6ADF115D"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-0.1700</w:t>
            </w:r>
          </w:p>
        </w:tc>
        <w:tc>
          <w:tcPr>
            <w:tcW w:w="888" w:type="dxa"/>
            <w:vAlign w:val="center"/>
          </w:tcPr>
          <w:p w14:paraId="0AAA04CA"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-0.1519</w:t>
            </w:r>
          </w:p>
        </w:tc>
        <w:tc>
          <w:tcPr>
            <w:tcW w:w="887" w:type="dxa"/>
            <w:vAlign w:val="center"/>
          </w:tcPr>
          <w:p w14:paraId="3786715B"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-0.1292</w:t>
            </w:r>
          </w:p>
        </w:tc>
        <w:tc>
          <w:tcPr>
            <w:tcW w:w="888" w:type="dxa"/>
            <w:vAlign w:val="center"/>
          </w:tcPr>
          <w:p w14:paraId="3BB77DD6"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-0.1272</w:t>
            </w:r>
          </w:p>
        </w:tc>
        <w:tc>
          <w:tcPr>
            <w:tcW w:w="888" w:type="dxa"/>
            <w:vAlign w:val="center"/>
          </w:tcPr>
          <w:p w14:paraId="0963430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0.1516</w:t>
            </w:r>
          </w:p>
        </w:tc>
        <w:tc>
          <w:tcPr>
            <w:tcW w:w="887" w:type="dxa"/>
            <w:vAlign w:val="center"/>
          </w:tcPr>
          <w:p w14:paraId="40100810"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-0.0861</w:t>
            </w:r>
          </w:p>
        </w:tc>
        <w:tc>
          <w:tcPr>
            <w:tcW w:w="888" w:type="dxa"/>
            <w:vAlign w:val="center"/>
          </w:tcPr>
          <w:p w14:paraId="42122C7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0.1557</w:t>
            </w:r>
          </w:p>
        </w:tc>
        <w:tc>
          <w:tcPr>
            <w:tcW w:w="888" w:type="dxa"/>
            <w:vAlign w:val="center"/>
          </w:tcPr>
          <w:p w14:paraId="4E3FFB10"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0.8109</w:t>
            </w:r>
          </w:p>
        </w:tc>
      </w:tr>
      <w:tr w:rsidR="007174B5" w:rsidRPr="00F14751" w14:paraId="73BA80B5" w14:textId="77777777" w:rsidTr="009824F5">
        <w:trPr>
          <w:trHeight w:val="394"/>
          <w:jc w:val="center"/>
        </w:trPr>
        <w:tc>
          <w:tcPr>
            <w:tcW w:w="1264" w:type="dxa"/>
            <w:vAlign w:val="center"/>
          </w:tcPr>
          <w:p w14:paraId="253B86D7"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Labor</w:t>
            </w:r>
          </w:p>
        </w:tc>
        <w:tc>
          <w:tcPr>
            <w:tcW w:w="887" w:type="dxa"/>
            <w:vAlign w:val="center"/>
          </w:tcPr>
          <w:p w14:paraId="77B0B6A6"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0.1271</w:t>
            </w:r>
          </w:p>
        </w:tc>
        <w:tc>
          <w:tcPr>
            <w:tcW w:w="888" w:type="dxa"/>
            <w:vAlign w:val="center"/>
          </w:tcPr>
          <w:p w14:paraId="515C089F"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0.1055</w:t>
            </w:r>
          </w:p>
        </w:tc>
        <w:tc>
          <w:tcPr>
            <w:tcW w:w="887" w:type="dxa"/>
            <w:vAlign w:val="center"/>
          </w:tcPr>
          <w:p w14:paraId="52C3A197"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0.0993</w:t>
            </w:r>
          </w:p>
        </w:tc>
        <w:tc>
          <w:tcPr>
            <w:tcW w:w="888" w:type="dxa"/>
            <w:vAlign w:val="center"/>
          </w:tcPr>
          <w:p w14:paraId="361AF1ED"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0.0660</w:t>
            </w:r>
          </w:p>
        </w:tc>
        <w:tc>
          <w:tcPr>
            <w:tcW w:w="888" w:type="dxa"/>
            <w:vAlign w:val="center"/>
          </w:tcPr>
          <w:p w14:paraId="42BFE34B"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0.0292</w:t>
            </w:r>
          </w:p>
        </w:tc>
        <w:tc>
          <w:tcPr>
            <w:tcW w:w="887" w:type="dxa"/>
            <w:vAlign w:val="center"/>
          </w:tcPr>
          <w:p w14:paraId="567F980D"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-0.0262</w:t>
            </w:r>
          </w:p>
        </w:tc>
        <w:tc>
          <w:tcPr>
            <w:tcW w:w="888" w:type="dxa"/>
            <w:vAlign w:val="center"/>
          </w:tcPr>
          <w:p w14:paraId="77F90276"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0.3664</w:t>
            </w:r>
          </w:p>
        </w:tc>
        <w:tc>
          <w:tcPr>
            <w:tcW w:w="888" w:type="dxa"/>
            <w:vAlign w:val="center"/>
          </w:tcPr>
          <w:p w14:paraId="26E05D9B"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-0.2876</w:t>
            </w:r>
          </w:p>
        </w:tc>
        <w:tc>
          <w:tcPr>
            <w:tcW w:w="887" w:type="dxa"/>
            <w:vAlign w:val="center"/>
          </w:tcPr>
          <w:p w14:paraId="0873DD27"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-0.2344</w:t>
            </w:r>
          </w:p>
        </w:tc>
        <w:tc>
          <w:tcPr>
            <w:tcW w:w="888" w:type="dxa"/>
            <w:vAlign w:val="center"/>
          </w:tcPr>
          <w:p w14:paraId="5FF7CC7A"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-0.2673</w:t>
            </w:r>
          </w:p>
        </w:tc>
        <w:tc>
          <w:tcPr>
            <w:tcW w:w="888" w:type="dxa"/>
            <w:vAlign w:val="center"/>
          </w:tcPr>
          <w:p w14:paraId="406C3DB6"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-0.3304</w:t>
            </w:r>
          </w:p>
        </w:tc>
        <w:tc>
          <w:tcPr>
            <w:tcW w:w="887" w:type="dxa"/>
            <w:vAlign w:val="center"/>
          </w:tcPr>
          <w:p w14:paraId="13883D58"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-0.4146</w:t>
            </w:r>
          </w:p>
        </w:tc>
        <w:tc>
          <w:tcPr>
            <w:tcW w:w="888" w:type="dxa"/>
            <w:vAlign w:val="center"/>
          </w:tcPr>
          <w:p w14:paraId="6CA624B8"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-0.4234</w:t>
            </w:r>
          </w:p>
        </w:tc>
        <w:tc>
          <w:tcPr>
            <w:tcW w:w="888" w:type="dxa"/>
            <w:vAlign w:val="center"/>
          </w:tcPr>
          <w:p w14:paraId="3CDB992F"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0.9316</w:t>
            </w:r>
          </w:p>
        </w:tc>
        <w:tc>
          <w:tcPr>
            <w:tcW w:w="887" w:type="dxa"/>
            <w:vAlign w:val="center"/>
          </w:tcPr>
          <w:p w14:paraId="4F90811B"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-0.1315</w:t>
            </w:r>
          </w:p>
        </w:tc>
        <w:tc>
          <w:tcPr>
            <w:tcW w:w="888" w:type="dxa"/>
            <w:vAlign w:val="center"/>
          </w:tcPr>
          <w:p w14:paraId="75B5CB4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0.3909</w:t>
            </w:r>
          </w:p>
        </w:tc>
        <w:tc>
          <w:tcPr>
            <w:tcW w:w="888" w:type="dxa"/>
            <w:vAlign w:val="center"/>
          </w:tcPr>
          <w:p w14:paraId="5A43BD1A"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-0.0422</w:t>
            </w:r>
          </w:p>
        </w:tc>
      </w:tr>
      <w:tr w:rsidR="007174B5" w:rsidRPr="00F14751" w14:paraId="3DF3344A" w14:textId="77777777" w:rsidTr="009824F5">
        <w:trPr>
          <w:trHeight w:val="394"/>
          <w:jc w:val="center"/>
        </w:trPr>
        <w:tc>
          <w:tcPr>
            <w:tcW w:w="1264" w:type="dxa"/>
            <w:vAlign w:val="center"/>
          </w:tcPr>
          <w:p w14:paraId="54E8A008"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Polity</w:t>
            </w:r>
          </w:p>
        </w:tc>
        <w:tc>
          <w:tcPr>
            <w:tcW w:w="887" w:type="dxa"/>
            <w:vAlign w:val="center"/>
          </w:tcPr>
          <w:p w14:paraId="7B502B8B"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-0.3375</w:t>
            </w:r>
          </w:p>
        </w:tc>
        <w:tc>
          <w:tcPr>
            <w:tcW w:w="888" w:type="dxa"/>
            <w:vAlign w:val="center"/>
          </w:tcPr>
          <w:p w14:paraId="4DA36F21"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-0.2551</w:t>
            </w:r>
          </w:p>
        </w:tc>
        <w:tc>
          <w:tcPr>
            <w:tcW w:w="887" w:type="dxa"/>
            <w:vAlign w:val="center"/>
          </w:tcPr>
          <w:p w14:paraId="11EB13BE"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-0.2474</w:t>
            </w:r>
          </w:p>
        </w:tc>
        <w:tc>
          <w:tcPr>
            <w:tcW w:w="888" w:type="dxa"/>
            <w:vAlign w:val="center"/>
          </w:tcPr>
          <w:p w14:paraId="02610FD5"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-0.1576</w:t>
            </w:r>
          </w:p>
        </w:tc>
        <w:tc>
          <w:tcPr>
            <w:tcW w:w="888" w:type="dxa"/>
            <w:vAlign w:val="center"/>
          </w:tcPr>
          <w:p w14:paraId="60A90D82"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-0.2400</w:t>
            </w:r>
          </w:p>
        </w:tc>
        <w:tc>
          <w:tcPr>
            <w:tcW w:w="887" w:type="dxa"/>
            <w:vAlign w:val="center"/>
          </w:tcPr>
          <w:p w14:paraId="507817BC"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-0.1705</w:t>
            </w:r>
          </w:p>
        </w:tc>
        <w:tc>
          <w:tcPr>
            <w:tcW w:w="888" w:type="dxa"/>
            <w:vAlign w:val="center"/>
          </w:tcPr>
          <w:p w14:paraId="2A335A2B"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-0.1978</w:t>
            </w:r>
          </w:p>
        </w:tc>
        <w:tc>
          <w:tcPr>
            <w:tcW w:w="888" w:type="dxa"/>
            <w:vAlign w:val="center"/>
          </w:tcPr>
          <w:p w14:paraId="0F16F96B"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0.0250</w:t>
            </w:r>
          </w:p>
        </w:tc>
        <w:tc>
          <w:tcPr>
            <w:tcW w:w="887" w:type="dxa"/>
            <w:vAlign w:val="center"/>
          </w:tcPr>
          <w:p w14:paraId="7F6B3085"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0.1386</w:t>
            </w:r>
          </w:p>
        </w:tc>
        <w:tc>
          <w:tcPr>
            <w:tcW w:w="888" w:type="dxa"/>
            <w:vAlign w:val="center"/>
          </w:tcPr>
          <w:p w14:paraId="4E31566D"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0.0877</w:t>
            </w:r>
          </w:p>
        </w:tc>
        <w:tc>
          <w:tcPr>
            <w:tcW w:w="888" w:type="dxa"/>
            <w:vAlign w:val="center"/>
          </w:tcPr>
          <w:p w14:paraId="55CD7408"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0.1895</w:t>
            </w:r>
          </w:p>
        </w:tc>
        <w:tc>
          <w:tcPr>
            <w:tcW w:w="887" w:type="dxa"/>
            <w:vAlign w:val="center"/>
          </w:tcPr>
          <w:p w14:paraId="45E927FB"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0.2275</w:t>
            </w:r>
          </w:p>
        </w:tc>
        <w:tc>
          <w:tcPr>
            <w:tcW w:w="888" w:type="dxa"/>
            <w:vAlign w:val="center"/>
          </w:tcPr>
          <w:p w14:paraId="1CAF9031"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0.2644</w:t>
            </w:r>
          </w:p>
        </w:tc>
        <w:tc>
          <w:tcPr>
            <w:tcW w:w="888" w:type="dxa"/>
            <w:vAlign w:val="center"/>
          </w:tcPr>
          <w:p w14:paraId="163B70A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-0.2141</w:t>
            </w:r>
          </w:p>
        </w:tc>
        <w:tc>
          <w:tcPr>
            <w:tcW w:w="887" w:type="dxa"/>
            <w:vAlign w:val="center"/>
          </w:tcPr>
          <w:p w14:paraId="015CBF9C"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0.2731</w:t>
            </w:r>
          </w:p>
        </w:tc>
        <w:tc>
          <w:tcPr>
            <w:tcW w:w="888" w:type="dxa"/>
            <w:vAlign w:val="center"/>
          </w:tcPr>
          <w:p w14:paraId="5E2F8575"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-0.2390</w:t>
            </w:r>
          </w:p>
        </w:tc>
        <w:tc>
          <w:tcPr>
            <w:tcW w:w="888" w:type="dxa"/>
            <w:vAlign w:val="center"/>
          </w:tcPr>
          <w:p w14:paraId="601FC5C6"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0.1437</w:t>
            </w:r>
          </w:p>
        </w:tc>
      </w:tr>
      <w:tr w:rsidR="007174B5" w:rsidRPr="00F14751" w14:paraId="20FEECAB" w14:textId="77777777" w:rsidTr="009824F5">
        <w:trPr>
          <w:trHeight w:val="394"/>
          <w:jc w:val="center"/>
        </w:trPr>
        <w:tc>
          <w:tcPr>
            <w:tcW w:w="1264" w:type="dxa"/>
            <w:vAlign w:val="center"/>
          </w:tcPr>
          <w:p w14:paraId="3629E249"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GDP</w:t>
            </w:r>
          </w:p>
        </w:tc>
        <w:tc>
          <w:tcPr>
            <w:tcW w:w="887" w:type="dxa"/>
            <w:vAlign w:val="center"/>
          </w:tcPr>
          <w:p w14:paraId="7FDAD778"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-0.6920</w:t>
            </w:r>
          </w:p>
        </w:tc>
        <w:tc>
          <w:tcPr>
            <w:tcW w:w="888" w:type="dxa"/>
            <w:vAlign w:val="center"/>
          </w:tcPr>
          <w:p w14:paraId="09890557"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-0.6571</w:t>
            </w:r>
          </w:p>
        </w:tc>
        <w:tc>
          <w:tcPr>
            <w:tcW w:w="887" w:type="dxa"/>
            <w:vAlign w:val="center"/>
          </w:tcPr>
          <w:p w14:paraId="689EA010"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-0.6547</w:t>
            </w:r>
          </w:p>
        </w:tc>
        <w:tc>
          <w:tcPr>
            <w:tcW w:w="888" w:type="dxa"/>
            <w:vAlign w:val="center"/>
          </w:tcPr>
          <w:p w14:paraId="286F6E44"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-0.5863</w:t>
            </w:r>
          </w:p>
        </w:tc>
        <w:tc>
          <w:tcPr>
            <w:tcW w:w="888" w:type="dxa"/>
            <w:vAlign w:val="center"/>
          </w:tcPr>
          <w:p w14:paraId="55E5E21F"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-0.5435</w:t>
            </w:r>
          </w:p>
        </w:tc>
        <w:tc>
          <w:tcPr>
            <w:tcW w:w="887" w:type="dxa"/>
            <w:vAlign w:val="center"/>
          </w:tcPr>
          <w:p w14:paraId="6F209AAC"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-0.4766</w:t>
            </w:r>
          </w:p>
        </w:tc>
        <w:tc>
          <w:tcPr>
            <w:tcW w:w="888" w:type="dxa"/>
            <w:vAlign w:val="center"/>
          </w:tcPr>
          <w:p w14:paraId="50DAA967"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-0.3381</w:t>
            </w:r>
          </w:p>
        </w:tc>
        <w:tc>
          <w:tcPr>
            <w:tcW w:w="888" w:type="dxa"/>
            <w:vAlign w:val="center"/>
          </w:tcPr>
          <w:p w14:paraId="6FA1A410"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0.4498</w:t>
            </w:r>
          </w:p>
        </w:tc>
        <w:tc>
          <w:tcPr>
            <w:tcW w:w="887" w:type="dxa"/>
            <w:vAlign w:val="center"/>
          </w:tcPr>
          <w:p w14:paraId="271FFD3D"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0.4245</w:t>
            </w:r>
          </w:p>
        </w:tc>
        <w:tc>
          <w:tcPr>
            <w:tcW w:w="888" w:type="dxa"/>
            <w:vAlign w:val="center"/>
          </w:tcPr>
          <w:p w14:paraId="1142D7B8"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0.4497</w:t>
            </w:r>
          </w:p>
        </w:tc>
        <w:tc>
          <w:tcPr>
            <w:tcW w:w="888" w:type="dxa"/>
            <w:vAlign w:val="center"/>
          </w:tcPr>
          <w:p w14:paraId="4C5A570E"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0.3250</w:t>
            </w:r>
          </w:p>
        </w:tc>
        <w:tc>
          <w:tcPr>
            <w:tcW w:w="887" w:type="dxa"/>
            <w:vAlign w:val="center"/>
          </w:tcPr>
          <w:p w14:paraId="40CA8A2E"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0.2366</w:t>
            </w:r>
          </w:p>
        </w:tc>
        <w:tc>
          <w:tcPr>
            <w:tcW w:w="888" w:type="dxa"/>
            <w:vAlign w:val="center"/>
          </w:tcPr>
          <w:p w14:paraId="3523D53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0.1448</w:t>
            </w:r>
          </w:p>
        </w:tc>
        <w:tc>
          <w:tcPr>
            <w:tcW w:w="888" w:type="dxa"/>
            <w:vAlign w:val="center"/>
          </w:tcPr>
          <w:p w14:paraId="3AB8466C"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-0.2926</w:t>
            </w:r>
          </w:p>
        </w:tc>
        <w:tc>
          <w:tcPr>
            <w:tcW w:w="887" w:type="dxa"/>
            <w:vAlign w:val="center"/>
          </w:tcPr>
          <w:p w14:paraId="4A727F17"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-0.0263</w:t>
            </w:r>
          </w:p>
        </w:tc>
        <w:tc>
          <w:tcPr>
            <w:tcW w:w="888" w:type="dxa"/>
            <w:vAlign w:val="center"/>
          </w:tcPr>
          <w:p w14:paraId="258277B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-0.2764</w:t>
            </w:r>
          </w:p>
        </w:tc>
        <w:tc>
          <w:tcPr>
            <w:tcW w:w="888" w:type="dxa"/>
            <w:vAlign w:val="center"/>
          </w:tcPr>
          <w:p w14:paraId="19385418"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-0.0564</w:t>
            </w:r>
          </w:p>
        </w:tc>
      </w:tr>
      <w:tr w:rsidR="007174B5" w:rsidRPr="00F14751" w14:paraId="5D588A8C" w14:textId="77777777" w:rsidTr="009824F5">
        <w:trPr>
          <w:trHeight w:val="394"/>
          <w:jc w:val="center"/>
        </w:trPr>
        <w:tc>
          <w:tcPr>
            <w:tcW w:w="1264" w:type="dxa"/>
            <w:vAlign w:val="center"/>
          </w:tcPr>
          <w:p w14:paraId="6ECA2EB1" w14:textId="77777777" w:rsidR="007174B5" w:rsidRPr="00F14751" w:rsidRDefault="007174B5" w:rsidP="009824F5">
            <w:pPr>
              <w:pStyle w:val="NoSpacing"/>
              <w:spacing w:line="360" w:lineRule="auto"/>
              <w:rPr>
                <w:rFonts w:asciiTheme="majorHAnsi" w:hAnsiTheme="majorHAnsi" w:cs="Times New Roman"/>
                <w:sz w:val="16"/>
                <w:szCs w:val="16"/>
              </w:rPr>
            </w:pPr>
            <w:proofErr w:type="spellStart"/>
            <w:r>
              <w:rPr>
                <w:rFonts w:asciiTheme="majorHAnsi" w:hAnsiTheme="majorHAnsi" w:cs="Times New Roman"/>
                <w:sz w:val="16"/>
                <w:szCs w:val="16"/>
              </w:rPr>
              <w:t>GDPgrowth</w:t>
            </w:r>
            <w:proofErr w:type="spellEnd"/>
          </w:p>
        </w:tc>
        <w:tc>
          <w:tcPr>
            <w:tcW w:w="887" w:type="dxa"/>
            <w:vAlign w:val="center"/>
          </w:tcPr>
          <w:p w14:paraId="5D6E1C95"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-0.0939</w:t>
            </w:r>
          </w:p>
        </w:tc>
        <w:tc>
          <w:tcPr>
            <w:tcW w:w="888" w:type="dxa"/>
            <w:vAlign w:val="center"/>
          </w:tcPr>
          <w:p w14:paraId="644B69B3"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-0.1118</w:t>
            </w:r>
          </w:p>
        </w:tc>
        <w:tc>
          <w:tcPr>
            <w:tcW w:w="887" w:type="dxa"/>
            <w:vAlign w:val="center"/>
          </w:tcPr>
          <w:p w14:paraId="3C22F59C"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-0.1151</w:t>
            </w:r>
          </w:p>
        </w:tc>
        <w:tc>
          <w:tcPr>
            <w:tcW w:w="888" w:type="dxa"/>
            <w:vAlign w:val="center"/>
          </w:tcPr>
          <w:p w14:paraId="243525A2"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-0.1280</w:t>
            </w:r>
          </w:p>
        </w:tc>
        <w:tc>
          <w:tcPr>
            <w:tcW w:w="888" w:type="dxa"/>
            <w:vAlign w:val="center"/>
          </w:tcPr>
          <w:p w14:paraId="25F18807"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-0.1285</w:t>
            </w:r>
          </w:p>
        </w:tc>
        <w:tc>
          <w:tcPr>
            <w:tcW w:w="887" w:type="dxa"/>
            <w:vAlign w:val="center"/>
          </w:tcPr>
          <w:p w14:paraId="3DFC35A8"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-0.1248</w:t>
            </w:r>
          </w:p>
        </w:tc>
        <w:tc>
          <w:tcPr>
            <w:tcW w:w="888" w:type="dxa"/>
            <w:vAlign w:val="center"/>
          </w:tcPr>
          <w:p w14:paraId="0FA341F4"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-0.0071</w:t>
            </w:r>
          </w:p>
        </w:tc>
        <w:tc>
          <w:tcPr>
            <w:tcW w:w="888" w:type="dxa"/>
            <w:vAlign w:val="center"/>
          </w:tcPr>
          <w:p w14:paraId="0525F1E7"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0.0675</w:t>
            </w:r>
          </w:p>
        </w:tc>
        <w:tc>
          <w:tcPr>
            <w:tcW w:w="887" w:type="dxa"/>
            <w:vAlign w:val="center"/>
          </w:tcPr>
          <w:p w14:paraId="1BBDF09B"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0.0378</w:t>
            </w:r>
          </w:p>
        </w:tc>
        <w:tc>
          <w:tcPr>
            <w:tcW w:w="888" w:type="dxa"/>
            <w:vAlign w:val="center"/>
          </w:tcPr>
          <w:p w14:paraId="60C41AEF"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0.0533</w:t>
            </w:r>
          </w:p>
        </w:tc>
        <w:tc>
          <w:tcPr>
            <w:tcW w:w="888" w:type="dxa"/>
            <w:vAlign w:val="center"/>
          </w:tcPr>
          <w:p w14:paraId="5E4A3E9B"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-0.0018</w:t>
            </w:r>
          </w:p>
        </w:tc>
        <w:tc>
          <w:tcPr>
            <w:tcW w:w="887" w:type="dxa"/>
            <w:vAlign w:val="center"/>
          </w:tcPr>
          <w:p w14:paraId="61509CD8"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-0.0318</w:t>
            </w:r>
          </w:p>
        </w:tc>
        <w:tc>
          <w:tcPr>
            <w:tcW w:w="888" w:type="dxa"/>
            <w:vAlign w:val="center"/>
          </w:tcPr>
          <w:p w14:paraId="6C9DF0D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-0.0276</w:t>
            </w:r>
          </w:p>
        </w:tc>
        <w:tc>
          <w:tcPr>
            <w:tcW w:w="888" w:type="dxa"/>
            <w:vAlign w:val="center"/>
          </w:tcPr>
          <w:p w14:paraId="022C86C7"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0.0069</w:t>
            </w:r>
          </w:p>
        </w:tc>
        <w:tc>
          <w:tcPr>
            <w:tcW w:w="887" w:type="dxa"/>
            <w:vAlign w:val="center"/>
          </w:tcPr>
          <w:p w14:paraId="013B35B9"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0.0206</w:t>
            </w:r>
          </w:p>
        </w:tc>
        <w:tc>
          <w:tcPr>
            <w:tcW w:w="888" w:type="dxa"/>
            <w:vAlign w:val="center"/>
          </w:tcPr>
          <w:p w14:paraId="57889AE1"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0.0040</w:t>
            </w:r>
          </w:p>
        </w:tc>
        <w:tc>
          <w:tcPr>
            <w:tcW w:w="888" w:type="dxa"/>
            <w:vAlign w:val="center"/>
          </w:tcPr>
          <w:p w14:paraId="2EAA7BB5"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0.0623</w:t>
            </w:r>
          </w:p>
        </w:tc>
      </w:tr>
      <w:tr w:rsidR="007174B5" w:rsidRPr="00F14751" w14:paraId="763F1CA6" w14:textId="77777777" w:rsidTr="009824F5">
        <w:trPr>
          <w:trHeight w:val="394"/>
          <w:jc w:val="center"/>
        </w:trPr>
        <w:tc>
          <w:tcPr>
            <w:tcW w:w="1264" w:type="dxa"/>
            <w:vAlign w:val="center"/>
          </w:tcPr>
          <w:p w14:paraId="28C7F4C1"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School</w:t>
            </w:r>
          </w:p>
        </w:tc>
        <w:tc>
          <w:tcPr>
            <w:tcW w:w="887" w:type="dxa"/>
            <w:vAlign w:val="center"/>
          </w:tcPr>
          <w:p w14:paraId="1A054610"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-0.5915</w:t>
            </w:r>
          </w:p>
        </w:tc>
        <w:tc>
          <w:tcPr>
            <w:tcW w:w="888" w:type="dxa"/>
            <w:vAlign w:val="center"/>
          </w:tcPr>
          <w:p w14:paraId="575DA542"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-0.5649</w:t>
            </w:r>
          </w:p>
        </w:tc>
        <w:tc>
          <w:tcPr>
            <w:tcW w:w="887" w:type="dxa"/>
            <w:vAlign w:val="center"/>
          </w:tcPr>
          <w:p w14:paraId="3E99BFD3"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-0.5498</w:t>
            </w:r>
          </w:p>
        </w:tc>
        <w:tc>
          <w:tcPr>
            <w:tcW w:w="888" w:type="dxa"/>
            <w:vAlign w:val="center"/>
          </w:tcPr>
          <w:p w14:paraId="2B60DC3E"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-0.4698</w:t>
            </w:r>
          </w:p>
        </w:tc>
        <w:tc>
          <w:tcPr>
            <w:tcW w:w="888" w:type="dxa"/>
            <w:vAlign w:val="center"/>
          </w:tcPr>
          <w:p w14:paraId="3DEE0127"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-0.5117</w:t>
            </w:r>
          </w:p>
        </w:tc>
        <w:tc>
          <w:tcPr>
            <w:tcW w:w="887" w:type="dxa"/>
            <w:vAlign w:val="center"/>
          </w:tcPr>
          <w:p w14:paraId="6EAF0BB5"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-0.4144</w:t>
            </w:r>
          </w:p>
        </w:tc>
        <w:tc>
          <w:tcPr>
            <w:tcW w:w="888" w:type="dxa"/>
            <w:vAlign w:val="center"/>
          </w:tcPr>
          <w:p w14:paraId="4C611717"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-0.3706</w:t>
            </w:r>
          </w:p>
        </w:tc>
        <w:tc>
          <w:tcPr>
            <w:tcW w:w="888" w:type="dxa"/>
            <w:vAlign w:val="center"/>
          </w:tcPr>
          <w:p w14:paraId="43BF9C68"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0.3378</w:t>
            </w:r>
          </w:p>
        </w:tc>
        <w:tc>
          <w:tcPr>
            <w:tcW w:w="887" w:type="dxa"/>
            <w:vAlign w:val="center"/>
          </w:tcPr>
          <w:p w14:paraId="28E00D76"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0.3976</w:t>
            </w:r>
          </w:p>
        </w:tc>
        <w:tc>
          <w:tcPr>
            <w:tcW w:w="888" w:type="dxa"/>
            <w:vAlign w:val="center"/>
          </w:tcPr>
          <w:p w14:paraId="36712CE1"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0.4001</w:t>
            </w:r>
          </w:p>
        </w:tc>
        <w:tc>
          <w:tcPr>
            <w:tcW w:w="888" w:type="dxa"/>
            <w:vAlign w:val="center"/>
          </w:tcPr>
          <w:p w14:paraId="2ED37261"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0.3747</w:t>
            </w:r>
          </w:p>
        </w:tc>
        <w:tc>
          <w:tcPr>
            <w:tcW w:w="887" w:type="dxa"/>
            <w:vAlign w:val="center"/>
          </w:tcPr>
          <w:p w14:paraId="00D7C76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0.238</w:t>
            </w:r>
          </w:p>
        </w:tc>
        <w:tc>
          <w:tcPr>
            <w:tcW w:w="888" w:type="dxa"/>
            <w:vAlign w:val="center"/>
          </w:tcPr>
          <w:p w14:paraId="7108D3C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0.2338</w:t>
            </w:r>
          </w:p>
        </w:tc>
        <w:tc>
          <w:tcPr>
            <w:tcW w:w="888" w:type="dxa"/>
            <w:vAlign w:val="center"/>
          </w:tcPr>
          <w:p w14:paraId="7AB0E5E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-0.3474</w:t>
            </w:r>
          </w:p>
        </w:tc>
        <w:tc>
          <w:tcPr>
            <w:tcW w:w="887" w:type="dxa"/>
            <w:vAlign w:val="center"/>
          </w:tcPr>
          <w:p w14:paraId="6F701931"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-0.0541</w:t>
            </w:r>
          </w:p>
        </w:tc>
        <w:tc>
          <w:tcPr>
            <w:tcW w:w="888" w:type="dxa"/>
            <w:vAlign w:val="center"/>
          </w:tcPr>
          <w:p w14:paraId="3A83640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-0.3254</w:t>
            </w:r>
          </w:p>
        </w:tc>
        <w:tc>
          <w:tcPr>
            <w:tcW w:w="888" w:type="dxa"/>
            <w:vAlign w:val="center"/>
          </w:tcPr>
          <w:p w14:paraId="5DA0A0A1"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0.5761</w:t>
            </w:r>
          </w:p>
        </w:tc>
      </w:tr>
      <w:tr w:rsidR="007174B5" w:rsidRPr="00F14751" w14:paraId="4178FAFC" w14:textId="77777777" w:rsidTr="009824F5">
        <w:trPr>
          <w:trHeight w:val="394"/>
          <w:jc w:val="center"/>
        </w:trPr>
        <w:tc>
          <w:tcPr>
            <w:tcW w:w="1264" w:type="dxa"/>
            <w:vAlign w:val="center"/>
          </w:tcPr>
          <w:p w14:paraId="6E3AF62D" w14:textId="77777777" w:rsidR="007174B5" w:rsidRPr="00F14751" w:rsidRDefault="007174B5"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Death</w:t>
            </w:r>
          </w:p>
        </w:tc>
        <w:tc>
          <w:tcPr>
            <w:tcW w:w="887" w:type="dxa"/>
            <w:vAlign w:val="center"/>
          </w:tcPr>
          <w:p w14:paraId="67030F83"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0.0737</w:t>
            </w:r>
          </w:p>
        </w:tc>
        <w:tc>
          <w:tcPr>
            <w:tcW w:w="888" w:type="dxa"/>
            <w:vAlign w:val="center"/>
          </w:tcPr>
          <w:p w14:paraId="7B76F578"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0.1223</w:t>
            </w:r>
          </w:p>
        </w:tc>
        <w:tc>
          <w:tcPr>
            <w:tcW w:w="887" w:type="dxa"/>
            <w:vAlign w:val="center"/>
          </w:tcPr>
          <w:p w14:paraId="1DB3F77B"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0.1129</w:t>
            </w:r>
          </w:p>
        </w:tc>
        <w:tc>
          <w:tcPr>
            <w:tcW w:w="888" w:type="dxa"/>
            <w:vAlign w:val="center"/>
          </w:tcPr>
          <w:p w14:paraId="1C29D8F7"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0.1300</w:t>
            </w:r>
          </w:p>
        </w:tc>
        <w:tc>
          <w:tcPr>
            <w:tcW w:w="888" w:type="dxa"/>
            <w:vAlign w:val="center"/>
          </w:tcPr>
          <w:p w14:paraId="0C7546D0"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0.2387</w:t>
            </w:r>
          </w:p>
        </w:tc>
        <w:tc>
          <w:tcPr>
            <w:tcW w:w="887" w:type="dxa"/>
            <w:vAlign w:val="center"/>
          </w:tcPr>
          <w:p w14:paraId="0A2A4D31"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0.2708</w:t>
            </w:r>
          </w:p>
        </w:tc>
        <w:tc>
          <w:tcPr>
            <w:tcW w:w="888" w:type="dxa"/>
            <w:vAlign w:val="center"/>
          </w:tcPr>
          <w:p w14:paraId="13E00A0D"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-0.0341</w:t>
            </w:r>
          </w:p>
        </w:tc>
        <w:tc>
          <w:tcPr>
            <w:tcW w:w="888" w:type="dxa"/>
            <w:vAlign w:val="center"/>
          </w:tcPr>
          <w:p w14:paraId="14EE3F82"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0.0951</w:t>
            </w:r>
          </w:p>
        </w:tc>
        <w:tc>
          <w:tcPr>
            <w:tcW w:w="887" w:type="dxa"/>
            <w:vAlign w:val="center"/>
          </w:tcPr>
          <w:p w14:paraId="13072D34"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-0.0564</w:t>
            </w:r>
          </w:p>
        </w:tc>
        <w:tc>
          <w:tcPr>
            <w:tcW w:w="888" w:type="dxa"/>
            <w:vAlign w:val="center"/>
          </w:tcPr>
          <w:p w14:paraId="155DE89A"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0.0154</w:t>
            </w:r>
          </w:p>
        </w:tc>
        <w:tc>
          <w:tcPr>
            <w:tcW w:w="888" w:type="dxa"/>
            <w:vAlign w:val="center"/>
          </w:tcPr>
          <w:p w14:paraId="4EB12513"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-0.0301</w:t>
            </w:r>
          </w:p>
        </w:tc>
        <w:tc>
          <w:tcPr>
            <w:tcW w:w="887" w:type="dxa"/>
            <w:vAlign w:val="center"/>
          </w:tcPr>
          <w:p w14:paraId="7CE82E87"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0.0444</w:t>
            </w:r>
          </w:p>
        </w:tc>
        <w:tc>
          <w:tcPr>
            <w:tcW w:w="888" w:type="dxa"/>
            <w:vAlign w:val="center"/>
          </w:tcPr>
          <w:p w14:paraId="724DEF1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0.1138</w:t>
            </w:r>
          </w:p>
        </w:tc>
        <w:tc>
          <w:tcPr>
            <w:tcW w:w="888" w:type="dxa"/>
            <w:vAlign w:val="center"/>
          </w:tcPr>
          <w:p w14:paraId="32D97376"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-0.0427</w:t>
            </w:r>
          </w:p>
        </w:tc>
        <w:tc>
          <w:tcPr>
            <w:tcW w:w="887" w:type="dxa"/>
            <w:vAlign w:val="center"/>
          </w:tcPr>
          <w:p w14:paraId="5B2F3B5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0.2074</w:t>
            </w:r>
          </w:p>
        </w:tc>
        <w:tc>
          <w:tcPr>
            <w:tcW w:w="888" w:type="dxa"/>
            <w:vAlign w:val="center"/>
          </w:tcPr>
          <w:p w14:paraId="3E03C79A"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-0.0668</w:t>
            </w:r>
          </w:p>
        </w:tc>
        <w:tc>
          <w:tcPr>
            <w:tcW w:w="888" w:type="dxa"/>
            <w:vAlign w:val="center"/>
          </w:tcPr>
          <w:p w14:paraId="320D40BA"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-0.0873</w:t>
            </w:r>
          </w:p>
        </w:tc>
      </w:tr>
      <w:tr w:rsidR="007174B5" w:rsidRPr="00F14751" w14:paraId="34922C63" w14:textId="77777777" w:rsidTr="009824F5">
        <w:trPr>
          <w:trHeight w:val="394"/>
          <w:jc w:val="center"/>
        </w:trPr>
        <w:tc>
          <w:tcPr>
            <w:tcW w:w="1264" w:type="dxa"/>
            <w:vAlign w:val="center"/>
          </w:tcPr>
          <w:p w14:paraId="59416019" w14:textId="77777777" w:rsidR="007174B5" w:rsidRPr="00F14751" w:rsidRDefault="007174B5" w:rsidP="009824F5">
            <w:pPr>
              <w:pStyle w:val="NoSpacing"/>
              <w:spacing w:line="360" w:lineRule="auto"/>
              <w:rPr>
                <w:rFonts w:asciiTheme="majorHAnsi" w:hAnsiTheme="majorHAnsi" w:cs="Times New Roman"/>
                <w:sz w:val="16"/>
                <w:szCs w:val="16"/>
              </w:rPr>
            </w:pPr>
            <w:proofErr w:type="spellStart"/>
            <w:r>
              <w:rPr>
                <w:rFonts w:asciiTheme="majorHAnsi" w:hAnsiTheme="majorHAnsi" w:cs="Times New Roman"/>
                <w:sz w:val="16"/>
                <w:szCs w:val="16"/>
              </w:rPr>
              <w:t>Urban</w:t>
            </w:r>
            <w:r w:rsidR="00D74A6A">
              <w:rPr>
                <w:rFonts w:asciiTheme="majorHAnsi" w:hAnsiTheme="majorHAnsi" w:cs="Times New Roman"/>
                <w:sz w:val="16"/>
                <w:szCs w:val="16"/>
              </w:rPr>
              <w:t>growth</w:t>
            </w:r>
            <w:proofErr w:type="spellEnd"/>
          </w:p>
        </w:tc>
        <w:tc>
          <w:tcPr>
            <w:tcW w:w="887" w:type="dxa"/>
            <w:vAlign w:val="center"/>
          </w:tcPr>
          <w:p w14:paraId="3C109505"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0.3152</w:t>
            </w:r>
          </w:p>
        </w:tc>
        <w:tc>
          <w:tcPr>
            <w:tcW w:w="888" w:type="dxa"/>
            <w:vAlign w:val="center"/>
          </w:tcPr>
          <w:p w14:paraId="6331B6E8"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0.3105</w:t>
            </w:r>
          </w:p>
        </w:tc>
        <w:tc>
          <w:tcPr>
            <w:tcW w:w="887" w:type="dxa"/>
            <w:vAlign w:val="center"/>
          </w:tcPr>
          <w:p w14:paraId="0542D72C"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0.3126</w:t>
            </w:r>
          </w:p>
        </w:tc>
        <w:tc>
          <w:tcPr>
            <w:tcW w:w="888" w:type="dxa"/>
            <w:vAlign w:val="center"/>
          </w:tcPr>
          <w:p w14:paraId="7045743F"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0.2928</w:t>
            </w:r>
          </w:p>
        </w:tc>
        <w:tc>
          <w:tcPr>
            <w:tcW w:w="888" w:type="dxa"/>
            <w:vAlign w:val="center"/>
          </w:tcPr>
          <w:p w14:paraId="338976BF"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0.2254</w:t>
            </w:r>
          </w:p>
        </w:tc>
        <w:tc>
          <w:tcPr>
            <w:tcW w:w="887" w:type="dxa"/>
            <w:vAlign w:val="center"/>
          </w:tcPr>
          <w:p w14:paraId="3B9D398E"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0.1933</w:t>
            </w:r>
          </w:p>
        </w:tc>
        <w:tc>
          <w:tcPr>
            <w:tcW w:w="888" w:type="dxa"/>
            <w:vAlign w:val="center"/>
          </w:tcPr>
          <w:p w14:paraId="19B5D0F5"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0.0961</w:t>
            </w:r>
          </w:p>
        </w:tc>
        <w:tc>
          <w:tcPr>
            <w:tcW w:w="888" w:type="dxa"/>
            <w:vAlign w:val="center"/>
          </w:tcPr>
          <w:p w14:paraId="6F1E0EB5"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-0.2707</w:t>
            </w:r>
          </w:p>
        </w:tc>
        <w:tc>
          <w:tcPr>
            <w:tcW w:w="887" w:type="dxa"/>
            <w:vAlign w:val="center"/>
          </w:tcPr>
          <w:p w14:paraId="6F272F6F"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-0.1229</w:t>
            </w:r>
          </w:p>
        </w:tc>
        <w:tc>
          <w:tcPr>
            <w:tcW w:w="888" w:type="dxa"/>
            <w:vAlign w:val="center"/>
          </w:tcPr>
          <w:p w14:paraId="4D53B4ED"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-0.1984</w:t>
            </w:r>
          </w:p>
        </w:tc>
        <w:tc>
          <w:tcPr>
            <w:tcW w:w="888" w:type="dxa"/>
            <w:vAlign w:val="center"/>
          </w:tcPr>
          <w:p w14:paraId="1F50CED4"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-0.0626</w:t>
            </w:r>
          </w:p>
        </w:tc>
        <w:tc>
          <w:tcPr>
            <w:tcW w:w="887" w:type="dxa"/>
            <w:vAlign w:val="center"/>
          </w:tcPr>
          <w:p w14:paraId="7A1B4F9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-0.0440</w:t>
            </w:r>
          </w:p>
        </w:tc>
        <w:tc>
          <w:tcPr>
            <w:tcW w:w="888" w:type="dxa"/>
            <w:vAlign w:val="center"/>
          </w:tcPr>
          <w:p w14:paraId="04CA278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0.0001</w:t>
            </w:r>
          </w:p>
        </w:tc>
        <w:tc>
          <w:tcPr>
            <w:tcW w:w="888" w:type="dxa"/>
            <w:vAlign w:val="center"/>
          </w:tcPr>
          <w:p w14:paraId="5A5A683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0.0711</w:t>
            </w:r>
          </w:p>
        </w:tc>
        <w:tc>
          <w:tcPr>
            <w:tcW w:w="887" w:type="dxa"/>
            <w:vAlign w:val="center"/>
          </w:tcPr>
          <w:p w14:paraId="595DC6F9"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0.0853</w:t>
            </w:r>
          </w:p>
        </w:tc>
        <w:tc>
          <w:tcPr>
            <w:tcW w:w="888" w:type="dxa"/>
            <w:vAlign w:val="center"/>
          </w:tcPr>
          <w:p w14:paraId="7DA71DFD"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0.0573</w:t>
            </w:r>
          </w:p>
        </w:tc>
        <w:tc>
          <w:tcPr>
            <w:tcW w:w="888" w:type="dxa"/>
            <w:vAlign w:val="center"/>
          </w:tcPr>
          <w:p w14:paraId="0F366375"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-0.2751</w:t>
            </w:r>
          </w:p>
        </w:tc>
      </w:tr>
      <w:tr w:rsidR="007174B5" w:rsidRPr="00F14751" w14:paraId="11D2C0CF" w14:textId="77777777" w:rsidTr="009824F5">
        <w:trPr>
          <w:trHeight w:val="394"/>
          <w:jc w:val="center"/>
        </w:trPr>
        <w:tc>
          <w:tcPr>
            <w:tcW w:w="1264" w:type="dxa"/>
            <w:vAlign w:val="center"/>
          </w:tcPr>
          <w:p w14:paraId="66BDA43C" w14:textId="77777777" w:rsidR="007174B5" w:rsidRPr="00F14751" w:rsidRDefault="00D74A6A"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Mercosur</w:t>
            </w:r>
          </w:p>
        </w:tc>
        <w:tc>
          <w:tcPr>
            <w:tcW w:w="887" w:type="dxa"/>
            <w:vAlign w:val="center"/>
          </w:tcPr>
          <w:p w14:paraId="14527C93"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-0.2457</w:t>
            </w:r>
          </w:p>
        </w:tc>
        <w:tc>
          <w:tcPr>
            <w:tcW w:w="888" w:type="dxa"/>
            <w:vAlign w:val="center"/>
          </w:tcPr>
          <w:p w14:paraId="3B81C0A9"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-0.2142</w:t>
            </w:r>
          </w:p>
        </w:tc>
        <w:tc>
          <w:tcPr>
            <w:tcW w:w="887" w:type="dxa"/>
            <w:vAlign w:val="center"/>
          </w:tcPr>
          <w:p w14:paraId="7BC8E224"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-0.2289</w:t>
            </w:r>
          </w:p>
        </w:tc>
        <w:tc>
          <w:tcPr>
            <w:tcW w:w="888" w:type="dxa"/>
            <w:vAlign w:val="center"/>
          </w:tcPr>
          <w:p w14:paraId="64987B9B"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-0.2138</w:t>
            </w:r>
          </w:p>
        </w:tc>
        <w:tc>
          <w:tcPr>
            <w:tcW w:w="888" w:type="dxa"/>
            <w:vAlign w:val="center"/>
          </w:tcPr>
          <w:p w14:paraId="48CAE551"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-0.1845</w:t>
            </w:r>
          </w:p>
        </w:tc>
        <w:tc>
          <w:tcPr>
            <w:tcW w:w="887" w:type="dxa"/>
            <w:vAlign w:val="center"/>
          </w:tcPr>
          <w:p w14:paraId="2ACC1F81"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-0.1713</w:t>
            </w:r>
          </w:p>
        </w:tc>
        <w:tc>
          <w:tcPr>
            <w:tcW w:w="888" w:type="dxa"/>
            <w:vAlign w:val="center"/>
          </w:tcPr>
          <w:p w14:paraId="73E171D9"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0.0151</w:t>
            </w:r>
          </w:p>
        </w:tc>
        <w:tc>
          <w:tcPr>
            <w:tcW w:w="888" w:type="dxa"/>
            <w:vAlign w:val="center"/>
          </w:tcPr>
          <w:p w14:paraId="2AD997CE"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0.0681</w:t>
            </w:r>
          </w:p>
        </w:tc>
        <w:tc>
          <w:tcPr>
            <w:tcW w:w="887" w:type="dxa"/>
            <w:vAlign w:val="center"/>
          </w:tcPr>
          <w:p w14:paraId="78A18AFB"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-0.0252</w:t>
            </w:r>
          </w:p>
        </w:tc>
        <w:tc>
          <w:tcPr>
            <w:tcW w:w="888" w:type="dxa"/>
            <w:vAlign w:val="center"/>
          </w:tcPr>
          <w:p w14:paraId="685DB485"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0.0193</w:t>
            </w:r>
          </w:p>
        </w:tc>
        <w:tc>
          <w:tcPr>
            <w:tcW w:w="888" w:type="dxa"/>
            <w:vAlign w:val="center"/>
          </w:tcPr>
          <w:p w14:paraId="6DE33D89"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-0.0633</w:t>
            </w:r>
          </w:p>
        </w:tc>
        <w:tc>
          <w:tcPr>
            <w:tcW w:w="887" w:type="dxa"/>
            <w:vAlign w:val="center"/>
          </w:tcPr>
          <w:p w14:paraId="41BCAE3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-0.280</w:t>
            </w:r>
          </w:p>
        </w:tc>
        <w:tc>
          <w:tcPr>
            <w:tcW w:w="888" w:type="dxa"/>
            <w:vAlign w:val="center"/>
          </w:tcPr>
          <w:p w14:paraId="7E73B70F"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0.0014</w:t>
            </w:r>
          </w:p>
        </w:tc>
        <w:tc>
          <w:tcPr>
            <w:tcW w:w="888" w:type="dxa"/>
            <w:vAlign w:val="center"/>
          </w:tcPr>
          <w:p w14:paraId="3842C72A"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0.0202</w:t>
            </w:r>
          </w:p>
        </w:tc>
        <w:tc>
          <w:tcPr>
            <w:tcW w:w="887" w:type="dxa"/>
            <w:vAlign w:val="center"/>
          </w:tcPr>
          <w:p w14:paraId="74DF74E4"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0.1240</w:t>
            </w:r>
          </w:p>
        </w:tc>
        <w:tc>
          <w:tcPr>
            <w:tcW w:w="888" w:type="dxa"/>
            <w:vAlign w:val="center"/>
          </w:tcPr>
          <w:p w14:paraId="3B94387A"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0.0037</w:t>
            </w:r>
          </w:p>
        </w:tc>
        <w:tc>
          <w:tcPr>
            <w:tcW w:w="888" w:type="dxa"/>
            <w:vAlign w:val="center"/>
          </w:tcPr>
          <w:p w14:paraId="40477EA8"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-0.0423</w:t>
            </w:r>
          </w:p>
        </w:tc>
      </w:tr>
      <w:tr w:rsidR="007174B5" w:rsidRPr="00F14751" w14:paraId="65798EDA" w14:textId="77777777" w:rsidTr="009824F5">
        <w:trPr>
          <w:trHeight w:val="394"/>
          <w:jc w:val="center"/>
        </w:trPr>
        <w:tc>
          <w:tcPr>
            <w:tcW w:w="1264" w:type="dxa"/>
            <w:vAlign w:val="center"/>
          </w:tcPr>
          <w:p w14:paraId="5D3B8D81" w14:textId="77777777" w:rsidR="007174B5" w:rsidRPr="00F14751" w:rsidRDefault="00D74A6A" w:rsidP="009824F5">
            <w:pPr>
              <w:pStyle w:val="NoSpacing"/>
              <w:spacing w:line="360" w:lineRule="auto"/>
              <w:rPr>
                <w:rFonts w:asciiTheme="majorHAnsi" w:hAnsiTheme="majorHAnsi" w:cs="Times New Roman"/>
                <w:sz w:val="16"/>
                <w:szCs w:val="16"/>
              </w:rPr>
            </w:pPr>
            <w:proofErr w:type="spellStart"/>
            <w:r>
              <w:rPr>
                <w:rFonts w:asciiTheme="majorHAnsi" w:hAnsiTheme="majorHAnsi" w:cs="Times New Roman"/>
                <w:sz w:val="16"/>
                <w:szCs w:val="16"/>
              </w:rPr>
              <w:t>Unasur</w:t>
            </w:r>
            <w:proofErr w:type="spellEnd"/>
          </w:p>
        </w:tc>
        <w:tc>
          <w:tcPr>
            <w:tcW w:w="887" w:type="dxa"/>
            <w:vAlign w:val="center"/>
          </w:tcPr>
          <w:p w14:paraId="50B07291"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-0.2142</w:t>
            </w:r>
          </w:p>
        </w:tc>
        <w:tc>
          <w:tcPr>
            <w:tcW w:w="888" w:type="dxa"/>
            <w:vAlign w:val="center"/>
          </w:tcPr>
          <w:p w14:paraId="1C280350"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-0.1851</w:t>
            </w:r>
          </w:p>
        </w:tc>
        <w:tc>
          <w:tcPr>
            <w:tcW w:w="887" w:type="dxa"/>
            <w:vAlign w:val="center"/>
          </w:tcPr>
          <w:p w14:paraId="4613D759"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-0.1906</w:t>
            </w:r>
          </w:p>
        </w:tc>
        <w:tc>
          <w:tcPr>
            <w:tcW w:w="888" w:type="dxa"/>
            <w:vAlign w:val="center"/>
          </w:tcPr>
          <w:p w14:paraId="02394F85" w14:textId="77777777" w:rsidR="007174B5" w:rsidRPr="00F14751" w:rsidRDefault="00D74A6A" w:rsidP="009824F5">
            <w:pPr>
              <w:pStyle w:val="NoSpacing"/>
              <w:spacing w:line="360" w:lineRule="auto"/>
              <w:jc w:val="center"/>
              <w:rPr>
                <w:rFonts w:asciiTheme="majorHAnsi" w:hAnsiTheme="majorHAnsi"/>
                <w:sz w:val="16"/>
                <w:szCs w:val="16"/>
              </w:rPr>
            </w:pPr>
            <w:r>
              <w:rPr>
                <w:rFonts w:asciiTheme="majorHAnsi" w:hAnsiTheme="majorHAnsi"/>
                <w:sz w:val="16"/>
                <w:szCs w:val="16"/>
              </w:rPr>
              <w:t>-0.1612</w:t>
            </w:r>
          </w:p>
        </w:tc>
        <w:tc>
          <w:tcPr>
            <w:tcW w:w="888" w:type="dxa"/>
            <w:vAlign w:val="center"/>
          </w:tcPr>
          <w:p w14:paraId="6BAC6127"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-0.1708</w:t>
            </w:r>
          </w:p>
        </w:tc>
        <w:tc>
          <w:tcPr>
            <w:tcW w:w="887" w:type="dxa"/>
            <w:vAlign w:val="center"/>
          </w:tcPr>
          <w:p w14:paraId="4F180C15" w14:textId="77777777" w:rsidR="007174B5" w:rsidRPr="00F14751" w:rsidRDefault="009D5EE6" w:rsidP="009824F5">
            <w:pPr>
              <w:pStyle w:val="NoSpacing"/>
              <w:spacing w:line="360" w:lineRule="auto"/>
              <w:jc w:val="center"/>
              <w:rPr>
                <w:rFonts w:asciiTheme="majorHAnsi" w:hAnsiTheme="majorHAnsi"/>
                <w:sz w:val="16"/>
                <w:szCs w:val="16"/>
              </w:rPr>
            </w:pPr>
            <w:r>
              <w:rPr>
                <w:rFonts w:asciiTheme="majorHAnsi" w:hAnsiTheme="majorHAnsi"/>
                <w:sz w:val="16"/>
                <w:szCs w:val="16"/>
              </w:rPr>
              <w:t>-0.1394</w:t>
            </w:r>
          </w:p>
        </w:tc>
        <w:tc>
          <w:tcPr>
            <w:tcW w:w="888" w:type="dxa"/>
            <w:vAlign w:val="center"/>
          </w:tcPr>
          <w:p w14:paraId="68945639"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-0.1023</w:t>
            </w:r>
          </w:p>
        </w:tc>
        <w:tc>
          <w:tcPr>
            <w:tcW w:w="888" w:type="dxa"/>
            <w:vAlign w:val="center"/>
          </w:tcPr>
          <w:p w14:paraId="1DBCA552"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0.0798</w:t>
            </w:r>
          </w:p>
        </w:tc>
        <w:tc>
          <w:tcPr>
            <w:tcW w:w="887" w:type="dxa"/>
            <w:vAlign w:val="center"/>
          </w:tcPr>
          <w:p w14:paraId="691F01BE"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0.0995</w:t>
            </w:r>
          </w:p>
        </w:tc>
        <w:tc>
          <w:tcPr>
            <w:tcW w:w="888" w:type="dxa"/>
            <w:vAlign w:val="center"/>
          </w:tcPr>
          <w:p w14:paraId="6592D6C0" w14:textId="77777777" w:rsidR="007174B5" w:rsidRPr="00F14751" w:rsidRDefault="009A27CA" w:rsidP="009824F5">
            <w:pPr>
              <w:pStyle w:val="NoSpacing"/>
              <w:spacing w:line="360" w:lineRule="auto"/>
              <w:jc w:val="center"/>
              <w:rPr>
                <w:rFonts w:asciiTheme="majorHAnsi" w:hAnsiTheme="majorHAnsi"/>
                <w:sz w:val="16"/>
                <w:szCs w:val="16"/>
              </w:rPr>
            </w:pPr>
            <w:r>
              <w:rPr>
                <w:rFonts w:asciiTheme="majorHAnsi" w:hAnsiTheme="majorHAnsi"/>
                <w:sz w:val="16"/>
                <w:szCs w:val="16"/>
              </w:rPr>
              <w:t>0.0930</w:t>
            </w:r>
          </w:p>
        </w:tc>
        <w:tc>
          <w:tcPr>
            <w:tcW w:w="888" w:type="dxa"/>
            <w:vAlign w:val="center"/>
          </w:tcPr>
          <w:p w14:paraId="4D455FD6" w14:textId="77777777" w:rsidR="007174B5" w:rsidRPr="00F14751" w:rsidRDefault="00875E7E" w:rsidP="009824F5">
            <w:pPr>
              <w:pStyle w:val="NoSpacing"/>
              <w:spacing w:line="360" w:lineRule="auto"/>
              <w:jc w:val="center"/>
              <w:rPr>
                <w:rFonts w:asciiTheme="majorHAnsi" w:hAnsiTheme="majorHAnsi"/>
                <w:sz w:val="16"/>
                <w:szCs w:val="16"/>
              </w:rPr>
            </w:pPr>
            <w:r>
              <w:rPr>
                <w:rFonts w:asciiTheme="majorHAnsi" w:hAnsiTheme="majorHAnsi"/>
                <w:sz w:val="16"/>
                <w:szCs w:val="16"/>
              </w:rPr>
              <w:t>0.1048</w:t>
            </w:r>
          </w:p>
        </w:tc>
        <w:tc>
          <w:tcPr>
            <w:tcW w:w="887" w:type="dxa"/>
            <w:vAlign w:val="center"/>
          </w:tcPr>
          <w:p w14:paraId="797A77A5"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0.1088</w:t>
            </w:r>
          </w:p>
        </w:tc>
        <w:tc>
          <w:tcPr>
            <w:tcW w:w="888" w:type="dxa"/>
            <w:vAlign w:val="center"/>
          </w:tcPr>
          <w:p w14:paraId="6A4CEC26"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0.0850</w:t>
            </w:r>
          </w:p>
        </w:tc>
        <w:tc>
          <w:tcPr>
            <w:tcW w:w="888" w:type="dxa"/>
            <w:vAlign w:val="center"/>
          </w:tcPr>
          <w:p w14:paraId="240C6DB6"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-0.1045</w:t>
            </w:r>
          </w:p>
        </w:tc>
        <w:tc>
          <w:tcPr>
            <w:tcW w:w="887" w:type="dxa"/>
            <w:vAlign w:val="center"/>
          </w:tcPr>
          <w:p w14:paraId="0BD994EB"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-0.0381</w:t>
            </w:r>
          </w:p>
        </w:tc>
        <w:tc>
          <w:tcPr>
            <w:tcW w:w="888" w:type="dxa"/>
            <w:vAlign w:val="center"/>
          </w:tcPr>
          <w:p w14:paraId="3532BEE2"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-0.0951</w:t>
            </w:r>
          </w:p>
        </w:tc>
        <w:tc>
          <w:tcPr>
            <w:tcW w:w="888" w:type="dxa"/>
            <w:vAlign w:val="center"/>
          </w:tcPr>
          <w:p w14:paraId="76D1B0D3" w14:textId="77777777" w:rsidR="007174B5" w:rsidRPr="00F14751" w:rsidRDefault="00FF480E" w:rsidP="009824F5">
            <w:pPr>
              <w:pStyle w:val="NoSpacing"/>
              <w:spacing w:line="360" w:lineRule="auto"/>
              <w:jc w:val="center"/>
              <w:rPr>
                <w:rFonts w:asciiTheme="majorHAnsi" w:hAnsiTheme="majorHAnsi"/>
                <w:sz w:val="16"/>
                <w:szCs w:val="16"/>
              </w:rPr>
            </w:pPr>
            <w:r>
              <w:rPr>
                <w:rFonts w:asciiTheme="majorHAnsi" w:hAnsiTheme="majorHAnsi"/>
                <w:sz w:val="16"/>
                <w:szCs w:val="16"/>
              </w:rPr>
              <w:t>0.03005</w:t>
            </w:r>
          </w:p>
        </w:tc>
      </w:tr>
    </w:tbl>
    <w:p w14:paraId="036A394F" w14:textId="77777777" w:rsidR="00FF480E" w:rsidRDefault="00FF480E" w:rsidP="00C8508E">
      <w:pPr>
        <w:jc w:val="both"/>
        <w:rPr>
          <w:rFonts w:asciiTheme="majorHAnsi" w:hAnsiTheme="majorHAnsi"/>
          <w:sz w:val="24"/>
        </w:rPr>
      </w:pPr>
    </w:p>
    <w:p w14:paraId="1D2545B2" w14:textId="77777777" w:rsidR="00FF480E" w:rsidRDefault="00FF480E" w:rsidP="00C8508E">
      <w:pPr>
        <w:jc w:val="both"/>
        <w:rPr>
          <w:rFonts w:asciiTheme="majorHAnsi" w:hAnsiTheme="majorHAnsi"/>
          <w:sz w:val="24"/>
        </w:rPr>
      </w:pPr>
      <w:r>
        <w:rPr>
          <w:rFonts w:asciiTheme="majorHAnsi" w:hAnsiTheme="majorHAnsi"/>
          <w:sz w:val="24"/>
        </w:rPr>
        <w:br w:type="page"/>
      </w:r>
    </w:p>
    <w:tbl>
      <w:tblPr>
        <w:tblStyle w:val="TableGrid"/>
        <w:tblW w:w="13608" w:type="dxa"/>
        <w:jc w:val="center"/>
        <w:tblLayout w:type="fixed"/>
        <w:tblLook w:val="04A0" w:firstRow="1" w:lastRow="0" w:firstColumn="1" w:lastColumn="0" w:noHBand="0" w:noVBand="1"/>
      </w:tblPr>
      <w:tblGrid>
        <w:gridCol w:w="1264"/>
        <w:gridCol w:w="887"/>
        <w:gridCol w:w="888"/>
        <w:gridCol w:w="887"/>
        <w:gridCol w:w="888"/>
        <w:gridCol w:w="888"/>
        <w:gridCol w:w="887"/>
        <w:gridCol w:w="888"/>
        <w:gridCol w:w="1028"/>
        <w:gridCol w:w="851"/>
        <w:gridCol w:w="850"/>
        <w:gridCol w:w="1276"/>
        <w:gridCol w:w="992"/>
        <w:gridCol w:w="1134"/>
      </w:tblGrid>
      <w:tr w:rsidR="00734B6E" w:rsidRPr="00F14751" w14:paraId="3F7912AF" w14:textId="77777777" w:rsidTr="009824F5">
        <w:trPr>
          <w:trHeight w:val="394"/>
          <w:jc w:val="center"/>
        </w:trPr>
        <w:tc>
          <w:tcPr>
            <w:tcW w:w="1264" w:type="dxa"/>
          </w:tcPr>
          <w:p w14:paraId="39EF87C5" w14:textId="77777777" w:rsidR="00734B6E" w:rsidRPr="00F14751" w:rsidRDefault="00734B6E" w:rsidP="00C8508E">
            <w:pPr>
              <w:pStyle w:val="NoSpacing"/>
              <w:spacing w:line="360" w:lineRule="auto"/>
              <w:jc w:val="both"/>
              <w:rPr>
                <w:rFonts w:asciiTheme="majorHAnsi" w:hAnsiTheme="majorHAnsi"/>
                <w:sz w:val="16"/>
                <w:szCs w:val="16"/>
              </w:rPr>
            </w:pPr>
          </w:p>
        </w:tc>
        <w:tc>
          <w:tcPr>
            <w:tcW w:w="887" w:type="dxa"/>
            <w:vAlign w:val="center"/>
          </w:tcPr>
          <w:p w14:paraId="35385CB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cs="Times New Roman"/>
                <w:sz w:val="16"/>
                <w:szCs w:val="16"/>
              </w:rPr>
              <w:t>Trade</w:t>
            </w:r>
          </w:p>
        </w:tc>
        <w:tc>
          <w:tcPr>
            <w:tcW w:w="888" w:type="dxa"/>
            <w:vAlign w:val="center"/>
          </w:tcPr>
          <w:p w14:paraId="4E48E11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cs="Times New Roman"/>
                <w:sz w:val="16"/>
                <w:szCs w:val="16"/>
              </w:rPr>
              <w:t>Financial</w:t>
            </w:r>
          </w:p>
        </w:tc>
        <w:tc>
          <w:tcPr>
            <w:tcW w:w="887" w:type="dxa"/>
            <w:vAlign w:val="center"/>
          </w:tcPr>
          <w:p w14:paraId="5CF12E8A"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cs="Times New Roman"/>
                <w:sz w:val="16"/>
                <w:szCs w:val="16"/>
              </w:rPr>
              <w:t>Tax</w:t>
            </w:r>
          </w:p>
        </w:tc>
        <w:tc>
          <w:tcPr>
            <w:tcW w:w="888" w:type="dxa"/>
            <w:vAlign w:val="center"/>
          </w:tcPr>
          <w:p w14:paraId="2B933A8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cs="Times New Roman"/>
                <w:sz w:val="16"/>
                <w:szCs w:val="16"/>
              </w:rPr>
              <w:t>Privatizations</w:t>
            </w:r>
          </w:p>
        </w:tc>
        <w:tc>
          <w:tcPr>
            <w:tcW w:w="888" w:type="dxa"/>
            <w:vAlign w:val="center"/>
          </w:tcPr>
          <w:p w14:paraId="4A391114" w14:textId="77777777" w:rsidR="00734B6E" w:rsidRPr="00F14751" w:rsidRDefault="00734B6E" w:rsidP="009824F5">
            <w:pPr>
              <w:pStyle w:val="NoSpacing"/>
              <w:spacing w:line="360" w:lineRule="auto"/>
              <w:jc w:val="center"/>
              <w:rPr>
                <w:rFonts w:asciiTheme="majorHAnsi" w:hAnsiTheme="majorHAnsi" w:cs="Times New Roman"/>
                <w:sz w:val="16"/>
                <w:szCs w:val="16"/>
              </w:rPr>
            </w:pPr>
            <w:r>
              <w:rPr>
                <w:rFonts w:asciiTheme="majorHAnsi" w:hAnsiTheme="majorHAnsi" w:cs="Times New Roman"/>
                <w:sz w:val="16"/>
                <w:szCs w:val="16"/>
              </w:rPr>
              <w:t>Labor</w:t>
            </w:r>
          </w:p>
        </w:tc>
        <w:tc>
          <w:tcPr>
            <w:tcW w:w="887" w:type="dxa"/>
            <w:vAlign w:val="center"/>
          </w:tcPr>
          <w:p w14:paraId="0A510369" w14:textId="77777777" w:rsidR="00734B6E" w:rsidRPr="00F14751" w:rsidRDefault="00734B6E" w:rsidP="009824F5">
            <w:pPr>
              <w:pStyle w:val="NoSpacing"/>
              <w:spacing w:line="360" w:lineRule="auto"/>
              <w:jc w:val="center"/>
              <w:rPr>
                <w:rFonts w:asciiTheme="majorHAnsi" w:hAnsiTheme="majorHAnsi" w:cs="Times New Roman"/>
                <w:sz w:val="16"/>
                <w:szCs w:val="16"/>
              </w:rPr>
            </w:pPr>
            <w:r>
              <w:rPr>
                <w:rFonts w:asciiTheme="majorHAnsi" w:hAnsiTheme="majorHAnsi" w:cs="Times New Roman"/>
                <w:sz w:val="16"/>
                <w:szCs w:val="16"/>
              </w:rPr>
              <w:t>Polity</w:t>
            </w:r>
          </w:p>
        </w:tc>
        <w:tc>
          <w:tcPr>
            <w:tcW w:w="888" w:type="dxa"/>
            <w:vAlign w:val="center"/>
          </w:tcPr>
          <w:p w14:paraId="60FC902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cs="Times New Roman"/>
                <w:sz w:val="16"/>
                <w:szCs w:val="16"/>
              </w:rPr>
              <w:t>GDP</w:t>
            </w:r>
          </w:p>
        </w:tc>
        <w:tc>
          <w:tcPr>
            <w:tcW w:w="1028" w:type="dxa"/>
            <w:vAlign w:val="center"/>
          </w:tcPr>
          <w:p w14:paraId="54326302" w14:textId="77777777" w:rsidR="00734B6E" w:rsidRPr="00F14751" w:rsidRDefault="00734B6E" w:rsidP="009824F5">
            <w:pPr>
              <w:pStyle w:val="NoSpacing"/>
              <w:spacing w:line="360" w:lineRule="auto"/>
              <w:jc w:val="center"/>
              <w:rPr>
                <w:rFonts w:asciiTheme="majorHAnsi" w:hAnsiTheme="majorHAnsi"/>
                <w:sz w:val="16"/>
                <w:szCs w:val="16"/>
              </w:rPr>
            </w:pPr>
            <w:proofErr w:type="spellStart"/>
            <w:r>
              <w:rPr>
                <w:rFonts w:asciiTheme="majorHAnsi" w:hAnsiTheme="majorHAnsi"/>
                <w:sz w:val="16"/>
                <w:szCs w:val="16"/>
              </w:rPr>
              <w:t>GDPgrowth</w:t>
            </w:r>
            <w:proofErr w:type="spellEnd"/>
          </w:p>
        </w:tc>
        <w:tc>
          <w:tcPr>
            <w:tcW w:w="851" w:type="dxa"/>
            <w:vAlign w:val="center"/>
          </w:tcPr>
          <w:p w14:paraId="2C0D2AD4"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School</w:t>
            </w:r>
          </w:p>
        </w:tc>
        <w:tc>
          <w:tcPr>
            <w:tcW w:w="850" w:type="dxa"/>
            <w:vAlign w:val="center"/>
          </w:tcPr>
          <w:p w14:paraId="1030DE7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Death</w:t>
            </w:r>
          </w:p>
        </w:tc>
        <w:tc>
          <w:tcPr>
            <w:tcW w:w="1276" w:type="dxa"/>
            <w:vAlign w:val="center"/>
          </w:tcPr>
          <w:p w14:paraId="3DD3075F" w14:textId="77777777" w:rsidR="00734B6E" w:rsidRPr="00F14751" w:rsidRDefault="00734B6E" w:rsidP="009824F5">
            <w:pPr>
              <w:pStyle w:val="NoSpacing"/>
              <w:spacing w:line="360" w:lineRule="auto"/>
              <w:jc w:val="center"/>
              <w:rPr>
                <w:rFonts w:asciiTheme="majorHAnsi" w:hAnsiTheme="majorHAnsi"/>
                <w:sz w:val="16"/>
                <w:szCs w:val="16"/>
              </w:rPr>
            </w:pPr>
            <w:proofErr w:type="spellStart"/>
            <w:r>
              <w:rPr>
                <w:rFonts w:asciiTheme="majorHAnsi" w:hAnsiTheme="majorHAnsi"/>
                <w:sz w:val="16"/>
                <w:szCs w:val="16"/>
              </w:rPr>
              <w:t>Urbangrowth</w:t>
            </w:r>
            <w:proofErr w:type="spellEnd"/>
          </w:p>
        </w:tc>
        <w:tc>
          <w:tcPr>
            <w:tcW w:w="992" w:type="dxa"/>
            <w:vAlign w:val="center"/>
          </w:tcPr>
          <w:p w14:paraId="63CE8B5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Mercosur</w:t>
            </w:r>
          </w:p>
        </w:tc>
        <w:tc>
          <w:tcPr>
            <w:tcW w:w="1134" w:type="dxa"/>
            <w:vAlign w:val="center"/>
          </w:tcPr>
          <w:p w14:paraId="05C3B165" w14:textId="77777777" w:rsidR="00734B6E" w:rsidRPr="00F14751" w:rsidRDefault="00734B6E" w:rsidP="009824F5">
            <w:pPr>
              <w:pStyle w:val="NoSpacing"/>
              <w:spacing w:line="360" w:lineRule="auto"/>
              <w:jc w:val="center"/>
              <w:rPr>
                <w:rFonts w:asciiTheme="majorHAnsi" w:hAnsiTheme="majorHAnsi"/>
                <w:sz w:val="16"/>
                <w:szCs w:val="16"/>
              </w:rPr>
            </w:pPr>
            <w:proofErr w:type="spellStart"/>
            <w:r>
              <w:rPr>
                <w:rFonts w:asciiTheme="majorHAnsi" w:hAnsiTheme="majorHAnsi"/>
                <w:sz w:val="16"/>
                <w:szCs w:val="16"/>
              </w:rPr>
              <w:t>Unasur</w:t>
            </w:r>
            <w:proofErr w:type="spellEnd"/>
          </w:p>
        </w:tc>
      </w:tr>
      <w:tr w:rsidR="00734B6E" w:rsidRPr="00F14751" w14:paraId="09229DCF" w14:textId="77777777" w:rsidTr="009824F5">
        <w:trPr>
          <w:trHeight w:val="394"/>
          <w:jc w:val="center"/>
        </w:trPr>
        <w:tc>
          <w:tcPr>
            <w:tcW w:w="1264" w:type="dxa"/>
            <w:vAlign w:val="center"/>
          </w:tcPr>
          <w:p w14:paraId="22CE96BF"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Trade</w:t>
            </w:r>
          </w:p>
        </w:tc>
        <w:tc>
          <w:tcPr>
            <w:tcW w:w="887" w:type="dxa"/>
            <w:vAlign w:val="center"/>
          </w:tcPr>
          <w:p w14:paraId="6A79E8B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88" w:type="dxa"/>
            <w:vAlign w:val="center"/>
          </w:tcPr>
          <w:p w14:paraId="61E096D4" w14:textId="77777777" w:rsidR="00734B6E" w:rsidRPr="00F14751" w:rsidRDefault="00734B6E" w:rsidP="009824F5">
            <w:pPr>
              <w:pStyle w:val="NoSpacing"/>
              <w:spacing w:line="360" w:lineRule="auto"/>
              <w:jc w:val="center"/>
              <w:rPr>
                <w:rFonts w:asciiTheme="majorHAnsi" w:hAnsiTheme="majorHAnsi"/>
                <w:sz w:val="16"/>
                <w:szCs w:val="16"/>
              </w:rPr>
            </w:pPr>
          </w:p>
        </w:tc>
        <w:tc>
          <w:tcPr>
            <w:tcW w:w="887" w:type="dxa"/>
            <w:vAlign w:val="center"/>
          </w:tcPr>
          <w:p w14:paraId="00073CA1"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30AD9866"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0EBC4578" w14:textId="77777777" w:rsidR="00734B6E" w:rsidRPr="00F14751" w:rsidRDefault="00734B6E" w:rsidP="009824F5">
            <w:pPr>
              <w:pStyle w:val="NoSpacing"/>
              <w:spacing w:line="360" w:lineRule="auto"/>
              <w:jc w:val="center"/>
              <w:rPr>
                <w:rFonts w:asciiTheme="majorHAnsi" w:hAnsiTheme="majorHAnsi"/>
                <w:sz w:val="16"/>
                <w:szCs w:val="16"/>
              </w:rPr>
            </w:pPr>
          </w:p>
        </w:tc>
        <w:tc>
          <w:tcPr>
            <w:tcW w:w="887" w:type="dxa"/>
            <w:vAlign w:val="center"/>
          </w:tcPr>
          <w:p w14:paraId="67C1C77C"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100ED769" w14:textId="77777777" w:rsidR="00734B6E" w:rsidRPr="00F14751" w:rsidRDefault="00734B6E" w:rsidP="009824F5">
            <w:pPr>
              <w:pStyle w:val="NoSpacing"/>
              <w:spacing w:line="360" w:lineRule="auto"/>
              <w:jc w:val="center"/>
              <w:rPr>
                <w:rFonts w:asciiTheme="majorHAnsi" w:hAnsiTheme="majorHAnsi"/>
                <w:sz w:val="16"/>
                <w:szCs w:val="16"/>
              </w:rPr>
            </w:pPr>
          </w:p>
        </w:tc>
        <w:tc>
          <w:tcPr>
            <w:tcW w:w="1028" w:type="dxa"/>
            <w:vAlign w:val="center"/>
          </w:tcPr>
          <w:p w14:paraId="246A982F"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285D1007"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153CA4ED"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528FDD68"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742DB94B"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192A5C46"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7C71DFA6" w14:textId="77777777" w:rsidTr="009824F5">
        <w:trPr>
          <w:trHeight w:val="394"/>
          <w:jc w:val="center"/>
        </w:trPr>
        <w:tc>
          <w:tcPr>
            <w:tcW w:w="1264" w:type="dxa"/>
            <w:vAlign w:val="center"/>
          </w:tcPr>
          <w:p w14:paraId="100CC068"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Financial</w:t>
            </w:r>
          </w:p>
        </w:tc>
        <w:tc>
          <w:tcPr>
            <w:tcW w:w="887" w:type="dxa"/>
            <w:vAlign w:val="center"/>
          </w:tcPr>
          <w:p w14:paraId="543DFDB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0.5600</w:t>
            </w:r>
          </w:p>
        </w:tc>
        <w:tc>
          <w:tcPr>
            <w:tcW w:w="888" w:type="dxa"/>
            <w:vAlign w:val="center"/>
          </w:tcPr>
          <w:p w14:paraId="693B4E9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87" w:type="dxa"/>
            <w:vAlign w:val="center"/>
          </w:tcPr>
          <w:p w14:paraId="2341D889"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301CBAAA"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5931DCC1" w14:textId="77777777" w:rsidR="00734B6E" w:rsidRPr="00F14751" w:rsidRDefault="00734B6E" w:rsidP="009824F5">
            <w:pPr>
              <w:pStyle w:val="NoSpacing"/>
              <w:spacing w:line="360" w:lineRule="auto"/>
              <w:jc w:val="center"/>
              <w:rPr>
                <w:rFonts w:asciiTheme="majorHAnsi" w:hAnsiTheme="majorHAnsi"/>
                <w:sz w:val="16"/>
                <w:szCs w:val="16"/>
              </w:rPr>
            </w:pPr>
          </w:p>
        </w:tc>
        <w:tc>
          <w:tcPr>
            <w:tcW w:w="887" w:type="dxa"/>
            <w:vAlign w:val="center"/>
          </w:tcPr>
          <w:p w14:paraId="68EEBF83"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2A35F7E8" w14:textId="77777777" w:rsidR="00734B6E" w:rsidRPr="00F14751" w:rsidRDefault="00734B6E" w:rsidP="009824F5">
            <w:pPr>
              <w:pStyle w:val="NoSpacing"/>
              <w:spacing w:line="360" w:lineRule="auto"/>
              <w:jc w:val="center"/>
              <w:rPr>
                <w:rFonts w:asciiTheme="majorHAnsi" w:hAnsiTheme="majorHAnsi"/>
                <w:sz w:val="16"/>
                <w:szCs w:val="16"/>
              </w:rPr>
            </w:pPr>
          </w:p>
        </w:tc>
        <w:tc>
          <w:tcPr>
            <w:tcW w:w="1028" w:type="dxa"/>
            <w:vAlign w:val="center"/>
          </w:tcPr>
          <w:p w14:paraId="737447A9"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4EEE0A11"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1D0508C4"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652E11D4"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336EEEEC"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41D0A5B5"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43FD5EF6" w14:textId="77777777" w:rsidTr="009824F5">
        <w:trPr>
          <w:trHeight w:val="394"/>
          <w:jc w:val="center"/>
        </w:trPr>
        <w:tc>
          <w:tcPr>
            <w:tcW w:w="1264" w:type="dxa"/>
            <w:vAlign w:val="center"/>
          </w:tcPr>
          <w:p w14:paraId="379DEDC6"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Tax</w:t>
            </w:r>
          </w:p>
        </w:tc>
        <w:tc>
          <w:tcPr>
            <w:tcW w:w="887" w:type="dxa"/>
            <w:vAlign w:val="center"/>
          </w:tcPr>
          <w:p w14:paraId="40B7922E"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0.5102</w:t>
            </w:r>
          </w:p>
        </w:tc>
        <w:tc>
          <w:tcPr>
            <w:tcW w:w="888" w:type="dxa"/>
            <w:vAlign w:val="center"/>
          </w:tcPr>
          <w:p w14:paraId="5D6FD2F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0.2882</w:t>
            </w:r>
          </w:p>
        </w:tc>
        <w:tc>
          <w:tcPr>
            <w:tcW w:w="887" w:type="dxa"/>
            <w:vAlign w:val="center"/>
          </w:tcPr>
          <w:p w14:paraId="25FD28EC"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88" w:type="dxa"/>
            <w:vAlign w:val="center"/>
          </w:tcPr>
          <w:p w14:paraId="7C179B61"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30B0DA8A" w14:textId="77777777" w:rsidR="00734B6E" w:rsidRPr="00F14751" w:rsidRDefault="00734B6E" w:rsidP="009824F5">
            <w:pPr>
              <w:pStyle w:val="NoSpacing"/>
              <w:spacing w:line="360" w:lineRule="auto"/>
              <w:jc w:val="center"/>
              <w:rPr>
                <w:rFonts w:asciiTheme="majorHAnsi" w:hAnsiTheme="majorHAnsi"/>
                <w:sz w:val="16"/>
                <w:szCs w:val="16"/>
              </w:rPr>
            </w:pPr>
          </w:p>
        </w:tc>
        <w:tc>
          <w:tcPr>
            <w:tcW w:w="887" w:type="dxa"/>
            <w:vAlign w:val="center"/>
          </w:tcPr>
          <w:p w14:paraId="0BBCB52E"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617F5F67" w14:textId="77777777" w:rsidR="00734B6E" w:rsidRPr="00F14751" w:rsidRDefault="00734B6E" w:rsidP="009824F5">
            <w:pPr>
              <w:pStyle w:val="NoSpacing"/>
              <w:spacing w:line="360" w:lineRule="auto"/>
              <w:jc w:val="center"/>
              <w:rPr>
                <w:rFonts w:asciiTheme="majorHAnsi" w:hAnsiTheme="majorHAnsi"/>
                <w:sz w:val="16"/>
                <w:szCs w:val="16"/>
              </w:rPr>
            </w:pPr>
          </w:p>
        </w:tc>
        <w:tc>
          <w:tcPr>
            <w:tcW w:w="1028" w:type="dxa"/>
            <w:vAlign w:val="center"/>
          </w:tcPr>
          <w:p w14:paraId="6E7BED5F"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234E587D"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0FA57A5F"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5A544283"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6D8877AD"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27640AC1"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44D83898" w14:textId="77777777" w:rsidTr="009824F5">
        <w:trPr>
          <w:trHeight w:val="394"/>
          <w:jc w:val="center"/>
        </w:trPr>
        <w:tc>
          <w:tcPr>
            <w:tcW w:w="1264" w:type="dxa"/>
            <w:vAlign w:val="center"/>
          </w:tcPr>
          <w:p w14:paraId="6A30DCD4"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Privatizations</w:t>
            </w:r>
          </w:p>
        </w:tc>
        <w:tc>
          <w:tcPr>
            <w:tcW w:w="887" w:type="dxa"/>
            <w:vAlign w:val="center"/>
          </w:tcPr>
          <w:p w14:paraId="6F94AC9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0.3623</w:t>
            </w:r>
          </w:p>
        </w:tc>
        <w:tc>
          <w:tcPr>
            <w:tcW w:w="888" w:type="dxa"/>
            <w:vAlign w:val="center"/>
          </w:tcPr>
          <w:p w14:paraId="35AD4B0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0.5871</w:t>
            </w:r>
          </w:p>
        </w:tc>
        <w:tc>
          <w:tcPr>
            <w:tcW w:w="887" w:type="dxa"/>
            <w:vAlign w:val="center"/>
          </w:tcPr>
          <w:p w14:paraId="5424649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0.1567</w:t>
            </w:r>
          </w:p>
        </w:tc>
        <w:tc>
          <w:tcPr>
            <w:tcW w:w="888" w:type="dxa"/>
            <w:vAlign w:val="center"/>
          </w:tcPr>
          <w:p w14:paraId="1335052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88" w:type="dxa"/>
            <w:vAlign w:val="center"/>
          </w:tcPr>
          <w:p w14:paraId="74125C89" w14:textId="77777777" w:rsidR="00734B6E" w:rsidRPr="00F14751" w:rsidRDefault="00734B6E" w:rsidP="009824F5">
            <w:pPr>
              <w:pStyle w:val="NoSpacing"/>
              <w:spacing w:line="360" w:lineRule="auto"/>
              <w:jc w:val="center"/>
              <w:rPr>
                <w:rFonts w:asciiTheme="majorHAnsi" w:hAnsiTheme="majorHAnsi"/>
                <w:sz w:val="16"/>
                <w:szCs w:val="16"/>
              </w:rPr>
            </w:pPr>
          </w:p>
        </w:tc>
        <w:tc>
          <w:tcPr>
            <w:tcW w:w="887" w:type="dxa"/>
            <w:vAlign w:val="center"/>
          </w:tcPr>
          <w:p w14:paraId="7F74F1A5"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44674D23" w14:textId="77777777" w:rsidR="00734B6E" w:rsidRPr="00F14751" w:rsidRDefault="00734B6E" w:rsidP="009824F5">
            <w:pPr>
              <w:pStyle w:val="NoSpacing"/>
              <w:spacing w:line="360" w:lineRule="auto"/>
              <w:jc w:val="center"/>
              <w:rPr>
                <w:rFonts w:asciiTheme="majorHAnsi" w:hAnsiTheme="majorHAnsi"/>
                <w:sz w:val="16"/>
                <w:szCs w:val="16"/>
              </w:rPr>
            </w:pPr>
          </w:p>
        </w:tc>
        <w:tc>
          <w:tcPr>
            <w:tcW w:w="1028" w:type="dxa"/>
            <w:vAlign w:val="center"/>
          </w:tcPr>
          <w:p w14:paraId="4A071DD8"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0E10B10D"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31650170"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0AF4E4A1"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6FF3BE24"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74D25A1E"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68308E86" w14:textId="77777777" w:rsidTr="009824F5">
        <w:trPr>
          <w:trHeight w:val="394"/>
          <w:jc w:val="center"/>
        </w:trPr>
        <w:tc>
          <w:tcPr>
            <w:tcW w:w="1264" w:type="dxa"/>
            <w:vAlign w:val="center"/>
          </w:tcPr>
          <w:p w14:paraId="35FFF743"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Labor</w:t>
            </w:r>
          </w:p>
        </w:tc>
        <w:tc>
          <w:tcPr>
            <w:tcW w:w="887" w:type="dxa"/>
            <w:vAlign w:val="center"/>
          </w:tcPr>
          <w:p w14:paraId="37BD893A"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-0.1985</w:t>
            </w:r>
          </w:p>
        </w:tc>
        <w:tc>
          <w:tcPr>
            <w:tcW w:w="888" w:type="dxa"/>
            <w:vAlign w:val="center"/>
          </w:tcPr>
          <w:p w14:paraId="7D463F4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-0.3993</w:t>
            </w:r>
          </w:p>
        </w:tc>
        <w:tc>
          <w:tcPr>
            <w:tcW w:w="887" w:type="dxa"/>
            <w:vAlign w:val="center"/>
          </w:tcPr>
          <w:p w14:paraId="0AF64C0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-0.1162</w:t>
            </w:r>
          </w:p>
        </w:tc>
        <w:tc>
          <w:tcPr>
            <w:tcW w:w="888" w:type="dxa"/>
            <w:vAlign w:val="center"/>
          </w:tcPr>
          <w:p w14:paraId="25CF7C1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-0.1386</w:t>
            </w:r>
          </w:p>
        </w:tc>
        <w:tc>
          <w:tcPr>
            <w:tcW w:w="888" w:type="dxa"/>
            <w:vAlign w:val="center"/>
          </w:tcPr>
          <w:p w14:paraId="23D84624"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87" w:type="dxa"/>
            <w:vAlign w:val="center"/>
          </w:tcPr>
          <w:p w14:paraId="3B078701" w14:textId="77777777" w:rsidR="00734B6E" w:rsidRPr="00F14751" w:rsidRDefault="00734B6E" w:rsidP="009824F5">
            <w:pPr>
              <w:pStyle w:val="NoSpacing"/>
              <w:spacing w:line="360" w:lineRule="auto"/>
              <w:jc w:val="center"/>
              <w:rPr>
                <w:rFonts w:asciiTheme="majorHAnsi" w:hAnsiTheme="majorHAnsi"/>
                <w:sz w:val="16"/>
                <w:szCs w:val="16"/>
              </w:rPr>
            </w:pPr>
          </w:p>
        </w:tc>
        <w:tc>
          <w:tcPr>
            <w:tcW w:w="888" w:type="dxa"/>
            <w:vAlign w:val="center"/>
          </w:tcPr>
          <w:p w14:paraId="2AD3067C" w14:textId="77777777" w:rsidR="00734B6E" w:rsidRPr="00F14751" w:rsidRDefault="00734B6E" w:rsidP="009824F5">
            <w:pPr>
              <w:pStyle w:val="NoSpacing"/>
              <w:spacing w:line="360" w:lineRule="auto"/>
              <w:jc w:val="center"/>
              <w:rPr>
                <w:rFonts w:asciiTheme="majorHAnsi" w:hAnsiTheme="majorHAnsi"/>
                <w:sz w:val="16"/>
                <w:szCs w:val="16"/>
              </w:rPr>
            </w:pPr>
          </w:p>
        </w:tc>
        <w:tc>
          <w:tcPr>
            <w:tcW w:w="1028" w:type="dxa"/>
            <w:vAlign w:val="center"/>
          </w:tcPr>
          <w:p w14:paraId="7CAC83B5"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0145AD98"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692156FD"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3F131FA6"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5BB1EC49"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53C28336"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54A1A9A8" w14:textId="77777777" w:rsidTr="009824F5">
        <w:trPr>
          <w:trHeight w:val="394"/>
          <w:jc w:val="center"/>
        </w:trPr>
        <w:tc>
          <w:tcPr>
            <w:tcW w:w="1264" w:type="dxa"/>
            <w:vAlign w:val="center"/>
          </w:tcPr>
          <w:p w14:paraId="29D897B4"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Polity</w:t>
            </w:r>
          </w:p>
        </w:tc>
        <w:tc>
          <w:tcPr>
            <w:tcW w:w="887" w:type="dxa"/>
            <w:vAlign w:val="center"/>
          </w:tcPr>
          <w:p w14:paraId="754092E1"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0.0808</w:t>
            </w:r>
          </w:p>
        </w:tc>
        <w:tc>
          <w:tcPr>
            <w:tcW w:w="888" w:type="dxa"/>
            <w:vAlign w:val="center"/>
          </w:tcPr>
          <w:p w14:paraId="494FAE4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0.1387</w:t>
            </w:r>
          </w:p>
        </w:tc>
        <w:tc>
          <w:tcPr>
            <w:tcW w:w="887" w:type="dxa"/>
            <w:vAlign w:val="center"/>
          </w:tcPr>
          <w:p w14:paraId="10DEEE2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0.1657</w:t>
            </w:r>
          </w:p>
        </w:tc>
        <w:tc>
          <w:tcPr>
            <w:tcW w:w="888" w:type="dxa"/>
            <w:vAlign w:val="center"/>
          </w:tcPr>
          <w:p w14:paraId="5364409D"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0.0544</w:t>
            </w:r>
          </w:p>
        </w:tc>
        <w:tc>
          <w:tcPr>
            <w:tcW w:w="888" w:type="dxa"/>
            <w:vAlign w:val="center"/>
          </w:tcPr>
          <w:p w14:paraId="480FA213"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0.0279</w:t>
            </w:r>
          </w:p>
        </w:tc>
        <w:tc>
          <w:tcPr>
            <w:tcW w:w="887" w:type="dxa"/>
            <w:vAlign w:val="center"/>
          </w:tcPr>
          <w:p w14:paraId="1AC980FB"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88" w:type="dxa"/>
            <w:vAlign w:val="center"/>
          </w:tcPr>
          <w:p w14:paraId="3F65DB00" w14:textId="77777777" w:rsidR="00734B6E" w:rsidRPr="00F14751" w:rsidRDefault="00734B6E" w:rsidP="009824F5">
            <w:pPr>
              <w:pStyle w:val="NoSpacing"/>
              <w:spacing w:line="360" w:lineRule="auto"/>
              <w:jc w:val="center"/>
              <w:rPr>
                <w:rFonts w:asciiTheme="majorHAnsi" w:hAnsiTheme="majorHAnsi"/>
                <w:sz w:val="16"/>
                <w:szCs w:val="16"/>
              </w:rPr>
            </w:pPr>
          </w:p>
        </w:tc>
        <w:tc>
          <w:tcPr>
            <w:tcW w:w="1028" w:type="dxa"/>
            <w:vAlign w:val="center"/>
          </w:tcPr>
          <w:p w14:paraId="418F6338"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34DE3B7A"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4C9C92E2"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2DBBC098"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16D84E8E"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034A4E12"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3DA175EE" w14:textId="77777777" w:rsidTr="009824F5">
        <w:trPr>
          <w:trHeight w:val="394"/>
          <w:jc w:val="center"/>
        </w:trPr>
        <w:tc>
          <w:tcPr>
            <w:tcW w:w="1264" w:type="dxa"/>
            <w:vAlign w:val="center"/>
          </w:tcPr>
          <w:p w14:paraId="58F676D0"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GDP</w:t>
            </w:r>
          </w:p>
        </w:tc>
        <w:tc>
          <w:tcPr>
            <w:tcW w:w="887" w:type="dxa"/>
            <w:vAlign w:val="center"/>
          </w:tcPr>
          <w:p w14:paraId="0238DFC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0.0360</w:t>
            </w:r>
          </w:p>
        </w:tc>
        <w:tc>
          <w:tcPr>
            <w:tcW w:w="888" w:type="dxa"/>
            <w:vAlign w:val="center"/>
          </w:tcPr>
          <w:p w14:paraId="5AEEBE4C"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0.1272</w:t>
            </w:r>
          </w:p>
        </w:tc>
        <w:tc>
          <w:tcPr>
            <w:tcW w:w="887" w:type="dxa"/>
            <w:vAlign w:val="center"/>
          </w:tcPr>
          <w:p w14:paraId="1407490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-0.1151</w:t>
            </w:r>
          </w:p>
        </w:tc>
        <w:tc>
          <w:tcPr>
            <w:tcW w:w="888" w:type="dxa"/>
            <w:vAlign w:val="center"/>
          </w:tcPr>
          <w:p w14:paraId="768831E1"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-0.1024</w:t>
            </w:r>
          </w:p>
        </w:tc>
        <w:tc>
          <w:tcPr>
            <w:tcW w:w="888" w:type="dxa"/>
            <w:vAlign w:val="center"/>
          </w:tcPr>
          <w:p w14:paraId="61EE7D5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-0.1428</w:t>
            </w:r>
          </w:p>
        </w:tc>
        <w:tc>
          <w:tcPr>
            <w:tcW w:w="887" w:type="dxa"/>
            <w:vAlign w:val="center"/>
          </w:tcPr>
          <w:p w14:paraId="154C907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0.2469</w:t>
            </w:r>
          </w:p>
        </w:tc>
        <w:tc>
          <w:tcPr>
            <w:tcW w:w="888" w:type="dxa"/>
            <w:vAlign w:val="center"/>
          </w:tcPr>
          <w:p w14:paraId="354DD3E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1028" w:type="dxa"/>
            <w:vAlign w:val="center"/>
          </w:tcPr>
          <w:p w14:paraId="05C64B9D" w14:textId="77777777" w:rsidR="00734B6E" w:rsidRPr="00F14751" w:rsidRDefault="00734B6E" w:rsidP="009824F5">
            <w:pPr>
              <w:pStyle w:val="NoSpacing"/>
              <w:spacing w:line="360" w:lineRule="auto"/>
              <w:jc w:val="center"/>
              <w:rPr>
                <w:rFonts w:asciiTheme="majorHAnsi" w:hAnsiTheme="majorHAnsi"/>
                <w:sz w:val="16"/>
                <w:szCs w:val="16"/>
              </w:rPr>
            </w:pPr>
          </w:p>
        </w:tc>
        <w:tc>
          <w:tcPr>
            <w:tcW w:w="851" w:type="dxa"/>
            <w:vAlign w:val="center"/>
          </w:tcPr>
          <w:p w14:paraId="234F7697"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3A854D4E"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26F389FF"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6801BB40"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25796842"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54DBC41E" w14:textId="77777777" w:rsidTr="009824F5">
        <w:trPr>
          <w:trHeight w:val="394"/>
          <w:jc w:val="center"/>
        </w:trPr>
        <w:tc>
          <w:tcPr>
            <w:tcW w:w="1264" w:type="dxa"/>
            <w:vAlign w:val="center"/>
          </w:tcPr>
          <w:p w14:paraId="76361003" w14:textId="77777777" w:rsidR="00734B6E" w:rsidRPr="00F14751" w:rsidRDefault="00734B6E" w:rsidP="009824F5">
            <w:pPr>
              <w:pStyle w:val="NoSpacing"/>
              <w:spacing w:line="360" w:lineRule="auto"/>
              <w:rPr>
                <w:rFonts w:asciiTheme="majorHAnsi" w:hAnsiTheme="majorHAnsi" w:cs="Times New Roman"/>
                <w:sz w:val="16"/>
                <w:szCs w:val="16"/>
              </w:rPr>
            </w:pPr>
            <w:proofErr w:type="spellStart"/>
            <w:r>
              <w:rPr>
                <w:rFonts w:asciiTheme="majorHAnsi" w:hAnsiTheme="majorHAnsi" w:cs="Times New Roman"/>
                <w:sz w:val="16"/>
                <w:szCs w:val="16"/>
              </w:rPr>
              <w:t>GDPgrowth</w:t>
            </w:r>
            <w:proofErr w:type="spellEnd"/>
          </w:p>
        </w:tc>
        <w:tc>
          <w:tcPr>
            <w:tcW w:w="887" w:type="dxa"/>
            <w:vAlign w:val="center"/>
          </w:tcPr>
          <w:p w14:paraId="13113A2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0.0139</w:t>
            </w:r>
          </w:p>
        </w:tc>
        <w:tc>
          <w:tcPr>
            <w:tcW w:w="888" w:type="dxa"/>
            <w:vAlign w:val="center"/>
          </w:tcPr>
          <w:p w14:paraId="16F0B5C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0.0617</w:t>
            </w:r>
          </w:p>
        </w:tc>
        <w:tc>
          <w:tcPr>
            <w:tcW w:w="887" w:type="dxa"/>
            <w:vAlign w:val="center"/>
          </w:tcPr>
          <w:p w14:paraId="2B7A2AF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-0.0610</w:t>
            </w:r>
          </w:p>
        </w:tc>
        <w:tc>
          <w:tcPr>
            <w:tcW w:w="888" w:type="dxa"/>
            <w:vAlign w:val="center"/>
          </w:tcPr>
          <w:p w14:paraId="08CF553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0.0439</w:t>
            </w:r>
          </w:p>
        </w:tc>
        <w:tc>
          <w:tcPr>
            <w:tcW w:w="888" w:type="dxa"/>
            <w:vAlign w:val="center"/>
          </w:tcPr>
          <w:p w14:paraId="1505191E"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0.1108</w:t>
            </w:r>
          </w:p>
        </w:tc>
        <w:tc>
          <w:tcPr>
            <w:tcW w:w="887" w:type="dxa"/>
            <w:vAlign w:val="center"/>
          </w:tcPr>
          <w:p w14:paraId="7FA14A3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0.0210</w:t>
            </w:r>
          </w:p>
        </w:tc>
        <w:tc>
          <w:tcPr>
            <w:tcW w:w="888" w:type="dxa"/>
            <w:vAlign w:val="center"/>
          </w:tcPr>
          <w:p w14:paraId="69A93AA1"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0.0961</w:t>
            </w:r>
          </w:p>
        </w:tc>
        <w:tc>
          <w:tcPr>
            <w:tcW w:w="1028" w:type="dxa"/>
            <w:vAlign w:val="center"/>
          </w:tcPr>
          <w:p w14:paraId="1C3B2F1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51" w:type="dxa"/>
            <w:vAlign w:val="center"/>
          </w:tcPr>
          <w:p w14:paraId="258A882F" w14:textId="77777777" w:rsidR="00734B6E" w:rsidRPr="00F14751" w:rsidRDefault="00734B6E" w:rsidP="009824F5">
            <w:pPr>
              <w:pStyle w:val="NoSpacing"/>
              <w:spacing w:line="360" w:lineRule="auto"/>
              <w:jc w:val="center"/>
              <w:rPr>
                <w:rFonts w:asciiTheme="majorHAnsi" w:hAnsiTheme="majorHAnsi"/>
                <w:sz w:val="16"/>
                <w:szCs w:val="16"/>
              </w:rPr>
            </w:pPr>
          </w:p>
        </w:tc>
        <w:tc>
          <w:tcPr>
            <w:tcW w:w="850" w:type="dxa"/>
            <w:vAlign w:val="center"/>
          </w:tcPr>
          <w:p w14:paraId="4E972C18"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18837754"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0685867E"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4B85535C"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7D19DBBC" w14:textId="77777777" w:rsidTr="009824F5">
        <w:trPr>
          <w:trHeight w:val="394"/>
          <w:jc w:val="center"/>
        </w:trPr>
        <w:tc>
          <w:tcPr>
            <w:tcW w:w="1264" w:type="dxa"/>
            <w:vAlign w:val="center"/>
          </w:tcPr>
          <w:p w14:paraId="0DFF889F"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School</w:t>
            </w:r>
          </w:p>
        </w:tc>
        <w:tc>
          <w:tcPr>
            <w:tcW w:w="887" w:type="dxa"/>
            <w:vAlign w:val="center"/>
          </w:tcPr>
          <w:p w14:paraId="1F28E77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0.5032</w:t>
            </w:r>
          </w:p>
        </w:tc>
        <w:tc>
          <w:tcPr>
            <w:tcW w:w="888" w:type="dxa"/>
            <w:vAlign w:val="center"/>
          </w:tcPr>
          <w:p w14:paraId="7F43D64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0.5168</w:t>
            </w:r>
          </w:p>
        </w:tc>
        <w:tc>
          <w:tcPr>
            <w:tcW w:w="887" w:type="dxa"/>
            <w:vAlign w:val="center"/>
          </w:tcPr>
          <w:p w14:paraId="68806823"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0.3837</w:t>
            </w:r>
          </w:p>
        </w:tc>
        <w:tc>
          <w:tcPr>
            <w:tcW w:w="888" w:type="dxa"/>
            <w:vAlign w:val="center"/>
          </w:tcPr>
          <w:p w14:paraId="2127FAC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0.4042</w:t>
            </w:r>
          </w:p>
        </w:tc>
        <w:tc>
          <w:tcPr>
            <w:tcW w:w="888" w:type="dxa"/>
            <w:vAlign w:val="center"/>
          </w:tcPr>
          <w:p w14:paraId="15CC8BF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-0.1642</w:t>
            </w:r>
          </w:p>
        </w:tc>
        <w:tc>
          <w:tcPr>
            <w:tcW w:w="887" w:type="dxa"/>
            <w:vAlign w:val="center"/>
          </w:tcPr>
          <w:p w14:paraId="6323781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0.2469</w:t>
            </w:r>
          </w:p>
        </w:tc>
        <w:tc>
          <w:tcPr>
            <w:tcW w:w="888" w:type="dxa"/>
            <w:vAlign w:val="center"/>
          </w:tcPr>
          <w:p w14:paraId="62C3355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0.4050</w:t>
            </w:r>
          </w:p>
        </w:tc>
        <w:tc>
          <w:tcPr>
            <w:tcW w:w="1028" w:type="dxa"/>
            <w:vAlign w:val="center"/>
          </w:tcPr>
          <w:p w14:paraId="75E237C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0.0765</w:t>
            </w:r>
          </w:p>
        </w:tc>
        <w:tc>
          <w:tcPr>
            <w:tcW w:w="851" w:type="dxa"/>
            <w:vAlign w:val="center"/>
          </w:tcPr>
          <w:p w14:paraId="028299B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850" w:type="dxa"/>
            <w:vAlign w:val="center"/>
          </w:tcPr>
          <w:p w14:paraId="67500C2C" w14:textId="77777777" w:rsidR="00734B6E" w:rsidRPr="00F14751" w:rsidRDefault="00734B6E" w:rsidP="009824F5">
            <w:pPr>
              <w:pStyle w:val="NoSpacing"/>
              <w:spacing w:line="360" w:lineRule="auto"/>
              <w:jc w:val="center"/>
              <w:rPr>
                <w:rFonts w:asciiTheme="majorHAnsi" w:hAnsiTheme="majorHAnsi"/>
                <w:sz w:val="16"/>
                <w:szCs w:val="16"/>
              </w:rPr>
            </w:pPr>
          </w:p>
        </w:tc>
        <w:tc>
          <w:tcPr>
            <w:tcW w:w="1276" w:type="dxa"/>
            <w:vAlign w:val="center"/>
          </w:tcPr>
          <w:p w14:paraId="04EFD626"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7FF711F8"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447950B4"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69E886A1" w14:textId="77777777" w:rsidTr="009824F5">
        <w:trPr>
          <w:trHeight w:val="394"/>
          <w:jc w:val="center"/>
        </w:trPr>
        <w:tc>
          <w:tcPr>
            <w:tcW w:w="1264" w:type="dxa"/>
            <w:vAlign w:val="center"/>
          </w:tcPr>
          <w:p w14:paraId="640FAD09"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Death</w:t>
            </w:r>
          </w:p>
        </w:tc>
        <w:tc>
          <w:tcPr>
            <w:tcW w:w="887" w:type="dxa"/>
            <w:vAlign w:val="center"/>
          </w:tcPr>
          <w:p w14:paraId="486E284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-0.1054</w:t>
            </w:r>
          </w:p>
        </w:tc>
        <w:tc>
          <w:tcPr>
            <w:tcW w:w="888" w:type="dxa"/>
            <w:vAlign w:val="center"/>
          </w:tcPr>
          <w:p w14:paraId="450C2F3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0.1264</w:t>
            </w:r>
          </w:p>
        </w:tc>
        <w:tc>
          <w:tcPr>
            <w:tcW w:w="887" w:type="dxa"/>
            <w:vAlign w:val="center"/>
          </w:tcPr>
          <w:p w14:paraId="7F7C41BE"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-0.0069</w:t>
            </w:r>
          </w:p>
        </w:tc>
        <w:tc>
          <w:tcPr>
            <w:tcW w:w="888" w:type="dxa"/>
            <w:vAlign w:val="center"/>
          </w:tcPr>
          <w:p w14:paraId="5CF32463"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0.0602</w:t>
            </w:r>
          </w:p>
        </w:tc>
        <w:tc>
          <w:tcPr>
            <w:tcW w:w="888" w:type="dxa"/>
            <w:vAlign w:val="center"/>
          </w:tcPr>
          <w:p w14:paraId="76C7C84C"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-0.5112</w:t>
            </w:r>
          </w:p>
        </w:tc>
        <w:tc>
          <w:tcPr>
            <w:tcW w:w="887" w:type="dxa"/>
            <w:vAlign w:val="center"/>
          </w:tcPr>
          <w:p w14:paraId="695BFFBF"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0.0749</w:t>
            </w:r>
          </w:p>
        </w:tc>
        <w:tc>
          <w:tcPr>
            <w:tcW w:w="888" w:type="dxa"/>
            <w:vAlign w:val="center"/>
          </w:tcPr>
          <w:p w14:paraId="096F313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-0.1552</w:t>
            </w:r>
          </w:p>
        </w:tc>
        <w:tc>
          <w:tcPr>
            <w:tcW w:w="1028" w:type="dxa"/>
            <w:vAlign w:val="center"/>
          </w:tcPr>
          <w:p w14:paraId="09BF8A8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-0.0355</w:t>
            </w:r>
          </w:p>
        </w:tc>
        <w:tc>
          <w:tcPr>
            <w:tcW w:w="851" w:type="dxa"/>
            <w:vAlign w:val="center"/>
          </w:tcPr>
          <w:p w14:paraId="143259CD"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-0.1464</w:t>
            </w:r>
          </w:p>
        </w:tc>
        <w:tc>
          <w:tcPr>
            <w:tcW w:w="850" w:type="dxa"/>
            <w:vAlign w:val="center"/>
          </w:tcPr>
          <w:p w14:paraId="6AABD181"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1276" w:type="dxa"/>
            <w:vAlign w:val="center"/>
          </w:tcPr>
          <w:p w14:paraId="5C913F5E" w14:textId="77777777" w:rsidR="00734B6E" w:rsidRPr="00F14751" w:rsidRDefault="00734B6E" w:rsidP="009824F5">
            <w:pPr>
              <w:pStyle w:val="NoSpacing"/>
              <w:spacing w:line="360" w:lineRule="auto"/>
              <w:jc w:val="center"/>
              <w:rPr>
                <w:rFonts w:asciiTheme="majorHAnsi" w:hAnsiTheme="majorHAnsi"/>
                <w:sz w:val="16"/>
                <w:szCs w:val="16"/>
              </w:rPr>
            </w:pPr>
          </w:p>
        </w:tc>
        <w:tc>
          <w:tcPr>
            <w:tcW w:w="992" w:type="dxa"/>
            <w:vAlign w:val="center"/>
          </w:tcPr>
          <w:p w14:paraId="4B38DC81"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5F701528"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6A0B313E" w14:textId="77777777" w:rsidTr="009824F5">
        <w:trPr>
          <w:trHeight w:val="394"/>
          <w:jc w:val="center"/>
        </w:trPr>
        <w:tc>
          <w:tcPr>
            <w:tcW w:w="1264" w:type="dxa"/>
            <w:vAlign w:val="center"/>
          </w:tcPr>
          <w:p w14:paraId="1881CC4C" w14:textId="77777777" w:rsidR="00734B6E" w:rsidRPr="00F14751" w:rsidRDefault="00734B6E" w:rsidP="009824F5">
            <w:pPr>
              <w:pStyle w:val="NoSpacing"/>
              <w:spacing w:line="360" w:lineRule="auto"/>
              <w:rPr>
                <w:rFonts w:asciiTheme="majorHAnsi" w:hAnsiTheme="majorHAnsi" w:cs="Times New Roman"/>
                <w:sz w:val="16"/>
                <w:szCs w:val="16"/>
              </w:rPr>
            </w:pPr>
            <w:proofErr w:type="spellStart"/>
            <w:r>
              <w:rPr>
                <w:rFonts w:asciiTheme="majorHAnsi" w:hAnsiTheme="majorHAnsi" w:cs="Times New Roman"/>
                <w:sz w:val="16"/>
                <w:szCs w:val="16"/>
              </w:rPr>
              <w:t>Urbangrowth</w:t>
            </w:r>
            <w:proofErr w:type="spellEnd"/>
          </w:p>
        </w:tc>
        <w:tc>
          <w:tcPr>
            <w:tcW w:w="887" w:type="dxa"/>
            <w:vAlign w:val="center"/>
          </w:tcPr>
          <w:p w14:paraId="4687321C"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-0.1853</w:t>
            </w:r>
          </w:p>
        </w:tc>
        <w:tc>
          <w:tcPr>
            <w:tcW w:w="888" w:type="dxa"/>
            <w:vAlign w:val="center"/>
          </w:tcPr>
          <w:p w14:paraId="4B9A465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-0.5481</w:t>
            </w:r>
          </w:p>
        </w:tc>
        <w:tc>
          <w:tcPr>
            <w:tcW w:w="887" w:type="dxa"/>
            <w:vAlign w:val="center"/>
          </w:tcPr>
          <w:p w14:paraId="78898691"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-0.0693</w:t>
            </w:r>
          </w:p>
        </w:tc>
        <w:tc>
          <w:tcPr>
            <w:tcW w:w="888" w:type="dxa"/>
            <w:vAlign w:val="center"/>
          </w:tcPr>
          <w:p w14:paraId="4EFC5865"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-0.2513</w:t>
            </w:r>
          </w:p>
        </w:tc>
        <w:tc>
          <w:tcPr>
            <w:tcW w:w="888" w:type="dxa"/>
            <w:vAlign w:val="center"/>
          </w:tcPr>
          <w:p w14:paraId="41D7EDF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0.4515</w:t>
            </w:r>
          </w:p>
        </w:tc>
        <w:tc>
          <w:tcPr>
            <w:tcW w:w="887" w:type="dxa"/>
            <w:vAlign w:val="center"/>
          </w:tcPr>
          <w:p w14:paraId="13CFE27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0.0078</w:t>
            </w:r>
          </w:p>
        </w:tc>
        <w:tc>
          <w:tcPr>
            <w:tcW w:w="888" w:type="dxa"/>
            <w:vAlign w:val="center"/>
          </w:tcPr>
          <w:p w14:paraId="292F8D4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-0.3628</w:t>
            </w:r>
          </w:p>
        </w:tc>
        <w:tc>
          <w:tcPr>
            <w:tcW w:w="1028" w:type="dxa"/>
            <w:vAlign w:val="center"/>
          </w:tcPr>
          <w:p w14:paraId="204BB06A"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-0.0231</w:t>
            </w:r>
          </w:p>
        </w:tc>
        <w:tc>
          <w:tcPr>
            <w:tcW w:w="851" w:type="dxa"/>
            <w:vAlign w:val="center"/>
          </w:tcPr>
          <w:p w14:paraId="12BBA143"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-0.3785</w:t>
            </w:r>
          </w:p>
        </w:tc>
        <w:tc>
          <w:tcPr>
            <w:tcW w:w="850" w:type="dxa"/>
            <w:vAlign w:val="center"/>
          </w:tcPr>
          <w:p w14:paraId="43263725"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-0.4367</w:t>
            </w:r>
          </w:p>
        </w:tc>
        <w:tc>
          <w:tcPr>
            <w:tcW w:w="1276" w:type="dxa"/>
            <w:vAlign w:val="center"/>
          </w:tcPr>
          <w:p w14:paraId="2C1E5BF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992" w:type="dxa"/>
            <w:vAlign w:val="center"/>
          </w:tcPr>
          <w:p w14:paraId="23B9C355" w14:textId="77777777" w:rsidR="00734B6E" w:rsidRPr="00F14751" w:rsidRDefault="00734B6E" w:rsidP="009824F5">
            <w:pPr>
              <w:pStyle w:val="NoSpacing"/>
              <w:spacing w:line="360" w:lineRule="auto"/>
              <w:jc w:val="center"/>
              <w:rPr>
                <w:rFonts w:asciiTheme="majorHAnsi" w:hAnsiTheme="majorHAnsi"/>
                <w:sz w:val="16"/>
                <w:szCs w:val="16"/>
              </w:rPr>
            </w:pPr>
          </w:p>
        </w:tc>
        <w:tc>
          <w:tcPr>
            <w:tcW w:w="1134" w:type="dxa"/>
            <w:vAlign w:val="center"/>
          </w:tcPr>
          <w:p w14:paraId="28874FC0"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7B44EF46" w14:textId="77777777" w:rsidTr="009824F5">
        <w:trPr>
          <w:trHeight w:val="394"/>
          <w:jc w:val="center"/>
        </w:trPr>
        <w:tc>
          <w:tcPr>
            <w:tcW w:w="1264" w:type="dxa"/>
            <w:vAlign w:val="center"/>
          </w:tcPr>
          <w:p w14:paraId="4A6D1614" w14:textId="77777777" w:rsidR="00734B6E" w:rsidRPr="00F14751" w:rsidRDefault="00734B6E" w:rsidP="009824F5">
            <w:pPr>
              <w:pStyle w:val="NoSpacing"/>
              <w:spacing w:line="360" w:lineRule="auto"/>
              <w:rPr>
                <w:rFonts w:asciiTheme="majorHAnsi" w:hAnsiTheme="majorHAnsi" w:cs="Times New Roman"/>
                <w:sz w:val="16"/>
                <w:szCs w:val="16"/>
              </w:rPr>
            </w:pPr>
            <w:r>
              <w:rPr>
                <w:rFonts w:asciiTheme="majorHAnsi" w:hAnsiTheme="majorHAnsi" w:cs="Times New Roman"/>
                <w:sz w:val="16"/>
                <w:szCs w:val="16"/>
              </w:rPr>
              <w:t>Mercosur</w:t>
            </w:r>
          </w:p>
        </w:tc>
        <w:tc>
          <w:tcPr>
            <w:tcW w:w="887" w:type="dxa"/>
            <w:vAlign w:val="center"/>
          </w:tcPr>
          <w:p w14:paraId="55F4CF1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0.0954</w:t>
            </w:r>
          </w:p>
        </w:tc>
        <w:tc>
          <w:tcPr>
            <w:tcW w:w="888" w:type="dxa"/>
            <w:vAlign w:val="center"/>
          </w:tcPr>
          <w:p w14:paraId="2BB96652"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0.0939</w:t>
            </w:r>
          </w:p>
        </w:tc>
        <w:tc>
          <w:tcPr>
            <w:tcW w:w="887" w:type="dxa"/>
            <w:vAlign w:val="center"/>
          </w:tcPr>
          <w:p w14:paraId="02971DC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0.2246</w:t>
            </w:r>
          </w:p>
        </w:tc>
        <w:tc>
          <w:tcPr>
            <w:tcW w:w="888" w:type="dxa"/>
            <w:vAlign w:val="center"/>
          </w:tcPr>
          <w:p w14:paraId="7A5E016E"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-0.1860</w:t>
            </w:r>
          </w:p>
        </w:tc>
        <w:tc>
          <w:tcPr>
            <w:tcW w:w="888" w:type="dxa"/>
            <w:vAlign w:val="center"/>
          </w:tcPr>
          <w:p w14:paraId="0369C444"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-0.2003</w:t>
            </w:r>
          </w:p>
        </w:tc>
        <w:tc>
          <w:tcPr>
            <w:tcW w:w="887" w:type="dxa"/>
            <w:vAlign w:val="center"/>
          </w:tcPr>
          <w:p w14:paraId="0B9B0D1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0.1999</w:t>
            </w:r>
          </w:p>
        </w:tc>
        <w:tc>
          <w:tcPr>
            <w:tcW w:w="888" w:type="dxa"/>
            <w:vAlign w:val="center"/>
          </w:tcPr>
          <w:p w14:paraId="56520186"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0.1322</w:t>
            </w:r>
          </w:p>
        </w:tc>
        <w:tc>
          <w:tcPr>
            <w:tcW w:w="1028" w:type="dxa"/>
            <w:vAlign w:val="center"/>
          </w:tcPr>
          <w:p w14:paraId="2311472D"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-0.0215</w:t>
            </w:r>
          </w:p>
        </w:tc>
        <w:tc>
          <w:tcPr>
            <w:tcW w:w="851" w:type="dxa"/>
            <w:vAlign w:val="center"/>
          </w:tcPr>
          <w:p w14:paraId="68E4467D"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-0.0357</w:t>
            </w:r>
          </w:p>
        </w:tc>
        <w:tc>
          <w:tcPr>
            <w:tcW w:w="850" w:type="dxa"/>
            <w:vAlign w:val="center"/>
          </w:tcPr>
          <w:p w14:paraId="18710BA5"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0.4128</w:t>
            </w:r>
          </w:p>
        </w:tc>
        <w:tc>
          <w:tcPr>
            <w:tcW w:w="1276" w:type="dxa"/>
            <w:vAlign w:val="center"/>
          </w:tcPr>
          <w:p w14:paraId="43D8717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-0.3897</w:t>
            </w:r>
          </w:p>
        </w:tc>
        <w:tc>
          <w:tcPr>
            <w:tcW w:w="992" w:type="dxa"/>
            <w:vAlign w:val="center"/>
          </w:tcPr>
          <w:p w14:paraId="6184ADE0"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c>
          <w:tcPr>
            <w:tcW w:w="1134" w:type="dxa"/>
            <w:vAlign w:val="center"/>
          </w:tcPr>
          <w:p w14:paraId="3A0F6290" w14:textId="77777777" w:rsidR="00734B6E" w:rsidRPr="00F14751" w:rsidRDefault="00734B6E" w:rsidP="009824F5">
            <w:pPr>
              <w:pStyle w:val="NoSpacing"/>
              <w:spacing w:line="360" w:lineRule="auto"/>
              <w:jc w:val="center"/>
              <w:rPr>
                <w:rFonts w:asciiTheme="majorHAnsi" w:hAnsiTheme="majorHAnsi"/>
                <w:sz w:val="16"/>
                <w:szCs w:val="16"/>
              </w:rPr>
            </w:pPr>
          </w:p>
        </w:tc>
      </w:tr>
      <w:tr w:rsidR="00734B6E" w:rsidRPr="00F14751" w14:paraId="635F4BA7" w14:textId="77777777" w:rsidTr="009824F5">
        <w:trPr>
          <w:trHeight w:val="394"/>
          <w:jc w:val="center"/>
        </w:trPr>
        <w:tc>
          <w:tcPr>
            <w:tcW w:w="1264" w:type="dxa"/>
            <w:vAlign w:val="center"/>
          </w:tcPr>
          <w:p w14:paraId="1E9C3CC7" w14:textId="77777777" w:rsidR="00734B6E" w:rsidRPr="00F14751" w:rsidRDefault="00734B6E" w:rsidP="009824F5">
            <w:pPr>
              <w:pStyle w:val="NoSpacing"/>
              <w:spacing w:line="360" w:lineRule="auto"/>
              <w:rPr>
                <w:rFonts w:asciiTheme="majorHAnsi" w:hAnsiTheme="majorHAnsi" w:cs="Times New Roman"/>
                <w:sz w:val="16"/>
                <w:szCs w:val="16"/>
              </w:rPr>
            </w:pPr>
            <w:proofErr w:type="spellStart"/>
            <w:r>
              <w:rPr>
                <w:rFonts w:asciiTheme="majorHAnsi" w:hAnsiTheme="majorHAnsi" w:cs="Times New Roman"/>
                <w:sz w:val="16"/>
                <w:szCs w:val="16"/>
              </w:rPr>
              <w:t>Unasur</w:t>
            </w:r>
            <w:proofErr w:type="spellEnd"/>
          </w:p>
        </w:tc>
        <w:tc>
          <w:tcPr>
            <w:tcW w:w="887" w:type="dxa"/>
            <w:vAlign w:val="center"/>
          </w:tcPr>
          <w:p w14:paraId="6AD46AF1"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0.1238</w:t>
            </w:r>
          </w:p>
        </w:tc>
        <w:tc>
          <w:tcPr>
            <w:tcW w:w="888" w:type="dxa"/>
            <w:vAlign w:val="center"/>
          </w:tcPr>
          <w:p w14:paraId="721798C8"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0.1907</w:t>
            </w:r>
          </w:p>
        </w:tc>
        <w:tc>
          <w:tcPr>
            <w:tcW w:w="887" w:type="dxa"/>
            <w:vAlign w:val="center"/>
          </w:tcPr>
          <w:p w14:paraId="0E4D2CF7"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0.2485</w:t>
            </w:r>
          </w:p>
        </w:tc>
        <w:tc>
          <w:tcPr>
            <w:tcW w:w="888" w:type="dxa"/>
            <w:vAlign w:val="center"/>
          </w:tcPr>
          <w:p w14:paraId="41C2C065"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0.2839</w:t>
            </w:r>
          </w:p>
        </w:tc>
        <w:tc>
          <w:tcPr>
            <w:tcW w:w="888" w:type="dxa"/>
            <w:vAlign w:val="center"/>
          </w:tcPr>
          <w:p w14:paraId="675BB32A"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0.0027</w:t>
            </w:r>
          </w:p>
        </w:tc>
        <w:tc>
          <w:tcPr>
            <w:tcW w:w="887" w:type="dxa"/>
            <w:vAlign w:val="center"/>
          </w:tcPr>
          <w:p w14:paraId="43F52F3E"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0.0144</w:t>
            </w:r>
          </w:p>
        </w:tc>
        <w:tc>
          <w:tcPr>
            <w:tcW w:w="888" w:type="dxa"/>
            <w:vAlign w:val="center"/>
          </w:tcPr>
          <w:p w14:paraId="30224753"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0.0765</w:t>
            </w:r>
          </w:p>
        </w:tc>
        <w:tc>
          <w:tcPr>
            <w:tcW w:w="1028" w:type="dxa"/>
            <w:vAlign w:val="center"/>
          </w:tcPr>
          <w:p w14:paraId="2E1700E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0.0540</w:t>
            </w:r>
          </w:p>
        </w:tc>
        <w:tc>
          <w:tcPr>
            <w:tcW w:w="851" w:type="dxa"/>
            <w:vAlign w:val="center"/>
          </w:tcPr>
          <w:p w14:paraId="438AC89B"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0.2668</w:t>
            </w:r>
          </w:p>
        </w:tc>
        <w:tc>
          <w:tcPr>
            <w:tcW w:w="850" w:type="dxa"/>
            <w:vAlign w:val="center"/>
          </w:tcPr>
          <w:p w14:paraId="3E3EB39B"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0.0251</w:t>
            </w:r>
          </w:p>
        </w:tc>
        <w:tc>
          <w:tcPr>
            <w:tcW w:w="1276" w:type="dxa"/>
            <w:vAlign w:val="center"/>
          </w:tcPr>
          <w:p w14:paraId="067D1E3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-0.2585</w:t>
            </w:r>
          </w:p>
        </w:tc>
        <w:tc>
          <w:tcPr>
            <w:tcW w:w="992" w:type="dxa"/>
            <w:vAlign w:val="center"/>
          </w:tcPr>
          <w:p w14:paraId="08FD2D2E"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0.1333</w:t>
            </w:r>
          </w:p>
        </w:tc>
        <w:tc>
          <w:tcPr>
            <w:tcW w:w="1134" w:type="dxa"/>
            <w:vAlign w:val="center"/>
          </w:tcPr>
          <w:p w14:paraId="73BAE139" w14:textId="77777777" w:rsidR="00734B6E" w:rsidRPr="00F14751" w:rsidRDefault="00734B6E" w:rsidP="009824F5">
            <w:pPr>
              <w:pStyle w:val="NoSpacing"/>
              <w:spacing w:line="360" w:lineRule="auto"/>
              <w:jc w:val="center"/>
              <w:rPr>
                <w:rFonts w:asciiTheme="majorHAnsi" w:hAnsiTheme="majorHAnsi"/>
                <w:sz w:val="16"/>
                <w:szCs w:val="16"/>
              </w:rPr>
            </w:pPr>
            <w:r>
              <w:rPr>
                <w:rFonts w:asciiTheme="majorHAnsi" w:hAnsiTheme="majorHAnsi"/>
                <w:sz w:val="16"/>
                <w:szCs w:val="16"/>
              </w:rPr>
              <w:t>1.0000</w:t>
            </w:r>
          </w:p>
        </w:tc>
      </w:tr>
    </w:tbl>
    <w:p w14:paraId="59E640EC" w14:textId="77777777" w:rsidR="00881A90" w:rsidRDefault="007174B5" w:rsidP="00C8508E">
      <w:pPr>
        <w:jc w:val="both"/>
        <w:rPr>
          <w:rFonts w:asciiTheme="majorHAnsi" w:hAnsiTheme="majorHAnsi"/>
          <w:sz w:val="24"/>
        </w:rPr>
        <w:sectPr w:rsidR="00881A90" w:rsidSect="007174B5">
          <w:pgSz w:w="16838" w:h="11906" w:orient="landscape"/>
          <w:pgMar w:top="1417" w:right="1417" w:bottom="1417" w:left="1417" w:header="708" w:footer="708" w:gutter="0"/>
          <w:cols w:space="708"/>
          <w:docGrid w:linePitch="360"/>
        </w:sectPr>
      </w:pPr>
      <w:r>
        <w:rPr>
          <w:rFonts w:asciiTheme="majorHAnsi" w:hAnsiTheme="majorHAnsi"/>
          <w:sz w:val="24"/>
        </w:rPr>
        <w:br w:type="page"/>
      </w:r>
    </w:p>
    <w:p w14:paraId="2C45D4A4" w14:textId="5AED2B82" w:rsidR="00597C86" w:rsidRPr="001B3AF2" w:rsidRDefault="00597C86" w:rsidP="002C37FD">
      <w:pPr>
        <w:pStyle w:val="NoSpacing"/>
        <w:spacing w:line="360" w:lineRule="auto"/>
        <w:jc w:val="both"/>
        <w:rPr>
          <w:rFonts w:asciiTheme="majorHAnsi" w:hAnsiTheme="majorHAnsi"/>
          <w:sz w:val="24"/>
        </w:rPr>
      </w:pPr>
      <w:r w:rsidRPr="001B3AF2">
        <w:rPr>
          <w:rFonts w:asciiTheme="majorHAnsi" w:hAnsiTheme="majorHAnsi"/>
          <w:sz w:val="24"/>
        </w:rPr>
        <w:t>2. Estimation results of the FE model with different lags of the observations of the SRI</w:t>
      </w:r>
      <w:r w:rsidR="008D31C7">
        <w:rPr>
          <w:rFonts w:asciiTheme="majorHAnsi" w:hAnsiTheme="majorHAnsi"/>
          <w:sz w:val="24"/>
        </w:rPr>
        <w:t xml:space="preserve"> </w:t>
      </w:r>
      <w:r w:rsidRPr="001B3AF2">
        <w:rPr>
          <w:rFonts w:asciiTheme="majorHAnsi" w:hAnsiTheme="majorHAnsi"/>
          <w:sz w:val="24"/>
        </w:rPr>
        <w:t>(</w:t>
      </w:r>
      <w:r w:rsidR="001B3AF2">
        <w:rPr>
          <w:rFonts w:asciiTheme="majorHAnsi" w:hAnsiTheme="majorHAnsi"/>
          <w:sz w:val="24"/>
        </w:rPr>
        <w:t>SRI = no lag, L.SRI= one-</w:t>
      </w:r>
      <w:r w:rsidRPr="001B3AF2">
        <w:rPr>
          <w:rFonts w:asciiTheme="majorHAnsi" w:hAnsiTheme="majorHAnsi"/>
          <w:sz w:val="24"/>
        </w:rPr>
        <w:t>year lag, L2. SRI</w:t>
      </w:r>
      <w:r w:rsidR="001B3AF2" w:rsidRPr="001B3AF2">
        <w:rPr>
          <w:rFonts w:asciiTheme="majorHAnsi" w:hAnsiTheme="majorHAnsi"/>
          <w:sz w:val="24"/>
        </w:rPr>
        <w:t xml:space="preserve"> =</w:t>
      </w:r>
      <w:r w:rsidR="001B3AF2">
        <w:rPr>
          <w:rFonts w:asciiTheme="majorHAnsi" w:hAnsiTheme="majorHAnsi"/>
          <w:sz w:val="24"/>
        </w:rPr>
        <w:t xml:space="preserve"> two-year</w:t>
      </w:r>
      <w:r w:rsidRPr="001B3AF2">
        <w:rPr>
          <w:rFonts w:asciiTheme="majorHAnsi" w:hAnsiTheme="majorHAnsi"/>
          <w:sz w:val="24"/>
        </w:rPr>
        <w:t xml:space="preserve"> lag, L</w:t>
      </w:r>
      <w:r w:rsidR="001B3AF2" w:rsidRPr="001B3AF2">
        <w:rPr>
          <w:rFonts w:asciiTheme="majorHAnsi" w:hAnsiTheme="majorHAnsi"/>
          <w:sz w:val="24"/>
        </w:rPr>
        <w:t>3.SRI = three</w:t>
      </w:r>
      <w:r w:rsidR="001B3AF2">
        <w:rPr>
          <w:rFonts w:asciiTheme="majorHAnsi" w:hAnsiTheme="majorHAnsi"/>
          <w:sz w:val="24"/>
        </w:rPr>
        <w:t>-</w:t>
      </w:r>
      <w:r w:rsidR="001B3AF2" w:rsidRPr="001B3AF2">
        <w:rPr>
          <w:rFonts w:asciiTheme="majorHAnsi" w:hAnsiTheme="majorHAnsi"/>
          <w:sz w:val="24"/>
        </w:rPr>
        <w:t xml:space="preserve">year lag, L4.SRI = </w:t>
      </w:r>
      <w:r w:rsidR="001B3AF2">
        <w:rPr>
          <w:rFonts w:asciiTheme="majorHAnsi" w:hAnsiTheme="majorHAnsi"/>
          <w:sz w:val="24"/>
        </w:rPr>
        <w:t>four-</w:t>
      </w:r>
      <w:r w:rsidR="001B3AF2" w:rsidRPr="001B3AF2">
        <w:rPr>
          <w:rFonts w:asciiTheme="majorHAnsi" w:hAnsiTheme="majorHAnsi"/>
          <w:sz w:val="24"/>
        </w:rPr>
        <w:t>year l</w:t>
      </w:r>
      <w:r w:rsidR="001B3AF2">
        <w:rPr>
          <w:rFonts w:asciiTheme="majorHAnsi" w:hAnsiTheme="majorHAnsi"/>
          <w:sz w:val="24"/>
        </w:rPr>
        <w:t>ag and L5.SRI = five-</w:t>
      </w:r>
      <w:r w:rsidR="001B3AF2" w:rsidRPr="001B3AF2">
        <w:rPr>
          <w:rFonts w:asciiTheme="majorHAnsi" w:hAnsiTheme="majorHAnsi"/>
          <w:sz w:val="24"/>
        </w:rPr>
        <w:t>year lag)</w:t>
      </w:r>
      <w:r w:rsidR="001B3AF2">
        <w:rPr>
          <w:rFonts w:asciiTheme="majorHAnsi" w:hAnsiTheme="majorHAnsi"/>
          <w:sz w:val="24"/>
        </w:rPr>
        <w:t>.</w:t>
      </w:r>
    </w:p>
    <w:tbl>
      <w:tblPr>
        <w:tblW w:w="10443" w:type="dxa"/>
        <w:jc w:val="center"/>
        <w:tblLayout w:type="fixed"/>
        <w:tblCellMar>
          <w:left w:w="75" w:type="dxa"/>
          <w:right w:w="75" w:type="dxa"/>
        </w:tblCellMar>
        <w:tblLook w:val="0000" w:firstRow="0" w:lastRow="0" w:firstColumn="0" w:lastColumn="0" w:noHBand="0" w:noVBand="0"/>
      </w:tblPr>
      <w:tblGrid>
        <w:gridCol w:w="2246"/>
        <w:gridCol w:w="1717"/>
        <w:gridCol w:w="1296"/>
        <w:gridCol w:w="1296"/>
        <w:gridCol w:w="1296"/>
        <w:gridCol w:w="1296"/>
        <w:gridCol w:w="1296"/>
      </w:tblGrid>
      <w:tr w:rsidR="00597C86" w14:paraId="4446AA06" w14:textId="77777777" w:rsidTr="002C37FD">
        <w:trPr>
          <w:jc w:val="center"/>
        </w:trPr>
        <w:tc>
          <w:tcPr>
            <w:tcW w:w="2246" w:type="dxa"/>
            <w:tcBorders>
              <w:top w:val="single" w:sz="6" w:space="0" w:color="auto"/>
              <w:left w:val="nil"/>
              <w:bottom w:val="nil"/>
              <w:right w:val="nil"/>
            </w:tcBorders>
            <w:vAlign w:val="center"/>
          </w:tcPr>
          <w:p w14:paraId="0DFB69DA"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single" w:sz="6" w:space="0" w:color="auto"/>
              <w:left w:val="nil"/>
              <w:bottom w:val="nil"/>
              <w:right w:val="nil"/>
            </w:tcBorders>
            <w:vAlign w:val="center"/>
          </w:tcPr>
          <w:p w14:paraId="0118949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vAlign w:val="center"/>
          </w:tcPr>
          <w:p w14:paraId="2709D1E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6" w:space="0" w:color="auto"/>
              <w:left w:val="nil"/>
              <w:bottom w:val="nil"/>
              <w:right w:val="nil"/>
            </w:tcBorders>
            <w:vAlign w:val="center"/>
          </w:tcPr>
          <w:p w14:paraId="3EC7663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6" w:space="0" w:color="auto"/>
              <w:left w:val="nil"/>
              <w:bottom w:val="nil"/>
              <w:right w:val="nil"/>
            </w:tcBorders>
            <w:vAlign w:val="center"/>
          </w:tcPr>
          <w:p w14:paraId="02A9074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Borders>
              <w:top w:val="single" w:sz="6" w:space="0" w:color="auto"/>
              <w:left w:val="nil"/>
              <w:bottom w:val="nil"/>
              <w:right w:val="nil"/>
            </w:tcBorders>
            <w:vAlign w:val="center"/>
          </w:tcPr>
          <w:p w14:paraId="29895FB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Borders>
              <w:top w:val="single" w:sz="6" w:space="0" w:color="auto"/>
              <w:left w:val="nil"/>
              <w:bottom w:val="nil"/>
              <w:right w:val="nil"/>
            </w:tcBorders>
            <w:vAlign w:val="center"/>
          </w:tcPr>
          <w:p w14:paraId="16292A4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97C86" w14:paraId="0DB3306E" w14:textId="77777777" w:rsidTr="002C37FD">
        <w:trPr>
          <w:jc w:val="center"/>
        </w:trPr>
        <w:tc>
          <w:tcPr>
            <w:tcW w:w="2246" w:type="dxa"/>
            <w:tcBorders>
              <w:top w:val="nil"/>
              <w:left w:val="nil"/>
              <w:bottom w:val="single" w:sz="6" w:space="0" w:color="auto"/>
              <w:right w:val="nil"/>
            </w:tcBorders>
            <w:vAlign w:val="center"/>
          </w:tcPr>
          <w:p w14:paraId="65F57AAC"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717" w:type="dxa"/>
            <w:tcBorders>
              <w:top w:val="nil"/>
              <w:left w:val="nil"/>
              <w:bottom w:val="single" w:sz="6" w:space="0" w:color="auto"/>
              <w:right w:val="nil"/>
            </w:tcBorders>
            <w:vAlign w:val="center"/>
          </w:tcPr>
          <w:p w14:paraId="1570182A" w14:textId="504F121A"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PHR ($2)</w:t>
            </w:r>
          </w:p>
        </w:tc>
        <w:tc>
          <w:tcPr>
            <w:tcW w:w="1296" w:type="dxa"/>
            <w:tcBorders>
              <w:top w:val="nil"/>
              <w:left w:val="nil"/>
              <w:bottom w:val="single" w:sz="6" w:space="0" w:color="auto"/>
              <w:right w:val="nil"/>
            </w:tcBorders>
            <w:vAlign w:val="center"/>
          </w:tcPr>
          <w:p w14:paraId="085BCA85" w14:textId="4545FC31"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PHR ($2)</w:t>
            </w:r>
          </w:p>
        </w:tc>
        <w:tc>
          <w:tcPr>
            <w:tcW w:w="1296" w:type="dxa"/>
            <w:tcBorders>
              <w:top w:val="nil"/>
              <w:left w:val="nil"/>
              <w:bottom w:val="single" w:sz="6" w:space="0" w:color="auto"/>
              <w:right w:val="nil"/>
            </w:tcBorders>
            <w:vAlign w:val="center"/>
          </w:tcPr>
          <w:p w14:paraId="4474F9D4" w14:textId="0202824D"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PHR ($2)</w:t>
            </w:r>
          </w:p>
        </w:tc>
        <w:tc>
          <w:tcPr>
            <w:tcW w:w="1296" w:type="dxa"/>
            <w:tcBorders>
              <w:top w:val="nil"/>
              <w:left w:val="nil"/>
              <w:bottom w:val="single" w:sz="6" w:space="0" w:color="auto"/>
              <w:right w:val="nil"/>
            </w:tcBorders>
            <w:vAlign w:val="center"/>
          </w:tcPr>
          <w:p w14:paraId="56A1059E" w14:textId="75D88060"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PHR ($2)</w:t>
            </w:r>
          </w:p>
        </w:tc>
        <w:tc>
          <w:tcPr>
            <w:tcW w:w="1296" w:type="dxa"/>
            <w:tcBorders>
              <w:top w:val="nil"/>
              <w:left w:val="nil"/>
              <w:bottom w:val="single" w:sz="6" w:space="0" w:color="auto"/>
              <w:right w:val="nil"/>
            </w:tcBorders>
            <w:vAlign w:val="center"/>
          </w:tcPr>
          <w:p w14:paraId="7A6162CD" w14:textId="5F17EBB4"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PHR ($2)</w:t>
            </w:r>
          </w:p>
        </w:tc>
        <w:tc>
          <w:tcPr>
            <w:tcW w:w="1296" w:type="dxa"/>
            <w:tcBorders>
              <w:top w:val="nil"/>
              <w:left w:val="nil"/>
              <w:bottom w:val="single" w:sz="6" w:space="0" w:color="auto"/>
              <w:right w:val="nil"/>
            </w:tcBorders>
            <w:vAlign w:val="center"/>
          </w:tcPr>
          <w:p w14:paraId="05183B9A" w14:textId="0DDA3CEC"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PHR ($2)</w:t>
            </w:r>
          </w:p>
        </w:tc>
      </w:tr>
      <w:tr w:rsidR="00597C86" w14:paraId="6369FF04" w14:textId="77777777" w:rsidTr="002C37FD">
        <w:trPr>
          <w:jc w:val="center"/>
        </w:trPr>
        <w:tc>
          <w:tcPr>
            <w:tcW w:w="2246" w:type="dxa"/>
            <w:tcBorders>
              <w:top w:val="nil"/>
              <w:left w:val="nil"/>
              <w:bottom w:val="nil"/>
              <w:right w:val="nil"/>
            </w:tcBorders>
            <w:vAlign w:val="center"/>
          </w:tcPr>
          <w:p w14:paraId="597CE241"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2700C22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632583F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3144C29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35E9301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DE675B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D3DB58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3177B597" w14:textId="77777777" w:rsidTr="002C37FD">
        <w:trPr>
          <w:jc w:val="center"/>
        </w:trPr>
        <w:tc>
          <w:tcPr>
            <w:tcW w:w="2246" w:type="dxa"/>
            <w:tcBorders>
              <w:top w:val="nil"/>
              <w:left w:val="nil"/>
              <w:bottom w:val="nil"/>
              <w:right w:val="nil"/>
            </w:tcBorders>
            <w:vAlign w:val="center"/>
          </w:tcPr>
          <w:p w14:paraId="746929C5" w14:textId="5ECEC982"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SRI</w:t>
            </w:r>
          </w:p>
        </w:tc>
        <w:tc>
          <w:tcPr>
            <w:tcW w:w="1717" w:type="dxa"/>
            <w:tcBorders>
              <w:top w:val="nil"/>
              <w:left w:val="nil"/>
              <w:bottom w:val="nil"/>
              <w:right w:val="nil"/>
            </w:tcBorders>
            <w:vAlign w:val="center"/>
          </w:tcPr>
          <w:p w14:paraId="01746B4C" w14:textId="3EC4A2C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0.0780</w:t>
            </w:r>
          </w:p>
        </w:tc>
        <w:tc>
          <w:tcPr>
            <w:tcW w:w="1296" w:type="dxa"/>
            <w:tcBorders>
              <w:top w:val="nil"/>
              <w:left w:val="nil"/>
              <w:bottom w:val="nil"/>
              <w:right w:val="nil"/>
            </w:tcBorders>
            <w:vAlign w:val="center"/>
          </w:tcPr>
          <w:p w14:paraId="6A44F85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2F7B7C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452765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0A926C5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E52970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6648E19E" w14:textId="77777777" w:rsidTr="002C37FD">
        <w:trPr>
          <w:jc w:val="center"/>
        </w:trPr>
        <w:tc>
          <w:tcPr>
            <w:tcW w:w="2246" w:type="dxa"/>
            <w:tcBorders>
              <w:top w:val="nil"/>
              <w:left w:val="nil"/>
              <w:bottom w:val="nil"/>
              <w:right w:val="nil"/>
            </w:tcBorders>
            <w:vAlign w:val="center"/>
          </w:tcPr>
          <w:p w14:paraId="587E2C7C"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7B7D6796" w14:textId="18A585D6"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tc>
        <w:tc>
          <w:tcPr>
            <w:tcW w:w="1296" w:type="dxa"/>
            <w:tcBorders>
              <w:top w:val="nil"/>
              <w:left w:val="nil"/>
              <w:bottom w:val="nil"/>
              <w:right w:val="nil"/>
            </w:tcBorders>
            <w:vAlign w:val="center"/>
          </w:tcPr>
          <w:p w14:paraId="14FBDDD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D79DCE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671CE11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59F4E2C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2AD1D4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489F302E" w14:textId="77777777" w:rsidTr="002C37FD">
        <w:trPr>
          <w:jc w:val="center"/>
        </w:trPr>
        <w:tc>
          <w:tcPr>
            <w:tcW w:w="2246" w:type="dxa"/>
            <w:tcBorders>
              <w:top w:val="nil"/>
              <w:left w:val="nil"/>
              <w:bottom w:val="nil"/>
              <w:right w:val="nil"/>
            </w:tcBorders>
            <w:vAlign w:val="center"/>
          </w:tcPr>
          <w:p w14:paraId="1504466A" w14:textId="5D435B9F"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L.SRI</w:t>
            </w:r>
          </w:p>
        </w:tc>
        <w:tc>
          <w:tcPr>
            <w:tcW w:w="1717" w:type="dxa"/>
            <w:tcBorders>
              <w:top w:val="nil"/>
              <w:left w:val="nil"/>
              <w:bottom w:val="nil"/>
              <w:right w:val="nil"/>
            </w:tcBorders>
            <w:vAlign w:val="center"/>
          </w:tcPr>
          <w:p w14:paraId="600E061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50C289A" w14:textId="68165001"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0.131</w:t>
            </w:r>
          </w:p>
        </w:tc>
        <w:tc>
          <w:tcPr>
            <w:tcW w:w="1296" w:type="dxa"/>
            <w:tcBorders>
              <w:top w:val="nil"/>
              <w:left w:val="nil"/>
              <w:bottom w:val="nil"/>
              <w:right w:val="nil"/>
            </w:tcBorders>
            <w:vAlign w:val="center"/>
          </w:tcPr>
          <w:p w14:paraId="0E7E4EA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E9CF53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067781C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31BA06A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29C7E297" w14:textId="77777777" w:rsidTr="002C37FD">
        <w:trPr>
          <w:jc w:val="center"/>
        </w:trPr>
        <w:tc>
          <w:tcPr>
            <w:tcW w:w="2246" w:type="dxa"/>
            <w:tcBorders>
              <w:top w:val="nil"/>
              <w:left w:val="nil"/>
              <w:bottom w:val="nil"/>
              <w:right w:val="nil"/>
            </w:tcBorders>
            <w:vAlign w:val="center"/>
          </w:tcPr>
          <w:p w14:paraId="1E082EED"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3AFD084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8324409" w14:textId="3B082974"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296" w:type="dxa"/>
            <w:tcBorders>
              <w:top w:val="nil"/>
              <w:left w:val="nil"/>
              <w:bottom w:val="nil"/>
              <w:right w:val="nil"/>
            </w:tcBorders>
            <w:vAlign w:val="center"/>
          </w:tcPr>
          <w:p w14:paraId="5B68DD5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61013FA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07F3E81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331AE4C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07AACF10" w14:textId="77777777" w:rsidTr="002C37FD">
        <w:trPr>
          <w:jc w:val="center"/>
        </w:trPr>
        <w:tc>
          <w:tcPr>
            <w:tcW w:w="2246" w:type="dxa"/>
            <w:tcBorders>
              <w:top w:val="nil"/>
              <w:left w:val="nil"/>
              <w:bottom w:val="nil"/>
              <w:right w:val="nil"/>
            </w:tcBorders>
            <w:vAlign w:val="center"/>
          </w:tcPr>
          <w:p w14:paraId="744C8016" w14:textId="239C5268"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L2.SRI</w:t>
            </w:r>
          </w:p>
        </w:tc>
        <w:tc>
          <w:tcPr>
            <w:tcW w:w="1717" w:type="dxa"/>
            <w:tcBorders>
              <w:top w:val="nil"/>
              <w:left w:val="nil"/>
              <w:bottom w:val="nil"/>
              <w:right w:val="nil"/>
            </w:tcBorders>
            <w:vAlign w:val="center"/>
          </w:tcPr>
          <w:p w14:paraId="35DAC5E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4E6F6C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B95EB30" w14:textId="689D0EDA"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0.273**</w:t>
            </w:r>
          </w:p>
        </w:tc>
        <w:tc>
          <w:tcPr>
            <w:tcW w:w="1296" w:type="dxa"/>
            <w:tcBorders>
              <w:top w:val="nil"/>
              <w:left w:val="nil"/>
              <w:bottom w:val="nil"/>
              <w:right w:val="nil"/>
            </w:tcBorders>
            <w:vAlign w:val="center"/>
          </w:tcPr>
          <w:p w14:paraId="516C616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5E2C6B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7EE9A8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6AA2092C" w14:textId="77777777" w:rsidTr="002C37FD">
        <w:trPr>
          <w:jc w:val="center"/>
        </w:trPr>
        <w:tc>
          <w:tcPr>
            <w:tcW w:w="2246" w:type="dxa"/>
            <w:tcBorders>
              <w:top w:val="nil"/>
              <w:left w:val="nil"/>
              <w:bottom w:val="nil"/>
              <w:right w:val="nil"/>
            </w:tcBorders>
            <w:vAlign w:val="center"/>
          </w:tcPr>
          <w:p w14:paraId="3ED65E1F"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40E5A5C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51586F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65E7194D" w14:textId="6C4FC0F2"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296" w:type="dxa"/>
            <w:tcBorders>
              <w:top w:val="nil"/>
              <w:left w:val="nil"/>
              <w:bottom w:val="nil"/>
              <w:right w:val="nil"/>
            </w:tcBorders>
            <w:vAlign w:val="center"/>
          </w:tcPr>
          <w:p w14:paraId="6DC296E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5D25213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479403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46D834B7" w14:textId="77777777" w:rsidTr="002C37FD">
        <w:trPr>
          <w:jc w:val="center"/>
        </w:trPr>
        <w:tc>
          <w:tcPr>
            <w:tcW w:w="2246" w:type="dxa"/>
            <w:tcBorders>
              <w:top w:val="nil"/>
              <w:left w:val="nil"/>
              <w:bottom w:val="nil"/>
              <w:right w:val="nil"/>
            </w:tcBorders>
            <w:vAlign w:val="center"/>
          </w:tcPr>
          <w:p w14:paraId="6546D2D8" w14:textId="1F42D79C"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L3.SRI</w:t>
            </w:r>
          </w:p>
        </w:tc>
        <w:tc>
          <w:tcPr>
            <w:tcW w:w="1717" w:type="dxa"/>
            <w:tcBorders>
              <w:top w:val="nil"/>
              <w:left w:val="nil"/>
              <w:bottom w:val="nil"/>
              <w:right w:val="nil"/>
            </w:tcBorders>
            <w:vAlign w:val="center"/>
          </w:tcPr>
          <w:p w14:paraId="69139DF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309F92A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4C9D18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D7919F6" w14:textId="75AF389D"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296" w:type="dxa"/>
            <w:tcBorders>
              <w:top w:val="nil"/>
              <w:left w:val="nil"/>
              <w:bottom w:val="nil"/>
              <w:right w:val="nil"/>
            </w:tcBorders>
            <w:vAlign w:val="center"/>
          </w:tcPr>
          <w:p w14:paraId="29E5E96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438EC9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3534E818" w14:textId="77777777" w:rsidTr="002C37FD">
        <w:trPr>
          <w:jc w:val="center"/>
        </w:trPr>
        <w:tc>
          <w:tcPr>
            <w:tcW w:w="2246" w:type="dxa"/>
            <w:tcBorders>
              <w:top w:val="nil"/>
              <w:left w:val="nil"/>
              <w:bottom w:val="nil"/>
              <w:right w:val="nil"/>
            </w:tcBorders>
            <w:vAlign w:val="center"/>
          </w:tcPr>
          <w:p w14:paraId="6F6B399A"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7F8DC31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C81B2F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6BB08A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04758DE" w14:textId="5E1BD160"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(0.0990)</w:t>
            </w:r>
          </w:p>
        </w:tc>
        <w:tc>
          <w:tcPr>
            <w:tcW w:w="1296" w:type="dxa"/>
            <w:tcBorders>
              <w:top w:val="nil"/>
              <w:left w:val="nil"/>
              <w:bottom w:val="nil"/>
              <w:right w:val="nil"/>
            </w:tcBorders>
            <w:vAlign w:val="center"/>
          </w:tcPr>
          <w:p w14:paraId="6C28F59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A62A3D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196D1C22" w14:textId="77777777" w:rsidTr="002C37FD">
        <w:trPr>
          <w:jc w:val="center"/>
        </w:trPr>
        <w:tc>
          <w:tcPr>
            <w:tcW w:w="2246" w:type="dxa"/>
            <w:tcBorders>
              <w:top w:val="nil"/>
              <w:left w:val="nil"/>
              <w:bottom w:val="nil"/>
              <w:right w:val="nil"/>
            </w:tcBorders>
            <w:vAlign w:val="center"/>
          </w:tcPr>
          <w:p w14:paraId="49B8AAF9" w14:textId="37468A02"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L4.SRI</w:t>
            </w:r>
          </w:p>
        </w:tc>
        <w:tc>
          <w:tcPr>
            <w:tcW w:w="1717" w:type="dxa"/>
            <w:tcBorders>
              <w:top w:val="nil"/>
              <w:left w:val="nil"/>
              <w:bottom w:val="nil"/>
              <w:right w:val="nil"/>
            </w:tcBorders>
            <w:vAlign w:val="center"/>
          </w:tcPr>
          <w:p w14:paraId="4C83EC8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C1590E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62646E3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1E529B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0F7D52DB" w14:textId="5C2756FF"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1296" w:type="dxa"/>
            <w:tcBorders>
              <w:top w:val="nil"/>
              <w:left w:val="nil"/>
              <w:bottom w:val="nil"/>
              <w:right w:val="nil"/>
            </w:tcBorders>
            <w:vAlign w:val="center"/>
          </w:tcPr>
          <w:p w14:paraId="55E0501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755B4A18" w14:textId="77777777" w:rsidTr="002C37FD">
        <w:trPr>
          <w:jc w:val="center"/>
        </w:trPr>
        <w:tc>
          <w:tcPr>
            <w:tcW w:w="2246" w:type="dxa"/>
            <w:tcBorders>
              <w:top w:val="nil"/>
              <w:left w:val="nil"/>
              <w:bottom w:val="nil"/>
              <w:right w:val="nil"/>
            </w:tcBorders>
            <w:vAlign w:val="center"/>
          </w:tcPr>
          <w:p w14:paraId="09DD0A6A"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7FE5319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6AD3B3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0EC5651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5C4722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C5C4EF6" w14:textId="6C414A4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p>
        </w:tc>
        <w:tc>
          <w:tcPr>
            <w:tcW w:w="1296" w:type="dxa"/>
            <w:tcBorders>
              <w:top w:val="nil"/>
              <w:left w:val="nil"/>
              <w:bottom w:val="nil"/>
              <w:right w:val="nil"/>
            </w:tcBorders>
            <w:vAlign w:val="center"/>
          </w:tcPr>
          <w:p w14:paraId="1C4DF27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1C9519D6" w14:textId="77777777" w:rsidTr="002C37FD">
        <w:trPr>
          <w:jc w:val="center"/>
        </w:trPr>
        <w:tc>
          <w:tcPr>
            <w:tcW w:w="2246" w:type="dxa"/>
            <w:tcBorders>
              <w:top w:val="nil"/>
              <w:left w:val="nil"/>
              <w:bottom w:val="nil"/>
              <w:right w:val="nil"/>
            </w:tcBorders>
            <w:vAlign w:val="center"/>
          </w:tcPr>
          <w:p w14:paraId="4A366185" w14:textId="7790B6A1"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L5.SRI</w:t>
            </w:r>
          </w:p>
        </w:tc>
        <w:tc>
          <w:tcPr>
            <w:tcW w:w="1717" w:type="dxa"/>
            <w:tcBorders>
              <w:top w:val="nil"/>
              <w:left w:val="nil"/>
              <w:bottom w:val="nil"/>
              <w:right w:val="nil"/>
            </w:tcBorders>
            <w:vAlign w:val="center"/>
          </w:tcPr>
          <w:p w14:paraId="23480D4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E31133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5BBBCD7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EC66B4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D0E783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F2654EF" w14:textId="5BAA12C9"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-0.00710</w:t>
            </w:r>
          </w:p>
        </w:tc>
      </w:tr>
      <w:tr w:rsidR="00597C86" w14:paraId="2175018B" w14:textId="77777777" w:rsidTr="002C37FD">
        <w:trPr>
          <w:jc w:val="center"/>
        </w:trPr>
        <w:tc>
          <w:tcPr>
            <w:tcW w:w="2246" w:type="dxa"/>
            <w:tcBorders>
              <w:top w:val="nil"/>
              <w:left w:val="nil"/>
              <w:bottom w:val="nil"/>
              <w:right w:val="nil"/>
            </w:tcBorders>
            <w:vAlign w:val="center"/>
          </w:tcPr>
          <w:p w14:paraId="1F0CE562"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4CC8B4B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ACADC8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637BECE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243C586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3A180BE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78DAEBA" w14:textId="269F88A1"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(0.151)</w:t>
            </w:r>
          </w:p>
        </w:tc>
      </w:tr>
      <w:tr w:rsidR="00597C86" w14:paraId="35527DD5" w14:textId="77777777" w:rsidTr="002C37FD">
        <w:trPr>
          <w:jc w:val="center"/>
        </w:trPr>
        <w:tc>
          <w:tcPr>
            <w:tcW w:w="2246" w:type="dxa"/>
            <w:tcBorders>
              <w:top w:val="nil"/>
              <w:left w:val="nil"/>
              <w:bottom w:val="nil"/>
              <w:right w:val="nil"/>
            </w:tcBorders>
            <w:vAlign w:val="center"/>
          </w:tcPr>
          <w:p w14:paraId="2D699212" w14:textId="7C4F733C"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1717" w:type="dxa"/>
            <w:tcBorders>
              <w:top w:val="nil"/>
              <w:left w:val="nil"/>
              <w:bottom w:val="nil"/>
              <w:right w:val="nil"/>
            </w:tcBorders>
            <w:vAlign w:val="center"/>
          </w:tcPr>
          <w:p w14:paraId="4615919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0.0890</w:t>
            </w:r>
          </w:p>
        </w:tc>
        <w:tc>
          <w:tcPr>
            <w:tcW w:w="1296" w:type="dxa"/>
            <w:tcBorders>
              <w:top w:val="nil"/>
              <w:left w:val="nil"/>
              <w:bottom w:val="nil"/>
              <w:right w:val="nil"/>
            </w:tcBorders>
            <w:vAlign w:val="center"/>
          </w:tcPr>
          <w:p w14:paraId="447EE13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0.0912</w:t>
            </w:r>
          </w:p>
        </w:tc>
        <w:tc>
          <w:tcPr>
            <w:tcW w:w="1296" w:type="dxa"/>
            <w:tcBorders>
              <w:top w:val="nil"/>
              <w:left w:val="nil"/>
              <w:bottom w:val="nil"/>
              <w:right w:val="nil"/>
            </w:tcBorders>
            <w:vAlign w:val="center"/>
          </w:tcPr>
          <w:p w14:paraId="5291C30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1296" w:type="dxa"/>
            <w:tcBorders>
              <w:top w:val="nil"/>
              <w:left w:val="nil"/>
              <w:bottom w:val="nil"/>
              <w:right w:val="nil"/>
            </w:tcBorders>
            <w:vAlign w:val="center"/>
          </w:tcPr>
          <w:p w14:paraId="3CF3E68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0.0583</w:t>
            </w:r>
          </w:p>
        </w:tc>
        <w:tc>
          <w:tcPr>
            <w:tcW w:w="1296" w:type="dxa"/>
            <w:tcBorders>
              <w:top w:val="nil"/>
              <w:left w:val="nil"/>
              <w:bottom w:val="nil"/>
              <w:right w:val="nil"/>
            </w:tcBorders>
            <w:vAlign w:val="center"/>
          </w:tcPr>
          <w:p w14:paraId="73DF434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0.0463</w:t>
            </w:r>
          </w:p>
        </w:tc>
        <w:tc>
          <w:tcPr>
            <w:tcW w:w="1296" w:type="dxa"/>
            <w:tcBorders>
              <w:top w:val="nil"/>
              <w:left w:val="nil"/>
              <w:bottom w:val="nil"/>
              <w:right w:val="nil"/>
            </w:tcBorders>
            <w:vAlign w:val="center"/>
          </w:tcPr>
          <w:p w14:paraId="5724AEC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0.0870</w:t>
            </w:r>
          </w:p>
        </w:tc>
      </w:tr>
      <w:tr w:rsidR="00597C86" w14:paraId="0B39FBB3" w14:textId="77777777" w:rsidTr="002C37FD">
        <w:trPr>
          <w:jc w:val="center"/>
        </w:trPr>
        <w:tc>
          <w:tcPr>
            <w:tcW w:w="2246" w:type="dxa"/>
            <w:tcBorders>
              <w:top w:val="nil"/>
              <w:left w:val="nil"/>
              <w:bottom w:val="nil"/>
              <w:right w:val="nil"/>
            </w:tcBorders>
            <w:vAlign w:val="center"/>
          </w:tcPr>
          <w:p w14:paraId="38B23749"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27FFBC5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(0.233)</w:t>
            </w:r>
          </w:p>
        </w:tc>
        <w:tc>
          <w:tcPr>
            <w:tcW w:w="1296" w:type="dxa"/>
            <w:tcBorders>
              <w:top w:val="nil"/>
              <w:left w:val="nil"/>
              <w:bottom w:val="nil"/>
              <w:right w:val="nil"/>
            </w:tcBorders>
            <w:vAlign w:val="center"/>
          </w:tcPr>
          <w:p w14:paraId="18EA3B9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(0.217)</w:t>
            </w:r>
          </w:p>
        </w:tc>
        <w:tc>
          <w:tcPr>
            <w:tcW w:w="1296" w:type="dxa"/>
            <w:tcBorders>
              <w:top w:val="nil"/>
              <w:left w:val="nil"/>
              <w:bottom w:val="nil"/>
              <w:right w:val="nil"/>
            </w:tcBorders>
            <w:vAlign w:val="center"/>
          </w:tcPr>
          <w:p w14:paraId="6CFDCB3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(0.193)</w:t>
            </w:r>
          </w:p>
        </w:tc>
        <w:tc>
          <w:tcPr>
            <w:tcW w:w="1296" w:type="dxa"/>
            <w:tcBorders>
              <w:top w:val="nil"/>
              <w:left w:val="nil"/>
              <w:bottom w:val="nil"/>
              <w:right w:val="nil"/>
            </w:tcBorders>
            <w:vAlign w:val="center"/>
          </w:tcPr>
          <w:p w14:paraId="5F6A5E1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tc>
        <w:tc>
          <w:tcPr>
            <w:tcW w:w="1296" w:type="dxa"/>
            <w:tcBorders>
              <w:top w:val="nil"/>
              <w:left w:val="nil"/>
              <w:bottom w:val="nil"/>
              <w:right w:val="nil"/>
            </w:tcBorders>
            <w:vAlign w:val="center"/>
          </w:tcPr>
          <w:p w14:paraId="0EA77E8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(0.252)</w:t>
            </w:r>
          </w:p>
        </w:tc>
        <w:tc>
          <w:tcPr>
            <w:tcW w:w="1296" w:type="dxa"/>
            <w:tcBorders>
              <w:top w:val="nil"/>
              <w:left w:val="nil"/>
              <w:bottom w:val="nil"/>
              <w:right w:val="nil"/>
            </w:tcBorders>
            <w:vAlign w:val="center"/>
          </w:tcPr>
          <w:p w14:paraId="4AADDE6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(0.267)</w:t>
            </w:r>
          </w:p>
        </w:tc>
      </w:tr>
      <w:tr w:rsidR="00597C86" w14:paraId="5788EF5F" w14:textId="77777777" w:rsidTr="002C37FD">
        <w:trPr>
          <w:jc w:val="center"/>
        </w:trPr>
        <w:tc>
          <w:tcPr>
            <w:tcW w:w="2246" w:type="dxa"/>
            <w:tcBorders>
              <w:top w:val="nil"/>
              <w:left w:val="nil"/>
              <w:bottom w:val="nil"/>
              <w:right w:val="nil"/>
            </w:tcBorders>
            <w:vAlign w:val="center"/>
          </w:tcPr>
          <w:p w14:paraId="4A79B32E" w14:textId="113187D5"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w:t>
            </w:r>
          </w:p>
        </w:tc>
        <w:tc>
          <w:tcPr>
            <w:tcW w:w="1717" w:type="dxa"/>
            <w:tcBorders>
              <w:top w:val="nil"/>
              <w:left w:val="nil"/>
              <w:bottom w:val="nil"/>
              <w:right w:val="nil"/>
            </w:tcBorders>
            <w:vAlign w:val="center"/>
          </w:tcPr>
          <w:p w14:paraId="39DBCB8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1296" w:type="dxa"/>
            <w:tcBorders>
              <w:top w:val="nil"/>
              <w:left w:val="nil"/>
              <w:bottom w:val="nil"/>
              <w:right w:val="nil"/>
            </w:tcBorders>
            <w:vAlign w:val="center"/>
          </w:tcPr>
          <w:p w14:paraId="401C798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p>
        </w:tc>
        <w:tc>
          <w:tcPr>
            <w:tcW w:w="1296" w:type="dxa"/>
            <w:tcBorders>
              <w:top w:val="nil"/>
              <w:left w:val="nil"/>
              <w:bottom w:val="nil"/>
              <w:right w:val="nil"/>
            </w:tcBorders>
            <w:vAlign w:val="center"/>
          </w:tcPr>
          <w:p w14:paraId="1F6FD8D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-0.118</w:t>
            </w:r>
          </w:p>
        </w:tc>
        <w:tc>
          <w:tcPr>
            <w:tcW w:w="1296" w:type="dxa"/>
            <w:tcBorders>
              <w:top w:val="nil"/>
              <w:left w:val="nil"/>
              <w:bottom w:val="nil"/>
              <w:right w:val="nil"/>
            </w:tcBorders>
            <w:vAlign w:val="center"/>
          </w:tcPr>
          <w:p w14:paraId="20DE4F9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-0.135</w:t>
            </w:r>
          </w:p>
        </w:tc>
        <w:tc>
          <w:tcPr>
            <w:tcW w:w="1296" w:type="dxa"/>
            <w:tcBorders>
              <w:top w:val="nil"/>
              <w:left w:val="nil"/>
              <w:bottom w:val="nil"/>
              <w:right w:val="nil"/>
            </w:tcBorders>
            <w:vAlign w:val="center"/>
          </w:tcPr>
          <w:p w14:paraId="0B9F9F5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c>
          <w:tcPr>
            <w:tcW w:w="1296" w:type="dxa"/>
            <w:tcBorders>
              <w:top w:val="nil"/>
              <w:left w:val="nil"/>
              <w:bottom w:val="nil"/>
              <w:right w:val="nil"/>
            </w:tcBorders>
            <w:vAlign w:val="center"/>
          </w:tcPr>
          <w:p w14:paraId="05B04D0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-0.136</w:t>
            </w:r>
          </w:p>
        </w:tc>
      </w:tr>
      <w:tr w:rsidR="00597C86" w14:paraId="1B50470C" w14:textId="77777777" w:rsidTr="002C37FD">
        <w:trPr>
          <w:jc w:val="center"/>
        </w:trPr>
        <w:tc>
          <w:tcPr>
            <w:tcW w:w="2246" w:type="dxa"/>
            <w:tcBorders>
              <w:top w:val="nil"/>
              <w:left w:val="nil"/>
              <w:bottom w:val="nil"/>
              <w:right w:val="nil"/>
            </w:tcBorders>
            <w:vAlign w:val="center"/>
          </w:tcPr>
          <w:p w14:paraId="3B53EED2"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1DFDC9E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(0.0895)</w:t>
            </w:r>
          </w:p>
        </w:tc>
        <w:tc>
          <w:tcPr>
            <w:tcW w:w="1296" w:type="dxa"/>
            <w:tcBorders>
              <w:top w:val="nil"/>
              <w:left w:val="nil"/>
              <w:bottom w:val="nil"/>
              <w:right w:val="nil"/>
            </w:tcBorders>
            <w:vAlign w:val="center"/>
          </w:tcPr>
          <w:p w14:paraId="2C38688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(0.0867)</w:t>
            </w:r>
          </w:p>
        </w:tc>
        <w:tc>
          <w:tcPr>
            <w:tcW w:w="1296" w:type="dxa"/>
            <w:tcBorders>
              <w:top w:val="nil"/>
              <w:left w:val="nil"/>
              <w:bottom w:val="nil"/>
              <w:right w:val="nil"/>
            </w:tcBorders>
            <w:vAlign w:val="center"/>
          </w:tcPr>
          <w:p w14:paraId="0B0FF92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(0.0817)</w:t>
            </w:r>
          </w:p>
        </w:tc>
        <w:tc>
          <w:tcPr>
            <w:tcW w:w="1296" w:type="dxa"/>
            <w:tcBorders>
              <w:top w:val="nil"/>
              <w:left w:val="nil"/>
              <w:bottom w:val="nil"/>
              <w:right w:val="nil"/>
            </w:tcBorders>
            <w:vAlign w:val="center"/>
          </w:tcPr>
          <w:p w14:paraId="7ED6711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(0.0809)</w:t>
            </w:r>
          </w:p>
        </w:tc>
        <w:tc>
          <w:tcPr>
            <w:tcW w:w="1296" w:type="dxa"/>
            <w:tcBorders>
              <w:top w:val="nil"/>
              <w:left w:val="nil"/>
              <w:bottom w:val="nil"/>
              <w:right w:val="nil"/>
            </w:tcBorders>
            <w:vAlign w:val="center"/>
          </w:tcPr>
          <w:p w14:paraId="03BE298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(0.0826)</w:t>
            </w:r>
          </w:p>
        </w:tc>
        <w:tc>
          <w:tcPr>
            <w:tcW w:w="1296" w:type="dxa"/>
            <w:tcBorders>
              <w:top w:val="nil"/>
              <w:left w:val="nil"/>
              <w:bottom w:val="nil"/>
              <w:right w:val="nil"/>
            </w:tcBorders>
            <w:vAlign w:val="center"/>
          </w:tcPr>
          <w:p w14:paraId="314ABD6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(0.0824)</w:t>
            </w:r>
          </w:p>
        </w:tc>
      </w:tr>
      <w:tr w:rsidR="00597C86" w14:paraId="186419C9" w14:textId="77777777" w:rsidTr="002C37FD">
        <w:trPr>
          <w:jc w:val="center"/>
        </w:trPr>
        <w:tc>
          <w:tcPr>
            <w:tcW w:w="2246" w:type="dxa"/>
            <w:tcBorders>
              <w:top w:val="nil"/>
              <w:left w:val="nil"/>
              <w:bottom w:val="nil"/>
              <w:right w:val="nil"/>
            </w:tcBorders>
            <w:vAlign w:val="center"/>
          </w:tcPr>
          <w:p w14:paraId="71C26728" w14:textId="6763548F"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GDPgrowth</w:t>
            </w:r>
            <w:proofErr w:type="spellEnd"/>
          </w:p>
        </w:tc>
        <w:tc>
          <w:tcPr>
            <w:tcW w:w="1717" w:type="dxa"/>
            <w:tcBorders>
              <w:top w:val="nil"/>
              <w:left w:val="nil"/>
              <w:bottom w:val="nil"/>
              <w:right w:val="nil"/>
            </w:tcBorders>
            <w:vAlign w:val="center"/>
          </w:tcPr>
          <w:p w14:paraId="49FC548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-0.0103</w:t>
            </w:r>
          </w:p>
        </w:tc>
        <w:tc>
          <w:tcPr>
            <w:tcW w:w="1296" w:type="dxa"/>
            <w:tcBorders>
              <w:top w:val="nil"/>
              <w:left w:val="nil"/>
              <w:bottom w:val="nil"/>
              <w:right w:val="nil"/>
            </w:tcBorders>
            <w:vAlign w:val="center"/>
          </w:tcPr>
          <w:p w14:paraId="7043A79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0.000590</w:t>
            </w:r>
          </w:p>
        </w:tc>
        <w:tc>
          <w:tcPr>
            <w:tcW w:w="1296" w:type="dxa"/>
            <w:tcBorders>
              <w:top w:val="nil"/>
              <w:left w:val="nil"/>
              <w:bottom w:val="nil"/>
              <w:right w:val="nil"/>
            </w:tcBorders>
            <w:vAlign w:val="center"/>
          </w:tcPr>
          <w:p w14:paraId="6E804E6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0.0158</w:t>
            </w:r>
          </w:p>
        </w:tc>
        <w:tc>
          <w:tcPr>
            <w:tcW w:w="1296" w:type="dxa"/>
            <w:tcBorders>
              <w:top w:val="nil"/>
              <w:left w:val="nil"/>
              <w:bottom w:val="nil"/>
              <w:right w:val="nil"/>
            </w:tcBorders>
            <w:vAlign w:val="center"/>
          </w:tcPr>
          <w:p w14:paraId="4B4D82E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0.0121</w:t>
            </w:r>
          </w:p>
        </w:tc>
        <w:tc>
          <w:tcPr>
            <w:tcW w:w="1296" w:type="dxa"/>
            <w:tcBorders>
              <w:top w:val="nil"/>
              <w:left w:val="nil"/>
              <w:bottom w:val="nil"/>
              <w:right w:val="nil"/>
            </w:tcBorders>
            <w:vAlign w:val="center"/>
          </w:tcPr>
          <w:p w14:paraId="77A32FD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0.0135</w:t>
            </w:r>
          </w:p>
        </w:tc>
        <w:tc>
          <w:tcPr>
            <w:tcW w:w="1296" w:type="dxa"/>
            <w:tcBorders>
              <w:top w:val="nil"/>
              <w:left w:val="nil"/>
              <w:bottom w:val="nil"/>
              <w:right w:val="nil"/>
            </w:tcBorders>
            <w:vAlign w:val="center"/>
          </w:tcPr>
          <w:p w14:paraId="4A6ED16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0.0445</w:t>
            </w:r>
          </w:p>
        </w:tc>
      </w:tr>
      <w:tr w:rsidR="00597C86" w14:paraId="03E578C3" w14:textId="77777777" w:rsidTr="002C37FD">
        <w:trPr>
          <w:jc w:val="center"/>
        </w:trPr>
        <w:tc>
          <w:tcPr>
            <w:tcW w:w="2246" w:type="dxa"/>
            <w:tcBorders>
              <w:top w:val="nil"/>
              <w:left w:val="nil"/>
              <w:bottom w:val="nil"/>
              <w:right w:val="nil"/>
            </w:tcBorders>
            <w:vAlign w:val="center"/>
          </w:tcPr>
          <w:p w14:paraId="533E04CB"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0D4AB23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296" w:type="dxa"/>
            <w:tcBorders>
              <w:top w:val="nil"/>
              <w:left w:val="nil"/>
              <w:bottom w:val="nil"/>
              <w:right w:val="nil"/>
            </w:tcBorders>
            <w:vAlign w:val="center"/>
          </w:tcPr>
          <w:p w14:paraId="05A4CDD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296" w:type="dxa"/>
            <w:tcBorders>
              <w:top w:val="nil"/>
              <w:left w:val="nil"/>
              <w:bottom w:val="nil"/>
              <w:right w:val="nil"/>
            </w:tcBorders>
            <w:vAlign w:val="center"/>
          </w:tcPr>
          <w:p w14:paraId="1E79785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p>
        </w:tc>
        <w:tc>
          <w:tcPr>
            <w:tcW w:w="1296" w:type="dxa"/>
            <w:tcBorders>
              <w:top w:val="nil"/>
              <w:left w:val="nil"/>
              <w:bottom w:val="nil"/>
              <w:right w:val="nil"/>
            </w:tcBorders>
            <w:vAlign w:val="center"/>
          </w:tcPr>
          <w:p w14:paraId="350B57A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(0.0928)</w:t>
            </w:r>
          </w:p>
        </w:tc>
        <w:tc>
          <w:tcPr>
            <w:tcW w:w="1296" w:type="dxa"/>
            <w:tcBorders>
              <w:top w:val="nil"/>
              <w:left w:val="nil"/>
              <w:bottom w:val="nil"/>
              <w:right w:val="nil"/>
            </w:tcBorders>
            <w:vAlign w:val="center"/>
          </w:tcPr>
          <w:p w14:paraId="0F2EBA0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(0.0908)</w:t>
            </w:r>
          </w:p>
        </w:tc>
        <w:tc>
          <w:tcPr>
            <w:tcW w:w="1296" w:type="dxa"/>
            <w:tcBorders>
              <w:top w:val="nil"/>
              <w:left w:val="nil"/>
              <w:bottom w:val="nil"/>
              <w:right w:val="nil"/>
            </w:tcBorders>
            <w:vAlign w:val="center"/>
          </w:tcPr>
          <w:p w14:paraId="0EA2500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(0.0828)</w:t>
            </w:r>
          </w:p>
        </w:tc>
      </w:tr>
      <w:tr w:rsidR="00597C86" w14:paraId="2E685048" w14:textId="77777777" w:rsidTr="002C37FD">
        <w:trPr>
          <w:jc w:val="center"/>
        </w:trPr>
        <w:tc>
          <w:tcPr>
            <w:tcW w:w="2246" w:type="dxa"/>
            <w:tcBorders>
              <w:top w:val="nil"/>
              <w:left w:val="nil"/>
              <w:bottom w:val="nil"/>
              <w:right w:val="nil"/>
            </w:tcBorders>
            <w:vAlign w:val="center"/>
          </w:tcPr>
          <w:p w14:paraId="15567E40" w14:textId="3E2F1344"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w:t>
            </w:r>
          </w:p>
        </w:tc>
        <w:tc>
          <w:tcPr>
            <w:tcW w:w="1717" w:type="dxa"/>
            <w:tcBorders>
              <w:top w:val="nil"/>
              <w:left w:val="nil"/>
              <w:bottom w:val="nil"/>
              <w:right w:val="nil"/>
            </w:tcBorders>
            <w:vAlign w:val="center"/>
          </w:tcPr>
          <w:p w14:paraId="3236139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-0.414</w:t>
            </w:r>
          </w:p>
        </w:tc>
        <w:tc>
          <w:tcPr>
            <w:tcW w:w="1296" w:type="dxa"/>
            <w:tcBorders>
              <w:top w:val="nil"/>
              <w:left w:val="nil"/>
              <w:bottom w:val="nil"/>
              <w:right w:val="nil"/>
            </w:tcBorders>
            <w:vAlign w:val="center"/>
          </w:tcPr>
          <w:p w14:paraId="5F99BC5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-0.581</w:t>
            </w:r>
          </w:p>
        </w:tc>
        <w:tc>
          <w:tcPr>
            <w:tcW w:w="1296" w:type="dxa"/>
            <w:tcBorders>
              <w:top w:val="nil"/>
              <w:left w:val="nil"/>
              <w:bottom w:val="nil"/>
              <w:right w:val="nil"/>
            </w:tcBorders>
            <w:vAlign w:val="center"/>
          </w:tcPr>
          <w:p w14:paraId="27DAB8C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-1.194</w:t>
            </w:r>
          </w:p>
        </w:tc>
        <w:tc>
          <w:tcPr>
            <w:tcW w:w="1296" w:type="dxa"/>
            <w:tcBorders>
              <w:top w:val="nil"/>
              <w:left w:val="nil"/>
              <w:bottom w:val="nil"/>
              <w:right w:val="nil"/>
            </w:tcBorders>
            <w:vAlign w:val="center"/>
          </w:tcPr>
          <w:p w14:paraId="0CEEC6F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-0.571</w:t>
            </w:r>
          </w:p>
        </w:tc>
        <w:tc>
          <w:tcPr>
            <w:tcW w:w="1296" w:type="dxa"/>
            <w:tcBorders>
              <w:top w:val="nil"/>
              <w:left w:val="nil"/>
              <w:bottom w:val="nil"/>
              <w:right w:val="nil"/>
            </w:tcBorders>
            <w:vAlign w:val="center"/>
          </w:tcPr>
          <w:p w14:paraId="3F52C49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-0.336</w:t>
            </w:r>
          </w:p>
        </w:tc>
        <w:tc>
          <w:tcPr>
            <w:tcW w:w="1296" w:type="dxa"/>
            <w:tcBorders>
              <w:top w:val="nil"/>
              <w:left w:val="nil"/>
              <w:bottom w:val="nil"/>
              <w:right w:val="nil"/>
            </w:tcBorders>
            <w:vAlign w:val="center"/>
          </w:tcPr>
          <w:p w14:paraId="654BF7A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r>
      <w:tr w:rsidR="00597C86" w14:paraId="5993B0F5" w14:textId="77777777" w:rsidTr="002C37FD">
        <w:trPr>
          <w:jc w:val="center"/>
        </w:trPr>
        <w:tc>
          <w:tcPr>
            <w:tcW w:w="2246" w:type="dxa"/>
            <w:tcBorders>
              <w:top w:val="nil"/>
              <w:left w:val="nil"/>
              <w:bottom w:val="nil"/>
              <w:right w:val="nil"/>
            </w:tcBorders>
            <w:vAlign w:val="center"/>
          </w:tcPr>
          <w:p w14:paraId="72DC9DBD"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149C55B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(1.734)</w:t>
            </w:r>
          </w:p>
        </w:tc>
        <w:tc>
          <w:tcPr>
            <w:tcW w:w="1296" w:type="dxa"/>
            <w:tcBorders>
              <w:top w:val="nil"/>
              <w:left w:val="nil"/>
              <w:bottom w:val="nil"/>
              <w:right w:val="nil"/>
            </w:tcBorders>
            <w:vAlign w:val="center"/>
          </w:tcPr>
          <w:p w14:paraId="4C9149A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(1.564)</w:t>
            </w:r>
          </w:p>
        </w:tc>
        <w:tc>
          <w:tcPr>
            <w:tcW w:w="1296" w:type="dxa"/>
            <w:tcBorders>
              <w:top w:val="nil"/>
              <w:left w:val="nil"/>
              <w:bottom w:val="nil"/>
              <w:right w:val="nil"/>
            </w:tcBorders>
            <w:vAlign w:val="center"/>
          </w:tcPr>
          <w:p w14:paraId="7CC2CB3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(1.375)</w:t>
            </w:r>
          </w:p>
        </w:tc>
        <w:tc>
          <w:tcPr>
            <w:tcW w:w="1296" w:type="dxa"/>
            <w:tcBorders>
              <w:top w:val="nil"/>
              <w:left w:val="nil"/>
              <w:bottom w:val="nil"/>
              <w:right w:val="nil"/>
            </w:tcBorders>
            <w:vAlign w:val="center"/>
          </w:tcPr>
          <w:p w14:paraId="57FB682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(1.528)</w:t>
            </w:r>
          </w:p>
        </w:tc>
        <w:tc>
          <w:tcPr>
            <w:tcW w:w="1296" w:type="dxa"/>
            <w:tcBorders>
              <w:top w:val="nil"/>
              <w:left w:val="nil"/>
              <w:bottom w:val="nil"/>
              <w:right w:val="nil"/>
            </w:tcBorders>
            <w:vAlign w:val="center"/>
          </w:tcPr>
          <w:p w14:paraId="62D88D2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(1.467)</w:t>
            </w:r>
          </w:p>
        </w:tc>
        <w:tc>
          <w:tcPr>
            <w:tcW w:w="1296" w:type="dxa"/>
            <w:tcBorders>
              <w:top w:val="nil"/>
              <w:left w:val="nil"/>
              <w:bottom w:val="nil"/>
              <w:right w:val="nil"/>
            </w:tcBorders>
            <w:vAlign w:val="center"/>
          </w:tcPr>
          <w:p w14:paraId="28AB958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(1.322)</w:t>
            </w:r>
          </w:p>
        </w:tc>
      </w:tr>
      <w:tr w:rsidR="00597C86" w14:paraId="178BCA15" w14:textId="77777777" w:rsidTr="002C37FD">
        <w:trPr>
          <w:jc w:val="center"/>
        </w:trPr>
        <w:tc>
          <w:tcPr>
            <w:tcW w:w="2246" w:type="dxa"/>
            <w:tcBorders>
              <w:top w:val="nil"/>
              <w:left w:val="nil"/>
              <w:bottom w:val="nil"/>
              <w:right w:val="nil"/>
            </w:tcBorders>
            <w:vAlign w:val="center"/>
          </w:tcPr>
          <w:p w14:paraId="11F89633" w14:textId="1F804D18"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Death</w:t>
            </w:r>
          </w:p>
        </w:tc>
        <w:tc>
          <w:tcPr>
            <w:tcW w:w="1717" w:type="dxa"/>
            <w:tcBorders>
              <w:top w:val="nil"/>
              <w:left w:val="nil"/>
              <w:bottom w:val="nil"/>
              <w:right w:val="nil"/>
            </w:tcBorders>
            <w:vAlign w:val="center"/>
          </w:tcPr>
          <w:p w14:paraId="08A6EB4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w:t>
            </w:r>
          </w:p>
        </w:tc>
        <w:tc>
          <w:tcPr>
            <w:tcW w:w="1296" w:type="dxa"/>
            <w:tcBorders>
              <w:top w:val="nil"/>
              <w:left w:val="nil"/>
              <w:bottom w:val="nil"/>
              <w:right w:val="nil"/>
            </w:tcBorders>
            <w:vAlign w:val="center"/>
          </w:tcPr>
          <w:p w14:paraId="069D114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1.453</w:t>
            </w:r>
          </w:p>
        </w:tc>
        <w:tc>
          <w:tcPr>
            <w:tcW w:w="1296" w:type="dxa"/>
            <w:tcBorders>
              <w:top w:val="nil"/>
              <w:left w:val="nil"/>
              <w:bottom w:val="nil"/>
              <w:right w:val="nil"/>
            </w:tcBorders>
            <w:vAlign w:val="center"/>
          </w:tcPr>
          <w:p w14:paraId="52ADC99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1296" w:type="dxa"/>
            <w:tcBorders>
              <w:top w:val="nil"/>
              <w:left w:val="nil"/>
              <w:bottom w:val="nil"/>
              <w:right w:val="nil"/>
            </w:tcBorders>
            <w:vAlign w:val="center"/>
          </w:tcPr>
          <w:p w14:paraId="701C2B3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0.538</w:t>
            </w:r>
          </w:p>
        </w:tc>
        <w:tc>
          <w:tcPr>
            <w:tcW w:w="1296" w:type="dxa"/>
            <w:tcBorders>
              <w:top w:val="nil"/>
              <w:left w:val="nil"/>
              <w:bottom w:val="nil"/>
              <w:right w:val="nil"/>
            </w:tcBorders>
            <w:vAlign w:val="center"/>
          </w:tcPr>
          <w:p w14:paraId="03B2595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0.0566</w:t>
            </w:r>
          </w:p>
        </w:tc>
        <w:tc>
          <w:tcPr>
            <w:tcW w:w="1296" w:type="dxa"/>
            <w:tcBorders>
              <w:top w:val="nil"/>
              <w:left w:val="nil"/>
              <w:bottom w:val="nil"/>
              <w:right w:val="nil"/>
            </w:tcBorders>
            <w:vAlign w:val="center"/>
          </w:tcPr>
          <w:p w14:paraId="6C19096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-1.569</w:t>
            </w:r>
          </w:p>
        </w:tc>
      </w:tr>
      <w:tr w:rsidR="00597C86" w14:paraId="38B381C8" w14:textId="77777777" w:rsidTr="002C37FD">
        <w:trPr>
          <w:jc w:val="center"/>
        </w:trPr>
        <w:tc>
          <w:tcPr>
            <w:tcW w:w="2246" w:type="dxa"/>
            <w:tcBorders>
              <w:top w:val="nil"/>
              <w:left w:val="nil"/>
              <w:bottom w:val="nil"/>
              <w:right w:val="nil"/>
            </w:tcBorders>
            <w:vAlign w:val="center"/>
          </w:tcPr>
          <w:p w14:paraId="68D44A8A"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333C71D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(1.921)</w:t>
            </w:r>
          </w:p>
        </w:tc>
        <w:tc>
          <w:tcPr>
            <w:tcW w:w="1296" w:type="dxa"/>
            <w:tcBorders>
              <w:top w:val="nil"/>
              <w:left w:val="nil"/>
              <w:bottom w:val="nil"/>
              <w:right w:val="nil"/>
            </w:tcBorders>
            <w:vAlign w:val="center"/>
          </w:tcPr>
          <w:p w14:paraId="30E8198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(1.816)</w:t>
            </w:r>
          </w:p>
        </w:tc>
        <w:tc>
          <w:tcPr>
            <w:tcW w:w="1296" w:type="dxa"/>
            <w:tcBorders>
              <w:top w:val="nil"/>
              <w:left w:val="nil"/>
              <w:bottom w:val="nil"/>
              <w:right w:val="nil"/>
            </w:tcBorders>
            <w:vAlign w:val="center"/>
          </w:tcPr>
          <w:p w14:paraId="532904E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(1.732)</w:t>
            </w:r>
          </w:p>
        </w:tc>
        <w:tc>
          <w:tcPr>
            <w:tcW w:w="1296" w:type="dxa"/>
            <w:tcBorders>
              <w:top w:val="nil"/>
              <w:left w:val="nil"/>
              <w:bottom w:val="nil"/>
              <w:right w:val="nil"/>
            </w:tcBorders>
            <w:vAlign w:val="center"/>
          </w:tcPr>
          <w:p w14:paraId="67ADBAC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w:t>
            </w:r>
          </w:p>
        </w:tc>
        <w:tc>
          <w:tcPr>
            <w:tcW w:w="1296" w:type="dxa"/>
            <w:tcBorders>
              <w:top w:val="nil"/>
              <w:left w:val="nil"/>
              <w:bottom w:val="nil"/>
              <w:right w:val="nil"/>
            </w:tcBorders>
            <w:vAlign w:val="center"/>
          </w:tcPr>
          <w:p w14:paraId="0EE257B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(1.493)</w:t>
            </w:r>
          </w:p>
        </w:tc>
        <w:tc>
          <w:tcPr>
            <w:tcW w:w="1296" w:type="dxa"/>
            <w:tcBorders>
              <w:top w:val="nil"/>
              <w:left w:val="nil"/>
              <w:bottom w:val="nil"/>
              <w:right w:val="nil"/>
            </w:tcBorders>
            <w:vAlign w:val="center"/>
          </w:tcPr>
          <w:p w14:paraId="1C4C5DB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w:t>
            </w:r>
          </w:p>
        </w:tc>
      </w:tr>
      <w:tr w:rsidR="00597C86" w14:paraId="003BEEE7" w14:textId="77777777" w:rsidTr="002C37FD">
        <w:trPr>
          <w:jc w:val="center"/>
        </w:trPr>
        <w:tc>
          <w:tcPr>
            <w:tcW w:w="2246" w:type="dxa"/>
            <w:tcBorders>
              <w:top w:val="nil"/>
              <w:left w:val="nil"/>
              <w:bottom w:val="nil"/>
              <w:right w:val="nil"/>
            </w:tcBorders>
            <w:vAlign w:val="center"/>
          </w:tcPr>
          <w:p w14:paraId="5986A2C2" w14:textId="0163D615"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UrbanPopgrowth</w:t>
            </w:r>
            <w:proofErr w:type="spellEnd"/>
          </w:p>
        </w:tc>
        <w:tc>
          <w:tcPr>
            <w:tcW w:w="1717" w:type="dxa"/>
            <w:tcBorders>
              <w:top w:val="nil"/>
              <w:left w:val="nil"/>
              <w:bottom w:val="nil"/>
              <w:right w:val="nil"/>
            </w:tcBorders>
            <w:vAlign w:val="center"/>
          </w:tcPr>
          <w:p w14:paraId="1D1EC2C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-0.596</w:t>
            </w:r>
          </w:p>
        </w:tc>
        <w:tc>
          <w:tcPr>
            <w:tcW w:w="1296" w:type="dxa"/>
            <w:tcBorders>
              <w:top w:val="nil"/>
              <w:left w:val="nil"/>
              <w:bottom w:val="nil"/>
              <w:right w:val="nil"/>
            </w:tcBorders>
            <w:vAlign w:val="center"/>
          </w:tcPr>
          <w:p w14:paraId="4023C92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-0.654</w:t>
            </w:r>
          </w:p>
        </w:tc>
        <w:tc>
          <w:tcPr>
            <w:tcW w:w="1296" w:type="dxa"/>
            <w:tcBorders>
              <w:top w:val="nil"/>
              <w:left w:val="nil"/>
              <w:bottom w:val="nil"/>
              <w:right w:val="nil"/>
            </w:tcBorders>
            <w:vAlign w:val="center"/>
          </w:tcPr>
          <w:p w14:paraId="37E99E9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-0.489</w:t>
            </w:r>
          </w:p>
        </w:tc>
        <w:tc>
          <w:tcPr>
            <w:tcW w:w="1296" w:type="dxa"/>
            <w:tcBorders>
              <w:top w:val="nil"/>
              <w:left w:val="nil"/>
              <w:bottom w:val="nil"/>
              <w:right w:val="nil"/>
            </w:tcBorders>
            <w:vAlign w:val="center"/>
          </w:tcPr>
          <w:p w14:paraId="1876A9A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0.539</w:t>
            </w:r>
          </w:p>
        </w:tc>
        <w:tc>
          <w:tcPr>
            <w:tcW w:w="1296" w:type="dxa"/>
            <w:tcBorders>
              <w:top w:val="nil"/>
              <w:left w:val="nil"/>
              <w:bottom w:val="nil"/>
              <w:right w:val="nil"/>
            </w:tcBorders>
            <w:vAlign w:val="center"/>
          </w:tcPr>
          <w:p w14:paraId="1B57437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296" w:type="dxa"/>
            <w:tcBorders>
              <w:top w:val="nil"/>
              <w:left w:val="nil"/>
              <w:bottom w:val="nil"/>
              <w:right w:val="nil"/>
            </w:tcBorders>
            <w:vAlign w:val="center"/>
          </w:tcPr>
          <w:p w14:paraId="7DC4C16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1.994</w:t>
            </w:r>
          </w:p>
        </w:tc>
      </w:tr>
      <w:tr w:rsidR="00597C86" w14:paraId="376FA325" w14:textId="77777777" w:rsidTr="002C37FD">
        <w:trPr>
          <w:jc w:val="center"/>
        </w:trPr>
        <w:tc>
          <w:tcPr>
            <w:tcW w:w="2246" w:type="dxa"/>
            <w:tcBorders>
              <w:top w:val="nil"/>
              <w:left w:val="nil"/>
              <w:bottom w:val="nil"/>
              <w:right w:val="nil"/>
            </w:tcBorders>
            <w:vAlign w:val="center"/>
          </w:tcPr>
          <w:p w14:paraId="1648B1AB"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7DD4A4D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1296" w:type="dxa"/>
            <w:tcBorders>
              <w:top w:val="nil"/>
              <w:left w:val="nil"/>
              <w:bottom w:val="nil"/>
              <w:right w:val="nil"/>
            </w:tcBorders>
            <w:vAlign w:val="center"/>
          </w:tcPr>
          <w:p w14:paraId="61C5C64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296" w:type="dxa"/>
            <w:tcBorders>
              <w:top w:val="nil"/>
              <w:left w:val="nil"/>
              <w:bottom w:val="nil"/>
              <w:right w:val="nil"/>
            </w:tcBorders>
            <w:vAlign w:val="center"/>
          </w:tcPr>
          <w:p w14:paraId="7B535CF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(0.971)</w:t>
            </w:r>
          </w:p>
        </w:tc>
        <w:tc>
          <w:tcPr>
            <w:tcW w:w="1296" w:type="dxa"/>
            <w:tcBorders>
              <w:top w:val="nil"/>
              <w:left w:val="nil"/>
              <w:bottom w:val="nil"/>
              <w:right w:val="nil"/>
            </w:tcBorders>
            <w:vAlign w:val="center"/>
          </w:tcPr>
          <w:p w14:paraId="48234AA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1296" w:type="dxa"/>
            <w:tcBorders>
              <w:top w:val="nil"/>
              <w:left w:val="nil"/>
              <w:bottom w:val="nil"/>
              <w:right w:val="nil"/>
            </w:tcBorders>
            <w:vAlign w:val="center"/>
          </w:tcPr>
          <w:p w14:paraId="0CF39BF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w:t>
            </w:r>
          </w:p>
        </w:tc>
        <w:tc>
          <w:tcPr>
            <w:tcW w:w="1296" w:type="dxa"/>
            <w:tcBorders>
              <w:top w:val="nil"/>
              <w:left w:val="nil"/>
              <w:bottom w:val="nil"/>
              <w:right w:val="nil"/>
            </w:tcBorders>
            <w:vAlign w:val="center"/>
          </w:tcPr>
          <w:p w14:paraId="78B4495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(1.976)</w:t>
            </w:r>
          </w:p>
        </w:tc>
      </w:tr>
      <w:tr w:rsidR="00597C86" w14:paraId="0F667000" w14:textId="77777777" w:rsidTr="002C37FD">
        <w:trPr>
          <w:jc w:val="center"/>
        </w:trPr>
        <w:tc>
          <w:tcPr>
            <w:tcW w:w="2246" w:type="dxa"/>
            <w:tcBorders>
              <w:top w:val="nil"/>
              <w:left w:val="nil"/>
              <w:bottom w:val="nil"/>
              <w:right w:val="nil"/>
            </w:tcBorders>
            <w:vAlign w:val="center"/>
          </w:tcPr>
          <w:p w14:paraId="50D28FFE" w14:textId="4213255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Mercosur</w:t>
            </w:r>
          </w:p>
        </w:tc>
        <w:tc>
          <w:tcPr>
            <w:tcW w:w="1717" w:type="dxa"/>
            <w:tcBorders>
              <w:top w:val="nil"/>
              <w:left w:val="nil"/>
              <w:bottom w:val="nil"/>
              <w:right w:val="nil"/>
            </w:tcBorders>
            <w:vAlign w:val="center"/>
          </w:tcPr>
          <w:p w14:paraId="38EADD0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5.441**</w:t>
            </w:r>
          </w:p>
        </w:tc>
        <w:tc>
          <w:tcPr>
            <w:tcW w:w="1296" w:type="dxa"/>
            <w:tcBorders>
              <w:top w:val="nil"/>
              <w:left w:val="nil"/>
              <w:bottom w:val="nil"/>
              <w:right w:val="nil"/>
            </w:tcBorders>
            <w:vAlign w:val="center"/>
          </w:tcPr>
          <w:p w14:paraId="252E935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5.153**</w:t>
            </w:r>
          </w:p>
        </w:tc>
        <w:tc>
          <w:tcPr>
            <w:tcW w:w="1296" w:type="dxa"/>
            <w:tcBorders>
              <w:top w:val="nil"/>
              <w:left w:val="nil"/>
              <w:bottom w:val="nil"/>
              <w:right w:val="nil"/>
            </w:tcBorders>
            <w:vAlign w:val="center"/>
          </w:tcPr>
          <w:p w14:paraId="06D727C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2.462</w:t>
            </w:r>
          </w:p>
        </w:tc>
        <w:tc>
          <w:tcPr>
            <w:tcW w:w="1296" w:type="dxa"/>
            <w:tcBorders>
              <w:top w:val="nil"/>
              <w:left w:val="nil"/>
              <w:bottom w:val="nil"/>
              <w:right w:val="nil"/>
            </w:tcBorders>
            <w:vAlign w:val="center"/>
          </w:tcPr>
          <w:p w14:paraId="071CE4F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3.773</w:t>
            </w:r>
          </w:p>
        </w:tc>
        <w:tc>
          <w:tcPr>
            <w:tcW w:w="1296" w:type="dxa"/>
            <w:tcBorders>
              <w:top w:val="nil"/>
              <w:left w:val="nil"/>
              <w:bottom w:val="nil"/>
              <w:right w:val="nil"/>
            </w:tcBorders>
            <w:vAlign w:val="center"/>
          </w:tcPr>
          <w:p w14:paraId="7A88A70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5.138*</w:t>
            </w:r>
          </w:p>
        </w:tc>
        <w:tc>
          <w:tcPr>
            <w:tcW w:w="1296" w:type="dxa"/>
            <w:tcBorders>
              <w:top w:val="nil"/>
              <w:left w:val="nil"/>
              <w:bottom w:val="nil"/>
              <w:right w:val="nil"/>
            </w:tcBorders>
            <w:vAlign w:val="center"/>
          </w:tcPr>
          <w:p w14:paraId="677BB1F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4.161</w:t>
            </w:r>
          </w:p>
        </w:tc>
      </w:tr>
      <w:tr w:rsidR="00597C86" w14:paraId="2D0695A7" w14:textId="77777777" w:rsidTr="002C37FD">
        <w:trPr>
          <w:jc w:val="center"/>
        </w:trPr>
        <w:tc>
          <w:tcPr>
            <w:tcW w:w="2246" w:type="dxa"/>
            <w:tcBorders>
              <w:top w:val="nil"/>
              <w:left w:val="nil"/>
              <w:bottom w:val="nil"/>
              <w:right w:val="nil"/>
            </w:tcBorders>
            <w:vAlign w:val="center"/>
          </w:tcPr>
          <w:p w14:paraId="67E376BB"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1C4ECFC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w:t>
            </w:r>
          </w:p>
        </w:tc>
        <w:tc>
          <w:tcPr>
            <w:tcW w:w="1296" w:type="dxa"/>
            <w:tcBorders>
              <w:top w:val="nil"/>
              <w:left w:val="nil"/>
              <w:bottom w:val="nil"/>
              <w:right w:val="nil"/>
            </w:tcBorders>
            <w:vAlign w:val="center"/>
          </w:tcPr>
          <w:p w14:paraId="1685079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(2.123)</w:t>
            </w:r>
          </w:p>
        </w:tc>
        <w:tc>
          <w:tcPr>
            <w:tcW w:w="1296" w:type="dxa"/>
            <w:tcBorders>
              <w:top w:val="nil"/>
              <w:left w:val="nil"/>
              <w:bottom w:val="nil"/>
              <w:right w:val="nil"/>
            </w:tcBorders>
            <w:vAlign w:val="center"/>
          </w:tcPr>
          <w:p w14:paraId="0880011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(2.246)</w:t>
            </w:r>
          </w:p>
        </w:tc>
        <w:tc>
          <w:tcPr>
            <w:tcW w:w="1296" w:type="dxa"/>
            <w:tcBorders>
              <w:top w:val="nil"/>
              <w:left w:val="nil"/>
              <w:bottom w:val="nil"/>
              <w:right w:val="nil"/>
            </w:tcBorders>
            <w:vAlign w:val="center"/>
          </w:tcPr>
          <w:p w14:paraId="31B6D12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(2.682)</w:t>
            </w:r>
          </w:p>
        </w:tc>
        <w:tc>
          <w:tcPr>
            <w:tcW w:w="1296" w:type="dxa"/>
            <w:tcBorders>
              <w:top w:val="nil"/>
              <w:left w:val="nil"/>
              <w:bottom w:val="nil"/>
              <w:right w:val="nil"/>
            </w:tcBorders>
            <w:vAlign w:val="center"/>
          </w:tcPr>
          <w:p w14:paraId="4D81CFE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(2.692)</w:t>
            </w:r>
          </w:p>
        </w:tc>
        <w:tc>
          <w:tcPr>
            <w:tcW w:w="1296" w:type="dxa"/>
            <w:tcBorders>
              <w:top w:val="nil"/>
              <w:left w:val="nil"/>
              <w:bottom w:val="nil"/>
              <w:right w:val="nil"/>
            </w:tcBorders>
            <w:vAlign w:val="center"/>
          </w:tcPr>
          <w:p w14:paraId="0811C6D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(4.184)</w:t>
            </w:r>
          </w:p>
        </w:tc>
      </w:tr>
      <w:tr w:rsidR="00597C86" w14:paraId="0F43D62A" w14:textId="77777777" w:rsidTr="002C37FD">
        <w:trPr>
          <w:jc w:val="center"/>
        </w:trPr>
        <w:tc>
          <w:tcPr>
            <w:tcW w:w="2246" w:type="dxa"/>
            <w:tcBorders>
              <w:top w:val="nil"/>
              <w:left w:val="nil"/>
              <w:bottom w:val="nil"/>
              <w:right w:val="nil"/>
            </w:tcBorders>
            <w:vAlign w:val="center"/>
          </w:tcPr>
          <w:p w14:paraId="70A7F631" w14:textId="6BCF5138"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Unasur</w:t>
            </w:r>
            <w:proofErr w:type="spellEnd"/>
          </w:p>
        </w:tc>
        <w:tc>
          <w:tcPr>
            <w:tcW w:w="1717" w:type="dxa"/>
            <w:tcBorders>
              <w:top w:val="nil"/>
              <w:left w:val="nil"/>
              <w:bottom w:val="nil"/>
              <w:right w:val="nil"/>
            </w:tcBorders>
            <w:vAlign w:val="center"/>
          </w:tcPr>
          <w:p w14:paraId="769C9D6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-0.244</w:t>
            </w:r>
          </w:p>
        </w:tc>
        <w:tc>
          <w:tcPr>
            <w:tcW w:w="1296" w:type="dxa"/>
            <w:tcBorders>
              <w:top w:val="nil"/>
              <w:left w:val="nil"/>
              <w:bottom w:val="nil"/>
              <w:right w:val="nil"/>
            </w:tcBorders>
            <w:vAlign w:val="center"/>
          </w:tcPr>
          <w:p w14:paraId="7150408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-0.265</w:t>
            </w:r>
          </w:p>
        </w:tc>
        <w:tc>
          <w:tcPr>
            <w:tcW w:w="1296" w:type="dxa"/>
            <w:tcBorders>
              <w:top w:val="nil"/>
              <w:left w:val="nil"/>
              <w:bottom w:val="nil"/>
              <w:right w:val="nil"/>
            </w:tcBorders>
            <w:vAlign w:val="center"/>
          </w:tcPr>
          <w:p w14:paraId="2EC8647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-0.493</w:t>
            </w:r>
          </w:p>
        </w:tc>
        <w:tc>
          <w:tcPr>
            <w:tcW w:w="1296" w:type="dxa"/>
            <w:tcBorders>
              <w:top w:val="nil"/>
              <w:left w:val="nil"/>
              <w:bottom w:val="nil"/>
              <w:right w:val="nil"/>
            </w:tcBorders>
            <w:vAlign w:val="center"/>
          </w:tcPr>
          <w:p w14:paraId="58C318F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-0.761</w:t>
            </w:r>
          </w:p>
        </w:tc>
        <w:tc>
          <w:tcPr>
            <w:tcW w:w="1296" w:type="dxa"/>
            <w:tcBorders>
              <w:top w:val="nil"/>
              <w:left w:val="nil"/>
              <w:bottom w:val="nil"/>
              <w:right w:val="nil"/>
            </w:tcBorders>
            <w:vAlign w:val="center"/>
          </w:tcPr>
          <w:p w14:paraId="4FA0F57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-0.846</w:t>
            </w:r>
          </w:p>
        </w:tc>
        <w:tc>
          <w:tcPr>
            <w:tcW w:w="1296" w:type="dxa"/>
            <w:tcBorders>
              <w:top w:val="nil"/>
              <w:left w:val="nil"/>
              <w:bottom w:val="nil"/>
              <w:right w:val="nil"/>
            </w:tcBorders>
            <w:vAlign w:val="center"/>
          </w:tcPr>
          <w:p w14:paraId="6CF5081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-1.334</w:t>
            </w:r>
          </w:p>
        </w:tc>
      </w:tr>
      <w:tr w:rsidR="00597C86" w14:paraId="5E9212F6" w14:textId="77777777" w:rsidTr="002C37FD">
        <w:trPr>
          <w:jc w:val="center"/>
        </w:trPr>
        <w:tc>
          <w:tcPr>
            <w:tcW w:w="2246" w:type="dxa"/>
            <w:tcBorders>
              <w:top w:val="nil"/>
              <w:left w:val="nil"/>
              <w:bottom w:val="nil"/>
              <w:right w:val="nil"/>
            </w:tcBorders>
            <w:vAlign w:val="center"/>
          </w:tcPr>
          <w:p w14:paraId="387BB624"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7D07555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(1.698)</w:t>
            </w:r>
          </w:p>
        </w:tc>
        <w:tc>
          <w:tcPr>
            <w:tcW w:w="1296" w:type="dxa"/>
            <w:tcBorders>
              <w:top w:val="nil"/>
              <w:left w:val="nil"/>
              <w:bottom w:val="nil"/>
              <w:right w:val="nil"/>
            </w:tcBorders>
            <w:vAlign w:val="center"/>
          </w:tcPr>
          <w:p w14:paraId="1D62221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296" w:type="dxa"/>
            <w:tcBorders>
              <w:top w:val="nil"/>
              <w:left w:val="nil"/>
              <w:bottom w:val="nil"/>
              <w:right w:val="nil"/>
            </w:tcBorders>
            <w:vAlign w:val="center"/>
          </w:tcPr>
          <w:p w14:paraId="58C3398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(1.757)</w:t>
            </w:r>
          </w:p>
        </w:tc>
        <w:tc>
          <w:tcPr>
            <w:tcW w:w="1296" w:type="dxa"/>
            <w:tcBorders>
              <w:top w:val="nil"/>
              <w:left w:val="nil"/>
              <w:bottom w:val="nil"/>
              <w:right w:val="nil"/>
            </w:tcBorders>
            <w:vAlign w:val="center"/>
          </w:tcPr>
          <w:p w14:paraId="5481DF9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c>
          <w:tcPr>
            <w:tcW w:w="1296" w:type="dxa"/>
            <w:tcBorders>
              <w:top w:val="nil"/>
              <w:left w:val="nil"/>
              <w:bottom w:val="nil"/>
              <w:right w:val="nil"/>
            </w:tcBorders>
            <w:vAlign w:val="center"/>
          </w:tcPr>
          <w:p w14:paraId="156B292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(1.572)</w:t>
            </w:r>
          </w:p>
        </w:tc>
        <w:tc>
          <w:tcPr>
            <w:tcW w:w="1296" w:type="dxa"/>
            <w:tcBorders>
              <w:top w:val="nil"/>
              <w:left w:val="nil"/>
              <w:bottom w:val="nil"/>
              <w:right w:val="nil"/>
            </w:tcBorders>
            <w:vAlign w:val="center"/>
          </w:tcPr>
          <w:p w14:paraId="4B17793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(1.590)</w:t>
            </w:r>
          </w:p>
        </w:tc>
      </w:tr>
      <w:tr w:rsidR="00597C86" w14:paraId="53799FEB" w14:textId="77777777" w:rsidTr="002C37FD">
        <w:trPr>
          <w:jc w:val="center"/>
        </w:trPr>
        <w:tc>
          <w:tcPr>
            <w:tcW w:w="2246" w:type="dxa"/>
            <w:tcBorders>
              <w:top w:val="nil"/>
              <w:left w:val="nil"/>
              <w:bottom w:val="nil"/>
              <w:right w:val="nil"/>
            </w:tcBorders>
            <w:vAlign w:val="center"/>
          </w:tcPr>
          <w:p w14:paraId="24EE5B5C" w14:textId="3F789A75"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Gini</w:t>
            </w:r>
          </w:p>
        </w:tc>
        <w:tc>
          <w:tcPr>
            <w:tcW w:w="1717" w:type="dxa"/>
            <w:tcBorders>
              <w:top w:val="nil"/>
              <w:left w:val="nil"/>
              <w:bottom w:val="nil"/>
              <w:right w:val="nil"/>
            </w:tcBorders>
            <w:vAlign w:val="center"/>
          </w:tcPr>
          <w:p w14:paraId="673392C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0.893***</w:t>
            </w:r>
          </w:p>
        </w:tc>
        <w:tc>
          <w:tcPr>
            <w:tcW w:w="1296" w:type="dxa"/>
            <w:tcBorders>
              <w:top w:val="nil"/>
              <w:left w:val="nil"/>
              <w:bottom w:val="nil"/>
              <w:right w:val="nil"/>
            </w:tcBorders>
            <w:vAlign w:val="center"/>
          </w:tcPr>
          <w:p w14:paraId="40933C5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0.888***</w:t>
            </w:r>
          </w:p>
        </w:tc>
        <w:tc>
          <w:tcPr>
            <w:tcW w:w="1296" w:type="dxa"/>
            <w:tcBorders>
              <w:top w:val="nil"/>
              <w:left w:val="nil"/>
              <w:bottom w:val="nil"/>
              <w:right w:val="nil"/>
            </w:tcBorders>
            <w:vAlign w:val="center"/>
          </w:tcPr>
          <w:p w14:paraId="6B7E406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0.880***</w:t>
            </w:r>
          </w:p>
        </w:tc>
        <w:tc>
          <w:tcPr>
            <w:tcW w:w="1296" w:type="dxa"/>
            <w:tcBorders>
              <w:top w:val="nil"/>
              <w:left w:val="nil"/>
              <w:bottom w:val="nil"/>
              <w:right w:val="nil"/>
            </w:tcBorders>
            <w:vAlign w:val="center"/>
          </w:tcPr>
          <w:p w14:paraId="657979BF"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0.856***</w:t>
            </w:r>
          </w:p>
        </w:tc>
        <w:tc>
          <w:tcPr>
            <w:tcW w:w="1296" w:type="dxa"/>
            <w:tcBorders>
              <w:top w:val="nil"/>
              <w:left w:val="nil"/>
              <w:bottom w:val="nil"/>
              <w:right w:val="nil"/>
            </w:tcBorders>
            <w:vAlign w:val="center"/>
          </w:tcPr>
          <w:p w14:paraId="0040756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0.841***</w:t>
            </w:r>
          </w:p>
        </w:tc>
        <w:tc>
          <w:tcPr>
            <w:tcW w:w="1296" w:type="dxa"/>
            <w:tcBorders>
              <w:top w:val="nil"/>
              <w:left w:val="nil"/>
              <w:bottom w:val="nil"/>
              <w:right w:val="nil"/>
            </w:tcBorders>
            <w:vAlign w:val="center"/>
          </w:tcPr>
          <w:p w14:paraId="43E56C5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0.788***</w:t>
            </w:r>
          </w:p>
        </w:tc>
      </w:tr>
      <w:tr w:rsidR="00597C86" w14:paraId="4F8AE35B" w14:textId="77777777" w:rsidTr="002C37FD">
        <w:trPr>
          <w:jc w:val="center"/>
        </w:trPr>
        <w:tc>
          <w:tcPr>
            <w:tcW w:w="2246" w:type="dxa"/>
            <w:tcBorders>
              <w:top w:val="nil"/>
              <w:left w:val="nil"/>
              <w:bottom w:val="nil"/>
              <w:right w:val="nil"/>
            </w:tcBorders>
            <w:vAlign w:val="center"/>
          </w:tcPr>
          <w:p w14:paraId="7BF8D495"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14004CA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296" w:type="dxa"/>
            <w:tcBorders>
              <w:top w:val="nil"/>
              <w:left w:val="nil"/>
              <w:bottom w:val="nil"/>
              <w:right w:val="nil"/>
            </w:tcBorders>
            <w:vAlign w:val="center"/>
          </w:tcPr>
          <w:p w14:paraId="6A891AC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(0.125)</w:t>
            </w:r>
          </w:p>
        </w:tc>
        <w:tc>
          <w:tcPr>
            <w:tcW w:w="1296" w:type="dxa"/>
            <w:tcBorders>
              <w:top w:val="nil"/>
              <w:left w:val="nil"/>
              <w:bottom w:val="nil"/>
              <w:right w:val="nil"/>
            </w:tcBorders>
            <w:vAlign w:val="center"/>
          </w:tcPr>
          <w:p w14:paraId="28D6018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c>
          <w:tcPr>
            <w:tcW w:w="1296" w:type="dxa"/>
            <w:tcBorders>
              <w:top w:val="nil"/>
              <w:left w:val="nil"/>
              <w:bottom w:val="nil"/>
              <w:right w:val="nil"/>
            </w:tcBorders>
            <w:vAlign w:val="center"/>
          </w:tcPr>
          <w:p w14:paraId="3505E78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c>
          <w:tcPr>
            <w:tcW w:w="1296" w:type="dxa"/>
            <w:tcBorders>
              <w:top w:val="nil"/>
              <w:left w:val="nil"/>
              <w:bottom w:val="nil"/>
              <w:right w:val="nil"/>
            </w:tcBorders>
            <w:vAlign w:val="center"/>
          </w:tcPr>
          <w:p w14:paraId="3E8FB1B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(0.119)</w:t>
            </w:r>
          </w:p>
        </w:tc>
        <w:tc>
          <w:tcPr>
            <w:tcW w:w="1296" w:type="dxa"/>
            <w:tcBorders>
              <w:top w:val="nil"/>
              <w:left w:val="nil"/>
              <w:bottom w:val="nil"/>
              <w:right w:val="nil"/>
            </w:tcBorders>
            <w:vAlign w:val="center"/>
          </w:tcPr>
          <w:p w14:paraId="29A239A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r>
      <w:tr w:rsidR="00597C86" w14:paraId="6AE3D648" w14:textId="77777777" w:rsidTr="002C37FD">
        <w:trPr>
          <w:jc w:val="center"/>
        </w:trPr>
        <w:tc>
          <w:tcPr>
            <w:tcW w:w="2246" w:type="dxa"/>
            <w:tcBorders>
              <w:top w:val="nil"/>
              <w:left w:val="nil"/>
              <w:bottom w:val="nil"/>
              <w:right w:val="nil"/>
            </w:tcBorders>
            <w:vAlign w:val="center"/>
          </w:tcPr>
          <w:p w14:paraId="2E4BCEA3"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717" w:type="dxa"/>
            <w:tcBorders>
              <w:top w:val="nil"/>
              <w:left w:val="nil"/>
              <w:bottom w:val="nil"/>
              <w:right w:val="nil"/>
            </w:tcBorders>
            <w:vAlign w:val="center"/>
          </w:tcPr>
          <w:p w14:paraId="2D4301A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-21.72</w:t>
            </w:r>
          </w:p>
        </w:tc>
        <w:tc>
          <w:tcPr>
            <w:tcW w:w="1296" w:type="dxa"/>
            <w:tcBorders>
              <w:top w:val="nil"/>
              <w:left w:val="nil"/>
              <w:bottom w:val="nil"/>
              <w:right w:val="nil"/>
            </w:tcBorders>
            <w:vAlign w:val="center"/>
          </w:tcPr>
          <w:p w14:paraId="7EA2631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-24.19*</w:t>
            </w:r>
          </w:p>
        </w:tc>
        <w:tc>
          <w:tcPr>
            <w:tcW w:w="1296" w:type="dxa"/>
            <w:tcBorders>
              <w:top w:val="nil"/>
              <w:left w:val="nil"/>
              <w:bottom w:val="nil"/>
              <w:right w:val="nil"/>
            </w:tcBorders>
            <w:vAlign w:val="center"/>
          </w:tcPr>
          <w:p w14:paraId="36C04EE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-34.69**</w:t>
            </w:r>
          </w:p>
        </w:tc>
        <w:tc>
          <w:tcPr>
            <w:tcW w:w="1296" w:type="dxa"/>
            <w:tcBorders>
              <w:top w:val="nil"/>
              <w:left w:val="nil"/>
              <w:bottom w:val="nil"/>
              <w:right w:val="nil"/>
            </w:tcBorders>
            <w:vAlign w:val="center"/>
          </w:tcPr>
          <w:p w14:paraId="0A9F12B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-24.79*</w:t>
            </w:r>
          </w:p>
        </w:tc>
        <w:tc>
          <w:tcPr>
            <w:tcW w:w="1296" w:type="dxa"/>
            <w:tcBorders>
              <w:top w:val="nil"/>
              <w:left w:val="nil"/>
              <w:bottom w:val="nil"/>
              <w:right w:val="nil"/>
            </w:tcBorders>
            <w:vAlign w:val="center"/>
          </w:tcPr>
          <w:p w14:paraId="139E9FF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-20.39</w:t>
            </w:r>
          </w:p>
        </w:tc>
        <w:tc>
          <w:tcPr>
            <w:tcW w:w="1296" w:type="dxa"/>
            <w:tcBorders>
              <w:top w:val="nil"/>
              <w:left w:val="nil"/>
              <w:bottom w:val="nil"/>
              <w:right w:val="nil"/>
            </w:tcBorders>
            <w:vAlign w:val="center"/>
          </w:tcPr>
          <w:p w14:paraId="476AE51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-8.291</w:t>
            </w:r>
          </w:p>
        </w:tc>
      </w:tr>
      <w:tr w:rsidR="00597C86" w14:paraId="514CE940" w14:textId="77777777" w:rsidTr="002C37FD">
        <w:trPr>
          <w:jc w:val="center"/>
        </w:trPr>
        <w:tc>
          <w:tcPr>
            <w:tcW w:w="2246" w:type="dxa"/>
            <w:tcBorders>
              <w:top w:val="nil"/>
              <w:left w:val="nil"/>
              <w:bottom w:val="nil"/>
              <w:right w:val="nil"/>
            </w:tcBorders>
            <w:vAlign w:val="center"/>
          </w:tcPr>
          <w:p w14:paraId="41A07F11"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4537933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(14.07)</w:t>
            </w:r>
          </w:p>
        </w:tc>
        <w:tc>
          <w:tcPr>
            <w:tcW w:w="1296" w:type="dxa"/>
            <w:tcBorders>
              <w:top w:val="nil"/>
              <w:left w:val="nil"/>
              <w:bottom w:val="nil"/>
              <w:right w:val="nil"/>
            </w:tcBorders>
            <w:vAlign w:val="center"/>
          </w:tcPr>
          <w:p w14:paraId="00171E8A"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(12.95)</w:t>
            </w:r>
          </w:p>
        </w:tc>
        <w:tc>
          <w:tcPr>
            <w:tcW w:w="1296" w:type="dxa"/>
            <w:tcBorders>
              <w:top w:val="nil"/>
              <w:left w:val="nil"/>
              <w:bottom w:val="nil"/>
              <w:right w:val="nil"/>
            </w:tcBorders>
            <w:vAlign w:val="center"/>
          </w:tcPr>
          <w:p w14:paraId="11FB562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w:t>
            </w:r>
          </w:p>
        </w:tc>
        <w:tc>
          <w:tcPr>
            <w:tcW w:w="1296" w:type="dxa"/>
            <w:tcBorders>
              <w:top w:val="nil"/>
              <w:left w:val="nil"/>
              <w:bottom w:val="nil"/>
              <w:right w:val="nil"/>
            </w:tcBorders>
            <w:vAlign w:val="center"/>
          </w:tcPr>
          <w:p w14:paraId="7224A44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(11.89)</w:t>
            </w:r>
          </w:p>
        </w:tc>
        <w:tc>
          <w:tcPr>
            <w:tcW w:w="1296" w:type="dxa"/>
            <w:tcBorders>
              <w:top w:val="nil"/>
              <w:left w:val="nil"/>
              <w:bottom w:val="nil"/>
              <w:right w:val="nil"/>
            </w:tcBorders>
            <w:vAlign w:val="center"/>
          </w:tcPr>
          <w:p w14:paraId="02BE3EC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w:t>
            </w:r>
          </w:p>
        </w:tc>
        <w:tc>
          <w:tcPr>
            <w:tcW w:w="1296" w:type="dxa"/>
            <w:tcBorders>
              <w:top w:val="nil"/>
              <w:left w:val="nil"/>
              <w:bottom w:val="nil"/>
              <w:right w:val="nil"/>
            </w:tcBorders>
            <w:vAlign w:val="center"/>
          </w:tcPr>
          <w:p w14:paraId="577C296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(20.87)</w:t>
            </w:r>
          </w:p>
        </w:tc>
      </w:tr>
      <w:tr w:rsidR="00597C86" w14:paraId="1F270F79" w14:textId="77777777" w:rsidTr="002C37FD">
        <w:trPr>
          <w:jc w:val="center"/>
        </w:trPr>
        <w:tc>
          <w:tcPr>
            <w:tcW w:w="2246" w:type="dxa"/>
            <w:tcBorders>
              <w:top w:val="nil"/>
              <w:left w:val="nil"/>
              <w:bottom w:val="nil"/>
              <w:right w:val="nil"/>
            </w:tcBorders>
            <w:vAlign w:val="center"/>
          </w:tcPr>
          <w:p w14:paraId="0E9D19C4"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p>
        </w:tc>
        <w:tc>
          <w:tcPr>
            <w:tcW w:w="1717" w:type="dxa"/>
            <w:tcBorders>
              <w:top w:val="nil"/>
              <w:left w:val="nil"/>
              <w:bottom w:val="nil"/>
              <w:right w:val="nil"/>
            </w:tcBorders>
            <w:vAlign w:val="center"/>
          </w:tcPr>
          <w:p w14:paraId="3BF21BB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521D249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4310FBF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D9FD18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77371AB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vAlign w:val="center"/>
          </w:tcPr>
          <w:p w14:paraId="1808A823"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p>
        </w:tc>
      </w:tr>
      <w:tr w:rsidR="00597C86" w14:paraId="59BF63D3" w14:textId="77777777" w:rsidTr="002C37FD">
        <w:trPr>
          <w:jc w:val="center"/>
        </w:trPr>
        <w:tc>
          <w:tcPr>
            <w:tcW w:w="2246" w:type="dxa"/>
            <w:tcBorders>
              <w:top w:val="nil"/>
              <w:left w:val="nil"/>
              <w:bottom w:val="nil"/>
              <w:right w:val="nil"/>
            </w:tcBorders>
            <w:vAlign w:val="center"/>
          </w:tcPr>
          <w:p w14:paraId="388956BF"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717" w:type="dxa"/>
            <w:tcBorders>
              <w:top w:val="nil"/>
              <w:left w:val="nil"/>
              <w:bottom w:val="nil"/>
              <w:right w:val="nil"/>
            </w:tcBorders>
            <w:vAlign w:val="center"/>
          </w:tcPr>
          <w:p w14:paraId="07D1A34C"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1296" w:type="dxa"/>
            <w:tcBorders>
              <w:top w:val="nil"/>
              <w:left w:val="nil"/>
              <w:bottom w:val="nil"/>
              <w:right w:val="nil"/>
            </w:tcBorders>
            <w:vAlign w:val="center"/>
          </w:tcPr>
          <w:p w14:paraId="1072602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1296" w:type="dxa"/>
            <w:tcBorders>
              <w:top w:val="nil"/>
              <w:left w:val="nil"/>
              <w:bottom w:val="nil"/>
              <w:right w:val="nil"/>
            </w:tcBorders>
            <w:vAlign w:val="center"/>
          </w:tcPr>
          <w:p w14:paraId="0EDF348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1296" w:type="dxa"/>
            <w:tcBorders>
              <w:top w:val="nil"/>
              <w:left w:val="nil"/>
              <w:bottom w:val="nil"/>
              <w:right w:val="nil"/>
            </w:tcBorders>
            <w:vAlign w:val="center"/>
          </w:tcPr>
          <w:p w14:paraId="23EDC9C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296" w:type="dxa"/>
            <w:tcBorders>
              <w:top w:val="nil"/>
              <w:left w:val="nil"/>
              <w:bottom w:val="nil"/>
              <w:right w:val="nil"/>
            </w:tcBorders>
            <w:vAlign w:val="center"/>
          </w:tcPr>
          <w:p w14:paraId="746372E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1296" w:type="dxa"/>
            <w:tcBorders>
              <w:top w:val="nil"/>
              <w:left w:val="nil"/>
              <w:bottom w:val="nil"/>
              <w:right w:val="nil"/>
            </w:tcBorders>
            <w:vAlign w:val="center"/>
          </w:tcPr>
          <w:p w14:paraId="263BA89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597C86" w14:paraId="416EA1DE" w14:textId="77777777" w:rsidTr="002C37FD">
        <w:trPr>
          <w:jc w:val="center"/>
        </w:trPr>
        <w:tc>
          <w:tcPr>
            <w:tcW w:w="2246" w:type="dxa"/>
            <w:tcBorders>
              <w:top w:val="nil"/>
              <w:left w:val="nil"/>
              <w:bottom w:val="nil"/>
              <w:right w:val="nil"/>
            </w:tcBorders>
            <w:vAlign w:val="center"/>
          </w:tcPr>
          <w:p w14:paraId="1E656D9F"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717" w:type="dxa"/>
            <w:tcBorders>
              <w:top w:val="nil"/>
              <w:left w:val="nil"/>
              <w:bottom w:val="nil"/>
              <w:right w:val="nil"/>
            </w:tcBorders>
            <w:vAlign w:val="center"/>
          </w:tcPr>
          <w:p w14:paraId="342B29A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0.716</w:t>
            </w:r>
          </w:p>
        </w:tc>
        <w:tc>
          <w:tcPr>
            <w:tcW w:w="1296" w:type="dxa"/>
            <w:tcBorders>
              <w:top w:val="nil"/>
              <w:left w:val="nil"/>
              <w:bottom w:val="nil"/>
              <w:right w:val="nil"/>
            </w:tcBorders>
            <w:vAlign w:val="center"/>
          </w:tcPr>
          <w:p w14:paraId="76EAC589"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0.718</w:t>
            </w:r>
          </w:p>
        </w:tc>
        <w:tc>
          <w:tcPr>
            <w:tcW w:w="1296" w:type="dxa"/>
            <w:tcBorders>
              <w:top w:val="nil"/>
              <w:left w:val="nil"/>
              <w:bottom w:val="nil"/>
              <w:right w:val="nil"/>
            </w:tcBorders>
            <w:vAlign w:val="center"/>
          </w:tcPr>
          <w:p w14:paraId="27A903F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0.730</w:t>
            </w:r>
          </w:p>
        </w:tc>
        <w:tc>
          <w:tcPr>
            <w:tcW w:w="1296" w:type="dxa"/>
            <w:tcBorders>
              <w:top w:val="nil"/>
              <w:left w:val="nil"/>
              <w:bottom w:val="nil"/>
              <w:right w:val="nil"/>
            </w:tcBorders>
            <w:vAlign w:val="center"/>
          </w:tcPr>
          <w:p w14:paraId="1A0AFE6B"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0.727</w:t>
            </w:r>
          </w:p>
        </w:tc>
        <w:tc>
          <w:tcPr>
            <w:tcW w:w="1296" w:type="dxa"/>
            <w:tcBorders>
              <w:top w:val="nil"/>
              <w:left w:val="nil"/>
              <w:bottom w:val="nil"/>
              <w:right w:val="nil"/>
            </w:tcBorders>
            <w:vAlign w:val="center"/>
          </w:tcPr>
          <w:p w14:paraId="32CF0BD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0.723</w:t>
            </w:r>
          </w:p>
        </w:tc>
        <w:tc>
          <w:tcPr>
            <w:tcW w:w="1296" w:type="dxa"/>
            <w:tcBorders>
              <w:top w:val="nil"/>
              <w:left w:val="nil"/>
              <w:bottom w:val="nil"/>
              <w:right w:val="nil"/>
            </w:tcBorders>
            <w:vAlign w:val="center"/>
          </w:tcPr>
          <w:p w14:paraId="4C06F19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0.728</w:t>
            </w:r>
          </w:p>
        </w:tc>
      </w:tr>
      <w:tr w:rsidR="00597C86" w14:paraId="2FB7BB7E" w14:textId="77777777" w:rsidTr="002C37FD">
        <w:trPr>
          <w:jc w:val="center"/>
        </w:trPr>
        <w:tc>
          <w:tcPr>
            <w:tcW w:w="2246" w:type="dxa"/>
            <w:tcBorders>
              <w:top w:val="nil"/>
              <w:left w:val="nil"/>
              <w:bottom w:val="nil"/>
              <w:right w:val="nil"/>
            </w:tcBorders>
            <w:vAlign w:val="center"/>
          </w:tcPr>
          <w:p w14:paraId="4C449917" w14:textId="42F9BF94"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Countries</w:t>
            </w:r>
          </w:p>
        </w:tc>
        <w:tc>
          <w:tcPr>
            <w:tcW w:w="1717" w:type="dxa"/>
            <w:tcBorders>
              <w:top w:val="nil"/>
              <w:left w:val="nil"/>
              <w:bottom w:val="nil"/>
              <w:right w:val="nil"/>
            </w:tcBorders>
            <w:vAlign w:val="center"/>
          </w:tcPr>
          <w:p w14:paraId="7EB1E038"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96" w:type="dxa"/>
            <w:tcBorders>
              <w:top w:val="nil"/>
              <w:left w:val="nil"/>
              <w:bottom w:val="nil"/>
              <w:right w:val="nil"/>
            </w:tcBorders>
            <w:vAlign w:val="center"/>
          </w:tcPr>
          <w:p w14:paraId="08F3AE8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96" w:type="dxa"/>
            <w:tcBorders>
              <w:top w:val="nil"/>
              <w:left w:val="nil"/>
              <w:bottom w:val="nil"/>
              <w:right w:val="nil"/>
            </w:tcBorders>
            <w:vAlign w:val="center"/>
          </w:tcPr>
          <w:p w14:paraId="077AE6A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96" w:type="dxa"/>
            <w:tcBorders>
              <w:top w:val="nil"/>
              <w:left w:val="nil"/>
              <w:bottom w:val="nil"/>
              <w:right w:val="nil"/>
            </w:tcBorders>
            <w:vAlign w:val="center"/>
          </w:tcPr>
          <w:p w14:paraId="10EE7ED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96" w:type="dxa"/>
            <w:tcBorders>
              <w:top w:val="nil"/>
              <w:left w:val="nil"/>
              <w:bottom w:val="nil"/>
              <w:right w:val="nil"/>
            </w:tcBorders>
            <w:vAlign w:val="center"/>
          </w:tcPr>
          <w:p w14:paraId="2883C09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96" w:type="dxa"/>
            <w:tcBorders>
              <w:top w:val="nil"/>
              <w:left w:val="nil"/>
              <w:bottom w:val="nil"/>
              <w:right w:val="nil"/>
            </w:tcBorders>
            <w:vAlign w:val="center"/>
          </w:tcPr>
          <w:p w14:paraId="618112B6"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97C86" w14:paraId="6E0A6C32" w14:textId="77777777" w:rsidTr="002C37FD">
        <w:tblPrEx>
          <w:tblBorders>
            <w:bottom w:val="single" w:sz="6" w:space="0" w:color="auto"/>
          </w:tblBorders>
        </w:tblPrEx>
        <w:trPr>
          <w:jc w:val="center"/>
        </w:trPr>
        <w:tc>
          <w:tcPr>
            <w:tcW w:w="2246" w:type="dxa"/>
            <w:tcBorders>
              <w:top w:val="nil"/>
              <w:left w:val="nil"/>
              <w:bottom w:val="single" w:sz="6" w:space="0" w:color="auto"/>
              <w:right w:val="nil"/>
            </w:tcBorders>
            <w:vAlign w:val="center"/>
          </w:tcPr>
          <w:p w14:paraId="36A08F6A" w14:textId="77777777" w:rsidR="00597C86" w:rsidRDefault="00597C86" w:rsidP="002C37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Robust SE</w:t>
            </w:r>
          </w:p>
        </w:tc>
        <w:tc>
          <w:tcPr>
            <w:tcW w:w="1717" w:type="dxa"/>
            <w:tcBorders>
              <w:top w:val="nil"/>
              <w:left w:val="nil"/>
              <w:bottom w:val="single" w:sz="6" w:space="0" w:color="auto"/>
              <w:right w:val="nil"/>
            </w:tcBorders>
            <w:vAlign w:val="center"/>
          </w:tcPr>
          <w:p w14:paraId="48AAA9A7"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296" w:type="dxa"/>
            <w:tcBorders>
              <w:top w:val="nil"/>
              <w:left w:val="nil"/>
              <w:bottom w:val="single" w:sz="6" w:space="0" w:color="auto"/>
              <w:right w:val="nil"/>
            </w:tcBorders>
            <w:vAlign w:val="center"/>
          </w:tcPr>
          <w:p w14:paraId="563B44D5"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296" w:type="dxa"/>
            <w:tcBorders>
              <w:top w:val="nil"/>
              <w:left w:val="nil"/>
              <w:bottom w:val="single" w:sz="6" w:space="0" w:color="auto"/>
              <w:right w:val="nil"/>
            </w:tcBorders>
            <w:vAlign w:val="center"/>
          </w:tcPr>
          <w:p w14:paraId="3ACC7F10"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296" w:type="dxa"/>
            <w:tcBorders>
              <w:top w:val="nil"/>
              <w:left w:val="nil"/>
              <w:bottom w:val="single" w:sz="6" w:space="0" w:color="auto"/>
              <w:right w:val="nil"/>
            </w:tcBorders>
            <w:vAlign w:val="center"/>
          </w:tcPr>
          <w:p w14:paraId="523360ED"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296" w:type="dxa"/>
            <w:tcBorders>
              <w:top w:val="nil"/>
              <w:left w:val="nil"/>
              <w:bottom w:val="single" w:sz="6" w:space="0" w:color="auto"/>
              <w:right w:val="nil"/>
            </w:tcBorders>
            <w:vAlign w:val="center"/>
          </w:tcPr>
          <w:p w14:paraId="181A5551"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296" w:type="dxa"/>
            <w:tcBorders>
              <w:top w:val="nil"/>
              <w:left w:val="nil"/>
              <w:bottom w:val="single" w:sz="6" w:space="0" w:color="auto"/>
              <w:right w:val="nil"/>
            </w:tcBorders>
            <w:vAlign w:val="center"/>
          </w:tcPr>
          <w:p w14:paraId="4547C982"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bl>
    <w:p w14:paraId="20E5B08E"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26B2EAC4" w14:textId="77777777" w:rsidR="00597C86" w:rsidRDefault="00597C86" w:rsidP="002C3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14:paraId="6885954C" w14:textId="2A8786A9" w:rsidR="00597C86" w:rsidRDefault="00597C86" w:rsidP="00C8508E">
      <w:pPr>
        <w:jc w:val="both"/>
        <w:rPr>
          <w:rFonts w:asciiTheme="majorHAnsi" w:hAnsiTheme="majorHAnsi"/>
          <w:sz w:val="24"/>
        </w:rPr>
      </w:pPr>
      <w:r>
        <w:rPr>
          <w:rFonts w:asciiTheme="majorHAnsi" w:hAnsiTheme="majorHAnsi"/>
          <w:sz w:val="24"/>
        </w:rPr>
        <w:br w:type="page"/>
      </w:r>
    </w:p>
    <w:p w14:paraId="71559637" w14:textId="7D0BFBD1" w:rsidR="00732301" w:rsidRPr="00F14751" w:rsidRDefault="001B3AF2" w:rsidP="00C8508E">
      <w:pPr>
        <w:pStyle w:val="NoSpacing"/>
        <w:spacing w:line="360" w:lineRule="auto"/>
        <w:jc w:val="both"/>
        <w:rPr>
          <w:rFonts w:asciiTheme="majorHAnsi" w:hAnsiTheme="majorHAnsi"/>
          <w:sz w:val="24"/>
        </w:rPr>
      </w:pPr>
      <w:r>
        <w:rPr>
          <w:rFonts w:asciiTheme="majorHAnsi" w:hAnsiTheme="majorHAnsi"/>
          <w:sz w:val="24"/>
        </w:rPr>
        <w:t>3</w:t>
      </w:r>
      <w:r w:rsidR="00732301" w:rsidRPr="00F14751">
        <w:rPr>
          <w:rFonts w:asciiTheme="majorHAnsi" w:hAnsiTheme="majorHAnsi"/>
          <w:sz w:val="24"/>
        </w:rPr>
        <w:t>.</w:t>
      </w:r>
      <w:r w:rsidR="00936CF5" w:rsidRPr="00F14751">
        <w:rPr>
          <w:rFonts w:asciiTheme="majorHAnsi" w:hAnsiTheme="majorHAnsi"/>
          <w:sz w:val="24"/>
        </w:rPr>
        <w:t xml:space="preserve"> VIFs</w:t>
      </w:r>
      <w:r w:rsidR="002E4734" w:rsidRPr="00F14751">
        <w:rPr>
          <w:rFonts w:asciiTheme="majorHAnsi" w:hAnsiTheme="majorHAnsi"/>
          <w:sz w:val="24"/>
        </w:rPr>
        <w:t xml:space="preserve"> of the independent variables when one of the measures of poverty is the dependent variable and the </w:t>
      </w:r>
      <w:r w:rsidR="00D14458" w:rsidRPr="00F14751">
        <w:rPr>
          <w:rFonts w:asciiTheme="majorHAnsi" w:hAnsiTheme="majorHAnsi"/>
          <w:sz w:val="24"/>
        </w:rPr>
        <w:t xml:space="preserve">Gini coefficient </w:t>
      </w:r>
      <w:r w:rsidR="002E4734" w:rsidRPr="00F14751">
        <w:rPr>
          <w:rFonts w:asciiTheme="majorHAnsi" w:hAnsiTheme="majorHAnsi"/>
          <w:sz w:val="24"/>
        </w:rPr>
        <w:t>serve</w:t>
      </w:r>
      <w:r w:rsidR="00D14458" w:rsidRPr="00F14751">
        <w:rPr>
          <w:rFonts w:asciiTheme="majorHAnsi" w:hAnsiTheme="majorHAnsi"/>
          <w:sz w:val="24"/>
        </w:rPr>
        <w:t>s</w:t>
      </w:r>
      <w:r w:rsidR="002E4734" w:rsidRPr="00F14751">
        <w:rPr>
          <w:rFonts w:asciiTheme="majorHAnsi" w:hAnsiTheme="majorHAnsi"/>
          <w:sz w:val="24"/>
        </w:rPr>
        <w:t xml:space="preserve"> as independent variables (A)</w:t>
      </w:r>
      <w:r w:rsidR="004B6670" w:rsidRPr="00F14751">
        <w:rPr>
          <w:rFonts w:asciiTheme="majorHAnsi" w:hAnsiTheme="majorHAnsi"/>
          <w:sz w:val="24"/>
        </w:rPr>
        <w:t xml:space="preserve">. </w:t>
      </w:r>
      <w:r w:rsidR="002E4734" w:rsidRPr="00F14751">
        <w:rPr>
          <w:rFonts w:asciiTheme="majorHAnsi" w:hAnsiTheme="majorHAnsi"/>
          <w:sz w:val="24"/>
        </w:rPr>
        <w:t xml:space="preserve"> </w:t>
      </w:r>
      <w:r w:rsidR="004B6670" w:rsidRPr="00F14751">
        <w:rPr>
          <w:rFonts w:asciiTheme="majorHAnsi" w:hAnsiTheme="majorHAnsi"/>
          <w:sz w:val="24"/>
        </w:rPr>
        <w:t>And</w:t>
      </w:r>
      <w:r w:rsidR="002E4734" w:rsidRPr="00F14751">
        <w:rPr>
          <w:rFonts w:asciiTheme="majorHAnsi" w:hAnsiTheme="majorHAnsi"/>
          <w:sz w:val="24"/>
        </w:rPr>
        <w:t xml:space="preserve"> </w:t>
      </w:r>
      <w:r w:rsidR="00D14458" w:rsidRPr="00F14751">
        <w:rPr>
          <w:rFonts w:asciiTheme="majorHAnsi" w:hAnsiTheme="majorHAnsi"/>
          <w:sz w:val="24"/>
        </w:rPr>
        <w:t xml:space="preserve">one of the measures of inequality is the dependent variable and </w:t>
      </w:r>
      <w:proofErr w:type="spellStart"/>
      <w:r w:rsidR="00D14458" w:rsidRPr="00F14751">
        <w:rPr>
          <w:rFonts w:asciiTheme="majorHAnsi" w:hAnsiTheme="majorHAnsi"/>
          <w:sz w:val="24"/>
        </w:rPr>
        <w:t>DoP</w:t>
      </w:r>
      <w:proofErr w:type="spellEnd"/>
      <w:r w:rsidR="00D14458" w:rsidRPr="00F14751">
        <w:rPr>
          <w:rFonts w:asciiTheme="majorHAnsi" w:hAnsiTheme="majorHAnsi"/>
          <w:sz w:val="24"/>
        </w:rPr>
        <w:t xml:space="preserve"> ($2) i</w:t>
      </w:r>
      <w:r w:rsidR="00597C86">
        <w:rPr>
          <w:rFonts w:asciiTheme="majorHAnsi" w:hAnsiTheme="majorHAnsi"/>
          <w:sz w:val="24"/>
        </w:rPr>
        <w:t>s the independent variables (B).</w:t>
      </w:r>
    </w:p>
    <w:tbl>
      <w:tblPr>
        <w:tblStyle w:val="TableGrid"/>
        <w:tblW w:w="7168" w:type="dxa"/>
        <w:tblLook w:val="04A0" w:firstRow="1" w:lastRow="0" w:firstColumn="1" w:lastColumn="0" w:noHBand="0" w:noVBand="1"/>
      </w:tblPr>
      <w:tblGrid>
        <w:gridCol w:w="2389"/>
        <w:gridCol w:w="2389"/>
        <w:gridCol w:w="2390"/>
      </w:tblGrid>
      <w:tr w:rsidR="00732301" w:rsidRPr="00F14751" w14:paraId="13587265" w14:textId="77777777" w:rsidTr="009824F5">
        <w:tc>
          <w:tcPr>
            <w:tcW w:w="2389" w:type="dxa"/>
            <w:vAlign w:val="center"/>
          </w:tcPr>
          <w:p w14:paraId="7B70BF2D" w14:textId="77777777" w:rsidR="00732301" w:rsidRPr="00F14751" w:rsidRDefault="00732301" w:rsidP="00C8508E">
            <w:pPr>
              <w:pStyle w:val="NoSpacing"/>
              <w:spacing w:line="360" w:lineRule="auto"/>
              <w:jc w:val="both"/>
              <w:rPr>
                <w:rFonts w:asciiTheme="majorHAnsi" w:hAnsiTheme="majorHAnsi"/>
                <w:szCs w:val="24"/>
              </w:rPr>
            </w:pPr>
          </w:p>
        </w:tc>
        <w:tc>
          <w:tcPr>
            <w:tcW w:w="2389" w:type="dxa"/>
            <w:vAlign w:val="center"/>
          </w:tcPr>
          <w:p w14:paraId="2F6323A6"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(A)</w:t>
            </w:r>
          </w:p>
        </w:tc>
        <w:tc>
          <w:tcPr>
            <w:tcW w:w="2390" w:type="dxa"/>
            <w:vAlign w:val="center"/>
          </w:tcPr>
          <w:p w14:paraId="095B6C5A"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(B)</w:t>
            </w:r>
          </w:p>
        </w:tc>
      </w:tr>
      <w:tr w:rsidR="00732301" w:rsidRPr="00F14751" w14:paraId="60B0263F" w14:textId="77777777" w:rsidTr="009824F5">
        <w:tc>
          <w:tcPr>
            <w:tcW w:w="2389" w:type="dxa"/>
            <w:vAlign w:val="center"/>
          </w:tcPr>
          <w:p w14:paraId="43293AEC"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Variable</w:t>
            </w:r>
          </w:p>
        </w:tc>
        <w:tc>
          <w:tcPr>
            <w:tcW w:w="2389" w:type="dxa"/>
            <w:vAlign w:val="center"/>
          </w:tcPr>
          <w:p w14:paraId="1FC64C59"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VIF</w:t>
            </w:r>
          </w:p>
        </w:tc>
        <w:tc>
          <w:tcPr>
            <w:tcW w:w="2390" w:type="dxa"/>
            <w:vAlign w:val="center"/>
          </w:tcPr>
          <w:p w14:paraId="156BB94B"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VIF</w:t>
            </w:r>
          </w:p>
        </w:tc>
      </w:tr>
      <w:tr w:rsidR="00732301" w:rsidRPr="00F14751" w14:paraId="09566D52" w14:textId="77777777" w:rsidTr="009824F5">
        <w:tc>
          <w:tcPr>
            <w:tcW w:w="2389" w:type="dxa"/>
            <w:vAlign w:val="center"/>
          </w:tcPr>
          <w:p w14:paraId="60B81AF9"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SRI</w:t>
            </w:r>
          </w:p>
        </w:tc>
        <w:tc>
          <w:tcPr>
            <w:tcW w:w="2389" w:type="dxa"/>
            <w:vAlign w:val="center"/>
          </w:tcPr>
          <w:p w14:paraId="11EFA55E"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3.30</w:t>
            </w:r>
          </w:p>
        </w:tc>
        <w:tc>
          <w:tcPr>
            <w:tcW w:w="2390" w:type="dxa"/>
            <w:vAlign w:val="center"/>
          </w:tcPr>
          <w:p w14:paraId="31A7B1A2"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3.10</w:t>
            </w:r>
          </w:p>
        </w:tc>
      </w:tr>
      <w:tr w:rsidR="00732301" w:rsidRPr="00F14751" w14:paraId="0B81DE5C" w14:textId="77777777" w:rsidTr="009824F5">
        <w:tc>
          <w:tcPr>
            <w:tcW w:w="2389" w:type="dxa"/>
            <w:vAlign w:val="center"/>
          </w:tcPr>
          <w:p w14:paraId="53AC919E"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Polity</w:t>
            </w:r>
          </w:p>
        </w:tc>
        <w:tc>
          <w:tcPr>
            <w:tcW w:w="2389" w:type="dxa"/>
            <w:vAlign w:val="center"/>
          </w:tcPr>
          <w:p w14:paraId="1E5B4865"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1.70</w:t>
            </w:r>
          </w:p>
        </w:tc>
        <w:tc>
          <w:tcPr>
            <w:tcW w:w="2390" w:type="dxa"/>
            <w:vAlign w:val="center"/>
          </w:tcPr>
          <w:p w14:paraId="2EF5170B"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1.71</w:t>
            </w:r>
          </w:p>
        </w:tc>
      </w:tr>
      <w:tr w:rsidR="00732301" w:rsidRPr="00F14751" w14:paraId="51AB9BD3" w14:textId="77777777" w:rsidTr="009824F5">
        <w:tc>
          <w:tcPr>
            <w:tcW w:w="2389" w:type="dxa"/>
            <w:vAlign w:val="center"/>
          </w:tcPr>
          <w:p w14:paraId="103C2F57"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GDP</w:t>
            </w:r>
          </w:p>
        </w:tc>
        <w:tc>
          <w:tcPr>
            <w:tcW w:w="2389" w:type="dxa"/>
            <w:vAlign w:val="center"/>
          </w:tcPr>
          <w:p w14:paraId="6FF0CDC1"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2.21</w:t>
            </w:r>
          </w:p>
        </w:tc>
        <w:tc>
          <w:tcPr>
            <w:tcW w:w="2390" w:type="dxa"/>
            <w:vAlign w:val="center"/>
          </w:tcPr>
          <w:p w14:paraId="04126B50"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2.32</w:t>
            </w:r>
          </w:p>
        </w:tc>
      </w:tr>
      <w:tr w:rsidR="00732301" w:rsidRPr="00F14751" w14:paraId="396EFCE1" w14:textId="77777777" w:rsidTr="009824F5">
        <w:tc>
          <w:tcPr>
            <w:tcW w:w="2389" w:type="dxa"/>
            <w:vAlign w:val="center"/>
          </w:tcPr>
          <w:p w14:paraId="3F85DD98" w14:textId="77777777" w:rsidR="00732301" w:rsidRPr="00F14751" w:rsidRDefault="00732301" w:rsidP="009824F5">
            <w:pPr>
              <w:pStyle w:val="NoSpacing"/>
              <w:spacing w:line="360" w:lineRule="auto"/>
              <w:rPr>
                <w:rFonts w:asciiTheme="majorHAnsi" w:hAnsiTheme="majorHAnsi"/>
                <w:szCs w:val="24"/>
              </w:rPr>
            </w:pPr>
            <w:proofErr w:type="spellStart"/>
            <w:r w:rsidRPr="00F14751">
              <w:rPr>
                <w:rFonts w:asciiTheme="majorHAnsi" w:hAnsiTheme="majorHAnsi"/>
                <w:szCs w:val="24"/>
              </w:rPr>
              <w:t>GDPgrowth</w:t>
            </w:r>
            <w:proofErr w:type="spellEnd"/>
          </w:p>
        </w:tc>
        <w:tc>
          <w:tcPr>
            <w:tcW w:w="2389" w:type="dxa"/>
            <w:vAlign w:val="center"/>
          </w:tcPr>
          <w:p w14:paraId="0D92F84C"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1.47</w:t>
            </w:r>
          </w:p>
        </w:tc>
        <w:tc>
          <w:tcPr>
            <w:tcW w:w="2390" w:type="dxa"/>
            <w:vAlign w:val="center"/>
          </w:tcPr>
          <w:p w14:paraId="5A4C3A8C"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1.48</w:t>
            </w:r>
          </w:p>
        </w:tc>
      </w:tr>
      <w:tr w:rsidR="00732301" w:rsidRPr="00F14751" w14:paraId="448C9101" w14:textId="77777777" w:rsidTr="009824F5">
        <w:tc>
          <w:tcPr>
            <w:tcW w:w="2389" w:type="dxa"/>
            <w:vAlign w:val="center"/>
          </w:tcPr>
          <w:p w14:paraId="71E80C6A"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School</w:t>
            </w:r>
          </w:p>
        </w:tc>
        <w:tc>
          <w:tcPr>
            <w:tcW w:w="2389" w:type="dxa"/>
            <w:vAlign w:val="center"/>
          </w:tcPr>
          <w:p w14:paraId="6E31460D"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2.89</w:t>
            </w:r>
          </w:p>
        </w:tc>
        <w:tc>
          <w:tcPr>
            <w:tcW w:w="2390" w:type="dxa"/>
            <w:vAlign w:val="center"/>
          </w:tcPr>
          <w:p w14:paraId="73595130"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2.88</w:t>
            </w:r>
          </w:p>
        </w:tc>
      </w:tr>
      <w:tr w:rsidR="00732301" w:rsidRPr="00F14751" w14:paraId="7E6901A1" w14:textId="77777777" w:rsidTr="009824F5">
        <w:tc>
          <w:tcPr>
            <w:tcW w:w="2389" w:type="dxa"/>
            <w:vAlign w:val="center"/>
          </w:tcPr>
          <w:p w14:paraId="5FA3A2DC"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Death</w:t>
            </w:r>
          </w:p>
        </w:tc>
        <w:tc>
          <w:tcPr>
            <w:tcW w:w="2389" w:type="dxa"/>
            <w:vAlign w:val="center"/>
          </w:tcPr>
          <w:p w14:paraId="23ABC769"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2.52</w:t>
            </w:r>
          </w:p>
        </w:tc>
        <w:tc>
          <w:tcPr>
            <w:tcW w:w="2390" w:type="dxa"/>
            <w:vAlign w:val="center"/>
          </w:tcPr>
          <w:p w14:paraId="100DD9CB"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2.53</w:t>
            </w:r>
          </w:p>
        </w:tc>
      </w:tr>
      <w:tr w:rsidR="00732301" w:rsidRPr="00F14751" w14:paraId="1AA3A12D" w14:textId="77777777" w:rsidTr="009824F5">
        <w:tc>
          <w:tcPr>
            <w:tcW w:w="2389" w:type="dxa"/>
            <w:vAlign w:val="center"/>
          </w:tcPr>
          <w:p w14:paraId="1D70893B" w14:textId="77777777" w:rsidR="00732301" w:rsidRPr="00F14751" w:rsidRDefault="00732301" w:rsidP="009824F5">
            <w:pPr>
              <w:pStyle w:val="NoSpacing"/>
              <w:spacing w:line="360" w:lineRule="auto"/>
              <w:rPr>
                <w:rFonts w:asciiTheme="majorHAnsi" w:hAnsiTheme="majorHAnsi"/>
                <w:szCs w:val="24"/>
              </w:rPr>
            </w:pPr>
            <w:proofErr w:type="spellStart"/>
            <w:r w:rsidRPr="00F14751">
              <w:rPr>
                <w:rFonts w:asciiTheme="majorHAnsi" w:hAnsiTheme="majorHAnsi"/>
                <w:szCs w:val="24"/>
              </w:rPr>
              <w:t>UrbanPopgrowth</w:t>
            </w:r>
            <w:proofErr w:type="spellEnd"/>
          </w:p>
        </w:tc>
        <w:tc>
          <w:tcPr>
            <w:tcW w:w="2389" w:type="dxa"/>
            <w:vAlign w:val="center"/>
          </w:tcPr>
          <w:p w14:paraId="014D6D23"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3.26</w:t>
            </w:r>
          </w:p>
        </w:tc>
        <w:tc>
          <w:tcPr>
            <w:tcW w:w="2390" w:type="dxa"/>
            <w:vAlign w:val="center"/>
          </w:tcPr>
          <w:p w14:paraId="12607CE2"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3.17</w:t>
            </w:r>
          </w:p>
        </w:tc>
      </w:tr>
      <w:tr w:rsidR="00732301" w:rsidRPr="00F14751" w14:paraId="0938F95E" w14:textId="77777777" w:rsidTr="009824F5">
        <w:tc>
          <w:tcPr>
            <w:tcW w:w="2389" w:type="dxa"/>
            <w:vAlign w:val="center"/>
          </w:tcPr>
          <w:p w14:paraId="126B0DBC"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Mercosur</w:t>
            </w:r>
          </w:p>
        </w:tc>
        <w:tc>
          <w:tcPr>
            <w:tcW w:w="2389" w:type="dxa"/>
            <w:vAlign w:val="center"/>
          </w:tcPr>
          <w:p w14:paraId="2FFAA0FB"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1.66</w:t>
            </w:r>
          </w:p>
        </w:tc>
        <w:tc>
          <w:tcPr>
            <w:tcW w:w="2390" w:type="dxa"/>
            <w:vAlign w:val="center"/>
          </w:tcPr>
          <w:p w14:paraId="3CFE7771"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1.76</w:t>
            </w:r>
          </w:p>
        </w:tc>
      </w:tr>
      <w:tr w:rsidR="00732301" w:rsidRPr="00F14751" w14:paraId="05512C9A" w14:textId="77777777" w:rsidTr="009824F5">
        <w:tc>
          <w:tcPr>
            <w:tcW w:w="2389" w:type="dxa"/>
            <w:vAlign w:val="center"/>
          </w:tcPr>
          <w:p w14:paraId="69C335B5" w14:textId="77777777" w:rsidR="00732301" w:rsidRPr="00F14751" w:rsidRDefault="00732301" w:rsidP="009824F5">
            <w:pPr>
              <w:pStyle w:val="NoSpacing"/>
              <w:spacing w:line="360" w:lineRule="auto"/>
              <w:rPr>
                <w:rFonts w:asciiTheme="majorHAnsi" w:hAnsiTheme="majorHAnsi"/>
                <w:szCs w:val="24"/>
              </w:rPr>
            </w:pPr>
            <w:proofErr w:type="spellStart"/>
            <w:r w:rsidRPr="00F14751">
              <w:rPr>
                <w:rFonts w:asciiTheme="majorHAnsi" w:hAnsiTheme="majorHAnsi"/>
                <w:szCs w:val="24"/>
              </w:rPr>
              <w:t>Unasur</w:t>
            </w:r>
            <w:proofErr w:type="spellEnd"/>
          </w:p>
        </w:tc>
        <w:tc>
          <w:tcPr>
            <w:tcW w:w="2389" w:type="dxa"/>
            <w:vAlign w:val="center"/>
          </w:tcPr>
          <w:p w14:paraId="00F04131"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2.94</w:t>
            </w:r>
          </w:p>
        </w:tc>
        <w:tc>
          <w:tcPr>
            <w:tcW w:w="2390" w:type="dxa"/>
            <w:vAlign w:val="center"/>
          </w:tcPr>
          <w:p w14:paraId="1C019F83"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2.94</w:t>
            </w:r>
          </w:p>
        </w:tc>
      </w:tr>
      <w:tr w:rsidR="00732301" w:rsidRPr="00F14751" w14:paraId="0D4065CF" w14:textId="77777777" w:rsidTr="009824F5">
        <w:tc>
          <w:tcPr>
            <w:tcW w:w="2389" w:type="dxa"/>
            <w:vAlign w:val="center"/>
          </w:tcPr>
          <w:p w14:paraId="1628BDEB" w14:textId="77777777" w:rsidR="00732301" w:rsidRPr="00F14751" w:rsidRDefault="00732301" w:rsidP="009824F5">
            <w:pPr>
              <w:pStyle w:val="NoSpacing"/>
              <w:spacing w:line="360" w:lineRule="auto"/>
              <w:rPr>
                <w:rFonts w:asciiTheme="majorHAnsi" w:hAnsiTheme="majorHAnsi"/>
                <w:szCs w:val="24"/>
              </w:rPr>
            </w:pPr>
            <w:proofErr w:type="spellStart"/>
            <w:r w:rsidRPr="00F14751">
              <w:rPr>
                <w:rFonts w:asciiTheme="majorHAnsi" w:hAnsiTheme="majorHAnsi"/>
                <w:szCs w:val="24"/>
              </w:rPr>
              <w:t>DoP</w:t>
            </w:r>
            <w:proofErr w:type="spellEnd"/>
            <w:r w:rsidRPr="00F14751">
              <w:rPr>
                <w:rFonts w:asciiTheme="majorHAnsi" w:hAnsiTheme="majorHAnsi"/>
                <w:szCs w:val="24"/>
              </w:rPr>
              <w:t xml:space="preserve"> ($2)</w:t>
            </w:r>
          </w:p>
        </w:tc>
        <w:tc>
          <w:tcPr>
            <w:tcW w:w="2389" w:type="dxa"/>
            <w:vAlign w:val="center"/>
          </w:tcPr>
          <w:p w14:paraId="340A916A" w14:textId="77777777" w:rsidR="00732301" w:rsidRPr="00F14751" w:rsidRDefault="00732301" w:rsidP="009824F5">
            <w:pPr>
              <w:pStyle w:val="NoSpacing"/>
              <w:spacing w:line="360" w:lineRule="auto"/>
              <w:jc w:val="center"/>
              <w:rPr>
                <w:rFonts w:asciiTheme="majorHAnsi" w:hAnsiTheme="majorHAnsi"/>
                <w:szCs w:val="24"/>
              </w:rPr>
            </w:pPr>
          </w:p>
        </w:tc>
        <w:tc>
          <w:tcPr>
            <w:tcW w:w="2390" w:type="dxa"/>
            <w:vAlign w:val="center"/>
          </w:tcPr>
          <w:p w14:paraId="147951B6"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2.33</w:t>
            </w:r>
          </w:p>
        </w:tc>
      </w:tr>
      <w:tr w:rsidR="00732301" w:rsidRPr="00F14751" w14:paraId="749AB338" w14:textId="77777777" w:rsidTr="009824F5">
        <w:tc>
          <w:tcPr>
            <w:tcW w:w="2389" w:type="dxa"/>
            <w:vAlign w:val="center"/>
          </w:tcPr>
          <w:p w14:paraId="7A8E783F" w14:textId="77777777" w:rsidR="00732301" w:rsidRPr="00F14751" w:rsidRDefault="00732301" w:rsidP="009824F5">
            <w:pPr>
              <w:pStyle w:val="NoSpacing"/>
              <w:spacing w:line="360" w:lineRule="auto"/>
              <w:rPr>
                <w:rFonts w:asciiTheme="majorHAnsi" w:hAnsiTheme="majorHAnsi"/>
                <w:szCs w:val="24"/>
              </w:rPr>
            </w:pPr>
            <w:r w:rsidRPr="00F14751">
              <w:rPr>
                <w:rFonts w:asciiTheme="majorHAnsi" w:hAnsiTheme="majorHAnsi"/>
                <w:szCs w:val="24"/>
              </w:rPr>
              <w:t xml:space="preserve">Gini </w:t>
            </w:r>
          </w:p>
        </w:tc>
        <w:tc>
          <w:tcPr>
            <w:tcW w:w="2389" w:type="dxa"/>
            <w:vAlign w:val="center"/>
          </w:tcPr>
          <w:p w14:paraId="46A7FA5E" w14:textId="77777777" w:rsidR="00732301" w:rsidRPr="00F14751" w:rsidRDefault="00732301" w:rsidP="009824F5">
            <w:pPr>
              <w:pStyle w:val="NoSpacing"/>
              <w:spacing w:line="360" w:lineRule="auto"/>
              <w:jc w:val="center"/>
              <w:rPr>
                <w:rFonts w:asciiTheme="majorHAnsi" w:hAnsiTheme="majorHAnsi"/>
                <w:szCs w:val="24"/>
              </w:rPr>
            </w:pPr>
            <w:r w:rsidRPr="00F14751">
              <w:rPr>
                <w:rFonts w:asciiTheme="majorHAnsi" w:hAnsiTheme="majorHAnsi"/>
                <w:szCs w:val="24"/>
              </w:rPr>
              <w:t>1.68</w:t>
            </w:r>
          </w:p>
        </w:tc>
        <w:tc>
          <w:tcPr>
            <w:tcW w:w="2390" w:type="dxa"/>
            <w:vAlign w:val="center"/>
          </w:tcPr>
          <w:p w14:paraId="353CB28E" w14:textId="77777777" w:rsidR="00732301" w:rsidRPr="00F14751" w:rsidRDefault="00732301" w:rsidP="009824F5">
            <w:pPr>
              <w:pStyle w:val="NoSpacing"/>
              <w:spacing w:line="360" w:lineRule="auto"/>
              <w:jc w:val="center"/>
              <w:rPr>
                <w:rFonts w:asciiTheme="majorHAnsi" w:hAnsiTheme="majorHAnsi"/>
                <w:szCs w:val="24"/>
                <w:highlight w:val="yellow"/>
              </w:rPr>
            </w:pPr>
          </w:p>
        </w:tc>
      </w:tr>
    </w:tbl>
    <w:p w14:paraId="6DDA700A" w14:textId="77777777" w:rsidR="00732301" w:rsidRPr="00F14751" w:rsidRDefault="00732301" w:rsidP="00C8508E">
      <w:pPr>
        <w:pStyle w:val="NoSpacing"/>
        <w:spacing w:line="360" w:lineRule="auto"/>
        <w:jc w:val="both"/>
        <w:rPr>
          <w:rFonts w:asciiTheme="majorHAnsi" w:hAnsiTheme="majorHAnsi"/>
          <w:sz w:val="24"/>
          <w:szCs w:val="24"/>
        </w:rPr>
      </w:pPr>
    </w:p>
    <w:p w14:paraId="700923D8" w14:textId="77777777" w:rsidR="0044145E" w:rsidRPr="00F14751" w:rsidRDefault="0044145E" w:rsidP="00C8508E">
      <w:pPr>
        <w:pStyle w:val="NoSpacing"/>
        <w:spacing w:line="360" w:lineRule="auto"/>
        <w:jc w:val="both"/>
        <w:rPr>
          <w:rFonts w:asciiTheme="majorHAnsi" w:hAnsiTheme="majorHAnsi"/>
          <w:b/>
          <w:sz w:val="24"/>
          <w:szCs w:val="24"/>
        </w:rPr>
      </w:pPr>
    </w:p>
    <w:sectPr w:rsidR="0044145E" w:rsidRPr="00F14751" w:rsidSect="00881A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7E64" w14:textId="77777777" w:rsidR="00F16A0E" w:rsidRDefault="00F16A0E" w:rsidP="00734D39">
      <w:pPr>
        <w:spacing w:after="0" w:line="240" w:lineRule="auto"/>
      </w:pPr>
      <w:r>
        <w:separator/>
      </w:r>
    </w:p>
  </w:endnote>
  <w:endnote w:type="continuationSeparator" w:id="0">
    <w:p w14:paraId="357CE4E4" w14:textId="77777777" w:rsidR="00F16A0E" w:rsidRDefault="00F16A0E" w:rsidP="0073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09522"/>
      <w:docPartObj>
        <w:docPartGallery w:val="Page Numbers (Bottom of Page)"/>
        <w:docPartUnique/>
      </w:docPartObj>
    </w:sdtPr>
    <w:sdtEndPr>
      <w:rPr>
        <w:noProof/>
      </w:rPr>
    </w:sdtEndPr>
    <w:sdtContent>
      <w:p w14:paraId="44CB8E94" w14:textId="77777777" w:rsidR="00F16A0E" w:rsidRDefault="00F16A0E">
        <w:pPr>
          <w:pStyle w:val="Footer"/>
          <w:jc w:val="right"/>
        </w:pPr>
        <w:r>
          <w:fldChar w:fldCharType="begin"/>
        </w:r>
        <w:r>
          <w:instrText xml:space="preserve"> PAGE   \* MERGEFORMAT </w:instrText>
        </w:r>
        <w:r>
          <w:fldChar w:fldCharType="separate"/>
        </w:r>
        <w:r w:rsidR="00E062BD">
          <w:rPr>
            <w:noProof/>
          </w:rPr>
          <w:t>16</w:t>
        </w:r>
        <w:r>
          <w:rPr>
            <w:noProof/>
          </w:rPr>
          <w:fldChar w:fldCharType="end"/>
        </w:r>
      </w:p>
    </w:sdtContent>
  </w:sdt>
  <w:p w14:paraId="50299C2E" w14:textId="77777777" w:rsidR="00F16A0E" w:rsidRDefault="00F1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1ED9" w14:textId="77777777" w:rsidR="00F16A0E" w:rsidRDefault="00F16A0E" w:rsidP="00734D39">
      <w:pPr>
        <w:spacing w:after="0" w:line="240" w:lineRule="auto"/>
      </w:pPr>
      <w:r>
        <w:separator/>
      </w:r>
    </w:p>
  </w:footnote>
  <w:footnote w:type="continuationSeparator" w:id="0">
    <w:p w14:paraId="6EFE44E9" w14:textId="77777777" w:rsidR="00F16A0E" w:rsidRDefault="00F16A0E" w:rsidP="0073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80D"/>
    <w:multiLevelType w:val="hybridMultilevel"/>
    <w:tmpl w:val="9FB8F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F14334"/>
    <w:multiLevelType w:val="multilevel"/>
    <w:tmpl w:val="E81E77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A415CC"/>
    <w:multiLevelType w:val="hybridMultilevel"/>
    <w:tmpl w:val="732A8C6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81AD3"/>
    <w:multiLevelType w:val="hybridMultilevel"/>
    <w:tmpl w:val="F9908A6C"/>
    <w:lvl w:ilvl="0" w:tplc="80DCD70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85A9E"/>
    <w:multiLevelType w:val="hybridMultilevel"/>
    <w:tmpl w:val="EC4E173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313B50"/>
    <w:multiLevelType w:val="hybridMultilevel"/>
    <w:tmpl w:val="A8D6A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7075BE"/>
    <w:multiLevelType w:val="hybridMultilevel"/>
    <w:tmpl w:val="5D2278F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18"/>
    <w:rsid w:val="00001A2B"/>
    <w:rsid w:val="00010FF4"/>
    <w:rsid w:val="000122C9"/>
    <w:rsid w:val="00013226"/>
    <w:rsid w:val="000134EE"/>
    <w:rsid w:val="0001621E"/>
    <w:rsid w:val="000178A7"/>
    <w:rsid w:val="00017C34"/>
    <w:rsid w:val="00017CE2"/>
    <w:rsid w:val="000204CD"/>
    <w:rsid w:val="00022E78"/>
    <w:rsid w:val="00023020"/>
    <w:rsid w:val="00026AAF"/>
    <w:rsid w:val="00027F9C"/>
    <w:rsid w:val="000307CA"/>
    <w:rsid w:val="000309D6"/>
    <w:rsid w:val="00032947"/>
    <w:rsid w:val="00032978"/>
    <w:rsid w:val="00032F25"/>
    <w:rsid w:val="00033353"/>
    <w:rsid w:val="000406E7"/>
    <w:rsid w:val="0004078E"/>
    <w:rsid w:val="00043959"/>
    <w:rsid w:val="000440FE"/>
    <w:rsid w:val="00045082"/>
    <w:rsid w:val="000459A9"/>
    <w:rsid w:val="000475A0"/>
    <w:rsid w:val="00053315"/>
    <w:rsid w:val="00054326"/>
    <w:rsid w:val="00056DE7"/>
    <w:rsid w:val="0006279B"/>
    <w:rsid w:val="00065A41"/>
    <w:rsid w:val="0007125F"/>
    <w:rsid w:val="00080015"/>
    <w:rsid w:val="000810DF"/>
    <w:rsid w:val="00082E63"/>
    <w:rsid w:val="00087A61"/>
    <w:rsid w:val="00090FD2"/>
    <w:rsid w:val="00091F14"/>
    <w:rsid w:val="000920FB"/>
    <w:rsid w:val="00092FE8"/>
    <w:rsid w:val="00097FD0"/>
    <w:rsid w:val="000A0294"/>
    <w:rsid w:val="000A04C6"/>
    <w:rsid w:val="000A42C7"/>
    <w:rsid w:val="000B0EAD"/>
    <w:rsid w:val="000B3EB7"/>
    <w:rsid w:val="000B5054"/>
    <w:rsid w:val="000B50A2"/>
    <w:rsid w:val="000B653A"/>
    <w:rsid w:val="000B6D0B"/>
    <w:rsid w:val="000C0708"/>
    <w:rsid w:val="000C2324"/>
    <w:rsid w:val="000C2DB3"/>
    <w:rsid w:val="000C4C87"/>
    <w:rsid w:val="000C75B1"/>
    <w:rsid w:val="000D0197"/>
    <w:rsid w:val="000D0784"/>
    <w:rsid w:val="000D0995"/>
    <w:rsid w:val="000D11AF"/>
    <w:rsid w:val="000D596A"/>
    <w:rsid w:val="000D6C70"/>
    <w:rsid w:val="000D74CA"/>
    <w:rsid w:val="000E1491"/>
    <w:rsid w:val="000E1F93"/>
    <w:rsid w:val="000E20C1"/>
    <w:rsid w:val="000E2E13"/>
    <w:rsid w:val="000E3358"/>
    <w:rsid w:val="000E3ECB"/>
    <w:rsid w:val="000E45EB"/>
    <w:rsid w:val="000E7312"/>
    <w:rsid w:val="000F14D7"/>
    <w:rsid w:val="000F3439"/>
    <w:rsid w:val="000F36CA"/>
    <w:rsid w:val="000F4AF5"/>
    <w:rsid w:val="000F7798"/>
    <w:rsid w:val="000F7A3D"/>
    <w:rsid w:val="0010284F"/>
    <w:rsid w:val="00102D3C"/>
    <w:rsid w:val="00104175"/>
    <w:rsid w:val="001048E8"/>
    <w:rsid w:val="00104EE9"/>
    <w:rsid w:val="00111DD2"/>
    <w:rsid w:val="00112940"/>
    <w:rsid w:val="00113540"/>
    <w:rsid w:val="001142C0"/>
    <w:rsid w:val="00115037"/>
    <w:rsid w:val="00116784"/>
    <w:rsid w:val="001171C6"/>
    <w:rsid w:val="00120302"/>
    <w:rsid w:val="001222C4"/>
    <w:rsid w:val="00123D5B"/>
    <w:rsid w:val="001245D3"/>
    <w:rsid w:val="0012500C"/>
    <w:rsid w:val="00125254"/>
    <w:rsid w:val="00125BF5"/>
    <w:rsid w:val="00126A67"/>
    <w:rsid w:val="00130776"/>
    <w:rsid w:val="00131C16"/>
    <w:rsid w:val="00132B28"/>
    <w:rsid w:val="00134822"/>
    <w:rsid w:val="001348F3"/>
    <w:rsid w:val="00136196"/>
    <w:rsid w:val="001367F4"/>
    <w:rsid w:val="00136EA7"/>
    <w:rsid w:val="00137210"/>
    <w:rsid w:val="00137897"/>
    <w:rsid w:val="00140525"/>
    <w:rsid w:val="00142732"/>
    <w:rsid w:val="001451B8"/>
    <w:rsid w:val="001452DE"/>
    <w:rsid w:val="00145BF2"/>
    <w:rsid w:val="00145D72"/>
    <w:rsid w:val="00147CD7"/>
    <w:rsid w:val="001505BD"/>
    <w:rsid w:val="00150AB0"/>
    <w:rsid w:val="0015211D"/>
    <w:rsid w:val="00154D4B"/>
    <w:rsid w:val="00161796"/>
    <w:rsid w:val="001617D2"/>
    <w:rsid w:val="0016207A"/>
    <w:rsid w:val="00163846"/>
    <w:rsid w:val="00170F78"/>
    <w:rsid w:val="00172E86"/>
    <w:rsid w:val="0017456E"/>
    <w:rsid w:val="00174E96"/>
    <w:rsid w:val="00184360"/>
    <w:rsid w:val="00184E39"/>
    <w:rsid w:val="00185083"/>
    <w:rsid w:val="00186741"/>
    <w:rsid w:val="00190333"/>
    <w:rsid w:val="00192BD6"/>
    <w:rsid w:val="00193E0C"/>
    <w:rsid w:val="00195A83"/>
    <w:rsid w:val="00196F8A"/>
    <w:rsid w:val="001A36BC"/>
    <w:rsid w:val="001A3D23"/>
    <w:rsid w:val="001A7646"/>
    <w:rsid w:val="001B0CC1"/>
    <w:rsid w:val="001B0DE5"/>
    <w:rsid w:val="001B10E1"/>
    <w:rsid w:val="001B258C"/>
    <w:rsid w:val="001B2606"/>
    <w:rsid w:val="001B3788"/>
    <w:rsid w:val="001B3AF2"/>
    <w:rsid w:val="001B3F3D"/>
    <w:rsid w:val="001B4940"/>
    <w:rsid w:val="001B4BFA"/>
    <w:rsid w:val="001B5ADF"/>
    <w:rsid w:val="001C12BB"/>
    <w:rsid w:val="001C1F30"/>
    <w:rsid w:val="001C23C3"/>
    <w:rsid w:val="001C2E59"/>
    <w:rsid w:val="001C329A"/>
    <w:rsid w:val="001C4591"/>
    <w:rsid w:val="001C545A"/>
    <w:rsid w:val="001C618D"/>
    <w:rsid w:val="001C6FE4"/>
    <w:rsid w:val="001D053C"/>
    <w:rsid w:val="001D1EC5"/>
    <w:rsid w:val="001D3C5E"/>
    <w:rsid w:val="001D6F3E"/>
    <w:rsid w:val="001E04B8"/>
    <w:rsid w:val="001E1851"/>
    <w:rsid w:val="001E2692"/>
    <w:rsid w:val="001E3EC8"/>
    <w:rsid w:val="001E5A71"/>
    <w:rsid w:val="001E60BF"/>
    <w:rsid w:val="001F0B63"/>
    <w:rsid w:val="001F27C6"/>
    <w:rsid w:val="001F28B6"/>
    <w:rsid w:val="001F5295"/>
    <w:rsid w:val="001F5E67"/>
    <w:rsid w:val="001F70DE"/>
    <w:rsid w:val="00202025"/>
    <w:rsid w:val="00202157"/>
    <w:rsid w:val="00206B4E"/>
    <w:rsid w:val="00206D78"/>
    <w:rsid w:val="00207022"/>
    <w:rsid w:val="00207689"/>
    <w:rsid w:val="002108E7"/>
    <w:rsid w:val="00211887"/>
    <w:rsid w:val="00212E0D"/>
    <w:rsid w:val="00216978"/>
    <w:rsid w:val="0022468B"/>
    <w:rsid w:val="00225A77"/>
    <w:rsid w:val="00227692"/>
    <w:rsid w:val="00230486"/>
    <w:rsid w:val="00231F83"/>
    <w:rsid w:val="002329CF"/>
    <w:rsid w:val="00233455"/>
    <w:rsid w:val="00235A04"/>
    <w:rsid w:val="002374C4"/>
    <w:rsid w:val="00241265"/>
    <w:rsid w:val="00241F07"/>
    <w:rsid w:val="00247878"/>
    <w:rsid w:val="00247928"/>
    <w:rsid w:val="00247B15"/>
    <w:rsid w:val="002503CD"/>
    <w:rsid w:val="00251280"/>
    <w:rsid w:val="00254740"/>
    <w:rsid w:val="0025502B"/>
    <w:rsid w:val="00260347"/>
    <w:rsid w:val="00262413"/>
    <w:rsid w:val="00263E87"/>
    <w:rsid w:val="00270267"/>
    <w:rsid w:val="00273FAA"/>
    <w:rsid w:val="002743A7"/>
    <w:rsid w:val="00274B27"/>
    <w:rsid w:val="002754C8"/>
    <w:rsid w:val="0027574B"/>
    <w:rsid w:val="0028104F"/>
    <w:rsid w:val="002812CE"/>
    <w:rsid w:val="00282EA8"/>
    <w:rsid w:val="00284D16"/>
    <w:rsid w:val="00285D6E"/>
    <w:rsid w:val="00285DD0"/>
    <w:rsid w:val="002869B6"/>
    <w:rsid w:val="002926D3"/>
    <w:rsid w:val="002955F2"/>
    <w:rsid w:val="00296970"/>
    <w:rsid w:val="00297970"/>
    <w:rsid w:val="002A6FE5"/>
    <w:rsid w:val="002B06B1"/>
    <w:rsid w:val="002B1FDD"/>
    <w:rsid w:val="002B4CF4"/>
    <w:rsid w:val="002B56DC"/>
    <w:rsid w:val="002C10CD"/>
    <w:rsid w:val="002C37FD"/>
    <w:rsid w:val="002C45BF"/>
    <w:rsid w:val="002D6770"/>
    <w:rsid w:val="002D68DE"/>
    <w:rsid w:val="002E02EC"/>
    <w:rsid w:val="002E1045"/>
    <w:rsid w:val="002E12E6"/>
    <w:rsid w:val="002E4734"/>
    <w:rsid w:val="002E5487"/>
    <w:rsid w:val="002E66A3"/>
    <w:rsid w:val="002F02F3"/>
    <w:rsid w:val="002F0A01"/>
    <w:rsid w:val="002F107D"/>
    <w:rsid w:val="002F3622"/>
    <w:rsid w:val="002F638D"/>
    <w:rsid w:val="00301827"/>
    <w:rsid w:val="0030325D"/>
    <w:rsid w:val="0030438B"/>
    <w:rsid w:val="00304809"/>
    <w:rsid w:val="0030552F"/>
    <w:rsid w:val="00310BD0"/>
    <w:rsid w:val="003110E0"/>
    <w:rsid w:val="003148DD"/>
    <w:rsid w:val="0031678C"/>
    <w:rsid w:val="0032152B"/>
    <w:rsid w:val="00323250"/>
    <w:rsid w:val="00324671"/>
    <w:rsid w:val="00327AD2"/>
    <w:rsid w:val="003308B1"/>
    <w:rsid w:val="00331965"/>
    <w:rsid w:val="0033555F"/>
    <w:rsid w:val="00340B3A"/>
    <w:rsid w:val="00343371"/>
    <w:rsid w:val="00346E08"/>
    <w:rsid w:val="00347926"/>
    <w:rsid w:val="00350B18"/>
    <w:rsid w:val="003523A7"/>
    <w:rsid w:val="00353D0B"/>
    <w:rsid w:val="00355B91"/>
    <w:rsid w:val="0035717E"/>
    <w:rsid w:val="00357925"/>
    <w:rsid w:val="00361CD4"/>
    <w:rsid w:val="00365190"/>
    <w:rsid w:val="00365624"/>
    <w:rsid w:val="003742ED"/>
    <w:rsid w:val="00374CFA"/>
    <w:rsid w:val="00375B47"/>
    <w:rsid w:val="0037722C"/>
    <w:rsid w:val="00377FC6"/>
    <w:rsid w:val="003816F9"/>
    <w:rsid w:val="0038265C"/>
    <w:rsid w:val="00382C2A"/>
    <w:rsid w:val="0038444B"/>
    <w:rsid w:val="00387BFA"/>
    <w:rsid w:val="003929FD"/>
    <w:rsid w:val="00394E73"/>
    <w:rsid w:val="00396C56"/>
    <w:rsid w:val="00397E46"/>
    <w:rsid w:val="003A13AF"/>
    <w:rsid w:val="003A154B"/>
    <w:rsid w:val="003A36ED"/>
    <w:rsid w:val="003A42E5"/>
    <w:rsid w:val="003A5B49"/>
    <w:rsid w:val="003B03AF"/>
    <w:rsid w:val="003B0496"/>
    <w:rsid w:val="003B13F0"/>
    <w:rsid w:val="003B15C4"/>
    <w:rsid w:val="003B1602"/>
    <w:rsid w:val="003B6D26"/>
    <w:rsid w:val="003B6DE5"/>
    <w:rsid w:val="003B710C"/>
    <w:rsid w:val="003C0710"/>
    <w:rsid w:val="003C16C4"/>
    <w:rsid w:val="003C2E36"/>
    <w:rsid w:val="003C378F"/>
    <w:rsid w:val="003C3C09"/>
    <w:rsid w:val="003C497E"/>
    <w:rsid w:val="003C66FC"/>
    <w:rsid w:val="003D1D11"/>
    <w:rsid w:val="003D65F4"/>
    <w:rsid w:val="003D72AE"/>
    <w:rsid w:val="003E01F4"/>
    <w:rsid w:val="003E69E4"/>
    <w:rsid w:val="003F0DE4"/>
    <w:rsid w:val="003F4215"/>
    <w:rsid w:val="003F5723"/>
    <w:rsid w:val="003F76EE"/>
    <w:rsid w:val="0040301D"/>
    <w:rsid w:val="004033A5"/>
    <w:rsid w:val="0040654E"/>
    <w:rsid w:val="00407488"/>
    <w:rsid w:val="00407B58"/>
    <w:rsid w:val="0041029F"/>
    <w:rsid w:val="00413731"/>
    <w:rsid w:val="004145F1"/>
    <w:rsid w:val="00415008"/>
    <w:rsid w:val="0041749B"/>
    <w:rsid w:val="00420CDE"/>
    <w:rsid w:val="00424A7A"/>
    <w:rsid w:val="00425457"/>
    <w:rsid w:val="00426166"/>
    <w:rsid w:val="0042644F"/>
    <w:rsid w:val="00426EE1"/>
    <w:rsid w:val="00426F80"/>
    <w:rsid w:val="00427943"/>
    <w:rsid w:val="00431E3D"/>
    <w:rsid w:val="0043238F"/>
    <w:rsid w:val="004326F8"/>
    <w:rsid w:val="00432889"/>
    <w:rsid w:val="00432F46"/>
    <w:rsid w:val="004335FC"/>
    <w:rsid w:val="0043430C"/>
    <w:rsid w:val="0043535D"/>
    <w:rsid w:val="00436890"/>
    <w:rsid w:val="00440D03"/>
    <w:rsid w:val="0044145E"/>
    <w:rsid w:val="004418E5"/>
    <w:rsid w:val="004433CA"/>
    <w:rsid w:val="004433F0"/>
    <w:rsid w:val="004463FB"/>
    <w:rsid w:val="00446800"/>
    <w:rsid w:val="00446D9B"/>
    <w:rsid w:val="00450378"/>
    <w:rsid w:val="0045144B"/>
    <w:rsid w:val="00454929"/>
    <w:rsid w:val="00461491"/>
    <w:rsid w:val="0046631C"/>
    <w:rsid w:val="00466800"/>
    <w:rsid w:val="0047074F"/>
    <w:rsid w:val="0047218D"/>
    <w:rsid w:val="00472A00"/>
    <w:rsid w:val="00476056"/>
    <w:rsid w:val="00481567"/>
    <w:rsid w:val="00481D70"/>
    <w:rsid w:val="004837C6"/>
    <w:rsid w:val="00485B44"/>
    <w:rsid w:val="0048683B"/>
    <w:rsid w:val="004877AD"/>
    <w:rsid w:val="0049239F"/>
    <w:rsid w:val="00492EEC"/>
    <w:rsid w:val="00494075"/>
    <w:rsid w:val="0049681A"/>
    <w:rsid w:val="004A0465"/>
    <w:rsid w:val="004A40A2"/>
    <w:rsid w:val="004A4107"/>
    <w:rsid w:val="004A44C3"/>
    <w:rsid w:val="004A486A"/>
    <w:rsid w:val="004A58B2"/>
    <w:rsid w:val="004B1948"/>
    <w:rsid w:val="004B1F2D"/>
    <w:rsid w:val="004B20D9"/>
    <w:rsid w:val="004B3508"/>
    <w:rsid w:val="004B56C2"/>
    <w:rsid w:val="004B5BDD"/>
    <w:rsid w:val="004B5FBC"/>
    <w:rsid w:val="004B6670"/>
    <w:rsid w:val="004B6787"/>
    <w:rsid w:val="004B7E3F"/>
    <w:rsid w:val="004C024A"/>
    <w:rsid w:val="004C0B7B"/>
    <w:rsid w:val="004C31F6"/>
    <w:rsid w:val="004C3F1C"/>
    <w:rsid w:val="004C3F75"/>
    <w:rsid w:val="004C5ADC"/>
    <w:rsid w:val="004C5B13"/>
    <w:rsid w:val="004C6B4B"/>
    <w:rsid w:val="004D0A5A"/>
    <w:rsid w:val="004D15B8"/>
    <w:rsid w:val="004D1DBF"/>
    <w:rsid w:val="004D2043"/>
    <w:rsid w:val="004D2131"/>
    <w:rsid w:val="004D21A3"/>
    <w:rsid w:val="004D37D6"/>
    <w:rsid w:val="004D4C35"/>
    <w:rsid w:val="004D5DEE"/>
    <w:rsid w:val="004E15FE"/>
    <w:rsid w:val="004E2E6D"/>
    <w:rsid w:val="004E3BF3"/>
    <w:rsid w:val="004E6B60"/>
    <w:rsid w:val="004F0904"/>
    <w:rsid w:val="004F1941"/>
    <w:rsid w:val="004F34C7"/>
    <w:rsid w:val="004F352D"/>
    <w:rsid w:val="004F39B0"/>
    <w:rsid w:val="004F61E3"/>
    <w:rsid w:val="00503381"/>
    <w:rsid w:val="00504D58"/>
    <w:rsid w:val="005060BB"/>
    <w:rsid w:val="0051016C"/>
    <w:rsid w:val="005129CB"/>
    <w:rsid w:val="00513B04"/>
    <w:rsid w:val="00513B58"/>
    <w:rsid w:val="00514DFA"/>
    <w:rsid w:val="0051614A"/>
    <w:rsid w:val="00520023"/>
    <w:rsid w:val="00520D90"/>
    <w:rsid w:val="005235CA"/>
    <w:rsid w:val="00523C7D"/>
    <w:rsid w:val="0052549A"/>
    <w:rsid w:val="0052583B"/>
    <w:rsid w:val="005270B8"/>
    <w:rsid w:val="005279E5"/>
    <w:rsid w:val="00530783"/>
    <w:rsid w:val="00533DA8"/>
    <w:rsid w:val="00534D0E"/>
    <w:rsid w:val="00540D41"/>
    <w:rsid w:val="00542374"/>
    <w:rsid w:val="005426C7"/>
    <w:rsid w:val="005436BD"/>
    <w:rsid w:val="005439DF"/>
    <w:rsid w:val="00543B11"/>
    <w:rsid w:val="00545248"/>
    <w:rsid w:val="0054568F"/>
    <w:rsid w:val="005469B9"/>
    <w:rsid w:val="00547148"/>
    <w:rsid w:val="005522B2"/>
    <w:rsid w:val="005526AB"/>
    <w:rsid w:val="005551E9"/>
    <w:rsid w:val="005555D8"/>
    <w:rsid w:val="00556AD3"/>
    <w:rsid w:val="005575C1"/>
    <w:rsid w:val="00560BD9"/>
    <w:rsid w:val="00560FDB"/>
    <w:rsid w:val="00562217"/>
    <w:rsid w:val="00564535"/>
    <w:rsid w:val="00564DDC"/>
    <w:rsid w:val="00572D49"/>
    <w:rsid w:val="00572DEB"/>
    <w:rsid w:val="00576329"/>
    <w:rsid w:val="00580CD3"/>
    <w:rsid w:val="00581C7D"/>
    <w:rsid w:val="00582FD0"/>
    <w:rsid w:val="00584569"/>
    <w:rsid w:val="00585BE7"/>
    <w:rsid w:val="00590303"/>
    <w:rsid w:val="0059177C"/>
    <w:rsid w:val="00592218"/>
    <w:rsid w:val="00592EC4"/>
    <w:rsid w:val="00597C86"/>
    <w:rsid w:val="005A5A6B"/>
    <w:rsid w:val="005A5A7A"/>
    <w:rsid w:val="005A6E66"/>
    <w:rsid w:val="005A7C35"/>
    <w:rsid w:val="005C01D8"/>
    <w:rsid w:val="005C150F"/>
    <w:rsid w:val="005C2622"/>
    <w:rsid w:val="005C5864"/>
    <w:rsid w:val="005C5A6A"/>
    <w:rsid w:val="005C7A83"/>
    <w:rsid w:val="005C7D3B"/>
    <w:rsid w:val="005D07BA"/>
    <w:rsid w:val="005D2644"/>
    <w:rsid w:val="005D2AA4"/>
    <w:rsid w:val="005D36E4"/>
    <w:rsid w:val="005D5129"/>
    <w:rsid w:val="005D6048"/>
    <w:rsid w:val="005D6829"/>
    <w:rsid w:val="005D70EA"/>
    <w:rsid w:val="005D7ED3"/>
    <w:rsid w:val="005D7EEF"/>
    <w:rsid w:val="005E0785"/>
    <w:rsid w:val="005E1252"/>
    <w:rsid w:val="005E3C1E"/>
    <w:rsid w:val="005E400B"/>
    <w:rsid w:val="005E41B5"/>
    <w:rsid w:val="005E594F"/>
    <w:rsid w:val="005E602D"/>
    <w:rsid w:val="005E6B2E"/>
    <w:rsid w:val="005F0548"/>
    <w:rsid w:val="005F4059"/>
    <w:rsid w:val="005F4129"/>
    <w:rsid w:val="005F4B66"/>
    <w:rsid w:val="005F5452"/>
    <w:rsid w:val="005F5D6A"/>
    <w:rsid w:val="005F6BCC"/>
    <w:rsid w:val="005F7A06"/>
    <w:rsid w:val="00601B43"/>
    <w:rsid w:val="00602E3C"/>
    <w:rsid w:val="0060643B"/>
    <w:rsid w:val="00607459"/>
    <w:rsid w:val="006101CA"/>
    <w:rsid w:val="00611066"/>
    <w:rsid w:val="00611F35"/>
    <w:rsid w:val="00615147"/>
    <w:rsid w:val="00615228"/>
    <w:rsid w:val="00617F64"/>
    <w:rsid w:val="006214C3"/>
    <w:rsid w:val="0062349A"/>
    <w:rsid w:val="00623923"/>
    <w:rsid w:val="00624C0F"/>
    <w:rsid w:val="006265EA"/>
    <w:rsid w:val="00626C98"/>
    <w:rsid w:val="00627CB6"/>
    <w:rsid w:val="006344EA"/>
    <w:rsid w:val="006354C1"/>
    <w:rsid w:val="00636287"/>
    <w:rsid w:val="006364F1"/>
    <w:rsid w:val="00636DB0"/>
    <w:rsid w:val="006375AE"/>
    <w:rsid w:val="00637DC6"/>
    <w:rsid w:val="00640173"/>
    <w:rsid w:val="00640638"/>
    <w:rsid w:val="00640952"/>
    <w:rsid w:val="00640DB6"/>
    <w:rsid w:val="006422C2"/>
    <w:rsid w:val="0064249C"/>
    <w:rsid w:val="00644A9D"/>
    <w:rsid w:val="00645E9B"/>
    <w:rsid w:val="0064611C"/>
    <w:rsid w:val="00646C7C"/>
    <w:rsid w:val="00653CEE"/>
    <w:rsid w:val="0065463D"/>
    <w:rsid w:val="00656141"/>
    <w:rsid w:val="0065727D"/>
    <w:rsid w:val="00657D91"/>
    <w:rsid w:val="006636CD"/>
    <w:rsid w:val="00665BA2"/>
    <w:rsid w:val="00667D13"/>
    <w:rsid w:val="00676163"/>
    <w:rsid w:val="00676E04"/>
    <w:rsid w:val="0068145F"/>
    <w:rsid w:val="00682B84"/>
    <w:rsid w:val="006841D9"/>
    <w:rsid w:val="00684E3B"/>
    <w:rsid w:val="00685178"/>
    <w:rsid w:val="00691E0E"/>
    <w:rsid w:val="00695B88"/>
    <w:rsid w:val="0069738D"/>
    <w:rsid w:val="006A07B4"/>
    <w:rsid w:val="006A108B"/>
    <w:rsid w:val="006A3015"/>
    <w:rsid w:val="006A576A"/>
    <w:rsid w:val="006A66CE"/>
    <w:rsid w:val="006A6E96"/>
    <w:rsid w:val="006A7833"/>
    <w:rsid w:val="006B0CF3"/>
    <w:rsid w:val="006B126F"/>
    <w:rsid w:val="006B1594"/>
    <w:rsid w:val="006B778D"/>
    <w:rsid w:val="006C1A75"/>
    <w:rsid w:val="006C4A6E"/>
    <w:rsid w:val="006C6271"/>
    <w:rsid w:val="006C7D2B"/>
    <w:rsid w:val="006D1625"/>
    <w:rsid w:val="006D2CD1"/>
    <w:rsid w:val="006D3F83"/>
    <w:rsid w:val="006D5242"/>
    <w:rsid w:val="006D5BB5"/>
    <w:rsid w:val="006D7CC2"/>
    <w:rsid w:val="006E24F0"/>
    <w:rsid w:val="006F23E3"/>
    <w:rsid w:val="006F2456"/>
    <w:rsid w:val="006F4EA3"/>
    <w:rsid w:val="006F5842"/>
    <w:rsid w:val="006F6723"/>
    <w:rsid w:val="00700A8B"/>
    <w:rsid w:val="0070302C"/>
    <w:rsid w:val="00703856"/>
    <w:rsid w:val="00703A3E"/>
    <w:rsid w:val="007174B5"/>
    <w:rsid w:val="0071773A"/>
    <w:rsid w:val="00717C7A"/>
    <w:rsid w:val="00717D39"/>
    <w:rsid w:val="00723890"/>
    <w:rsid w:val="00724127"/>
    <w:rsid w:val="007258EE"/>
    <w:rsid w:val="0072656D"/>
    <w:rsid w:val="00726B85"/>
    <w:rsid w:val="00727D67"/>
    <w:rsid w:val="00730060"/>
    <w:rsid w:val="00732301"/>
    <w:rsid w:val="00732E7D"/>
    <w:rsid w:val="00734B6E"/>
    <w:rsid w:val="00734D39"/>
    <w:rsid w:val="00735474"/>
    <w:rsid w:val="007362BC"/>
    <w:rsid w:val="00736DF1"/>
    <w:rsid w:val="00736E96"/>
    <w:rsid w:val="00736F21"/>
    <w:rsid w:val="007376F9"/>
    <w:rsid w:val="00737710"/>
    <w:rsid w:val="00741419"/>
    <w:rsid w:val="00742998"/>
    <w:rsid w:val="00743300"/>
    <w:rsid w:val="00745AA1"/>
    <w:rsid w:val="00751B14"/>
    <w:rsid w:val="00754B77"/>
    <w:rsid w:val="00755628"/>
    <w:rsid w:val="007577A0"/>
    <w:rsid w:val="007618FC"/>
    <w:rsid w:val="00761DC1"/>
    <w:rsid w:val="007625A1"/>
    <w:rsid w:val="00763661"/>
    <w:rsid w:val="00763B6B"/>
    <w:rsid w:val="007646EC"/>
    <w:rsid w:val="00765B93"/>
    <w:rsid w:val="00765D86"/>
    <w:rsid w:val="00766B5C"/>
    <w:rsid w:val="00767935"/>
    <w:rsid w:val="007716F7"/>
    <w:rsid w:val="00772A85"/>
    <w:rsid w:val="00773D6F"/>
    <w:rsid w:val="00775D9A"/>
    <w:rsid w:val="00777923"/>
    <w:rsid w:val="00781BD7"/>
    <w:rsid w:val="007842F5"/>
    <w:rsid w:val="00791059"/>
    <w:rsid w:val="00791A69"/>
    <w:rsid w:val="007934CC"/>
    <w:rsid w:val="00793906"/>
    <w:rsid w:val="00793FA1"/>
    <w:rsid w:val="007958DC"/>
    <w:rsid w:val="007965EC"/>
    <w:rsid w:val="00796DD9"/>
    <w:rsid w:val="00797E41"/>
    <w:rsid w:val="007A0EBB"/>
    <w:rsid w:val="007A0FD8"/>
    <w:rsid w:val="007A3245"/>
    <w:rsid w:val="007A4ABB"/>
    <w:rsid w:val="007A4FB2"/>
    <w:rsid w:val="007A5795"/>
    <w:rsid w:val="007A7E24"/>
    <w:rsid w:val="007B051E"/>
    <w:rsid w:val="007B073E"/>
    <w:rsid w:val="007B7ED6"/>
    <w:rsid w:val="007C001E"/>
    <w:rsid w:val="007C07C9"/>
    <w:rsid w:val="007C1F92"/>
    <w:rsid w:val="007C4152"/>
    <w:rsid w:val="007C4360"/>
    <w:rsid w:val="007C4F7C"/>
    <w:rsid w:val="007C7EA9"/>
    <w:rsid w:val="007D1BAF"/>
    <w:rsid w:val="007D1D91"/>
    <w:rsid w:val="007D1F76"/>
    <w:rsid w:val="007D1FAA"/>
    <w:rsid w:val="007D2FA2"/>
    <w:rsid w:val="007D343C"/>
    <w:rsid w:val="007D400A"/>
    <w:rsid w:val="007D4337"/>
    <w:rsid w:val="007D5749"/>
    <w:rsid w:val="007D6405"/>
    <w:rsid w:val="007E093E"/>
    <w:rsid w:val="007E2B39"/>
    <w:rsid w:val="007E2C37"/>
    <w:rsid w:val="007E3350"/>
    <w:rsid w:val="007E41E2"/>
    <w:rsid w:val="007E4736"/>
    <w:rsid w:val="007E48C3"/>
    <w:rsid w:val="007E6115"/>
    <w:rsid w:val="007F0874"/>
    <w:rsid w:val="007F0B2B"/>
    <w:rsid w:val="007F1474"/>
    <w:rsid w:val="00802335"/>
    <w:rsid w:val="008023E6"/>
    <w:rsid w:val="00803388"/>
    <w:rsid w:val="00811A68"/>
    <w:rsid w:val="008139C4"/>
    <w:rsid w:val="00814C11"/>
    <w:rsid w:val="00817FBC"/>
    <w:rsid w:val="008235F7"/>
    <w:rsid w:val="00826E50"/>
    <w:rsid w:val="008272DE"/>
    <w:rsid w:val="008277C8"/>
    <w:rsid w:val="00827DB8"/>
    <w:rsid w:val="008308C4"/>
    <w:rsid w:val="008333FD"/>
    <w:rsid w:val="0083485E"/>
    <w:rsid w:val="00834DFE"/>
    <w:rsid w:val="008410F9"/>
    <w:rsid w:val="00842467"/>
    <w:rsid w:val="00846443"/>
    <w:rsid w:val="008549F7"/>
    <w:rsid w:val="008556E5"/>
    <w:rsid w:val="008567EB"/>
    <w:rsid w:val="0085693F"/>
    <w:rsid w:val="008607F7"/>
    <w:rsid w:val="00863480"/>
    <w:rsid w:val="0086432B"/>
    <w:rsid w:val="00865719"/>
    <w:rsid w:val="00865A52"/>
    <w:rsid w:val="0087001B"/>
    <w:rsid w:val="00871449"/>
    <w:rsid w:val="008738C3"/>
    <w:rsid w:val="00875B0C"/>
    <w:rsid w:val="00875B71"/>
    <w:rsid w:val="00875E7E"/>
    <w:rsid w:val="00881A90"/>
    <w:rsid w:val="00885912"/>
    <w:rsid w:val="008862AC"/>
    <w:rsid w:val="00887405"/>
    <w:rsid w:val="00893B94"/>
    <w:rsid w:val="00895EE5"/>
    <w:rsid w:val="008961B7"/>
    <w:rsid w:val="00896343"/>
    <w:rsid w:val="00896973"/>
    <w:rsid w:val="00897630"/>
    <w:rsid w:val="008A1A9F"/>
    <w:rsid w:val="008A29E8"/>
    <w:rsid w:val="008A35DD"/>
    <w:rsid w:val="008A3602"/>
    <w:rsid w:val="008A6E72"/>
    <w:rsid w:val="008A6FDC"/>
    <w:rsid w:val="008A7C54"/>
    <w:rsid w:val="008B090B"/>
    <w:rsid w:val="008B3B4D"/>
    <w:rsid w:val="008B46B8"/>
    <w:rsid w:val="008B51E9"/>
    <w:rsid w:val="008B5299"/>
    <w:rsid w:val="008B61D0"/>
    <w:rsid w:val="008B72EB"/>
    <w:rsid w:val="008C0F33"/>
    <w:rsid w:val="008C1ACC"/>
    <w:rsid w:val="008C1B66"/>
    <w:rsid w:val="008C4B71"/>
    <w:rsid w:val="008C61DC"/>
    <w:rsid w:val="008C6C28"/>
    <w:rsid w:val="008D1B9F"/>
    <w:rsid w:val="008D31C7"/>
    <w:rsid w:val="008D4CBD"/>
    <w:rsid w:val="008D4E31"/>
    <w:rsid w:val="008E3813"/>
    <w:rsid w:val="008E45CD"/>
    <w:rsid w:val="008E45DD"/>
    <w:rsid w:val="008E4C2D"/>
    <w:rsid w:val="008E74CA"/>
    <w:rsid w:val="008E7768"/>
    <w:rsid w:val="008F3A88"/>
    <w:rsid w:val="008F6159"/>
    <w:rsid w:val="008F6251"/>
    <w:rsid w:val="008F74BC"/>
    <w:rsid w:val="00901995"/>
    <w:rsid w:val="00901D3B"/>
    <w:rsid w:val="00902BFB"/>
    <w:rsid w:val="00903C45"/>
    <w:rsid w:val="00904F75"/>
    <w:rsid w:val="00906641"/>
    <w:rsid w:val="009072DE"/>
    <w:rsid w:val="009107AA"/>
    <w:rsid w:val="009107D7"/>
    <w:rsid w:val="009125F9"/>
    <w:rsid w:val="0091541D"/>
    <w:rsid w:val="009165DF"/>
    <w:rsid w:val="00916A89"/>
    <w:rsid w:val="009203BC"/>
    <w:rsid w:val="0092114D"/>
    <w:rsid w:val="00924A7A"/>
    <w:rsid w:val="00926569"/>
    <w:rsid w:val="0093004C"/>
    <w:rsid w:val="00930A69"/>
    <w:rsid w:val="009310D1"/>
    <w:rsid w:val="009313C8"/>
    <w:rsid w:val="009350A5"/>
    <w:rsid w:val="00936164"/>
    <w:rsid w:val="00936725"/>
    <w:rsid w:val="00936CF5"/>
    <w:rsid w:val="00936D2B"/>
    <w:rsid w:val="00942AB8"/>
    <w:rsid w:val="00943B04"/>
    <w:rsid w:val="0095084D"/>
    <w:rsid w:val="00951F98"/>
    <w:rsid w:val="00953A51"/>
    <w:rsid w:val="00955BCE"/>
    <w:rsid w:val="00956CC8"/>
    <w:rsid w:val="00961985"/>
    <w:rsid w:val="00966457"/>
    <w:rsid w:val="009676D7"/>
    <w:rsid w:val="009677F7"/>
    <w:rsid w:val="0097070C"/>
    <w:rsid w:val="00970C9A"/>
    <w:rsid w:val="00971D4F"/>
    <w:rsid w:val="00973B0D"/>
    <w:rsid w:val="00975B06"/>
    <w:rsid w:val="009824F5"/>
    <w:rsid w:val="00983C50"/>
    <w:rsid w:val="00984408"/>
    <w:rsid w:val="00985156"/>
    <w:rsid w:val="0098685A"/>
    <w:rsid w:val="00991649"/>
    <w:rsid w:val="00992AD4"/>
    <w:rsid w:val="00993236"/>
    <w:rsid w:val="009943F4"/>
    <w:rsid w:val="00996F6F"/>
    <w:rsid w:val="009A100C"/>
    <w:rsid w:val="009A26B5"/>
    <w:rsid w:val="009A27CA"/>
    <w:rsid w:val="009A2CF2"/>
    <w:rsid w:val="009A3571"/>
    <w:rsid w:val="009A50B5"/>
    <w:rsid w:val="009A6EEF"/>
    <w:rsid w:val="009B039F"/>
    <w:rsid w:val="009B2B28"/>
    <w:rsid w:val="009B4C55"/>
    <w:rsid w:val="009B5E55"/>
    <w:rsid w:val="009B6E66"/>
    <w:rsid w:val="009C0579"/>
    <w:rsid w:val="009C752E"/>
    <w:rsid w:val="009C7EF7"/>
    <w:rsid w:val="009D28C9"/>
    <w:rsid w:val="009D53AB"/>
    <w:rsid w:val="009D5EE6"/>
    <w:rsid w:val="009D7137"/>
    <w:rsid w:val="009E0909"/>
    <w:rsid w:val="009E3DF3"/>
    <w:rsid w:val="009F0A63"/>
    <w:rsid w:val="009F2449"/>
    <w:rsid w:val="009F291C"/>
    <w:rsid w:val="009F3761"/>
    <w:rsid w:val="009F5806"/>
    <w:rsid w:val="009F6C47"/>
    <w:rsid w:val="009F6F35"/>
    <w:rsid w:val="009F704B"/>
    <w:rsid w:val="009F77CC"/>
    <w:rsid w:val="00A0323D"/>
    <w:rsid w:val="00A032F5"/>
    <w:rsid w:val="00A0352C"/>
    <w:rsid w:val="00A04ECC"/>
    <w:rsid w:val="00A06B26"/>
    <w:rsid w:val="00A06CD4"/>
    <w:rsid w:val="00A11C3A"/>
    <w:rsid w:val="00A1612D"/>
    <w:rsid w:val="00A1751B"/>
    <w:rsid w:val="00A205DA"/>
    <w:rsid w:val="00A22C03"/>
    <w:rsid w:val="00A2403F"/>
    <w:rsid w:val="00A27847"/>
    <w:rsid w:val="00A278F7"/>
    <w:rsid w:val="00A30BFE"/>
    <w:rsid w:val="00A3109D"/>
    <w:rsid w:val="00A31DFB"/>
    <w:rsid w:val="00A321E3"/>
    <w:rsid w:val="00A34266"/>
    <w:rsid w:val="00A3649B"/>
    <w:rsid w:val="00A40530"/>
    <w:rsid w:val="00A40A33"/>
    <w:rsid w:val="00A40A91"/>
    <w:rsid w:val="00A40DCE"/>
    <w:rsid w:val="00A422E8"/>
    <w:rsid w:val="00A44902"/>
    <w:rsid w:val="00A53274"/>
    <w:rsid w:val="00A547F7"/>
    <w:rsid w:val="00A55252"/>
    <w:rsid w:val="00A57230"/>
    <w:rsid w:val="00A600C0"/>
    <w:rsid w:val="00A610A9"/>
    <w:rsid w:val="00A6380F"/>
    <w:rsid w:val="00A64419"/>
    <w:rsid w:val="00A71FF0"/>
    <w:rsid w:val="00A72D5A"/>
    <w:rsid w:val="00A7512B"/>
    <w:rsid w:val="00A7513B"/>
    <w:rsid w:val="00A761E9"/>
    <w:rsid w:val="00A800CD"/>
    <w:rsid w:val="00A80DD3"/>
    <w:rsid w:val="00A814BD"/>
    <w:rsid w:val="00A81F15"/>
    <w:rsid w:val="00A84DCD"/>
    <w:rsid w:val="00A85375"/>
    <w:rsid w:val="00A87B08"/>
    <w:rsid w:val="00A90691"/>
    <w:rsid w:val="00A93DEE"/>
    <w:rsid w:val="00A94A71"/>
    <w:rsid w:val="00A95CC4"/>
    <w:rsid w:val="00A96D46"/>
    <w:rsid w:val="00A97B7A"/>
    <w:rsid w:val="00AA1F6E"/>
    <w:rsid w:val="00AA5647"/>
    <w:rsid w:val="00AA75B8"/>
    <w:rsid w:val="00AB135E"/>
    <w:rsid w:val="00AB15E1"/>
    <w:rsid w:val="00AB2859"/>
    <w:rsid w:val="00AB5399"/>
    <w:rsid w:val="00AB646A"/>
    <w:rsid w:val="00AC017E"/>
    <w:rsid w:val="00AC2943"/>
    <w:rsid w:val="00AC5137"/>
    <w:rsid w:val="00AC5F2C"/>
    <w:rsid w:val="00AC5F38"/>
    <w:rsid w:val="00AC71FA"/>
    <w:rsid w:val="00AD1AD0"/>
    <w:rsid w:val="00AD2AA2"/>
    <w:rsid w:val="00AD3147"/>
    <w:rsid w:val="00AD34C1"/>
    <w:rsid w:val="00AD55A7"/>
    <w:rsid w:val="00AD5768"/>
    <w:rsid w:val="00AD5A1D"/>
    <w:rsid w:val="00AD7C75"/>
    <w:rsid w:val="00AE1CB9"/>
    <w:rsid w:val="00AE1F2A"/>
    <w:rsid w:val="00AE211A"/>
    <w:rsid w:val="00AE6A5C"/>
    <w:rsid w:val="00AF09F7"/>
    <w:rsid w:val="00AF2F2A"/>
    <w:rsid w:val="00AF5038"/>
    <w:rsid w:val="00AF555E"/>
    <w:rsid w:val="00AF5AA9"/>
    <w:rsid w:val="00AF5BD6"/>
    <w:rsid w:val="00AF7E18"/>
    <w:rsid w:val="00B0176E"/>
    <w:rsid w:val="00B03702"/>
    <w:rsid w:val="00B07884"/>
    <w:rsid w:val="00B13614"/>
    <w:rsid w:val="00B138CA"/>
    <w:rsid w:val="00B14804"/>
    <w:rsid w:val="00B14D71"/>
    <w:rsid w:val="00B14FDE"/>
    <w:rsid w:val="00B15319"/>
    <w:rsid w:val="00B160E2"/>
    <w:rsid w:val="00B16E5A"/>
    <w:rsid w:val="00B235BD"/>
    <w:rsid w:val="00B23BAD"/>
    <w:rsid w:val="00B26926"/>
    <w:rsid w:val="00B278CE"/>
    <w:rsid w:val="00B3093F"/>
    <w:rsid w:val="00B3167E"/>
    <w:rsid w:val="00B323F5"/>
    <w:rsid w:val="00B32D34"/>
    <w:rsid w:val="00B3691C"/>
    <w:rsid w:val="00B37100"/>
    <w:rsid w:val="00B4037B"/>
    <w:rsid w:val="00B41423"/>
    <w:rsid w:val="00B41A86"/>
    <w:rsid w:val="00B435DF"/>
    <w:rsid w:val="00B4378B"/>
    <w:rsid w:val="00B450CA"/>
    <w:rsid w:val="00B45AFF"/>
    <w:rsid w:val="00B466A7"/>
    <w:rsid w:val="00B475EA"/>
    <w:rsid w:val="00B547E3"/>
    <w:rsid w:val="00B55587"/>
    <w:rsid w:val="00B56237"/>
    <w:rsid w:val="00B602E5"/>
    <w:rsid w:val="00B6056A"/>
    <w:rsid w:val="00B60FD3"/>
    <w:rsid w:val="00B6230B"/>
    <w:rsid w:val="00B63CDA"/>
    <w:rsid w:val="00B63E09"/>
    <w:rsid w:val="00B65A0A"/>
    <w:rsid w:val="00B66B98"/>
    <w:rsid w:val="00B720DE"/>
    <w:rsid w:val="00B72D26"/>
    <w:rsid w:val="00B732AD"/>
    <w:rsid w:val="00B76783"/>
    <w:rsid w:val="00B87801"/>
    <w:rsid w:val="00B90164"/>
    <w:rsid w:val="00B92CB4"/>
    <w:rsid w:val="00B95098"/>
    <w:rsid w:val="00B9520F"/>
    <w:rsid w:val="00B95898"/>
    <w:rsid w:val="00B970E3"/>
    <w:rsid w:val="00BA0D20"/>
    <w:rsid w:val="00BA2967"/>
    <w:rsid w:val="00BA67AE"/>
    <w:rsid w:val="00BA6E78"/>
    <w:rsid w:val="00BB1B48"/>
    <w:rsid w:val="00BB427C"/>
    <w:rsid w:val="00BB4991"/>
    <w:rsid w:val="00BB5800"/>
    <w:rsid w:val="00BB6CEE"/>
    <w:rsid w:val="00BC11E3"/>
    <w:rsid w:val="00BC18BC"/>
    <w:rsid w:val="00BC53F5"/>
    <w:rsid w:val="00BC55D8"/>
    <w:rsid w:val="00BC59FA"/>
    <w:rsid w:val="00BC6A69"/>
    <w:rsid w:val="00BD0F56"/>
    <w:rsid w:val="00BD1208"/>
    <w:rsid w:val="00BD2A46"/>
    <w:rsid w:val="00BE4663"/>
    <w:rsid w:val="00BE5A4C"/>
    <w:rsid w:val="00BE6362"/>
    <w:rsid w:val="00BF0AF4"/>
    <w:rsid w:val="00BF3797"/>
    <w:rsid w:val="00BF7B49"/>
    <w:rsid w:val="00C005EF"/>
    <w:rsid w:val="00C011E6"/>
    <w:rsid w:val="00C0141D"/>
    <w:rsid w:val="00C0426A"/>
    <w:rsid w:val="00C06C99"/>
    <w:rsid w:val="00C0752C"/>
    <w:rsid w:val="00C1029F"/>
    <w:rsid w:val="00C136E3"/>
    <w:rsid w:val="00C13DF2"/>
    <w:rsid w:val="00C1591B"/>
    <w:rsid w:val="00C1674F"/>
    <w:rsid w:val="00C1748B"/>
    <w:rsid w:val="00C21C1D"/>
    <w:rsid w:val="00C22A77"/>
    <w:rsid w:val="00C26CFE"/>
    <w:rsid w:val="00C270A6"/>
    <w:rsid w:val="00C30882"/>
    <w:rsid w:val="00C30AAD"/>
    <w:rsid w:val="00C336F8"/>
    <w:rsid w:val="00C34FC8"/>
    <w:rsid w:val="00C40DD7"/>
    <w:rsid w:val="00C463A1"/>
    <w:rsid w:val="00C470AB"/>
    <w:rsid w:val="00C50739"/>
    <w:rsid w:val="00C5120D"/>
    <w:rsid w:val="00C526E8"/>
    <w:rsid w:val="00C53540"/>
    <w:rsid w:val="00C5448D"/>
    <w:rsid w:val="00C5506F"/>
    <w:rsid w:val="00C55986"/>
    <w:rsid w:val="00C57CC1"/>
    <w:rsid w:val="00C66704"/>
    <w:rsid w:val="00C708DF"/>
    <w:rsid w:val="00C709E4"/>
    <w:rsid w:val="00C72AC1"/>
    <w:rsid w:val="00C7678B"/>
    <w:rsid w:val="00C76CC0"/>
    <w:rsid w:val="00C80F84"/>
    <w:rsid w:val="00C81CE4"/>
    <w:rsid w:val="00C83495"/>
    <w:rsid w:val="00C845C6"/>
    <w:rsid w:val="00C8505D"/>
    <w:rsid w:val="00C8508E"/>
    <w:rsid w:val="00C85449"/>
    <w:rsid w:val="00C85522"/>
    <w:rsid w:val="00C8569D"/>
    <w:rsid w:val="00C92D49"/>
    <w:rsid w:val="00C94340"/>
    <w:rsid w:val="00C943BA"/>
    <w:rsid w:val="00C96C49"/>
    <w:rsid w:val="00CA0D7D"/>
    <w:rsid w:val="00CA137C"/>
    <w:rsid w:val="00CA3726"/>
    <w:rsid w:val="00CA5E2D"/>
    <w:rsid w:val="00CA6AAC"/>
    <w:rsid w:val="00CA6B32"/>
    <w:rsid w:val="00CA73F1"/>
    <w:rsid w:val="00CB0C9D"/>
    <w:rsid w:val="00CB3D1B"/>
    <w:rsid w:val="00CB6BDC"/>
    <w:rsid w:val="00CC0D4E"/>
    <w:rsid w:val="00CC11CB"/>
    <w:rsid w:val="00CC11D9"/>
    <w:rsid w:val="00CC182A"/>
    <w:rsid w:val="00CC3BE7"/>
    <w:rsid w:val="00CC3DD3"/>
    <w:rsid w:val="00CC5CE4"/>
    <w:rsid w:val="00CD0B61"/>
    <w:rsid w:val="00CD0C04"/>
    <w:rsid w:val="00CD1CE8"/>
    <w:rsid w:val="00CD344F"/>
    <w:rsid w:val="00CD58A7"/>
    <w:rsid w:val="00CD7376"/>
    <w:rsid w:val="00CD7B6E"/>
    <w:rsid w:val="00CE0F91"/>
    <w:rsid w:val="00CE1D38"/>
    <w:rsid w:val="00CE3CF7"/>
    <w:rsid w:val="00CE79FB"/>
    <w:rsid w:val="00CF2D8B"/>
    <w:rsid w:val="00CF429C"/>
    <w:rsid w:val="00D00A4A"/>
    <w:rsid w:val="00D00AFD"/>
    <w:rsid w:val="00D00B40"/>
    <w:rsid w:val="00D02738"/>
    <w:rsid w:val="00D03586"/>
    <w:rsid w:val="00D05CFA"/>
    <w:rsid w:val="00D10C66"/>
    <w:rsid w:val="00D14068"/>
    <w:rsid w:val="00D14458"/>
    <w:rsid w:val="00D163A0"/>
    <w:rsid w:val="00D214AF"/>
    <w:rsid w:val="00D2640C"/>
    <w:rsid w:val="00D27244"/>
    <w:rsid w:val="00D32912"/>
    <w:rsid w:val="00D35080"/>
    <w:rsid w:val="00D3641C"/>
    <w:rsid w:val="00D36487"/>
    <w:rsid w:val="00D3672E"/>
    <w:rsid w:val="00D40AB2"/>
    <w:rsid w:val="00D555CD"/>
    <w:rsid w:val="00D573EF"/>
    <w:rsid w:val="00D57B28"/>
    <w:rsid w:val="00D6165D"/>
    <w:rsid w:val="00D6224A"/>
    <w:rsid w:val="00D624AD"/>
    <w:rsid w:val="00D62A6F"/>
    <w:rsid w:val="00D6393E"/>
    <w:rsid w:val="00D63D70"/>
    <w:rsid w:val="00D64453"/>
    <w:rsid w:val="00D66D31"/>
    <w:rsid w:val="00D716D3"/>
    <w:rsid w:val="00D742C0"/>
    <w:rsid w:val="00D74A6A"/>
    <w:rsid w:val="00D80532"/>
    <w:rsid w:val="00D827BF"/>
    <w:rsid w:val="00D83058"/>
    <w:rsid w:val="00D87D50"/>
    <w:rsid w:val="00D928C5"/>
    <w:rsid w:val="00D941CB"/>
    <w:rsid w:val="00D944D4"/>
    <w:rsid w:val="00D9631B"/>
    <w:rsid w:val="00D9692B"/>
    <w:rsid w:val="00D97D5B"/>
    <w:rsid w:val="00DA1774"/>
    <w:rsid w:val="00DA24EF"/>
    <w:rsid w:val="00DA3BAF"/>
    <w:rsid w:val="00DA4E06"/>
    <w:rsid w:val="00DA554C"/>
    <w:rsid w:val="00DA55DD"/>
    <w:rsid w:val="00DA651B"/>
    <w:rsid w:val="00DA72F3"/>
    <w:rsid w:val="00DA7522"/>
    <w:rsid w:val="00DA7BD5"/>
    <w:rsid w:val="00DB2ADE"/>
    <w:rsid w:val="00DB5F68"/>
    <w:rsid w:val="00DB7D22"/>
    <w:rsid w:val="00DC5741"/>
    <w:rsid w:val="00DD1336"/>
    <w:rsid w:val="00DD2687"/>
    <w:rsid w:val="00DD2BEF"/>
    <w:rsid w:val="00DD5670"/>
    <w:rsid w:val="00DD62A0"/>
    <w:rsid w:val="00DD660C"/>
    <w:rsid w:val="00DD74C7"/>
    <w:rsid w:val="00DD7DFC"/>
    <w:rsid w:val="00DE0144"/>
    <w:rsid w:val="00DE1107"/>
    <w:rsid w:val="00DE1A08"/>
    <w:rsid w:val="00DE230E"/>
    <w:rsid w:val="00DE3240"/>
    <w:rsid w:val="00DE5B1C"/>
    <w:rsid w:val="00DE7944"/>
    <w:rsid w:val="00DF4173"/>
    <w:rsid w:val="00DF4AE1"/>
    <w:rsid w:val="00DF6997"/>
    <w:rsid w:val="00DF7183"/>
    <w:rsid w:val="00E022BB"/>
    <w:rsid w:val="00E044C2"/>
    <w:rsid w:val="00E0478B"/>
    <w:rsid w:val="00E0543E"/>
    <w:rsid w:val="00E06173"/>
    <w:rsid w:val="00E062BD"/>
    <w:rsid w:val="00E07354"/>
    <w:rsid w:val="00E10087"/>
    <w:rsid w:val="00E10D46"/>
    <w:rsid w:val="00E11B09"/>
    <w:rsid w:val="00E14023"/>
    <w:rsid w:val="00E14418"/>
    <w:rsid w:val="00E2029C"/>
    <w:rsid w:val="00E202A6"/>
    <w:rsid w:val="00E24084"/>
    <w:rsid w:val="00E25EB9"/>
    <w:rsid w:val="00E30A5F"/>
    <w:rsid w:val="00E31365"/>
    <w:rsid w:val="00E316D1"/>
    <w:rsid w:val="00E31886"/>
    <w:rsid w:val="00E336D1"/>
    <w:rsid w:val="00E33BF3"/>
    <w:rsid w:val="00E34642"/>
    <w:rsid w:val="00E36C6C"/>
    <w:rsid w:val="00E37C6C"/>
    <w:rsid w:val="00E402EA"/>
    <w:rsid w:val="00E41E4B"/>
    <w:rsid w:val="00E45966"/>
    <w:rsid w:val="00E45A2D"/>
    <w:rsid w:val="00E4659D"/>
    <w:rsid w:val="00E50139"/>
    <w:rsid w:val="00E521CB"/>
    <w:rsid w:val="00E56869"/>
    <w:rsid w:val="00E56C72"/>
    <w:rsid w:val="00E63ABA"/>
    <w:rsid w:val="00E6660B"/>
    <w:rsid w:val="00E676CD"/>
    <w:rsid w:val="00E67732"/>
    <w:rsid w:val="00E6775F"/>
    <w:rsid w:val="00E67C73"/>
    <w:rsid w:val="00E70488"/>
    <w:rsid w:val="00E70BF1"/>
    <w:rsid w:val="00E72511"/>
    <w:rsid w:val="00E7380E"/>
    <w:rsid w:val="00E7585F"/>
    <w:rsid w:val="00E76045"/>
    <w:rsid w:val="00E77B80"/>
    <w:rsid w:val="00E82C52"/>
    <w:rsid w:val="00E83D36"/>
    <w:rsid w:val="00E842E6"/>
    <w:rsid w:val="00E8591D"/>
    <w:rsid w:val="00E85D1B"/>
    <w:rsid w:val="00E87440"/>
    <w:rsid w:val="00E90ECF"/>
    <w:rsid w:val="00E92154"/>
    <w:rsid w:val="00E931AF"/>
    <w:rsid w:val="00E939D9"/>
    <w:rsid w:val="00E93BF5"/>
    <w:rsid w:val="00E93F68"/>
    <w:rsid w:val="00E9615B"/>
    <w:rsid w:val="00E965D5"/>
    <w:rsid w:val="00EA1736"/>
    <w:rsid w:val="00EA3402"/>
    <w:rsid w:val="00EA34EB"/>
    <w:rsid w:val="00EA6455"/>
    <w:rsid w:val="00EB18C1"/>
    <w:rsid w:val="00EB4757"/>
    <w:rsid w:val="00EB541D"/>
    <w:rsid w:val="00EB6D87"/>
    <w:rsid w:val="00EB7331"/>
    <w:rsid w:val="00EB7DE4"/>
    <w:rsid w:val="00EB7F66"/>
    <w:rsid w:val="00EC03A7"/>
    <w:rsid w:val="00EC1792"/>
    <w:rsid w:val="00EC582F"/>
    <w:rsid w:val="00EC58E8"/>
    <w:rsid w:val="00EC62E8"/>
    <w:rsid w:val="00EC67FF"/>
    <w:rsid w:val="00ED0231"/>
    <w:rsid w:val="00ED0C7C"/>
    <w:rsid w:val="00ED25DE"/>
    <w:rsid w:val="00ED47F8"/>
    <w:rsid w:val="00ED7920"/>
    <w:rsid w:val="00EE0905"/>
    <w:rsid w:val="00EE4C0A"/>
    <w:rsid w:val="00EE5353"/>
    <w:rsid w:val="00EE652E"/>
    <w:rsid w:val="00EE7320"/>
    <w:rsid w:val="00EF13A7"/>
    <w:rsid w:val="00EF5AB7"/>
    <w:rsid w:val="00EF6516"/>
    <w:rsid w:val="00EF79E0"/>
    <w:rsid w:val="00F00644"/>
    <w:rsid w:val="00F03826"/>
    <w:rsid w:val="00F0383D"/>
    <w:rsid w:val="00F06361"/>
    <w:rsid w:val="00F07924"/>
    <w:rsid w:val="00F14751"/>
    <w:rsid w:val="00F16874"/>
    <w:rsid w:val="00F16A0E"/>
    <w:rsid w:val="00F1748E"/>
    <w:rsid w:val="00F21AF9"/>
    <w:rsid w:val="00F24DEB"/>
    <w:rsid w:val="00F252CB"/>
    <w:rsid w:val="00F256A9"/>
    <w:rsid w:val="00F266BF"/>
    <w:rsid w:val="00F26DF4"/>
    <w:rsid w:val="00F27871"/>
    <w:rsid w:val="00F27DFF"/>
    <w:rsid w:val="00F318CE"/>
    <w:rsid w:val="00F35A8F"/>
    <w:rsid w:val="00F408C9"/>
    <w:rsid w:val="00F40C83"/>
    <w:rsid w:val="00F43CA5"/>
    <w:rsid w:val="00F4409D"/>
    <w:rsid w:val="00F4637F"/>
    <w:rsid w:val="00F5109F"/>
    <w:rsid w:val="00F53B44"/>
    <w:rsid w:val="00F543CB"/>
    <w:rsid w:val="00F56243"/>
    <w:rsid w:val="00F6061D"/>
    <w:rsid w:val="00F615CF"/>
    <w:rsid w:val="00F64957"/>
    <w:rsid w:val="00F6545B"/>
    <w:rsid w:val="00F663E3"/>
    <w:rsid w:val="00F70063"/>
    <w:rsid w:val="00F7031A"/>
    <w:rsid w:val="00F71481"/>
    <w:rsid w:val="00F72599"/>
    <w:rsid w:val="00F72C24"/>
    <w:rsid w:val="00F7407B"/>
    <w:rsid w:val="00F74164"/>
    <w:rsid w:val="00F744AD"/>
    <w:rsid w:val="00F75033"/>
    <w:rsid w:val="00F757CB"/>
    <w:rsid w:val="00F771E6"/>
    <w:rsid w:val="00F8128D"/>
    <w:rsid w:val="00F83C1A"/>
    <w:rsid w:val="00F85802"/>
    <w:rsid w:val="00F91202"/>
    <w:rsid w:val="00F9272B"/>
    <w:rsid w:val="00FA0E73"/>
    <w:rsid w:val="00FA1250"/>
    <w:rsid w:val="00FA2C6F"/>
    <w:rsid w:val="00FA30EB"/>
    <w:rsid w:val="00FA328A"/>
    <w:rsid w:val="00FA76FE"/>
    <w:rsid w:val="00FA7C9C"/>
    <w:rsid w:val="00FB0DB3"/>
    <w:rsid w:val="00FB54D9"/>
    <w:rsid w:val="00FB684E"/>
    <w:rsid w:val="00FC132D"/>
    <w:rsid w:val="00FC42CD"/>
    <w:rsid w:val="00FD1467"/>
    <w:rsid w:val="00FD16BC"/>
    <w:rsid w:val="00FD41D6"/>
    <w:rsid w:val="00FD4F0A"/>
    <w:rsid w:val="00FD5B5A"/>
    <w:rsid w:val="00FD5C30"/>
    <w:rsid w:val="00FD76AF"/>
    <w:rsid w:val="00FE00E7"/>
    <w:rsid w:val="00FE29CB"/>
    <w:rsid w:val="00FE4EC3"/>
    <w:rsid w:val="00FF0459"/>
    <w:rsid w:val="00FF0F93"/>
    <w:rsid w:val="00FF3E36"/>
    <w:rsid w:val="00FF4422"/>
    <w:rsid w:val="00FF480E"/>
    <w:rsid w:val="00FF5E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348358"/>
  <w15:docId w15:val="{4CA7A8B3-23E7-4F5B-8721-F8570A8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218"/>
    <w:pPr>
      <w:spacing w:after="0" w:line="240" w:lineRule="auto"/>
    </w:pPr>
    <w:rPr>
      <w:lang w:val="en-US"/>
    </w:rPr>
  </w:style>
  <w:style w:type="table" w:styleId="TableGrid">
    <w:name w:val="Table Grid"/>
    <w:basedOn w:val="TableNormal"/>
    <w:uiPriority w:val="59"/>
    <w:rsid w:val="0059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18"/>
    <w:rPr>
      <w:rFonts w:ascii="Tahoma" w:hAnsi="Tahoma" w:cs="Tahoma"/>
      <w:sz w:val="16"/>
      <w:szCs w:val="16"/>
      <w:lang w:val="en-US"/>
    </w:rPr>
  </w:style>
  <w:style w:type="paragraph" w:styleId="Title">
    <w:name w:val="Title"/>
    <w:basedOn w:val="Normal"/>
    <w:next w:val="Normal"/>
    <w:link w:val="TitleChar"/>
    <w:uiPriority w:val="10"/>
    <w:qFormat/>
    <w:rsid w:val="005922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leChar">
    <w:name w:val="Title Char"/>
    <w:basedOn w:val="DefaultParagraphFont"/>
    <w:link w:val="Title"/>
    <w:uiPriority w:val="10"/>
    <w:rsid w:val="00592218"/>
    <w:rPr>
      <w:rFonts w:asciiTheme="majorHAnsi" w:eastAsiaTheme="majorEastAsia" w:hAnsiTheme="majorHAnsi" w:cstheme="majorBidi"/>
      <w:color w:val="17365D" w:themeColor="text2" w:themeShade="BF"/>
      <w:spacing w:val="5"/>
      <w:kern w:val="28"/>
      <w:sz w:val="52"/>
      <w:szCs w:val="52"/>
      <w:lang w:val="en-US" w:eastAsia="nl-NL"/>
    </w:rPr>
  </w:style>
  <w:style w:type="character" w:customStyle="1" w:styleId="apple-converted-space">
    <w:name w:val="apple-converted-space"/>
    <w:basedOn w:val="DefaultParagraphFont"/>
    <w:rsid w:val="00104EE9"/>
  </w:style>
  <w:style w:type="paragraph" w:styleId="Header">
    <w:name w:val="header"/>
    <w:basedOn w:val="Normal"/>
    <w:link w:val="HeaderChar"/>
    <w:uiPriority w:val="99"/>
    <w:unhideWhenUsed/>
    <w:rsid w:val="0073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39"/>
    <w:rPr>
      <w:lang w:val="en-US"/>
    </w:rPr>
  </w:style>
  <w:style w:type="paragraph" w:styleId="Footer">
    <w:name w:val="footer"/>
    <w:basedOn w:val="Normal"/>
    <w:link w:val="FooterChar"/>
    <w:uiPriority w:val="99"/>
    <w:unhideWhenUsed/>
    <w:rsid w:val="0073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39"/>
    <w:rPr>
      <w:lang w:val="en-US"/>
    </w:rPr>
  </w:style>
  <w:style w:type="character" w:styleId="Hyperlink">
    <w:name w:val="Hyperlink"/>
    <w:basedOn w:val="DefaultParagraphFont"/>
    <w:uiPriority w:val="99"/>
    <w:semiHidden/>
    <w:unhideWhenUsed/>
    <w:rsid w:val="007F0874"/>
    <w:rPr>
      <w:color w:val="0000FF"/>
      <w:u w:val="single"/>
    </w:rPr>
  </w:style>
  <w:style w:type="character" w:styleId="Emphasis">
    <w:name w:val="Emphasis"/>
    <w:basedOn w:val="DefaultParagraphFont"/>
    <w:uiPriority w:val="20"/>
    <w:qFormat/>
    <w:rsid w:val="00494075"/>
    <w:rPr>
      <w:i/>
      <w:iCs/>
    </w:rPr>
  </w:style>
  <w:style w:type="paragraph" w:styleId="HTMLPreformatted">
    <w:name w:val="HTML Preformatted"/>
    <w:basedOn w:val="Normal"/>
    <w:link w:val="HTMLPreformattedChar"/>
    <w:uiPriority w:val="99"/>
    <w:semiHidden/>
    <w:unhideWhenUsed/>
    <w:rsid w:val="0040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748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2348">
      <w:bodyDiv w:val="1"/>
      <w:marLeft w:val="0"/>
      <w:marRight w:val="0"/>
      <w:marTop w:val="0"/>
      <w:marBottom w:val="0"/>
      <w:divBdr>
        <w:top w:val="none" w:sz="0" w:space="0" w:color="auto"/>
        <w:left w:val="none" w:sz="0" w:space="0" w:color="auto"/>
        <w:bottom w:val="none" w:sz="0" w:space="0" w:color="auto"/>
        <w:right w:val="none" w:sz="0" w:space="0" w:color="auto"/>
      </w:divBdr>
    </w:div>
    <w:div w:id="775441079">
      <w:bodyDiv w:val="1"/>
      <w:marLeft w:val="0"/>
      <w:marRight w:val="0"/>
      <w:marTop w:val="0"/>
      <w:marBottom w:val="0"/>
      <w:divBdr>
        <w:top w:val="none" w:sz="0" w:space="0" w:color="auto"/>
        <w:left w:val="none" w:sz="0" w:space="0" w:color="auto"/>
        <w:bottom w:val="none" w:sz="0" w:space="0" w:color="auto"/>
        <w:right w:val="none" w:sz="0" w:space="0" w:color="auto"/>
      </w:divBdr>
      <w:divsChild>
        <w:div w:id="369574537">
          <w:marLeft w:val="0"/>
          <w:marRight w:val="0"/>
          <w:marTop w:val="0"/>
          <w:marBottom w:val="0"/>
          <w:divBdr>
            <w:top w:val="none" w:sz="0" w:space="0" w:color="auto"/>
            <w:left w:val="none" w:sz="0" w:space="0" w:color="auto"/>
            <w:bottom w:val="none" w:sz="0" w:space="0" w:color="auto"/>
            <w:right w:val="none" w:sz="0" w:space="0" w:color="auto"/>
          </w:divBdr>
        </w:div>
      </w:divsChild>
    </w:div>
    <w:div w:id="10182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www.data.worldbank.org"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systemicpeace.org/inscrd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Structural%20Reforms%20Are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tructural%20Reforms%20per%20Countr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tructural%20Reforms%20per%20Count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ax%20Rates%201985,%201995%20and%202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ax%20Rates%201985,%201995%20and%202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ax%20Rates%201985,%201995%20and%202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overty%20and%20Inequality%20-%20WB%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overty%20and%20Inequality%20-%20WB%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overty%20and%20Inequality%20-%20WB%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overty%20and%20Inequality%20-%20WB%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overty%20and%20Inequality%20-%20WB%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Average Import Tariff Rate</c:v>
          </c:tx>
          <c:marker>
            <c:symbol val="none"/>
          </c:marker>
          <c:cat>
            <c:numRef>
              <c:f>'Import Tariffs '!$B$19:$AA$19</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'Import Tariffs '!$B$17:$AA$17</c:f>
              <c:numCache>
                <c:formatCode>0.00%</c:formatCode>
                <c:ptCount val="26"/>
                <c:pt idx="0">
                  <c:v>0.47331666666666672</c:v>
                </c:pt>
                <c:pt idx="1">
                  <c:v>0.34671538461538465</c:v>
                </c:pt>
                <c:pt idx="2">
                  <c:v>0.3189083333333334</c:v>
                </c:pt>
                <c:pt idx="3">
                  <c:v>0.31017692307692307</c:v>
                </c:pt>
                <c:pt idx="4">
                  <c:v>0.35026153846153835</c:v>
                </c:pt>
                <c:pt idx="5">
                  <c:v>0.19769285714285723</c:v>
                </c:pt>
                <c:pt idx="6">
                  <c:v>0.1600785714285714</c:v>
                </c:pt>
                <c:pt idx="7">
                  <c:v>0.13720714285714289</c:v>
                </c:pt>
                <c:pt idx="8">
                  <c:v>0.13512142857142861</c:v>
                </c:pt>
                <c:pt idx="9">
                  <c:v>0.12524285714285716</c:v>
                </c:pt>
                <c:pt idx="10">
                  <c:v>0.12548571428571426</c:v>
                </c:pt>
                <c:pt idx="11">
                  <c:v>0.13357857142857135</c:v>
                </c:pt>
                <c:pt idx="12">
                  <c:v>0.12607857142857137</c:v>
                </c:pt>
                <c:pt idx="13">
                  <c:v>0.12667857142857136</c:v>
                </c:pt>
                <c:pt idx="14">
                  <c:v>0.12417857142857143</c:v>
                </c:pt>
                <c:pt idx="15">
                  <c:v>0.12543076923076921</c:v>
                </c:pt>
                <c:pt idx="16">
                  <c:v>0.11221666666666667</c:v>
                </c:pt>
                <c:pt idx="17">
                  <c:v>0.11200769230769232</c:v>
                </c:pt>
                <c:pt idx="18">
                  <c:v>0.11185384615384615</c:v>
                </c:pt>
                <c:pt idx="19">
                  <c:v>0.10889285714285711</c:v>
                </c:pt>
                <c:pt idx="20">
                  <c:v>0.10064285714285715</c:v>
                </c:pt>
                <c:pt idx="21">
                  <c:v>0.10065714285714286</c:v>
                </c:pt>
                <c:pt idx="22">
                  <c:v>9.8628571428571454E-2</c:v>
                </c:pt>
                <c:pt idx="23">
                  <c:v>9.575000000000003E-2</c:v>
                </c:pt>
                <c:pt idx="24">
                  <c:v>9.5457142857142865E-2</c:v>
                </c:pt>
                <c:pt idx="25">
                  <c:v>9.5457142857142865E-2</c:v>
                </c:pt>
              </c:numCache>
            </c:numRef>
          </c:val>
          <c:smooth val="0"/>
        </c:ser>
        <c:ser>
          <c:idx val="1"/>
          <c:order val="1"/>
          <c:tx>
            <c:strRef>
              <c:f>'Import Tariffs '!$A$19</c:f>
              <c:strCache>
                <c:ptCount val="1"/>
                <c:pt idx="0">
                  <c:v>Tariff Dispersion</c:v>
                </c:pt>
              </c:strCache>
            </c:strRef>
          </c:tx>
          <c:marker>
            <c:symbol val="none"/>
          </c:marker>
          <c:cat>
            <c:numRef>
              <c:f>'Import Tariffs '!$B$19:$AA$19</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'Import Tariffs '!$B$35:$AA$35</c:f>
              <c:numCache>
                <c:formatCode>0.00%</c:formatCode>
                <c:ptCount val="26"/>
                <c:pt idx="0">
                  <c:v>0.22020000000000003</c:v>
                </c:pt>
                <c:pt idx="1">
                  <c:v>0.20490714285714295</c:v>
                </c:pt>
                <c:pt idx="2">
                  <c:v>0.19365000000000004</c:v>
                </c:pt>
                <c:pt idx="3">
                  <c:v>0.17562857142857136</c:v>
                </c:pt>
                <c:pt idx="4">
                  <c:v>0.16321428571428578</c:v>
                </c:pt>
                <c:pt idx="5">
                  <c:v>0.12173333333333335</c:v>
                </c:pt>
                <c:pt idx="6">
                  <c:v>0.10312666666666667</c:v>
                </c:pt>
                <c:pt idx="7">
                  <c:v>7.420000000000003E-2</c:v>
                </c:pt>
                <c:pt idx="8">
                  <c:v>6.1633333333333366E-2</c:v>
                </c:pt>
                <c:pt idx="9">
                  <c:v>5.9793333333333386E-2</c:v>
                </c:pt>
                <c:pt idx="10">
                  <c:v>6.334666666666669E-2</c:v>
                </c:pt>
                <c:pt idx="11">
                  <c:v>7.0700000000000013E-2</c:v>
                </c:pt>
                <c:pt idx="12">
                  <c:v>6.7279999999999993E-2</c:v>
                </c:pt>
                <c:pt idx="13">
                  <c:v>6.7466666666666689E-2</c:v>
                </c:pt>
                <c:pt idx="14">
                  <c:v>7.0039999999999991E-2</c:v>
                </c:pt>
                <c:pt idx="15">
                  <c:v>7.4730769230769239E-2</c:v>
                </c:pt>
                <c:pt idx="16">
                  <c:v>7.4650000000000022E-2</c:v>
                </c:pt>
                <c:pt idx="17">
                  <c:v>7.0721428571428574E-2</c:v>
                </c:pt>
                <c:pt idx="18">
                  <c:v>7.1164285714285722E-2</c:v>
                </c:pt>
                <c:pt idx="19">
                  <c:v>6.8913333333333354E-2</c:v>
                </c:pt>
                <c:pt idx="20">
                  <c:v>6.9286666666666691E-2</c:v>
                </c:pt>
                <c:pt idx="21">
                  <c:v>6.7193333333333341E-2</c:v>
                </c:pt>
                <c:pt idx="22">
                  <c:v>6.9373333333333342E-2</c:v>
                </c:pt>
                <c:pt idx="23">
                  <c:v>7.4780000000000027E-2</c:v>
                </c:pt>
                <c:pt idx="24">
                  <c:v>7.9046666666666668E-2</c:v>
                </c:pt>
                <c:pt idx="25">
                  <c:v>7.9046666666666668E-2</c:v>
                </c:pt>
              </c:numCache>
            </c:numRef>
          </c:val>
          <c:smooth val="0"/>
        </c:ser>
        <c:dLbls>
          <c:showLegendKey val="0"/>
          <c:showVal val="0"/>
          <c:showCatName val="0"/>
          <c:showSerName val="0"/>
          <c:showPercent val="0"/>
          <c:showBubbleSize val="0"/>
        </c:dLbls>
        <c:smooth val="0"/>
        <c:axId val="157509640"/>
        <c:axId val="228475680"/>
      </c:lineChart>
      <c:catAx>
        <c:axId val="157509640"/>
        <c:scaling>
          <c:orientation val="minMax"/>
        </c:scaling>
        <c:delete val="0"/>
        <c:axPos val="b"/>
        <c:numFmt formatCode="General" sourceLinked="1"/>
        <c:majorTickMark val="none"/>
        <c:minorTickMark val="none"/>
        <c:tickLblPos val="nextTo"/>
        <c:crossAx val="228475680"/>
        <c:crosses val="autoZero"/>
        <c:auto val="1"/>
        <c:lblAlgn val="ctr"/>
        <c:lblOffset val="100"/>
        <c:noMultiLvlLbl val="0"/>
      </c:catAx>
      <c:valAx>
        <c:axId val="228475680"/>
        <c:scaling>
          <c:orientation val="minMax"/>
        </c:scaling>
        <c:delete val="0"/>
        <c:axPos val="l"/>
        <c:majorGridlines/>
        <c:numFmt formatCode="0%" sourceLinked="0"/>
        <c:majorTickMark val="none"/>
        <c:minorTickMark val="none"/>
        <c:tickLblPos val="nextTo"/>
        <c:crossAx val="157509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'13 countries'!$B$159</c:f>
              <c:strCache>
                <c:ptCount val="1"/>
                <c:pt idx="0">
                  <c:v>SRI</c:v>
                </c:pt>
              </c:strCache>
            </c:strRef>
          </c:tx>
          <c:marker>
            <c:symbol val="none"/>
          </c:marker>
          <c:cat>
            <c:numRef>
              <c:f>'13 countries'!$C$1:$AB$1</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'13 countries'!$C$159:$AB$159</c:f>
              <c:numCache>
                <c:formatCode>0.00</c:formatCode>
                <c:ptCount val="26"/>
                <c:pt idx="0" formatCode="General">
                  <c:v>37.861538461538451</c:v>
                </c:pt>
                <c:pt idx="1">
                  <c:v>40.523076923076943</c:v>
                </c:pt>
                <c:pt idx="2">
                  <c:v>41.988461538461529</c:v>
                </c:pt>
                <c:pt idx="3">
                  <c:v>43.003846153846112</c:v>
                </c:pt>
                <c:pt idx="4">
                  <c:v>44.565384615384602</c:v>
                </c:pt>
                <c:pt idx="5">
                  <c:v>47.923076923076927</c:v>
                </c:pt>
                <c:pt idx="6">
                  <c:v>49.8</c:v>
                </c:pt>
                <c:pt idx="7">
                  <c:v>52.630769230769232</c:v>
                </c:pt>
                <c:pt idx="8">
                  <c:v>53.507692307692288</c:v>
                </c:pt>
                <c:pt idx="9">
                  <c:v>54.53846153846154</c:v>
                </c:pt>
                <c:pt idx="10">
                  <c:v>54.984615384615367</c:v>
                </c:pt>
                <c:pt idx="11">
                  <c:v>55.446153846153862</c:v>
                </c:pt>
                <c:pt idx="12">
                  <c:v>56.323076923076918</c:v>
                </c:pt>
                <c:pt idx="13">
                  <c:v>58.261538461538457</c:v>
                </c:pt>
                <c:pt idx="14">
                  <c:v>58.723076923076938</c:v>
                </c:pt>
                <c:pt idx="15">
                  <c:v>59.369230769230747</c:v>
                </c:pt>
                <c:pt idx="16">
                  <c:v>60.984615384615367</c:v>
                </c:pt>
                <c:pt idx="17">
                  <c:v>62.353846153846114</c:v>
                </c:pt>
                <c:pt idx="18">
                  <c:v>62.523076923076943</c:v>
                </c:pt>
                <c:pt idx="19">
                  <c:v>62.953846153846108</c:v>
                </c:pt>
                <c:pt idx="20">
                  <c:v>63.138461538461527</c:v>
                </c:pt>
                <c:pt idx="21">
                  <c:v>64.307692307692278</c:v>
                </c:pt>
                <c:pt idx="22">
                  <c:v>64.461538461538467</c:v>
                </c:pt>
                <c:pt idx="23">
                  <c:v>64.353846153846106</c:v>
                </c:pt>
                <c:pt idx="24">
                  <c:v>64.523076923076886</c:v>
                </c:pt>
                <c:pt idx="25">
                  <c:v>64.538461538461476</c:v>
                </c:pt>
              </c:numCache>
            </c:numRef>
          </c:val>
          <c:smooth val="0"/>
        </c:ser>
        <c:ser>
          <c:idx val="1"/>
          <c:order val="1"/>
          <c:tx>
            <c:strRef>
              <c:f>'13 countries'!$B$160</c:f>
              <c:strCache>
                <c:ptCount val="1"/>
                <c:pt idx="0">
                  <c:v>Trade</c:v>
                </c:pt>
              </c:strCache>
            </c:strRef>
          </c:tx>
          <c:marker>
            <c:symbol val="none"/>
          </c:marker>
          <c:cat>
            <c:numRef>
              <c:f>'13 countries'!$C$1:$AB$1</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'13 countries'!$C$160:$AB$160</c:f>
              <c:numCache>
                <c:formatCode>0.00</c:formatCode>
                <c:ptCount val="26"/>
                <c:pt idx="0">
                  <c:v>50.916666666666622</c:v>
                </c:pt>
                <c:pt idx="1">
                  <c:v>58.333333333333343</c:v>
                </c:pt>
                <c:pt idx="2">
                  <c:v>63.416666666666622</c:v>
                </c:pt>
                <c:pt idx="3">
                  <c:v>66.25</c:v>
                </c:pt>
                <c:pt idx="4">
                  <c:v>69.4166666666667</c:v>
                </c:pt>
                <c:pt idx="5">
                  <c:v>76.769230769230802</c:v>
                </c:pt>
                <c:pt idx="6">
                  <c:v>81</c:v>
                </c:pt>
                <c:pt idx="7">
                  <c:v>86</c:v>
                </c:pt>
                <c:pt idx="8">
                  <c:v>87.07692307692308</c:v>
                </c:pt>
                <c:pt idx="9">
                  <c:v>88.307692307692278</c:v>
                </c:pt>
                <c:pt idx="10">
                  <c:v>87.84615384615384</c:v>
                </c:pt>
                <c:pt idx="11">
                  <c:v>86</c:v>
                </c:pt>
                <c:pt idx="12">
                  <c:v>86.923076923076891</c:v>
                </c:pt>
                <c:pt idx="13">
                  <c:v>87.153846153846104</c:v>
                </c:pt>
                <c:pt idx="14">
                  <c:v>86.923076923076891</c:v>
                </c:pt>
                <c:pt idx="15">
                  <c:v>87</c:v>
                </c:pt>
                <c:pt idx="16">
                  <c:v>87.923076923076891</c:v>
                </c:pt>
                <c:pt idx="17">
                  <c:v>87.692307692307679</c:v>
                </c:pt>
                <c:pt idx="18">
                  <c:v>87.923076923076891</c:v>
                </c:pt>
                <c:pt idx="19">
                  <c:v>87.923076923076891</c:v>
                </c:pt>
                <c:pt idx="20">
                  <c:v>88.384615384615401</c:v>
                </c:pt>
                <c:pt idx="21">
                  <c:v>88.769230769230802</c:v>
                </c:pt>
                <c:pt idx="22">
                  <c:v>88.538461538461476</c:v>
                </c:pt>
                <c:pt idx="23">
                  <c:v>88.07692307692308</c:v>
                </c:pt>
                <c:pt idx="24">
                  <c:v>87.384615384615401</c:v>
                </c:pt>
                <c:pt idx="25">
                  <c:v>87.384615384615401</c:v>
                </c:pt>
              </c:numCache>
            </c:numRef>
          </c:val>
          <c:smooth val="0"/>
        </c:ser>
        <c:ser>
          <c:idx val="2"/>
          <c:order val="2"/>
          <c:tx>
            <c:strRef>
              <c:f>'13 countries'!$B$161</c:f>
              <c:strCache>
                <c:ptCount val="1"/>
                <c:pt idx="0">
                  <c:v>Finance</c:v>
                </c:pt>
              </c:strCache>
            </c:strRef>
          </c:tx>
          <c:marker>
            <c:symbol val="none"/>
          </c:marker>
          <c:cat>
            <c:numRef>
              <c:f>'13 countries'!$C$1:$AB$1</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'13 countries'!$C$161:$AB$161</c:f>
              <c:numCache>
                <c:formatCode>0.00</c:formatCode>
                <c:ptCount val="26"/>
                <c:pt idx="0">
                  <c:v>46.923076923076927</c:v>
                </c:pt>
                <c:pt idx="1">
                  <c:v>50</c:v>
                </c:pt>
                <c:pt idx="2">
                  <c:v>49.846153846153861</c:v>
                </c:pt>
                <c:pt idx="3">
                  <c:v>50.307692307692278</c:v>
                </c:pt>
                <c:pt idx="4">
                  <c:v>55.846153846153861</c:v>
                </c:pt>
                <c:pt idx="5">
                  <c:v>60.769230769230766</c:v>
                </c:pt>
                <c:pt idx="6">
                  <c:v>65.769230769230802</c:v>
                </c:pt>
                <c:pt idx="7">
                  <c:v>70.538461538461476</c:v>
                </c:pt>
                <c:pt idx="8">
                  <c:v>71.07692307692308</c:v>
                </c:pt>
                <c:pt idx="9">
                  <c:v>71.923076923076891</c:v>
                </c:pt>
                <c:pt idx="10">
                  <c:v>74.84615384615384</c:v>
                </c:pt>
                <c:pt idx="11">
                  <c:v>77</c:v>
                </c:pt>
                <c:pt idx="12">
                  <c:v>77.923076923076891</c:v>
                </c:pt>
                <c:pt idx="13">
                  <c:v>79.307692307692278</c:v>
                </c:pt>
                <c:pt idx="14">
                  <c:v>79.307692307692278</c:v>
                </c:pt>
                <c:pt idx="15">
                  <c:v>79.153846153846104</c:v>
                </c:pt>
                <c:pt idx="16">
                  <c:v>83.384615384615401</c:v>
                </c:pt>
                <c:pt idx="17">
                  <c:v>87.692307692307679</c:v>
                </c:pt>
                <c:pt idx="18">
                  <c:v>87.307692307692278</c:v>
                </c:pt>
                <c:pt idx="19">
                  <c:v>88.153846153846104</c:v>
                </c:pt>
                <c:pt idx="20">
                  <c:v>86.07692307692308</c:v>
                </c:pt>
                <c:pt idx="21">
                  <c:v>87.307692307692278</c:v>
                </c:pt>
                <c:pt idx="22">
                  <c:v>87.230769230769212</c:v>
                </c:pt>
                <c:pt idx="23">
                  <c:v>85.461538461538467</c:v>
                </c:pt>
                <c:pt idx="24">
                  <c:v>86.84615384615384</c:v>
                </c:pt>
                <c:pt idx="25">
                  <c:v>86.84615384615384</c:v>
                </c:pt>
              </c:numCache>
            </c:numRef>
          </c:val>
          <c:smooth val="0"/>
        </c:ser>
        <c:ser>
          <c:idx val="3"/>
          <c:order val="3"/>
          <c:tx>
            <c:strRef>
              <c:f>'13 countries'!$B$162</c:f>
              <c:strCache>
                <c:ptCount val="1"/>
                <c:pt idx="0">
                  <c:v>Tax</c:v>
                </c:pt>
              </c:strCache>
            </c:strRef>
          </c:tx>
          <c:marker>
            <c:symbol val="none"/>
          </c:marker>
          <c:cat>
            <c:numRef>
              <c:f>'13 countries'!$C$1:$AB$1</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'13 countries'!$C$162:$AB$162</c:f>
              <c:numCache>
                <c:formatCode>0.00</c:formatCode>
                <c:ptCount val="26"/>
                <c:pt idx="0" formatCode="General">
                  <c:v>33.692307692307701</c:v>
                </c:pt>
                <c:pt idx="1">
                  <c:v>36.461538461538453</c:v>
                </c:pt>
                <c:pt idx="2">
                  <c:v>38.923076923076927</c:v>
                </c:pt>
                <c:pt idx="3">
                  <c:v>41.230769230769241</c:v>
                </c:pt>
                <c:pt idx="4">
                  <c:v>40.769230769230766</c:v>
                </c:pt>
                <c:pt idx="5">
                  <c:v>41.53846153846154</c:v>
                </c:pt>
                <c:pt idx="6">
                  <c:v>41.461538461538453</c:v>
                </c:pt>
                <c:pt idx="7">
                  <c:v>44.769230769230766</c:v>
                </c:pt>
                <c:pt idx="8">
                  <c:v>47.53846153846154</c:v>
                </c:pt>
                <c:pt idx="9">
                  <c:v>49.307692307692278</c:v>
                </c:pt>
                <c:pt idx="10">
                  <c:v>47.307692307692278</c:v>
                </c:pt>
                <c:pt idx="11">
                  <c:v>47.153846153846111</c:v>
                </c:pt>
                <c:pt idx="12">
                  <c:v>47.07692307692308</c:v>
                </c:pt>
                <c:pt idx="13">
                  <c:v>47.384615384615373</c:v>
                </c:pt>
                <c:pt idx="14">
                  <c:v>46.692307692307701</c:v>
                </c:pt>
                <c:pt idx="15">
                  <c:v>47.153846153846111</c:v>
                </c:pt>
                <c:pt idx="16">
                  <c:v>48.153846153846111</c:v>
                </c:pt>
                <c:pt idx="17">
                  <c:v>48.692307692307701</c:v>
                </c:pt>
                <c:pt idx="18">
                  <c:v>48.615384615384592</c:v>
                </c:pt>
                <c:pt idx="19">
                  <c:v>48.53846153846154</c:v>
                </c:pt>
                <c:pt idx="20">
                  <c:v>49.846153846153861</c:v>
                </c:pt>
                <c:pt idx="21">
                  <c:v>52.230769230769241</c:v>
                </c:pt>
                <c:pt idx="22">
                  <c:v>51.384615384615373</c:v>
                </c:pt>
                <c:pt idx="23">
                  <c:v>51.692307692307701</c:v>
                </c:pt>
                <c:pt idx="24">
                  <c:v>51.230769230769241</c:v>
                </c:pt>
                <c:pt idx="25">
                  <c:v>51.230769230769241</c:v>
                </c:pt>
              </c:numCache>
            </c:numRef>
          </c:val>
          <c:smooth val="0"/>
        </c:ser>
        <c:ser>
          <c:idx val="4"/>
          <c:order val="4"/>
          <c:tx>
            <c:strRef>
              <c:f>'13 countries'!$B$163</c:f>
              <c:strCache>
                <c:ptCount val="1"/>
                <c:pt idx="0">
                  <c:v>Privatizations</c:v>
                </c:pt>
              </c:strCache>
            </c:strRef>
          </c:tx>
          <c:marker>
            <c:symbol val="none"/>
          </c:marker>
          <c:cat>
            <c:numRef>
              <c:f>'13 countries'!$C$1:$AB$1</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'13 countries'!$C$163:$AB$163</c:f>
              <c:numCache>
                <c:formatCode>0.00</c:formatCode>
                <c:ptCount val="26"/>
                <c:pt idx="0">
                  <c:v>0</c:v>
                </c:pt>
                <c:pt idx="1">
                  <c:v>0</c:v>
                </c:pt>
                <c:pt idx="2">
                  <c:v>7.69230769230769E-2</c:v>
                </c:pt>
                <c:pt idx="3">
                  <c:v>0.15384615384615399</c:v>
                </c:pt>
                <c:pt idx="4">
                  <c:v>0.69230769230769296</c:v>
                </c:pt>
                <c:pt idx="5">
                  <c:v>1.384615384615385</c:v>
                </c:pt>
                <c:pt idx="6">
                  <c:v>1.6923076923076921</c:v>
                </c:pt>
                <c:pt idx="7">
                  <c:v>1.923076923076924</c:v>
                </c:pt>
                <c:pt idx="8">
                  <c:v>2.2307692307692308</c:v>
                </c:pt>
                <c:pt idx="9">
                  <c:v>3.615384615384615</c:v>
                </c:pt>
                <c:pt idx="10">
                  <c:v>5.4615384615384617</c:v>
                </c:pt>
                <c:pt idx="11">
                  <c:v>7.615384615384615</c:v>
                </c:pt>
                <c:pt idx="12">
                  <c:v>10.692307692307701</c:v>
                </c:pt>
                <c:pt idx="13">
                  <c:v>17.76923076923077</c:v>
                </c:pt>
                <c:pt idx="14">
                  <c:v>21.07692307692307</c:v>
                </c:pt>
                <c:pt idx="15">
                  <c:v>23.92307692307692</c:v>
                </c:pt>
                <c:pt idx="16">
                  <c:v>26.15384615384616</c:v>
                </c:pt>
                <c:pt idx="17">
                  <c:v>28.38461538461538</c:v>
                </c:pt>
                <c:pt idx="18">
                  <c:v>29.538461538461529</c:v>
                </c:pt>
                <c:pt idx="19">
                  <c:v>30.84615384615384</c:v>
                </c:pt>
                <c:pt idx="20">
                  <c:v>32</c:v>
                </c:pt>
                <c:pt idx="21">
                  <c:v>33.615384615384592</c:v>
                </c:pt>
                <c:pt idx="22">
                  <c:v>35.307692307692278</c:v>
                </c:pt>
                <c:pt idx="23">
                  <c:v>36.53846153846154</c:v>
                </c:pt>
                <c:pt idx="24">
                  <c:v>37.53846153846154</c:v>
                </c:pt>
                <c:pt idx="25">
                  <c:v>37.53846153846154</c:v>
                </c:pt>
              </c:numCache>
            </c:numRef>
          </c:val>
          <c:smooth val="0"/>
        </c:ser>
        <c:ser>
          <c:idx val="5"/>
          <c:order val="5"/>
          <c:tx>
            <c:strRef>
              <c:f>'13 countries'!$B$164</c:f>
              <c:strCache>
                <c:ptCount val="1"/>
                <c:pt idx="0">
                  <c:v>Labor</c:v>
                </c:pt>
              </c:strCache>
            </c:strRef>
          </c:tx>
          <c:marker>
            <c:symbol val="none"/>
          </c:marker>
          <c:cat>
            <c:numRef>
              <c:f>'13 countries'!$C$1:$AB$1</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'13 countries'!$C$164:$AB$164</c:f>
              <c:numCache>
                <c:formatCode>0.00</c:formatCode>
                <c:ptCount val="26"/>
                <c:pt idx="0" formatCode="General">
                  <c:v>59.07692307692308</c:v>
                </c:pt>
                <c:pt idx="1">
                  <c:v>59.769230769230766</c:v>
                </c:pt>
                <c:pt idx="2">
                  <c:v>59.923076923076927</c:v>
                </c:pt>
                <c:pt idx="3">
                  <c:v>59.615384615384592</c:v>
                </c:pt>
                <c:pt idx="4">
                  <c:v>58.846153846153861</c:v>
                </c:pt>
                <c:pt idx="5">
                  <c:v>59.153846153846111</c:v>
                </c:pt>
                <c:pt idx="6">
                  <c:v>59.07692307692308</c:v>
                </c:pt>
                <c:pt idx="7">
                  <c:v>59.923076923076927</c:v>
                </c:pt>
                <c:pt idx="8">
                  <c:v>59.615384615384592</c:v>
                </c:pt>
                <c:pt idx="9">
                  <c:v>59.53846153846154</c:v>
                </c:pt>
                <c:pt idx="10">
                  <c:v>59.461538461538453</c:v>
                </c:pt>
                <c:pt idx="11">
                  <c:v>59.461538461538453</c:v>
                </c:pt>
                <c:pt idx="12">
                  <c:v>59</c:v>
                </c:pt>
                <c:pt idx="13">
                  <c:v>59.692307692307701</c:v>
                </c:pt>
                <c:pt idx="14">
                  <c:v>59.615384615384592</c:v>
                </c:pt>
                <c:pt idx="15">
                  <c:v>59.615384615384592</c:v>
                </c:pt>
                <c:pt idx="16">
                  <c:v>59.307692307692278</c:v>
                </c:pt>
                <c:pt idx="17">
                  <c:v>59.307692307692278</c:v>
                </c:pt>
                <c:pt idx="18">
                  <c:v>59.230769230769241</c:v>
                </c:pt>
                <c:pt idx="19">
                  <c:v>59.307692307692278</c:v>
                </c:pt>
                <c:pt idx="20">
                  <c:v>59.384615384615373</c:v>
                </c:pt>
                <c:pt idx="21">
                  <c:v>59.615384615384592</c:v>
                </c:pt>
                <c:pt idx="22">
                  <c:v>59.846153846153861</c:v>
                </c:pt>
                <c:pt idx="23">
                  <c:v>60</c:v>
                </c:pt>
                <c:pt idx="24">
                  <c:v>59.615384615384592</c:v>
                </c:pt>
                <c:pt idx="25">
                  <c:v>59.692307692307701</c:v>
                </c:pt>
              </c:numCache>
            </c:numRef>
          </c:val>
          <c:smooth val="0"/>
        </c:ser>
        <c:dLbls>
          <c:showLegendKey val="0"/>
          <c:showVal val="0"/>
          <c:showCatName val="0"/>
          <c:showSerName val="0"/>
          <c:showPercent val="0"/>
          <c:showBubbleSize val="0"/>
        </c:dLbls>
        <c:smooth val="0"/>
        <c:axId val="157894240"/>
        <c:axId val="157894632"/>
      </c:lineChart>
      <c:catAx>
        <c:axId val="157894240"/>
        <c:scaling>
          <c:orientation val="minMax"/>
        </c:scaling>
        <c:delete val="0"/>
        <c:axPos val="b"/>
        <c:numFmt formatCode="General" sourceLinked="1"/>
        <c:majorTickMark val="out"/>
        <c:minorTickMark val="none"/>
        <c:tickLblPos val="nextTo"/>
        <c:crossAx val="157894632"/>
        <c:crosses val="autoZero"/>
        <c:auto val="1"/>
        <c:lblAlgn val="ctr"/>
        <c:lblOffset val="100"/>
        <c:noMultiLvlLbl val="0"/>
      </c:catAx>
      <c:valAx>
        <c:axId val="157894632"/>
        <c:scaling>
          <c:orientation val="minMax"/>
        </c:scaling>
        <c:delete val="0"/>
        <c:axPos val="l"/>
        <c:majorGridlines/>
        <c:numFmt formatCode="General" sourceLinked="1"/>
        <c:majorTickMark val="out"/>
        <c:minorTickMark val="none"/>
        <c:tickLblPos val="nextTo"/>
        <c:crossAx val="15789424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'15 countries'!$C$1</c:f>
              <c:strCache>
                <c:ptCount val="1"/>
                <c:pt idx="0">
                  <c:v>1985</c:v>
                </c:pt>
              </c:strCache>
            </c:strRef>
          </c:tx>
          <c:invertIfNegative val="0"/>
          <c:cat>
            <c:strRef>
              <c:f>('15 countries'!$A$2;'15 countries'!$A$14;'15 countries'!$A$26;'15 countries'!$A$38;'15 countries'!$A$50;'15 countries'!$A$62;'15 countries'!$A$86;'15 countries'!$A$98;'15 countries'!$A$110;'15 countries'!$A$122;'15 countries'!$A$134;'15 countries'!$A$146;'15 countries'!$A$158)</c:f>
              <c:strCache>
                <c:ptCount val="13"/>
                <c:pt idx="0">
                  <c:v>Mexico</c:v>
                </c:pt>
                <c:pt idx="1">
                  <c:v>Guatemala</c:v>
                </c:pt>
                <c:pt idx="2">
                  <c:v>Dominican Republic</c:v>
                </c:pt>
                <c:pt idx="3">
                  <c:v>El Salvador</c:v>
                </c:pt>
                <c:pt idx="4">
                  <c:v>Costa Rica</c:v>
                </c:pt>
                <c:pt idx="5">
                  <c:v>Colombia</c:v>
                </c:pt>
                <c:pt idx="6">
                  <c:v>Ecuador</c:v>
                </c:pt>
                <c:pt idx="7">
                  <c:v>Peru</c:v>
                </c:pt>
                <c:pt idx="8">
                  <c:v>Bolivia</c:v>
                </c:pt>
                <c:pt idx="9">
                  <c:v>Chile</c:v>
                </c:pt>
                <c:pt idx="10">
                  <c:v>Brazil</c:v>
                </c:pt>
                <c:pt idx="11">
                  <c:v>Paraguay</c:v>
                </c:pt>
                <c:pt idx="12">
                  <c:v>Uruguay</c:v>
                </c:pt>
              </c:strCache>
            </c:strRef>
          </c:cat>
          <c:val>
            <c:numRef>
              <c:f>('15 countries'!$C$2;'15 countries'!$C$14;'15 countries'!$C$26;'15 countries'!$C$38;'15 countries'!$C$50;'15 countries'!$C$62;'15 countries'!$C$86;'15 countries'!$C$98;'15 countries'!$C$110;'15 countries'!$C$122;'15 countries'!$C$134;'15 countries'!$C$146;'15 countries'!$C$158)</c:f>
              <c:numCache>
                <c:formatCode>0.00</c:formatCode>
                <c:ptCount val="13"/>
                <c:pt idx="0">
                  <c:v>34.4</c:v>
                </c:pt>
                <c:pt idx="1">
                  <c:v>38</c:v>
                </c:pt>
                <c:pt idx="2">
                  <c:v>34</c:v>
                </c:pt>
                <c:pt idx="3">
                  <c:v>37</c:v>
                </c:pt>
                <c:pt idx="4">
                  <c:v>38.4</c:v>
                </c:pt>
                <c:pt idx="5">
                  <c:v>35.200000000000003</c:v>
                </c:pt>
                <c:pt idx="6">
                  <c:v>33.799999999999997</c:v>
                </c:pt>
                <c:pt idx="7">
                  <c:v>28</c:v>
                </c:pt>
                <c:pt idx="8">
                  <c:v>41.4</c:v>
                </c:pt>
                <c:pt idx="9">
                  <c:v>53.6</c:v>
                </c:pt>
                <c:pt idx="10">
                  <c:v>29.8</c:v>
                </c:pt>
                <c:pt idx="11">
                  <c:v>41.8</c:v>
                </c:pt>
                <c:pt idx="12">
                  <c:v>46.8</c:v>
                </c:pt>
              </c:numCache>
            </c:numRef>
          </c:val>
        </c:ser>
        <c:ser>
          <c:idx val="1"/>
          <c:order val="1"/>
          <c:tx>
            <c:strRef>
              <c:f>'15 countries'!$H$1</c:f>
              <c:strCache>
                <c:ptCount val="1"/>
                <c:pt idx="0">
                  <c:v>1990</c:v>
                </c:pt>
              </c:strCache>
            </c:strRef>
          </c:tx>
          <c:invertIfNegative val="0"/>
          <c:cat>
            <c:strRef>
              <c:f>('15 countries'!$A$2;'15 countries'!$A$14;'15 countries'!$A$26;'15 countries'!$A$38;'15 countries'!$A$50;'15 countries'!$A$62;'15 countries'!$A$86;'15 countries'!$A$98;'15 countries'!$A$110;'15 countries'!$A$122;'15 countries'!$A$134;'15 countries'!$A$146;'15 countries'!$A$158)</c:f>
              <c:strCache>
                <c:ptCount val="13"/>
                <c:pt idx="0">
                  <c:v>Mexico</c:v>
                </c:pt>
                <c:pt idx="1">
                  <c:v>Guatemala</c:v>
                </c:pt>
                <c:pt idx="2">
                  <c:v>Dominican Republic</c:v>
                </c:pt>
                <c:pt idx="3">
                  <c:v>El Salvador</c:v>
                </c:pt>
                <c:pt idx="4">
                  <c:v>Costa Rica</c:v>
                </c:pt>
                <c:pt idx="5">
                  <c:v>Colombia</c:v>
                </c:pt>
                <c:pt idx="6">
                  <c:v>Ecuador</c:v>
                </c:pt>
                <c:pt idx="7">
                  <c:v>Peru</c:v>
                </c:pt>
                <c:pt idx="8">
                  <c:v>Bolivia</c:v>
                </c:pt>
                <c:pt idx="9">
                  <c:v>Chile</c:v>
                </c:pt>
                <c:pt idx="10">
                  <c:v>Brazil</c:v>
                </c:pt>
                <c:pt idx="11">
                  <c:v>Paraguay</c:v>
                </c:pt>
                <c:pt idx="12">
                  <c:v>Uruguay</c:v>
                </c:pt>
              </c:strCache>
            </c:strRef>
          </c:cat>
          <c:val>
            <c:numRef>
              <c:f>('15 countries'!$H$2;'15 countries'!$H$14;'15 countries'!$H$26;'15 countries'!$H$38;'15 countries'!$H$50;'15 countries'!$H$62;'15 countries'!$H$86;'15 countries'!$H$98;'15 countries'!$H$110;'15 countries'!$H$122;'15 countries'!$H$134;'15 countries'!$H$146;'15 countries'!$H$158)</c:f>
              <c:numCache>
                <c:formatCode>0.00</c:formatCode>
                <c:ptCount val="13"/>
                <c:pt idx="0">
                  <c:v>50.4</c:v>
                </c:pt>
                <c:pt idx="1">
                  <c:v>52.2</c:v>
                </c:pt>
                <c:pt idx="2">
                  <c:v>41.8</c:v>
                </c:pt>
                <c:pt idx="3">
                  <c:v>42.8</c:v>
                </c:pt>
                <c:pt idx="4">
                  <c:v>50.8</c:v>
                </c:pt>
                <c:pt idx="5">
                  <c:v>47.8</c:v>
                </c:pt>
                <c:pt idx="6">
                  <c:v>43.8</c:v>
                </c:pt>
                <c:pt idx="7">
                  <c:v>40.4</c:v>
                </c:pt>
                <c:pt idx="8">
                  <c:v>52</c:v>
                </c:pt>
                <c:pt idx="9">
                  <c:v>62</c:v>
                </c:pt>
                <c:pt idx="10">
                  <c:v>43.2</c:v>
                </c:pt>
                <c:pt idx="11">
                  <c:v>48.8</c:v>
                </c:pt>
                <c:pt idx="12">
                  <c:v>47</c:v>
                </c:pt>
              </c:numCache>
            </c:numRef>
          </c:val>
        </c:ser>
        <c:ser>
          <c:idx val="2"/>
          <c:order val="2"/>
          <c:tx>
            <c:strRef>
              <c:f>'15 countries'!$M$1</c:f>
              <c:strCache>
                <c:ptCount val="1"/>
                <c:pt idx="0">
                  <c:v>1995</c:v>
                </c:pt>
              </c:strCache>
            </c:strRef>
          </c:tx>
          <c:invertIfNegative val="0"/>
          <c:cat>
            <c:strRef>
              <c:f>('15 countries'!$A$2;'15 countries'!$A$14;'15 countries'!$A$26;'15 countries'!$A$38;'15 countries'!$A$50;'15 countries'!$A$62;'15 countries'!$A$86;'15 countries'!$A$98;'15 countries'!$A$110;'15 countries'!$A$122;'15 countries'!$A$134;'15 countries'!$A$146;'15 countries'!$A$158)</c:f>
              <c:strCache>
                <c:ptCount val="13"/>
                <c:pt idx="0">
                  <c:v>Mexico</c:v>
                </c:pt>
                <c:pt idx="1">
                  <c:v>Guatemala</c:v>
                </c:pt>
                <c:pt idx="2">
                  <c:v>Dominican Republic</c:v>
                </c:pt>
                <c:pt idx="3">
                  <c:v>El Salvador</c:v>
                </c:pt>
                <c:pt idx="4">
                  <c:v>Costa Rica</c:v>
                </c:pt>
                <c:pt idx="5">
                  <c:v>Colombia</c:v>
                </c:pt>
                <c:pt idx="6">
                  <c:v>Ecuador</c:v>
                </c:pt>
                <c:pt idx="7">
                  <c:v>Peru</c:v>
                </c:pt>
                <c:pt idx="8">
                  <c:v>Bolivia</c:v>
                </c:pt>
                <c:pt idx="9">
                  <c:v>Chile</c:v>
                </c:pt>
                <c:pt idx="10">
                  <c:v>Brazil</c:v>
                </c:pt>
                <c:pt idx="11">
                  <c:v>Paraguay</c:v>
                </c:pt>
                <c:pt idx="12">
                  <c:v>Uruguay</c:v>
                </c:pt>
              </c:strCache>
            </c:strRef>
          </c:cat>
          <c:val>
            <c:numRef>
              <c:f>('15 countries'!$M$2;'15 countries'!$M$14;'15 countries'!$M$26;'15 countries'!$M$38;'15 countries'!$M$50;'15 countries'!$M$62;'15 countries'!$M$86;'15 countries'!$M$98;'15 countries'!$M$110;'15 countries'!$M$122;'15 countries'!$M$134;'15 countries'!$M$146;'15 countries'!$M$158)</c:f>
              <c:numCache>
                <c:formatCode>0.00</c:formatCode>
                <c:ptCount val="13"/>
                <c:pt idx="0">
                  <c:v>52.8</c:v>
                </c:pt>
                <c:pt idx="1">
                  <c:v>54.8</c:v>
                </c:pt>
                <c:pt idx="2">
                  <c:v>52.2</c:v>
                </c:pt>
                <c:pt idx="3">
                  <c:v>53.8</c:v>
                </c:pt>
                <c:pt idx="4">
                  <c:v>53.8</c:v>
                </c:pt>
                <c:pt idx="5">
                  <c:v>57.8</c:v>
                </c:pt>
                <c:pt idx="6">
                  <c:v>53.8</c:v>
                </c:pt>
                <c:pt idx="7">
                  <c:v>54.6</c:v>
                </c:pt>
                <c:pt idx="8">
                  <c:v>56</c:v>
                </c:pt>
                <c:pt idx="9">
                  <c:v>64.2</c:v>
                </c:pt>
                <c:pt idx="10">
                  <c:v>52.2</c:v>
                </c:pt>
                <c:pt idx="11">
                  <c:v>56.8</c:v>
                </c:pt>
                <c:pt idx="12">
                  <c:v>52</c:v>
                </c:pt>
              </c:numCache>
            </c:numRef>
          </c:val>
        </c:ser>
        <c:ser>
          <c:idx val="3"/>
          <c:order val="3"/>
          <c:tx>
            <c:strRef>
              <c:f>'15 countries'!$R$1</c:f>
              <c:strCache>
                <c:ptCount val="1"/>
                <c:pt idx="0">
                  <c:v>2000</c:v>
                </c:pt>
              </c:strCache>
            </c:strRef>
          </c:tx>
          <c:invertIfNegative val="0"/>
          <c:cat>
            <c:strRef>
              <c:f>('15 countries'!$A$2;'15 countries'!$A$14;'15 countries'!$A$26;'15 countries'!$A$38;'15 countries'!$A$50;'15 countries'!$A$62;'15 countries'!$A$86;'15 countries'!$A$98;'15 countries'!$A$110;'15 countries'!$A$122;'15 countries'!$A$134;'15 countries'!$A$146;'15 countries'!$A$158)</c:f>
              <c:strCache>
                <c:ptCount val="13"/>
                <c:pt idx="0">
                  <c:v>Mexico</c:v>
                </c:pt>
                <c:pt idx="1">
                  <c:v>Guatemala</c:v>
                </c:pt>
                <c:pt idx="2">
                  <c:v>Dominican Republic</c:v>
                </c:pt>
                <c:pt idx="3">
                  <c:v>El Salvador</c:v>
                </c:pt>
                <c:pt idx="4">
                  <c:v>Costa Rica</c:v>
                </c:pt>
                <c:pt idx="5">
                  <c:v>Colombia</c:v>
                </c:pt>
                <c:pt idx="6">
                  <c:v>Ecuador</c:v>
                </c:pt>
                <c:pt idx="7">
                  <c:v>Peru</c:v>
                </c:pt>
                <c:pt idx="8">
                  <c:v>Bolivia</c:v>
                </c:pt>
                <c:pt idx="9">
                  <c:v>Chile</c:v>
                </c:pt>
                <c:pt idx="10">
                  <c:v>Brazil</c:v>
                </c:pt>
                <c:pt idx="11">
                  <c:v>Paraguay</c:v>
                </c:pt>
                <c:pt idx="12">
                  <c:v>Uruguay</c:v>
                </c:pt>
              </c:strCache>
            </c:strRef>
          </c:cat>
          <c:val>
            <c:numRef>
              <c:f>('15 countries'!$R$2;'15 countries'!$R$14;'15 countries'!$R$26;'15 countries'!$R$38;'15 countries'!$R$50;'15 countries'!$R$62;'15 countries'!$R$86;'15 countries'!$R$98;'15 countries'!$R$110;'15 countries'!$R$122;'15 countries'!$R$134;'15 countries'!$R$146;'15 countries'!$R$158)</c:f>
              <c:numCache>
                <c:formatCode>0.00</c:formatCode>
                <c:ptCount val="13"/>
                <c:pt idx="0">
                  <c:v>52</c:v>
                </c:pt>
                <c:pt idx="1">
                  <c:v>59</c:v>
                </c:pt>
                <c:pt idx="2">
                  <c:v>57.8</c:v>
                </c:pt>
                <c:pt idx="3">
                  <c:v>60.8</c:v>
                </c:pt>
                <c:pt idx="4">
                  <c:v>56</c:v>
                </c:pt>
                <c:pt idx="5">
                  <c:v>58.8</c:v>
                </c:pt>
                <c:pt idx="6">
                  <c:v>52</c:v>
                </c:pt>
                <c:pt idx="7">
                  <c:v>63.6</c:v>
                </c:pt>
                <c:pt idx="8">
                  <c:v>71</c:v>
                </c:pt>
                <c:pt idx="9">
                  <c:v>73.400000000000006</c:v>
                </c:pt>
                <c:pt idx="10">
                  <c:v>56.8</c:v>
                </c:pt>
                <c:pt idx="11">
                  <c:v>57</c:v>
                </c:pt>
                <c:pt idx="12">
                  <c:v>53.6</c:v>
                </c:pt>
              </c:numCache>
            </c:numRef>
          </c:val>
        </c:ser>
        <c:ser>
          <c:idx val="4"/>
          <c:order val="4"/>
          <c:tx>
            <c:strRef>
              <c:f>'15 countries'!$W$1</c:f>
              <c:strCache>
                <c:ptCount val="1"/>
                <c:pt idx="0">
                  <c:v>2005</c:v>
                </c:pt>
              </c:strCache>
            </c:strRef>
          </c:tx>
          <c:invertIfNegative val="0"/>
          <c:cat>
            <c:strRef>
              <c:f>('15 countries'!$A$2;'15 countries'!$A$14;'15 countries'!$A$26;'15 countries'!$A$38;'15 countries'!$A$50;'15 countries'!$A$62;'15 countries'!$A$86;'15 countries'!$A$98;'15 countries'!$A$110;'15 countries'!$A$122;'15 countries'!$A$134;'15 countries'!$A$146;'15 countries'!$A$158)</c:f>
              <c:strCache>
                <c:ptCount val="13"/>
                <c:pt idx="0">
                  <c:v>Mexico</c:v>
                </c:pt>
                <c:pt idx="1">
                  <c:v>Guatemala</c:v>
                </c:pt>
                <c:pt idx="2">
                  <c:v>Dominican Republic</c:v>
                </c:pt>
                <c:pt idx="3">
                  <c:v>El Salvador</c:v>
                </c:pt>
                <c:pt idx="4">
                  <c:v>Costa Rica</c:v>
                </c:pt>
                <c:pt idx="5">
                  <c:v>Colombia</c:v>
                </c:pt>
                <c:pt idx="6">
                  <c:v>Ecuador</c:v>
                </c:pt>
                <c:pt idx="7">
                  <c:v>Peru</c:v>
                </c:pt>
                <c:pt idx="8">
                  <c:v>Bolivia</c:v>
                </c:pt>
                <c:pt idx="9">
                  <c:v>Chile</c:v>
                </c:pt>
                <c:pt idx="10">
                  <c:v>Brazil</c:v>
                </c:pt>
                <c:pt idx="11">
                  <c:v>Paraguay</c:v>
                </c:pt>
                <c:pt idx="12">
                  <c:v>Uruguay</c:v>
                </c:pt>
              </c:strCache>
            </c:strRef>
          </c:cat>
          <c:val>
            <c:numRef>
              <c:f>('15 countries'!$W$2;'15 countries'!$W$14;'15 countries'!$W$26;'15 countries'!$W$38;'15 countries'!$W$50;'15 countries'!$W$62;'15 countries'!$W$86;'15 countries'!$W$98;'15 countries'!$W$110;'15 countries'!$W$122;'15 countries'!$W$134;'15 countries'!$W$146;'15 countries'!$W$158)</c:f>
              <c:numCache>
                <c:formatCode>0.00</c:formatCode>
                <c:ptCount val="13"/>
                <c:pt idx="0">
                  <c:v>55.8</c:v>
                </c:pt>
                <c:pt idx="1">
                  <c:v>64.599999999999994</c:v>
                </c:pt>
                <c:pt idx="2">
                  <c:v>61.6</c:v>
                </c:pt>
                <c:pt idx="3">
                  <c:v>63.6</c:v>
                </c:pt>
                <c:pt idx="4">
                  <c:v>56.4</c:v>
                </c:pt>
                <c:pt idx="5">
                  <c:v>58.6</c:v>
                </c:pt>
                <c:pt idx="6">
                  <c:v>56</c:v>
                </c:pt>
                <c:pt idx="7">
                  <c:v>64.8</c:v>
                </c:pt>
                <c:pt idx="8">
                  <c:v>76.8</c:v>
                </c:pt>
                <c:pt idx="9">
                  <c:v>78</c:v>
                </c:pt>
                <c:pt idx="10">
                  <c:v>62.8</c:v>
                </c:pt>
                <c:pt idx="11">
                  <c:v>65</c:v>
                </c:pt>
                <c:pt idx="12">
                  <c:v>56.8</c:v>
                </c:pt>
              </c:numCache>
            </c:numRef>
          </c:val>
        </c:ser>
        <c:ser>
          <c:idx val="5"/>
          <c:order val="5"/>
          <c:tx>
            <c:strRef>
              <c:f>'15 countries'!$AB$1</c:f>
              <c:strCache>
                <c:ptCount val="1"/>
                <c:pt idx="0">
                  <c:v>2010</c:v>
                </c:pt>
              </c:strCache>
            </c:strRef>
          </c:tx>
          <c:invertIfNegative val="0"/>
          <c:cat>
            <c:strRef>
              <c:f>('15 countries'!$A$2;'15 countries'!$A$14;'15 countries'!$A$26;'15 countries'!$A$38;'15 countries'!$A$50;'15 countries'!$A$62;'15 countries'!$A$86;'15 countries'!$A$98;'15 countries'!$A$110;'15 countries'!$A$122;'15 countries'!$A$134;'15 countries'!$A$146;'15 countries'!$A$158)</c:f>
              <c:strCache>
                <c:ptCount val="13"/>
                <c:pt idx="0">
                  <c:v>Mexico</c:v>
                </c:pt>
                <c:pt idx="1">
                  <c:v>Guatemala</c:v>
                </c:pt>
                <c:pt idx="2">
                  <c:v>Dominican Republic</c:v>
                </c:pt>
                <c:pt idx="3">
                  <c:v>El Salvador</c:v>
                </c:pt>
                <c:pt idx="4">
                  <c:v>Costa Rica</c:v>
                </c:pt>
                <c:pt idx="5">
                  <c:v>Colombia</c:v>
                </c:pt>
                <c:pt idx="6">
                  <c:v>Ecuador</c:v>
                </c:pt>
                <c:pt idx="7">
                  <c:v>Peru</c:v>
                </c:pt>
                <c:pt idx="8">
                  <c:v>Bolivia</c:v>
                </c:pt>
                <c:pt idx="9">
                  <c:v>Chile</c:v>
                </c:pt>
                <c:pt idx="10">
                  <c:v>Brazil</c:v>
                </c:pt>
                <c:pt idx="11">
                  <c:v>Paraguay</c:v>
                </c:pt>
                <c:pt idx="12">
                  <c:v>Uruguay</c:v>
                </c:pt>
              </c:strCache>
            </c:strRef>
          </c:cat>
          <c:val>
            <c:numRef>
              <c:f>('15 countries'!$AB$2;'15 countries'!$AB$14;'15 countries'!$AB$26;'15 countries'!$AB$38;'15 countries'!$AB$50;'15 countries'!$AB$62;'15 countries'!$AB$86;'15 countries'!$AB$98;'15 countries'!$AB$110;'15 countries'!$AB$122;'15 countries'!$AB$134;'15 countries'!$AB$146;'15 countries'!$AB$158)</c:f>
              <c:numCache>
                <c:formatCode>0.00</c:formatCode>
                <c:ptCount val="13"/>
                <c:pt idx="0">
                  <c:v>52.6</c:v>
                </c:pt>
                <c:pt idx="1">
                  <c:v>66.2</c:v>
                </c:pt>
                <c:pt idx="2">
                  <c:v>62.4</c:v>
                </c:pt>
                <c:pt idx="3">
                  <c:v>64.400000000000006</c:v>
                </c:pt>
                <c:pt idx="4">
                  <c:v>56.6</c:v>
                </c:pt>
                <c:pt idx="5">
                  <c:v>62.8</c:v>
                </c:pt>
                <c:pt idx="6">
                  <c:v>58.4</c:v>
                </c:pt>
                <c:pt idx="7">
                  <c:v>68.400000000000006</c:v>
                </c:pt>
                <c:pt idx="8">
                  <c:v>77.400000000000006</c:v>
                </c:pt>
                <c:pt idx="9">
                  <c:v>80</c:v>
                </c:pt>
                <c:pt idx="10">
                  <c:v>66.400000000000006</c:v>
                </c:pt>
                <c:pt idx="11">
                  <c:v>67.8</c:v>
                </c:pt>
                <c:pt idx="12">
                  <c:v>55.6</c:v>
                </c:pt>
              </c:numCache>
            </c:numRef>
          </c:val>
        </c:ser>
        <c:dLbls>
          <c:showLegendKey val="0"/>
          <c:showVal val="0"/>
          <c:showCatName val="0"/>
          <c:showSerName val="0"/>
          <c:showPercent val="0"/>
          <c:showBubbleSize val="0"/>
        </c:dLbls>
        <c:gapWidth val="150"/>
        <c:axId val="157895416"/>
        <c:axId val="228902864"/>
      </c:barChart>
      <c:catAx>
        <c:axId val="157895416"/>
        <c:scaling>
          <c:orientation val="minMax"/>
        </c:scaling>
        <c:delete val="0"/>
        <c:axPos val="l"/>
        <c:numFmt formatCode="General" sourceLinked="0"/>
        <c:majorTickMark val="out"/>
        <c:minorTickMark val="none"/>
        <c:tickLblPos val="nextTo"/>
        <c:crossAx val="228902864"/>
        <c:crosses val="autoZero"/>
        <c:auto val="1"/>
        <c:lblAlgn val="ctr"/>
        <c:lblOffset val="100"/>
        <c:noMultiLvlLbl val="0"/>
      </c:catAx>
      <c:valAx>
        <c:axId val="228902864"/>
        <c:scaling>
          <c:orientation val="minMax"/>
        </c:scaling>
        <c:delete val="0"/>
        <c:axPos val="b"/>
        <c:majorGridlines/>
        <c:numFmt formatCode="0" sourceLinked="0"/>
        <c:majorTickMark val="out"/>
        <c:minorTickMark val="none"/>
        <c:tickLblPos val="nextTo"/>
        <c:crossAx val="157895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Personal Income Tax</a:t>
            </a:r>
          </a:p>
        </c:rich>
      </c:tx>
      <c:layout/>
      <c:overlay val="0"/>
    </c:title>
    <c:autoTitleDeleted val="0"/>
    <c:plotArea>
      <c:layout/>
      <c:barChart>
        <c:barDir val="col"/>
        <c:grouping val="clustered"/>
        <c:varyColors val="0"/>
        <c:ser>
          <c:idx val="0"/>
          <c:order val="0"/>
          <c:tx>
            <c:strRef>
              <c:f>Sheet1!$B$2</c:f>
              <c:strCache>
                <c:ptCount val="1"/>
                <c:pt idx="0">
                  <c:v>1985</c:v>
                </c:pt>
              </c:strCache>
            </c:strRef>
          </c:tx>
          <c:invertIfNegative val="0"/>
          <c:cat>
            <c:strRef>
              <c:f>Sheet1!$A$3:$A$17</c:f>
              <c:strCache>
                <c:ptCount val="15"/>
                <c:pt idx="0">
                  <c:v>Argentina</c:v>
                </c:pt>
                <c:pt idx="1">
                  <c:v>Boliva</c:v>
                </c:pt>
                <c:pt idx="2">
                  <c:v>Brazil</c:v>
                </c:pt>
                <c:pt idx="3">
                  <c:v>Chile</c:v>
                </c:pt>
                <c:pt idx="4">
                  <c:v>Colombia</c:v>
                </c:pt>
                <c:pt idx="5">
                  <c:v>Costa Rica</c:v>
                </c:pt>
                <c:pt idx="6">
                  <c:v>Dominican Republic</c:v>
                </c:pt>
                <c:pt idx="7">
                  <c:v>Ecuador</c:v>
                </c:pt>
                <c:pt idx="8">
                  <c:v>El Salvador</c:v>
                </c:pt>
                <c:pt idx="9">
                  <c:v>Guatemala</c:v>
                </c:pt>
                <c:pt idx="10">
                  <c:v>Mexico</c:v>
                </c:pt>
                <c:pt idx="11">
                  <c:v>Paraguay</c:v>
                </c:pt>
                <c:pt idx="12">
                  <c:v>Peru</c:v>
                </c:pt>
                <c:pt idx="13">
                  <c:v>Uruguay</c:v>
                </c:pt>
                <c:pt idx="14">
                  <c:v>Venezuela</c:v>
                </c:pt>
              </c:strCache>
            </c:strRef>
          </c:cat>
          <c:val>
            <c:numRef>
              <c:f>Sheet1!$B$3:$B$17</c:f>
              <c:numCache>
                <c:formatCode>0.00%</c:formatCode>
                <c:ptCount val="15"/>
                <c:pt idx="0">
                  <c:v>0.45</c:v>
                </c:pt>
                <c:pt idx="1">
                  <c:v>0.3</c:v>
                </c:pt>
                <c:pt idx="2">
                  <c:v>0.6</c:v>
                </c:pt>
                <c:pt idx="3">
                  <c:v>0.5</c:v>
                </c:pt>
                <c:pt idx="4">
                  <c:v>0.49</c:v>
                </c:pt>
                <c:pt idx="5">
                  <c:v>0.5</c:v>
                </c:pt>
                <c:pt idx="6">
                  <c:v>0.73</c:v>
                </c:pt>
                <c:pt idx="7">
                  <c:v>0.4</c:v>
                </c:pt>
                <c:pt idx="8">
                  <c:v>0.6</c:v>
                </c:pt>
                <c:pt idx="9">
                  <c:v>0.48</c:v>
                </c:pt>
                <c:pt idx="10">
                  <c:v>0.55000000000000004</c:v>
                </c:pt>
                <c:pt idx="11">
                  <c:v>0.3</c:v>
                </c:pt>
                <c:pt idx="12">
                  <c:v>0.5</c:v>
                </c:pt>
                <c:pt idx="13">
                  <c:v>0</c:v>
                </c:pt>
                <c:pt idx="14">
                  <c:v>0.45</c:v>
                </c:pt>
              </c:numCache>
            </c:numRef>
          </c:val>
        </c:ser>
        <c:ser>
          <c:idx val="1"/>
          <c:order val="1"/>
          <c:tx>
            <c:strRef>
              <c:f>Sheet1!$D$2</c:f>
              <c:strCache>
                <c:ptCount val="1"/>
                <c:pt idx="0">
                  <c:v>1995</c:v>
                </c:pt>
              </c:strCache>
            </c:strRef>
          </c:tx>
          <c:invertIfNegative val="0"/>
          <c:cat>
            <c:strRef>
              <c:f>Sheet1!$A$3:$A$17</c:f>
              <c:strCache>
                <c:ptCount val="15"/>
                <c:pt idx="0">
                  <c:v>Argentina</c:v>
                </c:pt>
                <c:pt idx="1">
                  <c:v>Boliva</c:v>
                </c:pt>
                <c:pt idx="2">
                  <c:v>Brazil</c:v>
                </c:pt>
                <c:pt idx="3">
                  <c:v>Chile</c:v>
                </c:pt>
                <c:pt idx="4">
                  <c:v>Colombia</c:v>
                </c:pt>
                <c:pt idx="5">
                  <c:v>Costa Rica</c:v>
                </c:pt>
                <c:pt idx="6">
                  <c:v>Dominican Republic</c:v>
                </c:pt>
                <c:pt idx="7">
                  <c:v>Ecuador</c:v>
                </c:pt>
                <c:pt idx="8">
                  <c:v>El Salvador</c:v>
                </c:pt>
                <c:pt idx="9">
                  <c:v>Guatemala</c:v>
                </c:pt>
                <c:pt idx="10">
                  <c:v>Mexico</c:v>
                </c:pt>
                <c:pt idx="11">
                  <c:v>Paraguay</c:v>
                </c:pt>
                <c:pt idx="12">
                  <c:v>Peru</c:v>
                </c:pt>
                <c:pt idx="13">
                  <c:v>Uruguay</c:v>
                </c:pt>
                <c:pt idx="14">
                  <c:v>Venezuela</c:v>
                </c:pt>
              </c:strCache>
            </c:strRef>
          </c:cat>
          <c:val>
            <c:numRef>
              <c:f>Sheet1!$D$3:$D$17</c:f>
              <c:numCache>
                <c:formatCode>0.00%</c:formatCode>
                <c:ptCount val="15"/>
                <c:pt idx="0">
                  <c:v>0.3</c:v>
                </c:pt>
                <c:pt idx="1">
                  <c:v>0.13</c:v>
                </c:pt>
                <c:pt idx="2">
                  <c:v>0.35</c:v>
                </c:pt>
                <c:pt idx="3">
                  <c:v>0.45</c:v>
                </c:pt>
                <c:pt idx="4">
                  <c:v>0.35</c:v>
                </c:pt>
                <c:pt idx="5">
                  <c:v>0.25</c:v>
                </c:pt>
                <c:pt idx="6">
                  <c:v>0.25</c:v>
                </c:pt>
                <c:pt idx="7">
                  <c:v>0.25</c:v>
                </c:pt>
                <c:pt idx="8">
                  <c:v>0.3</c:v>
                </c:pt>
                <c:pt idx="9">
                  <c:v>0.3</c:v>
                </c:pt>
                <c:pt idx="10">
                  <c:v>0.35</c:v>
                </c:pt>
                <c:pt idx="11">
                  <c:v>0</c:v>
                </c:pt>
                <c:pt idx="12">
                  <c:v>0.3</c:v>
                </c:pt>
                <c:pt idx="13">
                  <c:v>0</c:v>
                </c:pt>
                <c:pt idx="14">
                  <c:v>0.34</c:v>
                </c:pt>
              </c:numCache>
            </c:numRef>
          </c:val>
        </c:ser>
        <c:ser>
          <c:idx val="2"/>
          <c:order val="2"/>
          <c:tx>
            <c:strRef>
              <c:f>Sheet1!$F$2</c:f>
              <c:strCache>
                <c:ptCount val="1"/>
                <c:pt idx="0">
                  <c:v>2005</c:v>
                </c:pt>
              </c:strCache>
            </c:strRef>
          </c:tx>
          <c:invertIfNegative val="0"/>
          <c:cat>
            <c:strRef>
              <c:f>Sheet1!$A$3:$A$17</c:f>
              <c:strCache>
                <c:ptCount val="15"/>
                <c:pt idx="0">
                  <c:v>Argentina</c:v>
                </c:pt>
                <c:pt idx="1">
                  <c:v>Boliva</c:v>
                </c:pt>
                <c:pt idx="2">
                  <c:v>Brazil</c:v>
                </c:pt>
                <c:pt idx="3">
                  <c:v>Chile</c:v>
                </c:pt>
                <c:pt idx="4">
                  <c:v>Colombia</c:v>
                </c:pt>
                <c:pt idx="5">
                  <c:v>Costa Rica</c:v>
                </c:pt>
                <c:pt idx="6">
                  <c:v>Dominican Republic</c:v>
                </c:pt>
                <c:pt idx="7">
                  <c:v>Ecuador</c:v>
                </c:pt>
                <c:pt idx="8">
                  <c:v>El Salvador</c:v>
                </c:pt>
                <c:pt idx="9">
                  <c:v>Guatemala</c:v>
                </c:pt>
                <c:pt idx="10">
                  <c:v>Mexico</c:v>
                </c:pt>
                <c:pt idx="11">
                  <c:v>Paraguay</c:v>
                </c:pt>
                <c:pt idx="12">
                  <c:v>Peru</c:v>
                </c:pt>
                <c:pt idx="13">
                  <c:v>Uruguay</c:v>
                </c:pt>
                <c:pt idx="14">
                  <c:v>Venezuela</c:v>
                </c:pt>
              </c:strCache>
            </c:strRef>
          </c:cat>
          <c:val>
            <c:numRef>
              <c:f>Sheet1!$F$3:$F$17</c:f>
              <c:numCache>
                <c:formatCode>0.00%</c:formatCode>
                <c:ptCount val="15"/>
                <c:pt idx="0">
                  <c:v>0.35</c:v>
                </c:pt>
                <c:pt idx="1">
                  <c:v>0.13</c:v>
                </c:pt>
                <c:pt idx="2">
                  <c:v>0.27</c:v>
                </c:pt>
                <c:pt idx="3">
                  <c:v>0.4</c:v>
                </c:pt>
                <c:pt idx="4">
                  <c:v>0.39</c:v>
                </c:pt>
                <c:pt idx="5">
                  <c:v>0.25</c:v>
                </c:pt>
                <c:pt idx="6">
                  <c:v>0.25</c:v>
                </c:pt>
                <c:pt idx="7">
                  <c:v>0.25</c:v>
                </c:pt>
                <c:pt idx="8">
                  <c:v>0.3</c:v>
                </c:pt>
                <c:pt idx="9">
                  <c:v>0.31</c:v>
                </c:pt>
                <c:pt idx="10">
                  <c:v>0.33</c:v>
                </c:pt>
                <c:pt idx="11">
                  <c:v>0</c:v>
                </c:pt>
                <c:pt idx="12">
                  <c:v>0.3</c:v>
                </c:pt>
                <c:pt idx="13">
                  <c:v>0</c:v>
                </c:pt>
                <c:pt idx="14">
                  <c:v>0.31</c:v>
                </c:pt>
              </c:numCache>
            </c:numRef>
          </c:val>
        </c:ser>
        <c:ser>
          <c:idx val="3"/>
          <c:order val="3"/>
          <c:tx>
            <c:strRef>
              <c:f>Sheet1!$G$2</c:f>
              <c:strCache>
                <c:ptCount val="1"/>
                <c:pt idx="0">
                  <c:v>2009</c:v>
                </c:pt>
              </c:strCache>
            </c:strRef>
          </c:tx>
          <c:invertIfNegative val="0"/>
          <c:cat>
            <c:strRef>
              <c:f>Sheet1!$A$3:$A$17</c:f>
              <c:strCache>
                <c:ptCount val="15"/>
                <c:pt idx="0">
                  <c:v>Argentina</c:v>
                </c:pt>
                <c:pt idx="1">
                  <c:v>Boliva</c:v>
                </c:pt>
                <c:pt idx="2">
                  <c:v>Brazil</c:v>
                </c:pt>
                <c:pt idx="3">
                  <c:v>Chile</c:v>
                </c:pt>
                <c:pt idx="4">
                  <c:v>Colombia</c:v>
                </c:pt>
                <c:pt idx="5">
                  <c:v>Costa Rica</c:v>
                </c:pt>
                <c:pt idx="6">
                  <c:v>Dominican Republic</c:v>
                </c:pt>
                <c:pt idx="7">
                  <c:v>Ecuador</c:v>
                </c:pt>
                <c:pt idx="8">
                  <c:v>El Salvador</c:v>
                </c:pt>
                <c:pt idx="9">
                  <c:v>Guatemala</c:v>
                </c:pt>
                <c:pt idx="10">
                  <c:v>Mexico</c:v>
                </c:pt>
                <c:pt idx="11">
                  <c:v>Paraguay</c:v>
                </c:pt>
                <c:pt idx="12">
                  <c:v>Peru</c:v>
                </c:pt>
                <c:pt idx="13">
                  <c:v>Uruguay</c:v>
                </c:pt>
                <c:pt idx="14">
                  <c:v>Venezuela</c:v>
                </c:pt>
              </c:strCache>
            </c:strRef>
          </c:cat>
          <c:val>
            <c:numRef>
              <c:f>Sheet1!$G$3:$G$17</c:f>
              <c:numCache>
                <c:formatCode>0.00%</c:formatCode>
                <c:ptCount val="15"/>
                <c:pt idx="0">
                  <c:v>0.35</c:v>
                </c:pt>
                <c:pt idx="1">
                  <c:v>0.13</c:v>
                </c:pt>
                <c:pt idx="2">
                  <c:v>0.27</c:v>
                </c:pt>
                <c:pt idx="3">
                  <c:v>0.4</c:v>
                </c:pt>
                <c:pt idx="4">
                  <c:v>0.33</c:v>
                </c:pt>
                <c:pt idx="5">
                  <c:v>0.25</c:v>
                </c:pt>
                <c:pt idx="6">
                  <c:v>0.25</c:v>
                </c:pt>
                <c:pt idx="7">
                  <c:v>0.35</c:v>
                </c:pt>
                <c:pt idx="8">
                  <c:v>0.3</c:v>
                </c:pt>
                <c:pt idx="9">
                  <c:v>0.31</c:v>
                </c:pt>
                <c:pt idx="10">
                  <c:v>0.28000000000000003</c:v>
                </c:pt>
                <c:pt idx="11">
                  <c:v>0.1</c:v>
                </c:pt>
                <c:pt idx="12">
                  <c:v>0.3</c:v>
                </c:pt>
                <c:pt idx="13">
                  <c:v>0.25</c:v>
                </c:pt>
                <c:pt idx="14">
                  <c:v>0.34</c:v>
                </c:pt>
              </c:numCache>
            </c:numRef>
          </c:val>
        </c:ser>
        <c:dLbls>
          <c:showLegendKey val="0"/>
          <c:showVal val="0"/>
          <c:showCatName val="0"/>
          <c:showSerName val="0"/>
          <c:showPercent val="0"/>
          <c:showBubbleSize val="0"/>
        </c:dLbls>
        <c:gapWidth val="150"/>
        <c:axId val="156707888"/>
        <c:axId val="155210408"/>
      </c:barChart>
      <c:catAx>
        <c:axId val="156707888"/>
        <c:scaling>
          <c:orientation val="minMax"/>
        </c:scaling>
        <c:delete val="0"/>
        <c:axPos val="b"/>
        <c:numFmt formatCode="General" sourceLinked="0"/>
        <c:majorTickMark val="none"/>
        <c:minorTickMark val="none"/>
        <c:tickLblPos val="nextTo"/>
        <c:crossAx val="155210408"/>
        <c:crosses val="autoZero"/>
        <c:auto val="1"/>
        <c:lblAlgn val="ctr"/>
        <c:lblOffset val="100"/>
        <c:noMultiLvlLbl val="0"/>
      </c:catAx>
      <c:valAx>
        <c:axId val="155210408"/>
        <c:scaling>
          <c:orientation val="minMax"/>
        </c:scaling>
        <c:delete val="0"/>
        <c:axPos val="l"/>
        <c:majorGridlines/>
        <c:numFmt formatCode="0%" sourceLinked="0"/>
        <c:majorTickMark val="none"/>
        <c:minorTickMark val="none"/>
        <c:tickLblPos val="nextTo"/>
        <c:crossAx val="156707888"/>
        <c:crosses val="autoZero"/>
        <c:crossBetween val="between"/>
      </c:valAx>
    </c:plotArea>
    <c:legend>
      <c:legendPos val="r"/>
      <c:layout/>
      <c:overlay val="0"/>
    </c:legend>
    <c:plotVisOnly val="1"/>
    <c:dispBlanksAs val="gap"/>
    <c:showDLblsOverMax val="0"/>
  </c:chart>
  <c:txPr>
    <a:bodyPr/>
    <a:lstStyle/>
    <a:p>
      <a:pPr>
        <a:defRPr>
          <a:latin typeface="+mn-lt"/>
          <a:cs typeface="Times New Roman" panose="02020603050405020304" pitchFamily="18" charset="0"/>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Sheet1!$A$39</c:f>
              <c:strCache>
                <c:ptCount val="1"/>
                <c:pt idx="0">
                  <c:v>Argentina</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Sheet1!$B$39:$Z$39</c:f>
              <c:numCache>
                <c:formatCode>0.00%</c:formatCode>
                <c:ptCount val="25"/>
                <c:pt idx="0">
                  <c:v>0</c:v>
                </c:pt>
                <c:pt idx="1">
                  <c:v>0</c:v>
                </c:pt>
                <c:pt idx="2">
                  <c:v>0</c:v>
                </c:pt>
                <c:pt idx="3">
                  <c:v>0</c:v>
                </c:pt>
                <c:pt idx="4">
                  <c:v>0</c:v>
                </c:pt>
                <c:pt idx="5">
                  <c:v>0.02</c:v>
                </c:pt>
                <c:pt idx="6">
                  <c:v>0.04</c:v>
                </c:pt>
                <c:pt idx="7">
                  <c:v>7.0000000000000007E-2</c:v>
                </c:pt>
                <c:pt idx="8">
                  <c:v>0.11</c:v>
                </c:pt>
                <c:pt idx="9">
                  <c:v>0.13</c:v>
                </c:pt>
                <c:pt idx="10">
                  <c:v>0.16</c:v>
                </c:pt>
                <c:pt idx="11">
                  <c:v>0.18</c:v>
                </c:pt>
                <c:pt idx="12">
                  <c:v>0.2</c:v>
                </c:pt>
                <c:pt idx="13">
                  <c:v>0.23</c:v>
                </c:pt>
                <c:pt idx="14">
                  <c:v>0.25</c:v>
                </c:pt>
                <c:pt idx="15">
                  <c:v>0.27</c:v>
                </c:pt>
                <c:pt idx="16">
                  <c:v>0.28000000000000003</c:v>
                </c:pt>
                <c:pt idx="17">
                  <c:v>0.28999999999999998</c:v>
                </c:pt>
                <c:pt idx="18">
                  <c:v>0.28999999999999998</c:v>
                </c:pt>
                <c:pt idx="19">
                  <c:v>0.3</c:v>
                </c:pt>
                <c:pt idx="20">
                  <c:v>0.3</c:v>
                </c:pt>
                <c:pt idx="21">
                  <c:v>0.32</c:v>
                </c:pt>
                <c:pt idx="22">
                  <c:v>0.33</c:v>
                </c:pt>
                <c:pt idx="23">
                  <c:v>0.33</c:v>
                </c:pt>
                <c:pt idx="24">
                  <c:v>0.34</c:v>
                </c:pt>
              </c:numCache>
            </c:numRef>
          </c:val>
          <c:smooth val="0"/>
        </c:ser>
        <c:ser>
          <c:idx val="1"/>
          <c:order val="1"/>
          <c:tx>
            <c:strRef>
              <c:f>Sheet1!$A$40</c:f>
              <c:strCache>
                <c:ptCount val="1"/>
                <c:pt idx="0">
                  <c:v>Bolivia</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Sheet1!$B$40:$Z$40</c:f>
              <c:numCache>
                <c:formatCode>0.00%</c:formatCode>
                <c:ptCount val="25"/>
                <c:pt idx="0">
                  <c:v>0</c:v>
                </c:pt>
                <c:pt idx="1">
                  <c:v>0</c:v>
                </c:pt>
                <c:pt idx="2">
                  <c:v>0</c:v>
                </c:pt>
                <c:pt idx="3">
                  <c:v>0</c:v>
                </c:pt>
                <c:pt idx="4">
                  <c:v>0</c:v>
                </c:pt>
                <c:pt idx="5">
                  <c:v>0</c:v>
                </c:pt>
                <c:pt idx="6">
                  <c:v>0</c:v>
                </c:pt>
                <c:pt idx="7">
                  <c:v>0</c:v>
                </c:pt>
                <c:pt idx="8">
                  <c:v>0</c:v>
                </c:pt>
                <c:pt idx="9">
                  <c:v>0</c:v>
                </c:pt>
                <c:pt idx="10">
                  <c:v>0.04</c:v>
                </c:pt>
                <c:pt idx="11">
                  <c:v>0.08</c:v>
                </c:pt>
                <c:pt idx="12">
                  <c:v>0.17</c:v>
                </c:pt>
                <c:pt idx="13">
                  <c:v>0.45</c:v>
                </c:pt>
                <c:pt idx="14">
                  <c:v>0.51</c:v>
                </c:pt>
                <c:pt idx="15">
                  <c:v>0.55000000000000004</c:v>
                </c:pt>
                <c:pt idx="16">
                  <c:v>0.56999999999999995</c:v>
                </c:pt>
                <c:pt idx="17">
                  <c:v>0.64</c:v>
                </c:pt>
                <c:pt idx="18">
                  <c:v>0.65</c:v>
                </c:pt>
                <c:pt idx="19">
                  <c:v>0.67</c:v>
                </c:pt>
                <c:pt idx="20">
                  <c:v>0.68</c:v>
                </c:pt>
                <c:pt idx="21">
                  <c:v>0.69</c:v>
                </c:pt>
                <c:pt idx="22">
                  <c:v>0.71</c:v>
                </c:pt>
                <c:pt idx="23">
                  <c:v>0.71</c:v>
                </c:pt>
                <c:pt idx="24">
                  <c:v>0.71</c:v>
                </c:pt>
              </c:numCache>
            </c:numRef>
          </c:val>
          <c:smooth val="0"/>
        </c:ser>
        <c:ser>
          <c:idx val="2"/>
          <c:order val="2"/>
          <c:tx>
            <c:strRef>
              <c:f>Sheet1!$A$41</c:f>
              <c:strCache>
                <c:ptCount val="1"/>
                <c:pt idx="0">
                  <c:v>Brazil</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Sheet1!$B$41:$Z$41</c:f>
              <c:numCache>
                <c:formatCode>0.00%</c:formatCode>
                <c:ptCount val="25"/>
                <c:pt idx="0">
                  <c:v>0</c:v>
                </c:pt>
                <c:pt idx="1">
                  <c:v>0</c:v>
                </c:pt>
                <c:pt idx="2">
                  <c:v>0</c:v>
                </c:pt>
                <c:pt idx="3">
                  <c:v>0</c:v>
                </c:pt>
                <c:pt idx="4">
                  <c:v>0</c:v>
                </c:pt>
                <c:pt idx="5">
                  <c:v>0</c:v>
                </c:pt>
                <c:pt idx="6">
                  <c:v>0</c:v>
                </c:pt>
                <c:pt idx="7">
                  <c:v>0</c:v>
                </c:pt>
                <c:pt idx="8">
                  <c:v>0</c:v>
                </c:pt>
                <c:pt idx="9">
                  <c:v>0</c:v>
                </c:pt>
                <c:pt idx="10">
                  <c:v>0.01</c:v>
                </c:pt>
                <c:pt idx="11">
                  <c:v>0.02</c:v>
                </c:pt>
                <c:pt idx="12">
                  <c:v>0.04</c:v>
                </c:pt>
                <c:pt idx="13">
                  <c:v>0.1</c:v>
                </c:pt>
                <c:pt idx="14">
                  <c:v>0.13</c:v>
                </c:pt>
                <c:pt idx="15">
                  <c:v>0.16</c:v>
                </c:pt>
                <c:pt idx="16">
                  <c:v>0.19</c:v>
                </c:pt>
                <c:pt idx="17">
                  <c:v>0.21</c:v>
                </c:pt>
                <c:pt idx="18">
                  <c:v>0.22</c:v>
                </c:pt>
                <c:pt idx="19">
                  <c:v>0.23</c:v>
                </c:pt>
                <c:pt idx="20">
                  <c:v>0.24</c:v>
                </c:pt>
                <c:pt idx="21">
                  <c:v>0.26</c:v>
                </c:pt>
                <c:pt idx="22">
                  <c:v>0.27</c:v>
                </c:pt>
                <c:pt idx="23">
                  <c:v>0.28999999999999998</c:v>
                </c:pt>
                <c:pt idx="24">
                  <c:v>0.31</c:v>
                </c:pt>
              </c:numCache>
            </c:numRef>
          </c:val>
          <c:smooth val="0"/>
        </c:ser>
        <c:ser>
          <c:idx val="3"/>
          <c:order val="3"/>
          <c:tx>
            <c:strRef>
              <c:f>Sheet1!$A$42</c:f>
              <c:strCache>
                <c:ptCount val="1"/>
                <c:pt idx="0">
                  <c:v>Chile</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Sheet1!$B$42:$Z$42</c:f>
              <c:numCache>
                <c:formatCode>0.00%</c:formatCode>
                <c:ptCount val="25"/>
                <c:pt idx="0">
                  <c:v>0</c:v>
                </c:pt>
                <c:pt idx="1">
                  <c:v>0</c:v>
                </c:pt>
                <c:pt idx="2">
                  <c:v>0.01</c:v>
                </c:pt>
                <c:pt idx="3">
                  <c:v>0.02</c:v>
                </c:pt>
                <c:pt idx="4">
                  <c:v>0.05</c:v>
                </c:pt>
                <c:pt idx="5">
                  <c:v>0.09</c:v>
                </c:pt>
                <c:pt idx="6">
                  <c:v>0.1</c:v>
                </c:pt>
                <c:pt idx="7">
                  <c:v>0.11</c:v>
                </c:pt>
                <c:pt idx="8">
                  <c:v>0.13</c:v>
                </c:pt>
                <c:pt idx="9">
                  <c:v>0.15</c:v>
                </c:pt>
                <c:pt idx="10">
                  <c:v>0.17</c:v>
                </c:pt>
                <c:pt idx="11">
                  <c:v>0.2</c:v>
                </c:pt>
                <c:pt idx="12">
                  <c:v>0.26</c:v>
                </c:pt>
                <c:pt idx="13">
                  <c:v>0.28999999999999998</c:v>
                </c:pt>
                <c:pt idx="14">
                  <c:v>0.37</c:v>
                </c:pt>
                <c:pt idx="15">
                  <c:v>0.4</c:v>
                </c:pt>
                <c:pt idx="16">
                  <c:v>0.45</c:v>
                </c:pt>
                <c:pt idx="17">
                  <c:v>0.47</c:v>
                </c:pt>
                <c:pt idx="18">
                  <c:v>0.49</c:v>
                </c:pt>
                <c:pt idx="19">
                  <c:v>0.5</c:v>
                </c:pt>
                <c:pt idx="20">
                  <c:v>0.51</c:v>
                </c:pt>
                <c:pt idx="21">
                  <c:v>0.52</c:v>
                </c:pt>
                <c:pt idx="22">
                  <c:v>0.54</c:v>
                </c:pt>
                <c:pt idx="23">
                  <c:v>0.55000000000000004</c:v>
                </c:pt>
                <c:pt idx="24">
                  <c:v>0.56000000000000005</c:v>
                </c:pt>
              </c:numCache>
            </c:numRef>
          </c:val>
          <c:smooth val="0"/>
        </c:ser>
        <c:ser>
          <c:idx val="4"/>
          <c:order val="4"/>
          <c:tx>
            <c:strRef>
              <c:f>Sheet1!$A$43</c:f>
              <c:strCache>
                <c:ptCount val="1"/>
                <c:pt idx="0">
                  <c:v>Colombia</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Sheet1!$B$43:$Z$43</c:f>
              <c:numCache>
                <c:formatCode>0.00%</c:formatCode>
                <c:ptCount val="25"/>
                <c:pt idx="0">
                  <c:v>0</c:v>
                </c:pt>
                <c:pt idx="1">
                  <c:v>0</c:v>
                </c:pt>
                <c:pt idx="2">
                  <c:v>0</c:v>
                </c:pt>
                <c:pt idx="3">
                  <c:v>0</c:v>
                </c:pt>
                <c:pt idx="4">
                  <c:v>0</c:v>
                </c:pt>
                <c:pt idx="5">
                  <c:v>0</c:v>
                </c:pt>
                <c:pt idx="6">
                  <c:v>0</c:v>
                </c:pt>
                <c:pt idx="7">
                  <c:v>0</c:v>
                </c:pt>
                <c:pt idx="8">
                  <c:v>0.01</c:v>
                </c:pt>
                <c:pt idx="9">
                  <c:v>0.03</c:v>
                </c:pt>
                <c:pt idx="10">
                  <c:v>0.04</c:v>
                </c:pt>
                <c:pt idx="11">
                  <c:v>0.06</c:v>
                </c:pt>
                <c:pt idx="12">
                  <c:v>0.1</c:v>
                </c:pt>
                <c:pt idx="13">
                  <c:v>0.11</c:v>
                </c:pt>
                <c:pt idx="14">
                  <c:v>0.11</c:v>
                </c:pt>
                <c:pt idx="15">
                  <c:v>0.13</c:v>
                </c:pt>
                <c:pt idx="16">
                  <c:v>0.13</c:v>
                </c:pt>
                <c:pt idx="17">
                  <c:v>0.13</c:v>
                </c:pt>
                <c:pt idx="18">
                  <c:v>0.14000000000000001</c:v>
                </c:pt>
                <c:pt idx="19">
                  <c:v>0.14000000000000001</c:v>
                </c:pt>
                <c:pt idx="20">
                  <c:v>0.15</c:v>
                </c:pt>
                <c:pt idx="21">
                  <c:v>0.16</c:v>
                </c:pt>
                <c:pt idx="22">
                  <c:v>0.17</c:v>
                </c:pt>
                <c:pt idx="23">
                  <c:v>0.19</c:v>
                </c:pt>
                <c:pt idx="24">
                  <c:v>0.19</c:v>
                </c:pt>
              </c:numCache>
            </c:numRef>
          </c:val>
          <c:smooth val="0"/>
        </c:ser>
        <c:ser>
          <c:idx val="5"/>
          <c:order val="5"/>
          <c:tx>
            <c:strRef>
              <c:f>Sheet1!$A$44</c:f>
              <c:strCache>
                <c:ptCount val="1"/>
                <c:pt idx="0">
                  <c:v>Costa Rica</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Sheet1!$B$44:$Z$44</c:f>
              <c:numCache>
                <c:formatCode>0.00%</c:formatCode>
                <c:ptCount val="25"/>
                <c:pt idx="0">
                  <c:v>0</c:v>
                </c:pt>
                <c:pt idx="1">
                  <c:v>0</c:v>
                </c:pt>
                <c:pt idx="2">
                  <c:v>0</c:v>
                </c:pt>
                <c:pt idx="3">
                  <c:v>0</c:v>
                </c:pt>
                <c:pt idx="4">
                  <c:v>0</c:v>
                </c:pt>
                <c:pt idx="5">
                  <c:v>0</c:v>
                </c:pt>
                <c:pt idx="6">
                  <c:v>0</c:v>
                </c:pt>
                <c:pt idx="7">
                  <c:v>0</c:v>
                </c:pt>
                <c:pt idx="8">
                  <c:v>0</c:v>
                </c:pt>
                <c:pt idx="9">
                  <c:v>0</c:v>
                </c:pt>
                <c:pt idx="10">
                  <c:v>0.01</c:v>
                </c:pt>
                <c:pt idx="11">
                  <c:v>0.01</c:v>
                </c:pt>
                <c:pt idx="12">
                  <c:v>0.02</c:v>
                </c:pt>
                <c:pt idx="13">
                  <c:v>0.03</c:v>
                </c:pt>
                <c:pt idx="14">
                  <c:v>0.03</c:v>
                </c:pt>
                <c:pt idx="15">
                  <c:v>0.04</c:v>
                </c:pt>
                <c:pt idx="16">
                  <c:v>0.04</c:v>
                </c:pt>
                <c:pt idx="17">
                  <c:v>0.04</c:v>
                </c:pt>
                <c:pt idx="18">
                  <c:v>0.04</c:v>
                </c:pt>
                <c:pt idx="19">
                  <c:v>0.04</c:v>
                </c:pt>
                <c:pt idx="20">
                  <c:v>0.06</c:v>
                </c:pt>
                <c:pt idx="21">
                  <c:v>0.06</c:v>
                </c:pt>
                <c:pt idx="22">
                  <c:v>7.0000000000000007E-2</c:v>
                </c:pt>
                <c:pt idx="23">
                  <c:v>7.0000000000000007E-2</c:v>
                </c:pt>
                <c:pt idx="24">
                  <c:v>0.08</c:v>
                </c:pt>
              </c:numCache>
            </c:numRef>
          </c:val>
          <c:smooth val="0"/>
        </c:ser>
        <c:ser>
          <c:idx val="6"/>
          <c:order val="6"/>
          <c:tx>
            <c:strRef>
              <c:f>Sheet1!$A$45</c:f>
              <c:strCache>
                <c:ptCount val="1"/>
                <c:pt idx="0">
                  <c:v>Dominican Republic</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Sheet1!$B$45:$Z$45</c:f>
              <c:numCache>
                <c:formatCode>0.00%</c:formatCode>
                <c:ptCount val="25"/>
                <c:pt idx="0">
                  <c:v>0</c:v>
                </c:pt>
                <c:pt idx="1">
                  <c:v>0</c:v>
                </c:pt>
                <c:pt idx="2">
                  <c:v>0</c:v>
                </c:pt>
                <c:pt idx="3">
                  <c:v>0</c:v>
                </c:pt>
                <c:pt idx="4">
                  <c:v>0</c:v>
                </c:pt>
                <c:pt idx="5">
                  <c:v>0</c:v>
                </c:pt>
                <c:pt idx="6">
                  <c:v>0</c:v>
                </c:pt>
                <c:pt idx="7">
                  <c:v>0</c:v>
                </c:pt>
                <c:pt idx="8">
                  <c:v>0</c:v>
                </c:pt>
                <c:pt idx="9">
                  <c:v>0.01</c:v>
                </c:pt>
                <c:pt idx="10">
                  <c:v>0.03</c:v>
                </c:pt>
                <c:pt idx="11">
                  <c:v>0.03</c:v>
                </c:pt>
                <c:pt idx="12">
                  <c:v>0.03</c:v>
                </c:pt>
                <c:pt idx="13">
                  <c:v>0.03</c:v>
                </c:pt>
                <c:pt idx="14">
                  <c:v>7.0000000000000007E-2</c:v>
                </c:pt>
                <c:pt idx="15">
                  <c:v>0.11</c:v>
                </c:pt>
                <c:pt idx="16">
                  <c:v>0.14000000000000001</c:v>
                </c:pt>
                <c:pt idx="17">
                  <c:v>0.16</c:v>
                </c:pt>
                <c:pt idx="18">
                  <c:v>0.17</c:v>
                </c:pt>
                <c:pt idx="19">
                  <c:v>0.17</c:v>
                </c:pt>
                <c:pt idx="20">
                  <c:v>0.18</c:v>
                </c:pt>
                <c:pt idx="21">
                  <c:v>0.18</c:v>
                </c:pt>
                <c:pt idx="22">
                  <c:v>0.19</c:v>
                </c:pt>
                <c:pt idx="23">
                  <c:v>0.19</c:v>
                </c:pt>
                <c:pt idx="24">
                  <c:v>0.2</c:v>
                </c:pt>
              </c:numCache>
            </c:numRef>
          </c:val>
          <c:smooth val="0"/>
        </c:ser>
        <c:ser>
          <c:idx val="7"/>
          <c:order val="7"/>
          <c:tx>
            <c:strRef>
              <c:f>Sheet1!$A$46</c:f>
              <c:strCache>
                <c:ptCount val="1"/>
                <c:pt idx="0">
                  <c:v>Ecuador</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Sheet1!$B$46:$Z$46</c:f>
              <c:numCache>
                <c:formatCode>0.00%</c:formatCode>
                <c:ptCount val="25"/>
                <c:pt idx="0">
                  <c:v>0</c:v>
                </c:pt>
                <c:pt idx="1">
                  <c:v>0</c:v>
                </c:pt>
                <c:pt idx="2">
                  <c:v>0</c:v>
                </c:pt>
                <c:pt idx="3">
                  <c:v>0</c:v>
                </c:pt>
                <c:pt idx="4">
                  <c:v>0</c:v>
                </c:pt>
                <c:pt idx="5">
                  <c:v>0</c:v>
                </c:pt>
                <c:pt idx="6">
                  <c:v>0</c:v>
                </c:pt>
                <c:pt idx="7">
                  <c:v>0</c:v>
                </c:pt>
                <c:pt idx="8">
                  <c:v>0</c:v>
                </c:pt>
                <c:pt idx="9">
                  <c:v>0</c:v>
                </c:pt>
                <c:pt idx="10">
                  <c:v>0</c:v>
                </c:pt>
                <c:pt idx="11">
                  <c:v>0.02</c:v>
                </c:pt>
                <c:pt idx="12">
                  <c:v>0.03</c:v>
                </c:pt>
                <c:pt idx="13">
                  <c:v>0.06</c:v>
                </c:pt>
                <c:pt idx="14">
                  <c:v>0.06</c:v>
                </c:pt>
                <c:pt idx="15">
                  <c:v>7.0000000000000007E-2</c:v>
                </c:pt>
                <c:pt idx="16">
                  <c:v>0.09</c:v>
                </c:pt>
                <c:pt idx="17">
                  <c:v>0.09</c:v>
                </c:pt>
                <c:pt idx="18">
                  <c:v>0.1</c:v>
                </c:pt>
                <c:pt idx="19">
                  <c:v>0.11</c:v>
                </c:pt>
                <c:pt idx="20">
                  <c:v>0.13</c:v>
                </c:pt>
                <c:pt idx="21">
                  <c:v>0.15</c:v>
                </c:pt>
                <c:pt idx="22">
                  <c:v>0.16</c:v>
                </c:pt>
                <c:pt idx="23">
                  <c:v>0.18</c:v>
                </c:pt>
                <c:pt idx="24">
                  <c:v>0.19</c:v>
                </c:pt>
              </c:numCache>
            </c:numRef>
          </c:val>
          <c:smooth val="0"/>
        </c:ser>
        <c:ser>
          <c:idx val="8"/>
          <c:order val="8"/>
          <c:tx>
            <c:strRef>
              <c:f>Sheet1!$A$47</c:f>
              <c:strCache>
                <c:ptCount val="1"/>
                <c:pt idx="0">
                  <c:v>El Salvador</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Sheet1!$B$47:$Z$47</c:f>
              <c:numCache>
                <c:formatCode>0.00%</c:formatCode>
                <c:ptCount val="25"/>
                <c:pt idx="0">
                  <c:v>0</c:v>
                </c:pt>
                <c:pt idx="1">
                  <c:v>0</c:v>
                </c:pt>
                <c:pt idx="2">
                  <c:v>0</c:v>
                </c:pt>
                <c:pt idx="3">
                  <c:v>0</c:v>
                </c:pt>
                <c:pt idx="4">
                  <c:v>0</c:v>
                </c:pt>
                <c:pt idx="5">
                  <c:v>0</c:v>
                </c:pt>
                <c:pt idx="6">
                  <c:v>0</c:v>
                </c:pt>
                <c:pt idx="7">
                  <c:v>0</c:v>
                </c:pt>
                <c:pt idx="8">
                  <c:v>0</c:v>
                </c:pt>
                <c:pt idx="9">
                  <c:v>0</c:v>
                </c:pt>
                <c:pt idx="10">
                  <c:v>0.01</c:v>
                </c:pt>
                <c:pt idx="11">
                  <c:v>0.02</c:v>
                </c:pt>
                <c:pt idx="12">
                  <c:v>0.02</c:v>
                </c:pt>
                <c:pt idx="13">
                  <c:v>0.1</c:v>
                </c:pt>
                <c:pt idx="14">
                  <c:v>0.14000000000000001</c:v>
                </c:pt>
                <c:pt idx="15">
                  <c:v>0.16</c:v>
                </c:pt>
                <c:pt idx="16">
                  <c:v>0.17</c:v>
                </c:pt>
                <c:pt idx="17">
                  <c:v>0.18</c:v>
                </c:pt>
                <c:pt idx="18">
                  <c:v>0.19</c:v>
                </c:pt>
                <c:pt idx="19">
                  <c:v>0.21</c:v>
                </c:pt>
                <c:pt idx="20">
                  <c:v>0.22</c:v>
                </c:pt>
                <c:pt idx="21">
                  <c:v>0.23</c:v>
                </c:pt>
                <c:pt idx="22">
                  <c:v>0.25</c:v>
                </c:pt>
                <c:pt idx="23">
                  <c:v>0.26</c:v>
                </c:pt>
                <c:pt idx="24">
                  <c:v>0.26</c:v>
                </c:pt>
              </c:numCache>
            </c:numRef>
          </c:val>
          <c:smooth val="0"/>
        </c:ser>
        <c:ser>
          <c:idx val="9"/>
          <c:order val="9"/>
          <c:tx>
            <c:strRef>
              <c:f>Sheet1!$A$48</c:f>
              <c:strCache>
                <c:ptCount val="1"/>
                <c:pt idx="0">
                  <c:v>Guatemala</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Sheet1!$B$48:$Z$48</c:f>
              <c:numCache>
                <c:formatCode>0.00%</c:formatCode>
                <c:ptCount val="25"/>
                <c:pt idx="0">
                  <c:v>0</c:v>
                </c:pt>
                <c:pt idx="1">
                  <c:v>0</c:v>
                </c:pt>
                <c:pt idx="2">
                  <c:v>0</c:v>
                </c:pt>
                <c:pt idx="3">
                  <c:v>0</c:v>
                </c:pt>
                <c:pt idx="4">
                  <c:v>0</c:v>
                </c:pt>
                <c:pt idx="5">
                  <c:v>0</c:v>
                </c:pt>
                <c:pt idx="6">
                  <c:v>0</c:v>
                </c:pt>
                <c:pt idx="7">
                  <c:v>0</c:v>
                </c:pt>
                <c:pt idx="8">
                  <c:v>0</c:v>
                </c:pt>
                <c:pt idx="9">
                  <c:v>0.01</c:v>
                </c:pt>
                <c:pt idx="10">
                  <c:v>0.01</c:v>
                </c:pt>
                <c:pt idx="11">
                  <c:v>0.04</c:v>
                </c:pt>
                <c:pt idx="12">
                  <c:v>0.05</c:v>
                </c:pt>
                <c:pt idx="13">
                  <c:v>0.14000000000000001</c:v>
                </c:pt>
                <c:pt idx="14">
                  <c:v>0.17</c:v>
                </c:pt>
                <c:pt idx="15">
                  <c:v>0.18</c:v>
                </c:pt>
                <c:pt idx="16">
                  <c:v>0.18</c:v>
                </c:pt>
                <c:pt idx="17">
                  <c:v>0.19</c:v>
                </c:pt>
                <c:pt idx="18">
                  <c:v>0.19</c:v>
                </c:pt>
                <c:pt idx="19">
                  <c:v>0.2</c:v>
                </c:pt>
                <c:pt idx="20">
                  <c:v>0.2</c:v>
                </c:pt>
                <c:pt idx="21">
                  <c:v>0.21</c:v>
                </c:pt>
                <c:pt idx="22">
                  <c:v>0.23</c:v>
                </c:pt>
                <c:pt idx="23">
                  <c:v>0.25</c:v>
                </c:pt>
                <c:pt idx="24">
                  <c:v>0.25</c:v>
                </c:pt>
              </c:numCache>
            </c:numRef>
          </c:val>
          <c:smooth val="0"/>
        </c:ser>
        <c:ser>
          <c:idx val="10"/>
          <c:order val="10"/>
          <c:tx>
            <c:strRef>
              <c:f>Sheet1!$A$49</c:f>
              <c:strCache>
                <c:ptCount val="1"/>
                <c:pt idx="0">
                  <c:v>Mexico</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Sheet1!$B$49:$Z$49</c:f>
              <c:numCache>
                <c:formatCode>0.00%</c:formatCode>
                <c:ptCount val="25"/>
                <c:pt idx="0">
                  <c:v>0</c:v>
                </c:pt>
                <c:pt idx="1">
                  <c:v>0</c:v>
                </c:pt>
                <c:pt idx="2">
                  <c:v>0</c:v>
                </c:pt>
                <c:pt idx="3">
                  <c:v>0</c:v>
                </c:pt>
                <c:pt idx="4">
                  <c:v>0.01</c:v>
                </c:pt>
                <c:pt idx="5">
                  <c:v>0.03</c:v>
                </c:pt>
                <c:pt idx="6">
                  <c:v>0.05</c:v>
                </c:pt>
                <c:pt idx="7">
                  <c:v>0.06</c:v>
                </c:pt>
                <c:pt idx="8">
                  <c:v>7.0000000000000007E-2</c:v>
                </c:pt>
                <c:pt idx="9">
                  <c:v>7.0000000000000007E-2</c:v>
                </c:pt>
                <c:pt idx="10">
                  <c:v>0.08</c:v>
                </c:pt>
                <c:pt idx="11">
                  <c:v>0.09</c:v>
                </c:pt>
                <c:pt idx="12">
                  <c:v>0.1</c:v>
                </c:pt>
                <c:pt idx="13">
                  <c:v>0.11</c:v>
                </c:pt>
                <c:pt idx="14">
                  <c:v>0.11</c:v>
                </c:pt>
                <c:pt idx="15">
                  <c:v>0.12</c:v>
                </c:pt>
                <c:pt idx="16">
                  <c:v>0.13</c:v>
                </c:pt>
                <c:pt idx="17">
                  <c:v>0.14000000000000001</c:v>
                </c:pt>
                <c:pt idx="18">
                  <c:v>0.14000000000000001</c:v>
                </c:pt>
                <c:pt idx="19">
                  <c:v>0.15</c:v>
                </c:pt>
                <c:pt idx="20">
                  <c:v>0.15</c:v>
                </c:pt>
                <c:pt idx="21">
                  <c:v>0.16</c:v>
                </c:pt>
                <c:pt idx="22">
                  <c:v>0.17</c:v>
                </c:pt>
                <c:pt idx="23">
                  <c:v>0.17</c:v>
                </c:pt>
                <c:pt idx="24">
                  <c:v>0.18</c:v>
                </c:pt>
              </c:numCache>
            </c:numRef>
          </c:val>
          <c:smooth val="0"/>
        </c:ser>
        <c:ser>
          <c:idx val="11"/>
          <c:order val="11"/>
          <c:tx>
            <c:strRef>
              <c:f>Sheet1!$A$50</c:f>
              <c:strCache>
                <c:ptCount val="1"/>
                <c:pt idx="0">
                  <c:v>Pararguay</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Sheet1!$B$50:$Z$50</c:f>
              <c:numCache>
                <c:formatCode>0.00%</c:formatCode>
                <c:ptCount val="25"/>
                <c:pt idx="0">
                  <c:v>0</c:v>
                </c:pt>
                <c:pt idx="1">
                  <c:v>0</c:v>
                </c:pt>
                <c:pt idx="2">
                  <c:v>0</c:v>
                </c:pt>
                <c:pt idx="3">
                  <c:v>0</c:v>
                </c:pt>
                <c:pt idx="4">
                  <c:v>0</c:v>
                </c:pt>
                <c:pt idx="5">
                  <c:v>0</c:v>
                </c:pt>
                <c:pt idx="6">
                  <c:v>0</c:v>
                </c:pt>
                <c:pt idx="7">
                  <c:v>0</c:v>
                </c:pt>
                <c:pt idx="8">
                  <c:v>0</c:v>
                </c:pt>
                <c:pt idx="9">
                  <c:v>0.01</c:v>
                </c:pt>
                <c:pt idx="10">
                  <c:v>0.01</c:v>
                </c:pt>
                <c:pt idx="11">
                  <c:v>0.01</c:v>
                </c:pt>
                <c:pt idx="12">
                  <c:v>0.02</c:v>
                </c:pt>
                <c:pt idx="13">
                  <c:v>0.03</c:v>
                </c:pt>
                <c:pt idx="14">
                  <c:v>0.04</c:v>
                </c:pt>
                <c:pt idx="15">
                  <c:v>0.05</c:v>
                </c:pt>
                <c:pt idx="16">
                  <c:v>0.06</c:v>
                </c:pt>
                <c:pt idx="17">
                  <c:v>0.06</c:v>
                </c:pt>
                <c:pt idx="18">
                  <c:v>7.0000000000000007E-2</c:v>
                </c:pt>
                <c:pt idx="19">
                  <c:v>7.0000000000000007E-2</c:v>
                </c:pt>
                <c:pt idx="20">
                  <c:v>0.08</c:v>
                </c:pt>
                <c:pt idx="21">
                  <c:v>0.09</c:v>
                </c:pt>
                <c:pt idx="22">
                  <c:v>0.11</c:v>
                </c:pt>
                <c:pt idx="23">
                  <c:v>0.12</c:v>
                </c:pt>
                <c:pt idx="24">
                  <c:v>0.12</c:v>
                </c:pt>
              </c:numCache>
            </c:numRef>
          </c:val>
          <c:smooth val="0"/>
        </c:ser>
        <c:ser>
          <c:idx val="12"/>
          <c:order val="12"/>
          <c:tx>
            <c:strRef>
              <c:f>Sheet1!$A$51</c:f>
              <c:strCache>
                <c:ptCount val="1"/>
                <c:pt idx="0">
                  <c:v>Peru</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Sheet1!$B$51:$Z$51</c:f>
              <c:numCache>
                <c:formatCode>0.00%</c:formatCode>
                <c:ptCount val="25"/>
                <c:pt idx="0">
                  <c:v>0</c:v>
                </c:pt>
                <c:pt idx="1">
                  <c:v>0</c:v>
                </c:pt>
                <c:pt idx="2">
                  <c:v>0</c:v>
                </c:pt>
                <c:pt idx="3">
                  <c:v>0</c:v>
                </c:pt>
                <c:pt idx="4">
                  <c:v>0</c:v>
                </c:pt>
                <c:pt idx="5">
                  <c:v>0</c:v>
                </c:pt>
                <c:pt idx="6">
                  <c:v>0</c:v>
                </c:pt>
                <c:pt idx="7">
                  <c:v>0</c:v>
                </c:pt>
                <c:pt idx="8">
                  <c:v>0</c:v>
                </c:pt>
                <c:pt idx="9">
                  <c:v>0.05</c:v>
                </c:pt>
                <c:pt idx="10">
                  <c:v>0.08</c:v>
                </c:pt>
                <c:pt idx="11">
                  <c:v>0.13</c:v>
                </c:pt>
                <c:pt idx="12">
                  <c:v>0.15</c:v>
                </c:pt>
                <c:pt idx="13">
                  <c:v>0.17</c:v>
                </c:pt>
                <c:pt idx="14">
                  <c:v>0.19</c:v>
                </c:pt>
                <c:pt idx="15">
                  <c:v>0.21</c:v>
                </c:pt>
                <c:pt idx="16">
                  <c:v>0.23</c:v>
                </c:pt>
                <c:pt idx="17">
                  <c:v>0.24</c:v>
                </c:pt>
                <c:pt idx="18">
                  <c:v>0.26</c:v>
                </c:pt>
                <c:pt idx="19">
                  <c:v>0.27</c:v>
                </c:pt>
                <c:pt idx="20">
                  <c:v>0.28000000000000003</c:v>
                </c:pt>
                <c:pt idx="21">
                  <c:v>0.3</c:v>
                </c:pt>
                <c:pt idx="22">
                  <c:v>0.31</c:v>
                </c:pt>
                <c:pt idx="23">
                  <c:v>0.33</c:v>
                </c:pt>
                <c:pt idx="24">
                  <c:v>0.34</c:v>
                </c:pt>
              </c:numCache>
            </c:numRef>
          </c:val>
          <c:smooth val="0"/>
        </c:ser>
        <c:ser>
          <c:idx val="13"/>
          <c:order val="13"/>
          <c:tx>
            <c:strRef>
              <c:f>Sheet1!$A$52</c:f>
              <c:strCache>
                <c:ptCount val="1"/>
                <c:pt idx="0">
                  <c:v>Uruguay</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Sheet1!$B$52:$Z$52</c:f>
              <c:numCache>
                <c:formatCode>0.00%</c:formatCode>
                <c:ptCount val="25"/>
                <c:pt idx="0">
                  <c:v>0</c:v>
                </c:pt>
                <c:pt idx="1">
                  <c:v>0</c:v>
                </c:pt>
                <c:pt idx="2">
                  <c:v>0</c:v>
                </c:pt>
                <c:pt idx="3">
                  <c:v>0</c:v>
                </c:pt>
                <c:pt idx="4">
                  <c:v>0</c:v>
                </c:pt>
                <c:pt idx="5">
                  <c:v>0</c:v>
                </c:pt>
                <c:pt idx="6">
                  <c:v>0</c:v>
                </c:pt>
                <c:pt idx="7">
                  <c:v>0</c:v>
                </c:pt>
                <c:pt idx="8">
                  <c:v>0</c:v>
                </c:pt>
                <c:pt idx="9">
                  <c:v>0.01</c:v>
                </c:pt>
                <c:pt idx="10">
                  <c:v>0.01</c:v>
                </c:pt>
                <c:pt idx="11">
                  <c:v>0.01</c:v>
                </c:pt>
                <c:pt idx="12">
                  <c:v>0.01</c:v>
                </c:pt>
                <c:pt idx="13">
                  <c:v>0.01</c:v>
                </c:pt>
                <c:pt idx="14">
                  <c:v>0.01</c:v>
                </c:pt>
                <c:pt idx="15">
                  <c:v>0.04</c:v>
                </c:pt>
                <c:pt idx="16">
                  <c:v>0.05</c:v>
                </c:pt>
                <c:pt idx="17">
                  <c:v>0.04</c:v>
                </c:pt>
                <c:pt idx="18">
                  <c:v>0.06</c:v>
                </c:pt>
                <c:pt idx="19">
                  <c:v>7.0000000000000007E-2</c:v>
                </c:pt>
                <c:pt idx="20">
                  <c:v>7.0000000000000007E-2</c:v>
                </c:pt>
                <c:pt idx="21">
                  <c:v>7.0000000000000007E-2</c:v>
                </c:pt>
                <c:pt idx="22">
                  <c:v>7.0000000000000007E-2</c:v>
                </c:pt>
                <c:pt idx="23">
                  <c:v>0.08</c:v>
                </c:pt>
                <c:pt idx="24">
                  <c:v>0.08</c:v>
                </c:pt>
              </c:numCache>
            </c:numRef>
          </c:val>
          <c:smooth val="0"/>
        </c:ser>
        <c:ser>
          <c:idx val="14"/>
          <c:order val="14"/>
          <c:tx>
            <c:strRef>
              <c:f>Sheet1!$A$53</c:f>
              <c:strCache>
                <c:ptCount val="1"/>
                <c:pt idx="0">
                  <c:v>Venezuela</c:v>
                </c:pt>
              </c:strCache>
            </c:strRef>
          </c:tx>
          <c:marker>
            <c:symbol val="none"/>
          </c:marker>
          <c:cat>
            <c:numRef>
              <c:f>Sheet1!$B$38:$Z$38</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Sheet1!$B$53:$Z$53</c:f>
              <c:numCache>
                <c:formatCode>0.00%</c:formatCode>
                <c:ptCount val="25"/>
                <c:pt idx="0">
                  <c:v>0</c:v>
                </c:pt>
                <c:pt idx="1">
                  <c:v>0</c:v>
                </c:pt>
                <c:pt idx="2">
                  <c:v>0</c:v>
                </c:pt>
                <c:pt idx="3">
                  <c:v>0</c:v>
                </c:pt>
                <c:pt idx="4">
                  <c:v>0</c:v>
                </c:pt>
                <c:pt idx="5">
                  <c:v>0</c:v>
                </c:pt>
                <c:pt idx="6">
                  <c:v>0.04</c:v>
                </c:pt>
                <c:pt idx="7">
                  <c:v>0.04</c:v>
                </c:pt>
                <c:pt idx="8">
                  <c:v>0.05</c:v>
                </c:pt>
                <c:pt idx="9">
                  <c:v>7.0000000000000007E-2</c:v>
                </c:pt>
                <c:pt idx="10">
                  <c:v>7.0000000000000007E-2</c:v>
                </c:pt>
                <c:pt idx="11">
                  <c:v>0.1</c:v>
                </c:pt>
                <c:pt idx="12">
                  <c:v>0.11</c:v>
                </c:pt>
                <c:pt idx="13">
                  <c:v>0.12</c:v>
                </c:pt>
                <c:pt idx="14">
                  <c:v>0.13</c:v>
                </c:pt>
                <c:pt idx="15">
                  <c:v>0.14000000000000001</c:v>
                </c:pt>
                <c:pt idx="16">
                  <c:v>0.15</c:v>
                </c:pt>
                <c:pt idx="17">
                  <c:v>0.15</c:v>
                </c:pt>
                <c:pt idx="18">
                  <c:v>0.15</c:v>
                </c:pt>
                <c:pt idx="19">
                  <c:v>0.16</c:v>
                </c:pt>
                <c:pt idx="20">
                  <c:v>0.16</c:v>
                </c:pt>
                <c:pt idx="21">
                  <c:v>0.17</c:v>
                </c:pt>
                <c:pt idx="22">
                  <c:v>0.16</c:v>
                </c:pt>
                <c:pt idx="23">
                  <c:v>0.16</c:v>
                </c:pt>
                <c:pt idx="24">
                  <c:v>0.16</c:v>
                </c:pt>
              </c:numCache>
            </c:numRef>
          </c:val>
          <c:smooth val="0"/>
        </c:ser>
        <c:dLbls>
          <c:showLegendKey val="0"/>
          <c:showVal val="0"/>
          <c:showCatName val="0"/>
          <c:showSerName val="0"/>
          <c:showPercent val="0"/>
          <c:showBubbleSize val="0"/>
        </c:dLbls>
        <c:smooth val="0"/>
        <c:axId val="157577560"/>
        <c:axId val="157665208"/>
      </c:lineChart>
      <c:catAx>
        <c:axId val="157577560"/>
        <c:scaling>
          <c:orientation val="minMax"/>
        </c:scaling>
        <c:delete val="0"/>
        <c:axPos val="b"/>
        <c:numFmt formatCode="General" sourceLinked="1"/>
        <c:majorTickMark val="out"/>
        <c:minorTickMark val="none"/>
        <c:tickLblPos val="nextTo"/>
        <c:crossAx val="157665208"/>
        <c:crosses val="autoZero"/>
        <c:auto val="1"/>
        <c:lblAlgn val="ctr"/>
        <c:lblOffset val="100"/>
        <c:noMultiLvlLbl val="0"/>
      </c:catAx>
      <c:valAx>
        <c:axId val="157665208"/>
        <c:scaling>
          <c:orientation val="minMax"/>
          <c:max val="0.8"/>
        </c:scaling>
        <c:delete val="0"/>
        <c:axPos val="l"/>
        <c:majorGridlines/>
        <c:numFmt formatCode="0%" sourceLinked="0"/>
        <c:majorTickMark val="out"/>
        <c:minorTickMark val="none"/>
        <c:tickLblPos val="nextTo"/>
        <c:crossAx val="157577560"/>
        <c:crosses val="autoZero"/>
        <c:crossBetween val="between"/>
      </c:valAx>
    </c:plotArea>
    <c:legend>
      <c:legendPos val="r"/>
      <c:layout>
        <c:manualLayout>
          <c:xMode val="edge"/>
          <c:yMode val="edge"/>
          <c:x val="0.76354921446784974"/>
          <c:y val="0"/>
          <c:w val="0.21722133361476331"/>
          <c:h val="1"/>
        </c:manualLayout>
      </c:layout>
      <c:overlay val="0"/>
      <c:txPr>
        <a:bodyPr/>
        <a:lstStyle/>
        <a:p>
          <a:pPr>
            <a:defRPr sz="800" baseline="0"/>
          </a:pPr>
          <a:endParaRPr lang="nl-N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Sheet1!$B$56</c:f>
              <c:strCache>
                <c:ptCount val="1"/>
                <c:pt idx="0">
                  <c:v>Energy</c:v>
                </c:pt>
              </c:strCache>
            </c:strRef>
          </c:tx>
          <c:invertIfNegative val="0"/>
          <c:cat>
            <c:strRef>
              <c:f>Sheet1!$A$58:$A$71</c:f>
              <c:strCache>
                <c:ptCount val="14"/>
                <c:pt idx="0">
                  <c:v>Venezuela</c:v>
                </c:pt>
                <c:pt idx="1">
                  <c:v>Uruguay</c:v>
                </c:pt>
                <c:pt idx="2">
                  <c:v>Peru</c:v>
                </c:pt>
                <c:pt idx="3">
                  <c:v>Pararguay</c:v>
                </c:pt>
                <c:pt idx="4">
                  <c:v>Mexico</c:v>
                </c:pt>
                <c:pt idx="5">
                  <c:v>Guatemala</c:v>
                </c:pt>
                <c:pt idx="6">
                  <c:v>El Salvador</c:v>
                </c:pt>
                <c:pt idx="7">
                  <c:v>Ecuador</c:v>
                </c:pt>
                <c:pt idx="8">
                  <c:v>Dominican Republic</c:v>
                </c:pt>
                <c:pt idx="9">
                  <c:v>Colombia</c:v>
                </c:pt>
                <c:pt idx="10">
                  <c:v>Chile</c:v>
                </c:pt>
                <c:pt idx="11">
                  <c:v>Brazil</c:v>
                </c:pt>
                <c:pt idx="12">
                  <c:v>Bolivia</c:v>
                </c:pt>
                <c:pt idx="13">
                  <c:v>Argentina</c:v>
                </c:pt>
              </c:strCache>
            </c:strRef>
          </c:cat>
          <c:val>
            <c:numRef>
              <c:f>Sheet1!$B$58:$B$71</c:f>
              <c:numCache>
                <c:formatCode>0.00%</c:formatCode>
                <c:ptCount val="14"/>
                <c:pt idx="0">
                  <c:v>0.01</c:v>
                </c:pt>
                <c:pt idx="1">
                  <c:v>0.27</c:v>
                </c:pt>
                <c:pt idx="2">
                  <c:v>0.33</c:v>
                </c:pt>
                <c:pt idx="3">
                  <c:v>0.96</c:v>
                </c:pt>
                <c:pt idx="4">
                  <c:v>0.1</c:v>
                </c:pt>
                <c:pt idx="5">
                  <c:v>0.32</c:v>
                </c:pt>
                <c:pt idx="6">
                  <c:v>0.26</c:v>
                </c:pt>
                <c:pt idx="7">
                  <c:v>0.08</c:v>
                </c:pt>
                <c:pt idx="8">
                  <c:v>0.48</c:v>
                </c:pt>
                <c:pt idx="9">
                  <c:v>0.34</c:v>
                </c:pt>
                <c:pt idx="10">
                  <c:v>0.35</c:v>
                </c:pt>
                <c:pt idx="11">
                  <c:v>0.39</c:v>
                </c:pt>
                <c:pt idx="12">
                  <c:v>0.61</c:v>
                </c:pt>
                <c:pt idx="13">
                  <c:v>0.37</c:v>
                </c:pt>
              </c:numCache>
            </c:numRef>
          </c:val>
        </c:ser>
        <c:ser>
          <c:idx val="1"/>
          <c:order val="1"/>
          <c:tx>
            <c:strRef>
              <c:f>Sheet1!$C$56</c:f>
              <c:strCache>
                <c:ptCount val="1"/>
                <c:pt idx="0">
                  <c:v>Telecommunications</c:v>
                </c:pt>
              </c:strCache>
            </c:strRef>
          </c:tx>
          <c:invertIfNegative val="0"/>
          <c:cat>
            <c:strRef>
              <c:f>Sheet1!$A$58:$A$71</c:f>
              <c:strCache>
                <c:ptCount val="14"/>
                <c:pt idx="0">
                  <c:v>Venezuela</c:v>
                </c:pt>
                <c:pt idx="1">
                  <c:v>Uruguay</c:v>
                </c:pt>
                <c:pt idx="2">
                  <c:v>Peru</c:v>
                </c:pt>
                <c:pt idx="3">
                  <c:v>Pararguay</c:v>
                </c:pt>
                <c:pt idx="4">
                  <c:v>Mexico</c:v>
                </c:pt>
                <c:pt idx="5">
                  <c:v>Guatemala</c:v>
                </c:pt>
                <c:pt idx="6">
                  <c:v>El Salvador</c:v>
                </c:pt>
                <c:pt idx="7">
                  <c:v>Ecuador</c:v>
                </c:pt>
                <c:pt idx="8">
                  <c:v>Dominican Republic</c:v>
                </c:pt>
                <c:pt idx="9">
                  <c:v>Colombia</c:v>
                </c:pt>
                <c:pt idx="10">
                  <c:v>Chile</c:v>
                </c:pt>
                <c:pt idx="11">
                  <c:v>Brazil</c:v>
                </c:pt>
                <c:pt idx="12">
                  <c:v>Bolivia</c:v>
                </c:pt>
                <c:pt idx="13">
                  <c:v>Argentina</c:v>
                </c:pt>
              </c:strCache>
            </c:strRef>
          </c:cat>
          <c:val>
            <c:numRef>
              <c:f>Sheet1!$C$58:$C$71</c:f>
              <c:numCache>
                <c:formatCode>0.00%</c:formatCode>
                <c:ptCount val="14"/>
                <c:pt idx="0">
                  <c:v>0.95</c:v>
                </c:pt>
                <c:pt idx="1">
                  <c:v>0.24</c:v>
                </c:pt>
                <c:pt idx="2">
                  <c:v>0.5</c:v>
                </c:pt>
                <c:pt idx="3">
                  <c:v>0.04</c:v>
                </c:pt>
                <c:pt idx="4">
                  <c:v>0.61</c:v>
                </c:pt>
                <c:pt idx="5">
                  <c:v>0.67</c:v>
                </c:pt>
                <c:pt idx="6">
                  <c:v>0.74</c:v>
                </c:pt>
                <c:pt idx="7">
                  <c:v>0.5</c:v>
                </c:pt>
                <c:pt idx="8">
                  <c:v>0.15</c:v>
                </c:pt>
                <c:pt idx="9">
                  <c:v>0.43</c:v>
                </c:pt>
                <c:pt idx="10">
                  <c:v>0.11</c:v>
                </c:pt>
                <c:pt idx="11">
                  <c:v>0.44</c:v>
                </c:pt>
                <c:pt idx="12">
                  <c:v>0.24</c:v>
                </c:pt>
                <c:pt idx="13">
                  <c:v>0.35</c:v>
                </c:pt>
              </c:numCache>
            </c:numRef>
          </c:val>
        </c:ser>
        <c:ser>
          <c:idx val="2"/>
          <c:order val="2"/>
          <c:tx>
            <c:strRef>
              <c:f>Sheet1!$D$56</c:f>
              <c:strCache>
                <c:ptCount val="1"/>
                <c:pt idx="0">
                  <c:v>Transportation</c:v>
                </c:pt>
              </c:strCache>
            </c:strRef>
          </c:tx>
          <c:invertIfNegative val="0"/>
          <c:cat>
            <c:strRef>
              <c:f>Sheet1!$A$58:$A$71</c:f>
              <c:strCache>
                <c:ptCount val="14"/>
                <c:pt idx="0">
                  <c:v>Venezuela</c:v>
                </c:pt>
                <c:pt idx="1">
                  <c:v>Uruguay</c:v>
                </c:pt>
                <c:pt idx="2">
                  <c:v>Peru</c:v>
                </c:pt>
                <c:pt idx="3">
                  <c:v>Pararguay</c:v>
                </c:pt>
                <c:pt idx="4">
                  <c:v>Mexico</c:v>
                </c:pt>
                <c:pt idx="5">
                  <c:v>Guatemala</c:v>
                </c:pt>
                <c:pt idx="6">
                  <c:v>El Salvador</c:v>
                </c:pt>
                <c:pt idx="7">
                  <c:v>Ecuador</c:v>
                </c:pt>
                <c:pt idx="8">
                  <c:v>Dominican Republic</c:v>
                </c:pt>
                <c:pt idx="9">
                  <c:v>Colombia</c:v>
                </c:pt>
                <c:pt idx="10">
                  <c:v>Chile</c:v>
                </c:pt>
                <c:pt idx="11">
                  <c:v>Brazil</c:v>
                </c:pt>
                <c:pt idx="12">
                  <c:v>Bolivia</c:v>
                </c:pt>
                <c:pt idx="13">
                  <c:v>Argentina</c:v>
                </c:pt>
              </c:strCache>
            </c:strRef>
          </c:cat>
          <c:val>
            <c:numRef>
              <c:f>Sheet1!$D$58:$D$71</c:f>
              <c:numCache>
                <c:formatCode>0.00%</c:formatCode>
                <c:ptCount val="14"/>
                <c:pt idx="0">
                  <c:v>0.04</c:v>
                </c:pt>
                <c:pt idx="1">
                  <c:v>0.26</c:v>
                </c:pt>
                <c:pt idx="2">
                  <c:v>0.16</c:v>
                </c:pt>
                <c:pt idx="3">
                  <c:v>0</c:v>
                </c:pt>
                <c:pt idx="4">
                  <c:v>0.27</c:v>
                </c:pt>
                <c:pt idx="5">
                  <c:v>0.01</c:v>
                </c:pt>
                <c:pt idx="6">
                  <c:v>0</c:v>
                </c:pt>
                <c:pt idx="7">
                  <c:v>0.34</c:v>
                </c:pt>
                <c:pt idx="8">
                  <c:v>0.37</c:v>
                </c:pt>
                <c:pt idx="9">
                  <c:v>0.2</c:v>
                </c:pt>
                <c:pt idx="10">
                  <c:v>0.31</c:v>
                </c:pt>
                <c:pt idx="11">
                  <c:v>0.16</c:v>
                </c:pt>
                <c:pt idx="12">
                  <c:v>0.03</c:v>
                </c:pt>
                <c:pt idx="13">
                  <c:v>0.18</c:v>
                </c:pt>
              </c:numCache>
            </c:numRef>
          </c:val>
        </c:ser>
        <c:ser>
          <c:idx val="3"/>
          <c:order val="3"/>
          <c:tx>
            <c:strRef>
              <c:f>Sheet1!$E$56</c:f>
              <c:strCache>
                <c:ptCount val="1"/>
                <c:pt idx="0">
                  <c:v>Water and Sewerage</c:v>
                </c:pt>
              </c:strCache>
            </c:strRef>
          </c:tx>
          <c:invertIfNegative val="0"/>
          <c:cat>
            <c:strRef>
              <c:f>Sheet1!$A$58:$A$71</c:f>
              <c:strCache>
                <c:ptCount val="14"/>
                <c:pt idx="0">
                  <c:v>Venezuela</c:v>
                </c:pt>
                <c:pt idx="1">
                  <c:v>Uruguay</c:v>
                </c:pt>
                <c:pt idx="2">
                  <c:v>Peru</c:v>
                </c:pt>
                <c:pt idx="3">
                  <c:v>Pararguay</c:v>
                </c:pt>
                <c:pt idx="4">
                  <c:v>Mexico</c:v>
                </c:pt>
                <c:pt idx="5">
                  <c:v>Guatemala</c:v>
                </c:pt>
                <c:pt idx="6">
                  <c:v>El Salvador</c:v>
                </c:pt>
                <c:pt idx="7">
                  <c:v>Ecuador</c:v>
                </c:pt>
                <c:pt idx="8">
                  <c:v>Dominican Republic</c:v>
                </c:pt>
                <c:pt idx="9">
                  <c:v>Colombia</c:v>
                </c:pt>
                <c:pt idx="10">
                  <c:v>Chile</c:v>
                </c:pt>
                <c:pt idx="11">
                  <c:v>Brazil</c:v>
                </c:pt>
                <c:pt idx="12">
                  <c:v>Bolivia</c:v>
                </c:pt>
                <c:pt idx="13">
                  <c:v>Argentina</c:v>
                </c:pt>
              </c:strCache>
            </c:strRef>
          </c:cat>
          <c:val>
            <c:numRef>
              <c:f>Sheet1!$E$58:$E$71</c:f>
              <c:numCache>
                <c:formatCode>0.00%</c:formatCode>
                <c:ptCount val="14"/>
                <c:pt idx="0">
                  <c:v>0</c:v>
                </c:pt>
                <c:pt idx="1">
                  <c:v>0.23</c:v>
                </c:pt>
                <c:pt idx="2">
                  <c:v>0.01</c:v>
                </c:pt>
                <c:pt idx="3">
                  <c:v>0</c:v>
                </c:pt>
                <c:pt idx="4">
                  <c:v>0.02</c:v>
                </c:pt>
                <c:pt idx="5">
                  <c:v>0</c:v>
                </c:pt>
                <c:pt idx="6">
                  <c:v>0</c:v>
                </c:pt>
                <c:pt idx="7">
                  <c:v>0.08</c:v>
                </c:pt>
                <c:pt idx="8">
                  <c:v>0</c:v>
                </c:pt>
                <c:pt idx="9">
                  <c:v>0.03</c:v>
                </c:pt>
                <c:pt idx="10">
                  <c:v>0.23</c:v>
                </c:pt>
                <c:pt idx="11">
                  <c:v>0.01</c:v>
                </c:pt>
                <c:pt idx="12">
                  <c:v>0.12</c:v>
                </c:pt>
                <c:pt idx="13">
                  <c:v>0.1</c:v>
                </c:pt>
              </c:numCache>
            </c:numRef>
          </c:val>
        </c:ser>
        <c:dLbls>
          <c:showLegendKey val="0"/>
          <c:showVal val="0"/>
          <c:showCatName val="0"/>
          <c:showSerName val="0"/>
          <c:showPercent val="0"/>
          <c:showBubbleSize val="0"/>
        </c:dLbls>
        <c:gapWidth val="55"/>
        <c:overlap val="100"/>
        <c:axId val="157552504"/>
        <c:axId val="157552888"/>
      </c:barChart>
      <c:catAx>
        <c:axId val="157552504"/>
        <c:scaling>
          <c:orientation val="minMax"/>
        </c:scaling>
        <c:delete val="0"/>
        <c:axPos val="l"/>
        <c:numFmt formatCode="General" sourceLinked="1"/>
        <c:majorTickMark val="none"/>
        <c:minorTickMark val="none"/>
        <c:tickLblPos val="nextTo"/>
        <c:crossAx val="157552888"/>
        <c:crossesAt val="0"/>
        <c:auto val="1"/>
        <c:lblAlgn val="ctr"/>
        <c:lblOffset val="100"/>
        <c:noMultiLvlLbl val="0"/>
      </c:catAx>
      <c:valAx>
        <c:axId val="157552888"/>
        <c:scaling>
          <c:orientation val="minMax"/>
          <c:max val="1"/>
        </c:scaling>
        <c:delete val="0"/>
        <c:axPos val="b"/>
        <c:majorGridlines/>
        <c:numFmt formatCode="0%" sourceLinked="0"/>
        <c:majorTickMark val="none"/>
        <c:minorTickMark val="none"/>
        <c:tickLblPos val="nextTo"/>
        <c:crossAx val="157552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'Poverty WB'!$A$56</c:f>
              <c:strCache>
                <c:ptCount val="1"/>
                <c:pt idx="0">
                  <c:v>PHR ($2)</c:v>
                </c:pt>
              </c:strCache>
            </c:strRef>
          </c:tx>
          <c:marker>
            <c:symbol val="none"/>
          </c:marker>
          <c:cat>
            <c:numRef>
              <c:f>'Poverty WB'!$C$55:$AB$55</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'Poverty WB'!$C$56:$AB$56</c:f>
              <c:numCache>
                <c:formatCode>0%</c:formatCode>
                <c:ptCount val="26"/>
                <c:pt idx="0">
                  <c:v>0.27155000000000001</c:v>
                </c:pt>
                <c:pt idx="1">
                  <c:v>0.205166666666667</c:v>
                </c:pt>
                <c:pt idx="2">
                  <c:v>0.30102499999999999</c:v>
                </c:pt>
                <c:pt idx="3">
                  <c:v>0.2366</c:v>
                </c:pt>
                <c:pt idx="4">
                  <c:v>0.21657499999999999</c:v>
                </c:pt>
                <c:pt idx="5">
                  <c:v>0.16200000000000001</c:v>
                </c:pt>
                <c:pt idx="6">
                  <c:v>0.21829999999999999</c:v>
                </c:pt>
                <c:pt idx="7">
                  <c:v>0.14372857142857101</c:v>
                </c:pt>
                <c:pt idx="8">
                  <c:v>0.206866666666667</c:v>
                </c:pt>
                <c:pt idx="9">
                  <c:v>0.16738</c:v>
                </c:pt>
                <c:pt idx="10">
                  <c:v>0.15465000000000001</c:v>
                </c:pt>
                <c:pt idx="11">
                  <c:v>0.1469625</c:v>
                </c:pt>
                <c:pt idx="12">
                  <c:v>0.13994285714285701</c:v>
                </c:pt>
                <c:pt idx="13">
                  <c:v>0.179811111111111</c:v>
                </c:pt>
                <c:pt idx="14">
                  <c:v>0.23469999999999999</c:v>
                </c:pt>
                <c:pt idx="15">
                  <c:v>0.20255454545454499</c:v>
                </c:pt>
                <c:pt idx="16">
                  <c:v>0.18863333333333299</c:v>
                </c:pt>
                <c:pt idx="17">
                  <c:v>0.196063636363636</c:v>
                </c:pt>
                <c:pt idx="18">
                  <c:v>0.16950000000000001</c:v>
                </c:pt>
                <c:pt idx="19">
                  <c:v>0.169108333333333</c:v>
                </c:pt>
                <c:pt idx="20">
                  <c:v>0.15099090909090901</c:v>
                </c:pt>
                <c:pt idx="21">
                  <c:v>0.135130769230769</c:v>
                </c:pt>
                <c:pt idx="22">
                  <c:v>0.12497</c:v>
                </c:pt>
                <c:pt idx="23">
                  <c:v>0.10878181818181799</c:v>
                </c:pt>
                <c:pt idx="24">
                  <c:v>9.8290909090909095E-2</c:v>
                </c:pt>
                <c:pt idx="25">
                  <c:v>8.3699999999999997E-2</c:v>
                </c:pt>
              </c:numCache>
            </c:numRef>
          </c:val>
          <c:smooth val="0"/>
        </c:ser>
        <c:ser>
          <c:idx val="1"/>
          <c:order val="1"/>
          <c:tx>
            <c:strRef>
              <c:f>'Poverty WB'!$A$57</c:f>
              <c:strCache>
                <c:ptCount val="1"/>
                <c:pt idx="0">
                  <c:v>PHR ($1.25)</c:v>
                </c:pt>
              </c:strCache>
            </c:strRef>
          </c:tx>
          <c:marker>
            <c:symbol val="none"/>
          </c:marker>
          <c:cat>
            <c:numRef>
              <c:f>'Poverty WB'!$C$55:$AB$55</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'Poverty WB'!$C$57:$AB$57</c:f>
              <c:numCache>
                <c:formatCode>0%</c:formatCode>
                <c:ptCount val="26"/>
                <c:pt idx="0">
                  <c:v>0.12429999999999999</c:v>
                </c:pt>
                <c:pt idx="1">
                  <c:v>0.105833333333333</c:v>
                </c:pt>
                <c:pt idx="2">
                  <c:v>0.17735000000000001</c:v>
                </c:pt>
                <c:pt idx="3">
                  <c:v>0.12684999999999999</c:v>
                </c:pt>
                <c:pt idx="4">
                  <c:v>0.120725</c:v>
                </c:pt>
                <c:pt idx="5">
                  <c:v>7.1760000000000004E-2</c:v>
                </c:pt>
                <c:pt idx="6">
                  <c:v>0.116466666666667</c:v>
                </c:pt>
                <c:pt idx="7">
                  <c:v>6.3200000000000006E-2</c:v>
                </c:pt>
                <c:pt idx="8">
                  <c:v>0.104233333333333</c:v>
                </c:pt>
                <c:pt idx="9">
                  <c:v>7.3520000000000002E-2</c:v>
                </c:pt>
                <c:pt idx="10">
                  <c:v>7.9049999999999995E-2</c:v>
                </c:pt>
                <c:pt idx="11">
                  <c:v>7.2749999999999995E-2</c:v>
                </c:pt>
                <c:pt idx="12">
                  <c:v>7.0442857142857099E-2</c:v>
                </c:pt>
                <c:pt idx="13">
                  <c:v>9.2977777777777701E-2</c:v>
                </c:pt>
                <c:pt idx="14">
                  <c:v>0.1373375</c:v>
                </c:pt>
                <c:pt idx="15">
                  <c:v>0.110890909090909</c:v>
                </c:pt>
                <c:pt idx="16">
                  <c:v>0.105633333333333</c:v>
                </c:pt>
                <c:pt idx="17">
                  <c:v>0.105563636363636</c:v>
                </c:pt>
                <c:pt idx="18">
                  <c:v>8.5999999999999993E-2</c:v>
                </c:pt>
                <c:pt idx="19">
                  <c:v>7.6316666666666699E-2</c:v>
                </c:pt>
                <c:pt idx="20">
                  <c:v>7.1590909090909094E-2</c:v>
                </c:pt>
                <c:pt idx="21">
                  <c:v>6.3253846153846202E-2</c:v>
                </c:pt>
                <c:pt idx="22">
                  <c:v>5.6689999999999997E-2</c:v>
                </c:pt>
                <c:pt idx="23">
                  <c:v>4.6481818181818201E-2</c:v>
                </c:pt>
                <c:pt idx="24">
                  <c:v>4.5018181818181797E-2</c:v>
                </c:pt>
                <c:pt idx="25">
                  <c:v>3.1555555555555601E-2</c:v>
                </c:pt>
              </c:numCache>
            </c:numRef>
          </c:val>
          <c:smooth val="0"/>
        </c:ser>
        <c:ser>
          <c:idx val="2"/>
          <c:order val="2"/>
          <c:tx>
            <c:strRef>
              <c:f>'Poverty WB'!$A$58</c:f>
              <c:strCache>
                <c:ptCount val="1"/>
                <c:pt idx="0">
                  <c:v>PGR ($2)</c:v>
                </c:pt>
              </c:strCache>
            </c:strRef>
          </c:tx>
          <c:marker>
            <c:symbol val="none"/>
          </c:marker>
          <c:cat>
            <c:numRef>
              <c:f>'Poverty WB'!$C$55:$AB$55</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'Poverty WB'!$C$58:$AB$58</c:f>
              <c:numCache>
                <c:formatCode>0%</c:formatCode>
                <c:ptCount val="26"/>
                <c:pt idx="0">
                  <c:v>0.10005</c:v>
                </c:pt>
                <c:pt idx="1">
                  <c:v>8.3333333333333301E-2</c:v>
                </c:pt>
                <c:pt idx="2">
                  <c:v>0.13697500000000001</c:v>
                </c:pt>
                <c:pt idx="3">
                  <c:v>9.9750000000000005E-2</c:v>
                </c:pt>
                <c:pt idx="4">
                  <c:v>9.7975000000000007E-2</c:v>
                </c:pt>
                <c:pt idx="5">
                  <c:v>6.0819999999999999E-2</c:v>
                </c:pt>
                <c:pt idx="6">
                  <c:v>9.6799999999999997E-2</c:v>
                </c:pt>
                <c:pt idx="7">
                  <c:v>5.4957142857142899E-2</c:v>
                </c:pt>
                <c:pt idx="8">
                  <c:v>8.8499999999999995E-2</c:v>
                </c:pt>
                <c:pt idx="9">
                  <c:v>6.2859999999999999E-2</c:v>
                </c:pt>
                <c:pt idx="10">
                  <c:v>6.5866666666666698E-2</c:v>
                </c:pt>
                <c:pt idx="11">
                  <c:v>6.0437499999999998E-2</c:v>
                </c:pt>
                <c:pt idx="12">
                  <c:v>5.8985714285714301E-2</c:v>
                </c:pt>
                <c:pt idx="13">
                  <c:v>7.4911111111111095E-2</c:v>
                </c:pt>
                <c:pt idx="14">
                  <c:v>0.11265</c:v>
                </c:pt>
                <c:pt idx="15">
                  <c:v>9.3236363636363603E-2</c:v>
                </c:pt>
                <c:pt idx="16">
                  <c:v>8.7088888888888896E-2</c:v>
                </c:pt>
                <c:pt idx="17">
                  <c:v>8.6954545454545507E-2</c:v>
                </c:pt>
                <c:pt idx="18">
                  <c:v>7.0054545454545494E-2</c:v>
                </c:pt>
                <c:pt idx="19">
                  <c:v>6.3933333333333398E-2</c:v>
                </c:pt>
                <c:pt idx="20">
                  <c:v>5.9772727272727297E-2</c:v>
                </c:pt>
                <c:pt idx="21">
                  <c:v>5.2661538461538503E-2</c:v>
                </c:pt>
                <c:pt idx="22">
                  <c:v>4.8259999999999997E-2</c:v>
                </c:pt>
                <c:pt idx="23">
                  <c:v>4.01090909090909E-2</c:v>
                </c:pt>
                <c:pt idx="24">
                  <c:v>3.8172727272727303E-2</c:v>
                </c:pt>
                <c:pt idx="25">
                  <c:v>2.7788888888888901E-2</c:v>
                </c:pt>
              </c:numCache>
            </c:numRef>
          </c:val>
          <c:smooth val="0"/>
        </c:ser>
        <c:ser>
          <c:idx val="3"/>
          <c:order val="3"/>
          <c:tx>
            <c:strRef>
              <c:f>'Poverty WB'!$A$59</c:f>
              <c:strCache>
                <c:ptCount val="1"/>
                <c:pt idx="0">
                  <c:v>PGR ($1.25)</c:v>
                </c:pt>
              </c:strCache>
            </c:strRef>
          </c:tx>
          <c:marker>
            <c:symbol val="none"/>
          </c:marker>
          <c:cat>
            <c:numRef>
              <c:f>'Poverty WB'!$C$55:$AB$55</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'Poverty WB'!$C$59:$AB$59</c:f>
              <c:numCache>
                <c:formatCode>0%</c:formatCode>
                <c:ptCount val="26"/>
                <c:pt idx="0">
                  <c:v>4.1050000000000003E-2</c:v>
                </c:pt>
                <c:pt idx="1">
                  <c:v>4.0666666666666698E-2</c:v>
                </c:pt>
                <c:pt idx="2">
                  <c:v>7.5325000000000003E-2</c:v>
                </c:pt>
                <c:pt idx="3">
                  <c:v>4.9599999999999998E-2</c:v>
                </c:pt>
                <c:pt idx="4">
                  <c:v>5.5675000000000002E-2</c:v>
                </c:pt>
                <c:pt idx="5">
                  <c:v>2.7660000000000001E-2</c:v>
                </c:pt>
                <c:pt idx="6">
                  <c:v>5.4600000000000003E-2</c:v>
                </c:pt>
                <c:pt idx="7">
                  <c:v>2.69857142857143E-2</c:v>
                </c:pt>
                <c:pt idx="8">
                  <c:v>4.7733333333333398E-2</c:v>
                </c:pt>
                <c:pt idx="9">
                  <c:v>2.886E-2</c:v>
                </c:pt>
                <c:pt idx="10">
                  <c:v>3.6450000000000003E-2</c:v>
                </c:pt>
                <c:pt idx="11">
                  <c:v>3.2087499999999998E-2</c:v>
                </c:pt>
                <c:pt idx="12">
                  <c:v>3.2314285714285698E-2</c:v>
                </c:pt>
                <c:pt idx="13">
                  <c:v>3.8488888888888899E-2</c:v>
                </c:pt>
                <c:pt idx="14">
                  <c:v>6.9037500000000002E-2</c:v>
                </c:pt>
                <c:pt idx="15">
                  <c:v>5.5690909090909103E-2</c:v>
                </c:pt>
                <c:pt idx="16">
                  <c:v>5.1833333333333398E-2</c:v>
                </c:pt>
                <c:pt idx="17">
                  <c:v>4.8927272727272701E-2</c:v>
                </c:pt>
                <c:pt idx="18">
                  <c:v>3.61909090909091E-2</c:v>
                </c:pt>
                <c:pt idx="19">
                  <c:v>2.9491666666666701E-2</c:v>
                </c:pt>
                <c:pt idx="20">
                  <c:v>2.9600000000000001E-2</c:v>
                </c:pt>
                <c:pt idx="21">
                  <c:v>2.5353846153846098E-2</c:v>
                </c:pt>
                <c:pt idx="22">
                  <c:v>2.358E-2</c:v>
                </c:pt>
                <c:pt idx="23">
                  <c:v>1.9090909090909099E-2</c:v>
                </c:pt>
                <c:pt idx="24">
                  <c:v>1.9E-2</c:v>
                </c:pt>
                <c:pt idx="25">
                  <c:v>1.1077777777777799E-2</c:v>
                </c:pt>
              </c:numCache>
            </c:numRef>
          </c:val>
          <c:smooth val="0"/>
        </c:ser>
        <c:dLbls>
          <c:showLegendKey val="0"/>
          <c:showVal val="0"/>
          <c:showCatName val="0"/>
          <c:showSerName val="0"/>
          <c:showPercent val="0"/>
          <c:showBubbleSize val="0"/>
        </c:dLbls>
        <c:smooth val="0"/>
        <c:axId val="156267960"/>
        <c:axId val="156268352"/>
      </c:lineChart>
      <c:catAx>
        <c:axId val="156267960"/>
        <c:scaling>
          <c:orientation val="minMax"/>
        </c:scaling>
        <c:delete val="0"/>
        <c:axPos val="b"/>
        <c:numFmt formatCode="General" sourceLinked="1"/>
        <c:majorTickMark val="out"/>
        <c:minorTickMark val="none"/>
        <c:tickLblPos val="nextTo"/>
        <c:crossAx val="156268352"/>
        <c:crosses val="autoZero"/>
        <c:auto val="1"/>
        <c:lblAlgn val="ctr"/>
        <c:lblOffset val="100"/>
        <c:noMultiLvlLbl val="0"/>
      </c:catAx>
      <c:valAx>
        <c:axId val="156268352"/>
        <c:scaling>
          <c:orientation val="minMax"/>
        </c:scaling>
        <c:delete val="0"/>
        <c:axPos val="l"/>
        <c:majorGridlines/>
        <c:numFmt formatCode="0%" sourceLinked="1"/>
        <c:majorTickMark val="out"/>
        <c:minorTickMark val="none"/>
        <c:tickLblPos val="nextTo"/>
        <c:crossAx val="156267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'WB Data'!$E$354</c:f>
              <c:strCache>
                <c:ptCount val="1"/>
                <c:pt idx="0">
                  <c:v>DoP ($2)</c:v>
                </c:pt>
              </c:strCache>
            </c:strRef>
          </c:tx>
          <c:marker>
            <c:symbol val="none"/>
          </c:marker>
          <c:cat>
            <c:numRef>
              <c:f>'WB Data'!$B$355:$B$380</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'WB Data'!$E$355:$E$380</c:f>
              <c:numCache>
                <c:formatCode>0.0%</c:formatCode>
                <c:ptCount val="26"/>
                <c:pt idx="0">
                  <c:v>2.7178870000000001E-2</c:v>
                </c:pt>
                <c:pt idx="1">
                  <c:v>1.9738133333333335E-2</c:v>
                </c:pt>
                <c:pt idx="2">
                  <c:v>5.5623369999999998E-2</c:v>
                </c:pt>
                <c:pt idx="3">
                  <c:v>2.4128024999999997E-2</c:v>
                </c:pt>
                <c:pt idx="4">
                  <c:v>2.72147625E-2</c:v>
                </c:pt>
                <c:pt idx="5">
                  <c:v>1.2771815999999998E-2</c:v>
                </c:pt>
                <c:pt idx="6">
                  <c:v>2.2863993333333336E-2</c:v>
                </c:pt>
                <c:pt idx="7">
                  <c:v>1.0498622857142858E-2</c:v>
                </c:pt>
                <c:pt idx="8">
                  <c:v>1.9947743333333334E-2</c:v>
                </c:pt>
                <c:pt idx="9">
                  <c:v>1.2779902000000001E-2</c:v>
                </c:pt>
                <c:pt idx="10">
                  <c:v>1.2204661666666668E-2</c:v>
                </c:pt>
                <c:pt idx="11">
                  <c:v>1.123230125E-2</c:v>
                </c:pt>
                <c:pt idx="12">
                  <c:v>1.1348477142857142E-2</c:v>
                </c:pt>
                <c:pt idx="13">
                  <c:v>1.7494505555555553E-2</c:v>
                </c:pt>
                <c:pt idx="14">
                  <c:v>2.9282007499999999E-2</c:v>
                </c:pt>
                <c:pt idx="15">
                  <c:v>2.6404424545454549E-2</c:v>
                </c:pt>
                <c:pt idx="16">
                  <c:v>2.1086848888888888E-2</c:v>
                </c:pt>
                <c:pt idx="17">
                  <c:v>2.1378343636363636E-2</c:v>
                </c:pt>
                <c:pt idx="18">
                  <c:v>1.4613821818181816E-2</c:v>
                </c:pt>
                <c:pt idx="19">
                  <c:v>1.2894447500000005E-2</c:v>
                </c:pt>
                <c:pt idx="20">
                  <c:v>1.0891366363636365E-2</c:v>
                </c:pt>
                <c:pt idx="21">
                  <c:v>9.6239061538461561E-3</c:v>
                </c:pt>
                <c:pt idx="22">
                  <c:v>7.5314800000000001E-3</c:v>
                </c:pt>
                <c:pt idx="23">
                  <c:v>5.4315836363636374E-3</c:v>
                </c:pt>
                <c:pt idx="24">
                  <c:v>4.7002490909090902E-3</c:v>
                </c:pt>
                <c:pt idx="25">
                  <c:v>3.0036266666666669E-3</c:v>
                </c:pt>
              </c:numCache>
            </c:numRef>
          </c:val>
          <c:smooth val="0"/>
        </c:ser>
        <c:ser>
          <c:idx val="1"/>
          <c:order val="1"/>
          <c:tx>
            <c:strRef>
              <c:f>'WB Data'!$H$354</c:f>
              <c:strCache>
                <c:ptCount val="1"/>
                <c:pt idx="0">
                  <c:v>DoP ($1.25)</c:v>
                </c:pt>
              </c:strCache>
            </c:strRef>
          </c:tx>
          <c:marker>
            <c:symbol val="none"/>
          </c:marker>
          <c:cat>
            <c:numRef>
              <c:f>'WB Data'!$B$355:$B$380</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'WB Data'!$H$355:$H$380</c:f>
              <c:numCache>
                <c:formatCode>0.0%</c:formatCode>
                <c:ptCount val="26"/>
                <c:pt idx="0">
                  <c:v>5.2185999999999995E-3</c:v>
                </c:pt>
                <c:pt idx="1">
                  <c:v>4.9454933333333336E-3</c:v>
                </c:pt>
                <c:pt idx="2">
                  <c:v>2.05925E-2</c:v>
                </c:pt>
                <c:pt idx="3">
                  <c:v>6.5491150000000003E-3</c:v>
                </c:pt>
                <c:pt idx="4">
                  <c:v>9.4530812500000002E-3</c:v>
                </c:pt>
                <c:pt idx="5">
                  <c:v>3.0905800000000008E-3</c:v>
                </c:pt>
                <c:pt idx="6">
                  <c:v>7.326686666666667E-3</c:v>
                </c:pt>
                <c:pt idx="7">
                  <c:v>2.7596457142857146E-3</c:v>
                </c:pt>
                <c:pt idx="8">
                  <c:v>5.4841933333333341E-3</c:v>
                </c:pt>
                <c:pt idx="9">
                  <c:v>3.028064E-3</c:v>
                </c:pt>
                <c:pt idx="10">
                  <c:v>3.4608083333333333E-3</c:v>
                </c:pt>
                <c:pt idx="11">
                  <c:v>3.2417949999999996E-3</c:v>
                </c:pt>
                <c:pt idx="12">
                  <c:v>3.7902628571428571E-3</c:v>
                </c:pt>
                <c:pt idx="13">
                  <c:v>5.0220522222222215E-3</c:v>
                </c:pt>
                <c:pt idx="14">
                  <c:v>1.1173150000000001E-2</c:v>
                </c:pt>
                <c:pt idx="15">
                  <c:v>9.994172727272729E-3</c:v>
                </c:pt>
                <c:pt idx="16">
                  <c:v>7.7836244444444451E-3</c:v>
                </c:pt>
                <c:pt idx="17">
                  <c:v>7.4569681818181816E-3</c:v>
                </c:pt>
                <c:pt idx="18">
                  <c:v>4.1324027272727267E-3</c:v>
                </c:pt>
                <c:pt idx="19">
                  <c:v>2.9507049999999996E-3</c:v>
                </c:pt>
                <c:pt idx="20">
                  <c:v>3.0590018181818183E-3</c:v>
                </c:pt>
                <c:pt idx="21">
                  <c:v>2.5952130769230771E-3</c:v>
                </c:pt>
                <c:pt idx="22">
                  <c:v>1.8923770000000002E-3</c:v>
                </c:pt>
                <c:pt idx="23">
                  <c:v>1.2899745454545452E-3</c:v>
                </c:pt>
                <c:pt idx="24">
                  <c:v>1.2375263636363637E-3</c:v>
                </c:pt>
                <c:pt idx="25">
                  <c:v>5.1173222222222227E-4</c:v>
                </c:pt>
              </c:numCache>
            </c:numRef>
          </c:val>
          <c:smooth val="0"/>
        </c:ser>
        <c:dLbls>
          <c:showLegendKey val="0"/>
          <c:showVal val="0"/>
          <c:showCatName val="0"/>
          <c:showSerName val="0"/>
          <c:showPercent val="0"/>
          <c:showBubbleSize val="0"/>
        </c:dLbls>
        <c:smooth val="0"/>
        <c:axId val="157928760"/>
        <c:axId val="157929152"/>
      </c:lineChart>
      <c:catAx>
        <c:axId val="157928760"/>
        <c:scaling>
          <c:orientation val="minMax"/>
        </c:scaling>
        <c:delete val="0"/>
        <c:axPos val="b"/>
        <c:numFmt formatCode="General" sourceLinked="1"/>
        <c:majorTickMark val="out"/>
        <c:minorTickMark val="none"/>
        <c:tickLblPos val="nextTo"/>
        <c:crossAx val="157929152"/>
        <c:crosses val="autoZero"/>
        <c:auto val="1"/>
        <c:lblAlgn val="ctr"/>
        <c:lblOffset val="100"/>
        <c:noMultiLvlLbl val="0"/>
      </c:catAx>
      <c:valAx>
        <c:axId val="157929152"/>
        <c:scaling>
          <c:orientation val="minMax"/>
        </c:scaling>
        <c:delete val="0"/>
        <c:axPos val="l"/>
        <c:majorGridlines/>
        <c:numFmt formatCode="0%" sourceLinked="0"/>
        <c:majorTickMark val="out"/>
        <c:minorTickMark val="none"/>
        <c:tickLblPos val="nextTo"/>
        <c:crossAx val="157928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'WB Data'!$K$354</c:f>
              <c:strCache>
                <c:ptCount val="1"/>
                <c:pt idx="0">
                  <c:v>Gini</c:v>
                </c:pt>
              </c:strCache>
            </c:strRef>
          </c:tx>
          <c:marker>
            <c:symbol val="none"/>
          </c:marker>
          <c:cat>
            <c:numRef>
              <c:f>'WB Data'!$B$355:$B$380</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'WB Data'!$K$355:$K$380</c:f>
              <c:numCache>
                <c:formatCode>General</c:formatCode>
                <c:ptCount val="26"/>
                <c:pt idx="0">
                  <c:v>50.655000000000001</c:v>
                </c:pt>
                <c:pt idx="1">
                  <c:v>46.886666666666663</c:v>
                </c:pt>
                <c:pt idx="2">
                  <c:v>56.162500000000001</c:v>
                </c:pt>
                <c:pt idx="3">
                  <c:v>57.269999999999996</c:v>
                </c:pt>
                <c:pt idx="4">
                  <c:v>52.571428571428577</c:v>
                </c:pt>
                <c:pt idx="5">
                  <c:v>49.184000000000005</c:v>
                </c:pt>
                <c:pt idx="6">
                  <c:v>50.643333333333338</c:v>
                </c:pt>
                <c:pt idx="7">
                  <c:v>49.657142857142851</c:v>
                </c:pt>
                <c:pt idx="8">
                  <c:v>53.223333333333329</c:v>
                </c:pt>
                <c:pt idx="9">
                  <c:v>50.852000000000004</c:v>
                </c:pt>
                <c:pt idx="10">
                  <c:v>51.066666666666663</c:v>
                </c:pt>
                <c:pt idx="11">
                  <c:v>51.03</c:v>
                </c:pt>
                <c:pt idx="12">
                  <c:v>49.271428571428565</c:v>
                </c:pt>
                <c:pt idx="13">
                  <c:v>52.2</c:v>
                </c:pt>
                <c:pt idx="14">
                  <c:v>55.692500000000003</c:v>
                </c:pt>
                <c:pt idx="15">
                  <c:v>53.419090909090912</c:v>
                </c:pt>
                <c:pt idx="16">
                  <c:v>53.775555555555549</c:v>
                </c:pt>
                <c:pt idx="17">
                  <c:v>54.06363636363637</c:v>
                </c:pt>
                <c:pt idx="18">
                  <c:v>53.146363636363638</c:v>
                </c:pt>
                <c:pt idx="19">
                  <c:v>51.296666666666674</c:v>
                </c:pt>
                <c:pt idx="20">
                  <c:v>51.594545454545454</c:v>
                </c:pt>
                <c:pt idx="21">
                  <c:v>52.003076923076918</c:v>
                </c:pt>
                <c:pt idx="22">
                  <c:v>51.664999999999999</c:v>
                </c:pt>
                <c:pt idx="23">
                  <c:v>49.971818181818186</c:v>
                </c:pt>
                <c:pt idx="24">
                  <c:v>49.878181818181815</c:v>
                </c:pt>
                <c:pt idx="25">
                  <c:v>48.203333333333333</c:v>
                </c:pt>
              </c:numCache>
            </c:numRef>
          </c:val>
          <c:smooth val="0"/>
        </c:ser>
        <c:dLbls>
          <c:showLegendKey val="0"/>
          <c:showVal val="0"/>
          <c:showCatName val="0"/>
          <c:showSerName val="0"/>
          <c:showPercent val="0"/>
          <c:showBubbleSize val="0"/>
        </c:dLbls>
        <c:smooth val="0"/>
        <c:axId val="157929936"/>
        <c:axId val="157930328"/>
      </c:lineChart>
      <c:catAx>
        <c:axId val="157929936"/>
        <c:scaling>
          <c:orientation val="minMax"/>
        </c:scaling>
        <c:delete val="0"/>
        <c:axPos val="b"/>
        <c:numFmt formatCode="General" sourceLinked="1"/>
        <c:majorTickMark val="out"/>
        <c:minorTickMark val="none"/>
        <c:tickLblPos val="nextTo"/>
        <c:crossAx val="157930328"/>
        <c:crosses val="autoZero"/>
        <c:auto val="1"/>
        <c:lblAlgn val="ctr"/>
        <c:lblOffset val="100"/>
        <c:noMultiLvlLbl val="0"/>
      </c:catAx>
      <c:valAx>
        <c:axId val="157930328"/>
        <c:scaling>
          <c:orientation val="minMax"/>
          <c:min val="30"/>
        </c:scaling>
        <c:delete val="0"/>
        <c:axPos val="l"/>
        <c:majorGridlines/>
        <c:numFmt formatCode="General" sourceLinked="1"/>
        <c:majorTickMark val="out"/>
        <c:minorTickMark val="none"/>
        <c:tickLblPos val="nextTo"/>
        <c:crossAx val="1579299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'WB Data'!$I$354</c:f>
              <c:strCache>
                <c:ptCount val="1"/>
                <c:pt idx="0">
                  <c:v>D1</c:v>
                </c:pt>
              </c:strCache>
            </c:strRef>
          </c:tx>
          <c:marker>
            <c:symbol val="none"/>
          </c:marker>
          <c:cat>
            <c:numRef>
              <c:f>'WB Data'!$B$355:$B$380</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'WB Data'!$I$355:$I$380</c:f>
              <c:numCache>
                <c:formatCode>0.00%</c:formatCode>
                <c:ptCount val="26"/>
                <c:pt idx="0">
                  <c:v>1.44E-2</c:v>
                </c:pt>
                <c:pt idx="1">
                  <c:v>1.3066666666666666E-2</c:v>
                </c:pt>
                <c:pt idx="2">
                  <c:v>9.8249999999999987E-3</c:v>
                </c:pt>
                <c:pt idx="3">
                  <c:v>9.2999999999999992E-3</c:v>
                </c:pt>
                <c:pt idx="4">
                  <c:v>1.04E-2</c:v>
                </c:pt>
                <c:pt idx="5">
                  <c:v>1.4800000000000002E-2</c:v>
                </c:pt>
                <c:pt idx="6">
                  <c:v>9.566666666666666E-3</c:v>
                </c:pt>
                <c:pt idx="7">
                  <c:v>1.3828571428571428E-2</c:v>
                </c:pt>
                <c:pt idx="8">
                  <c:v>9.7666666666666666E-3</c:v>
                </c:pt>
                <c:pt idx="9">
                  <c:v>1.3319999999999999E-2</c:v>
                </c:pt>
                <c:pt idx="10">
                  <c:v>1.0833333333333332E-2</c:v>
                </c:pt>
                <c:pt idx="11">
                  <c:v>1.1912499999999999E-2</c:v>
                </c:pt>
                <c:pt idx="12">
                  <c:v>1.3642857142857144E-2</c:v>
                </c:pt>
                <c:pt idx="13">
                  <c:v>1.1244444444444446E-2</c:v>
                </c:pt>
                <c:pt idx="14">
                  <c:v>6.9624999999999991E-3</c:v>
                </c:pt>
                <c:pt idx="15">
                  <c:v>9.8363636363636361E-3</c:v>
                </c:pt>
                <c:pt idx="16">
                  <c:v>8.9555555555555569E-3</c:v>
                </c:pt>
                <c:pt idx="17">
                  <c:v>9.7272727272727285E-3</c:v>
                </c:pt>
                <c:pt idx="18">
                  <c:v>1.0918181818181818E-2</c:v>
                </c:pt>
                <c:pt idx="19">
                  <c:v>1.2475000000000003E-2</c:v>
                </c:pt>
                <c:pt idx="20">
                  <c:v>1.1954545454545454E-2</c:v>
                </c:pt>
                <c:pt idx="21">
                  <c:v>1.2884615384615385E-2</c:v>
                </c:pt>
                <c:pt idx="22">
                  <c:v>1.2589999999999999E-2</c:v>
                </c:pt>
                <c:pt idx="23">
                  <c:v>1.3745454545454545E-2</c:v>
                </c:pt>
                <c:pt idx="24">
                  <c:v>1.339090909090909E-2</c:v>
                </c:pt>
                <c:pt idx="25">
                  <c:v>1.5755555555555557E-2</c:v>
                </c:pt>
              </c:numCache>
            </c:numRef>
          </c:val>
          <c:smooth val="0"/>
        </c:ser>
        <c:ser>
          <c:idx val="1"/>
          <c:order val="1"/>
          <c:tx>
            <c:strRef>
              <c:f>'WB Data'!$J$354</c:f>
              <c:strCache>
                <c:ptCount val="1"/>
                <c:pt idx="0">
                  <c:v>D2</c:v>
                </c:pt>
              </c:strCache>
            </c:strRef>
          </c:tx>
          <c:marker>
            <c:symbol val="none"/>
          </c:marker>
          <c:cat>
            <c:numRef>
              <c:f>'WB Data'!$B$355:$B$380</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'WB Data'!$J$355:$J$380</c:f>
              <c:numCache>
                <c:formatCode>0.00%</c:formatCode>
                <c:ptCount val="26"/>
                <c:pt idx="0">
                  <c:v>2.4550000000000002E-2</c:v>
                </c:pt>
                <c:pt idx="1">
                  <c:v>2.6833333333333334E-2</c:v>
                </c:pt>
                <c:pt idx="2">
                  <c:v>1.9574999999999999E-2</c:v>
                </c:pt>
                <c:pt idx="3">
                  <c:v>1.805E-2</c:v>
                </c:pt>
                <c:pt idx="4">
                  <c:v>2.2662500000000002E-2</c:v>
                </c:pt>
                <c:pt idx="5">
                  <c:v>2.6879999999999998E-2</c:v>
                </c:pt>
                <c:pt idx="6">
                  <c:v>2.3E-2</c:v>
                </c:pt>
                <c:pt idx="7">
                  <c:v>2.6742857142857138E-2</c:v>
                </c:pt>
                <c:pt idx="8">
                  <c:v>2.3099999999999999E-2</c:v>
                </c:pt>
                <c:pt idx="9">
                  <c:v>2.5319999999999999E-2</c:v>
                </c:pt>
                <c:pt idx="10">
                  <c:v>2.4633333333333333E-2</c:v>
                </c:pt>
                <c:pt idx="11">
                  <c:v>2.46375E-2</c:v>
                </c:pt>
                <c:pt idx="12">
                  <c:v>2.5814285714285713E-2</c:v>
                </c:pt>
                <c:pt idx="13">
                  <c:v>2.307777777777778E-2</c:v>
                </c:pt>
                <c:pt idx="14">
                  <c:v>1.85875E-2</c:v>
                </c:pt>
                <c:pt idx="15">
                  <c:v>2.1781818181818183E-2</c:v>
                </c:pt>
                <c:pt idx="16">
                  <c:v>2.081111111111111E-2</c:v>
                </c:pt>
                <c:pt idx="17">
                  <c:v>2.0845454545454549E-2</c:v>
                </c:pt>
                <c:pt idx="18">
                  <c:v>2.2627272727272729E-2</c:v>
                </c:pt>
                <c:pt idx="19">
                  <c:v>2.4583333333333336E-2</c:v>
                </c:pt>
                <c:pt idx="20">
                  <c:v>2.3945454545454544E-2</c:v>
                </c:pt>
                <c:pt idx="21">
                  <c:v>2.4138461538461539E-2</c:v>
                </c:pt>
                <c:pt idx="22">
                  <c:v>2.4669999999999997E-2</c:v>
                </c:pt>
                <c:pt idx="23">
                  <c:v>2.6009090909090912E-2</c:v>
                </c:pt>
                <c:pt idx="24">
                  <c:v>2.6018181818181819E-2</c:v>
                </c:pt>
                <c:pt idx="25">
                  <c:v>2.7799999999999995E-2</c:v>
                </c:pt>
              </c:numCache>
            </c:numRef>
          </c:val>
          <c:smooth val="0"/>
        </c:ser>
        <c:dLbls>
          <c:showLegendKey val="0"/>
          <c:showVal val="0"/>
          <c:showCatName val="0"/>
          <c:showSerName val="0"/>
          <c:showPercent val="0"/>
          <c:showBubbleSize val="0"/>
        </c:dLbls>
        <c:smooth val="0"/>
        <c:axId val="157892280"/>
        <c:axId val="157892672"/>
      </c:lineChart>
      <c:catAx>
        <c:axId val="157892280"/>
        <c:scaling>
          <c:orientation val="minMax"/>
        </c:scaling>
        <c:delete val="0"/>
        <c:axPos val="b"/>
        <c:numFmt formatCode="General" sourceLinked="1"/>
        <c:majorTickMark val="out"/>
        <c:minorTickMark val="none"/>
        <c:tickLblPos val="nextTo"/>
        <c:crossAx val="157892672"/>
        <c:crosses val="autoZero"/>
        <c:auto val="1"/>
        <c:lblAlgn val="ctr"/>
        <c:lblOffset val="100"/>
        <c:noMultiLvlLbl val="0"/>
      </c:catAx>
      <c:valAx>
        <c:axId val="157892672"/>
        <c:scaling>
          <c:orientation val="minMax"/>
        </c:scaling>
        <c:delete val="0"/>
        <c:axPos val="l"/>
        <c:majorGridlines/>
        <c:numFmt formatCode="0.0%" sourceLinked="0"/>
        <c:majorTickMark val="out"/>
        <c:minorTickMark val="none"/>
        <c:tickLblPos val="nextTo"/>
        <c:crossAx val="157892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'WB Data'!$N$354</c:f>
              <c:strCache>
                <c:ptCount val="1"/>
                <c:pt idx="0">
                  <c:v>Q1</c:v>
                </c:pt>
              </c:strCache>
            </c:strRef>
          </c:tx>
          <c:marker>
            <c:symbol val="none"/>
          </c:marker>
          <c:cat>
            <c:numRef>
              <c:f>'WB Data'!$B$355:$B$380</c:f>
              <c:numCache>
                <c:formatCode>General</c:formatCod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numCache>
            </c:numRef>
          </c:cat>
          <c:val>
            <c:numRef>
              <c:f>'WB Data'!$N$355:$N$380</c:f>
              <c:numCache>
                <c:formatCode>0%</c:formatCode>
                <c:ptCount val="26"/>
                <c:pt idx="0">
                  <c:v>3.8949999999999999E-2</c:v>
                </c:pt>
                <c:pt idx="1">
                  <c:v>3.9899999999999998E-2</c:v>
                </c:pt>
                <c:pt idx="2">
                  <c:v>2.9399999999999996E-2</c:v>
                </c:pt>
                <c:pt idx="3">
                  <c:v>2.7350000000000003E-2</c:v>
                </c:pt>
                <c:pt idx="4">
                  <c:v>3.3062499999999995E-2</c:v>
                </c:pt>
                <c:pt idx="5">
                  <c:v>4.1679999999999995E-2</c:v>
                </c:pt>
                <c:pt idx="6">
                  <c:v>3.256666666666666E-2</c:v>
                </c:pt>
                <c:pt idx="7">
                  <c:v>4.0571428571428578E-2</c:v>
                </c:pt>
                <c:pt idx="8">
                  <c:v>3.2866666666666669E-2</c:v>
                </c:pt>
                <c:pt idx="9">
                  <c:v>3.8640000000000001E-2</c:v>
                </c:pt>
                <c:pt idx="10">
                  <c:v>3.5466666666666667E-2</c:v>
                </c:pt>
                <c:pt idx="11">
                  <c:v>3.6549999999999999E-2</c:v>
                </c:pt>
                <c:pt idx="12">
                  <c:v>3.9457142857142857E-2</c:v>
                </c:pt>
                <c:pt idx="13">
                  <c:v>3.4322222222222226E-2</c:v>
                </c:pt>
                <c:pt idx="14">
                  <c:v>2.5550000000000003E-2</c:v>
                </c:pt>
                <c:pt idx="15">
                  <c:v>3.1618181818181823E-2</c:v>
                </c:pt>
                <c:pt idx="16">
                  <c:v>2.976666666666667E-2</c:v>
                </c:pt>
                <c:pt idx="17">
                  <c:v>3.0572727272727276E-2</c:v>
                </c:pt>
                <c:pt idx="18">
                  <c:v>3.3545454545454552E-2</c:v>
                </c:pt>
                <c:pt idx="19">
                  <c:v>3.7058333333333332E-2</c:v>
                </c:pt>
                <c:pt idx="20">
                  <c:v>3.5900000000000001E-2</c:v>
                </c:pt>
                <c:pt idx="21">
                  <c:v>3.7023076923076922E-2</c:v>
                </c:pt>
                <c:pt idx="22">
                  <c:v>3.7260000000000001E-2</c:v>
                </c:pt>
                <c:pt idx="23">
                  <c:v>3.9754545454545452E-2</c:v>
                </c:pt>
                <c:pt idx="24">
                  <c:v>3.9409090909090908E-2</c:v>
                </c:pt>
                <c:pt idx="25">
                  <c:v>4.3555555555555549E-2</c:v>
                </c:pt>
              </c:numCache>
            </c:numRef>
          </c:val>
          <c:smooth val="0"/>
        </c:ser>
        <c:ser>
          <c:idx val="1"/>
          <c:order val="1"/>
          <c:tx>
            <c:strRef>
              <c:f>'WB Data'!$Q$354</c:f>
              <c:strCache>
                <c:ptCount val="1"/>
                <c:pt idx="0">
                  <c:v>Q2</c:v>
                </c:pt>
              </c:strCache>
            </c:strRef>
          </c:tx>
          <c:marker>
            <c:symbol val="none"/>
          </c:marker>
          <c:val>
            <c:numRef>
              <c:f>'WB Data'!$Q$355:$Q$380</c:f>
              <c:numCache>
                <c:formatCode>0%</c:formatCode>
                <c:ptCount val="26"/>
                <c:pt idx="0">
                  <c:v>7.7499999999999999E-2</c:v>
                </c:pt>
                <c:pt idx="1">
                  <c:v>8.8599999999999998E-2</c:v>
                </c:pt>
                <c:pt idx="2">
                  <c:v>6.6650000000000001E-2</c:v>
                </c:pt>
                <c:pt idx="3">
                  <c:v>6.2699999999999992E-2</c:v>
                </c:pt>
                <c:pt idx="4">
                  <c:v>7.669999999999999E-2</c:v>
                </c:pt>
                <c:pt idx="5">
                  <c:v>8.2880000000000009E-2</c:v>
                </c:pt>
                <c:pt idx="6">
                  <c:v>8.0299999999999996E-2</c:v>
                </c:pt>
                <c:pt idx="7">
                  <c:v>8.2857142857142865E-2</c:v>
                </c:pt>
                <c:pt idx="8">
                  <c:v>7.5266666666666662E-2</c:v>
                </c:pt>
                <c:pt idx="9">
                  <c:v>8.0200000000000007E-2</c:v>
                </c:pt>
                <c:pt idx="10">
                  <c:v>7.9699999999999993E-2</c:v>
                </c:pt>
                <c:pt idx="11">
                  <c:v>7.9737500000000003E-2</c:v>
                </c:pt>
                <c:pt idx="12">
                  <c:v>8.2557142857142871E-2</c:v>
                </c:pt>
                <c:pt idx="13">
                  <c:v>7.615555555555556E-2</c:v>
                </c:pt>
                <c:pt idx="14">
                  <c:v>6.8512500000000004E-2</c:v>
                </c:pt>
                <c:pt idx="15">
                  <c:v>7.4272727272727254E-2</c:v>
                </c:pt>
                <c:pt idx="16">
                  <c:v>7.2633333333333341E-2</c:v>
                </c:pt>
                <c:pt idx="17">
                  <c:v>7.2072727272727274E-2</c:v>
                </c:pt>
                <c:pt idx="18">
                  <c:v>7.4118181818181833E-2</c:v>
                </c:pt>
                <c:pt idx="19">
                  <c:v>7.8591666666666657E-2</c:v>
                </c:pt>
                <c:pt idx="20">
                  <c:v>7.7927272727272734E-2</c:v>
                </c:pt>
                <c:pt idx="21">
                  <c:v>7.6999999999999999E-2</c:v>
                </c:pt>
                <c:pt idx="22">
                  <c:v>7.7909999999999993E-2</c:v>
                </c:pt>
                <c:pt idx="23">
                  <c:v>8.1645454545454535E-2</c:v>
                </c:pt>
                <c:pt idx="24">
                  <c:v>8.2327272727272721E-2</c:v>
                </c:pt>
                <c:pt idx="25">
                  <c:v>8.5488888888888892E-2</c:v>
                </c:pt>
              </c:numCache>
            </c:numRef>
          </c:val>
          <c:smooth val="0"/>
        </c:ser>
        <c:ser>
          <c:idx val="2"/>
          <c:order val="2"/>
          <c:tx>
            <c:strRef>
              <c:f>'WB Data'!$T$354</c:f>
              <c:strCache>
                <c:ptCount val="1"/>
                <c:pt idx="0">
                  <c:v>Q3</c:v>
                </c:pt>
              </c:strCache>
            </c:strRef>
          </c:tx>
          <c:marker>
            <c:symbol val="none"/>
          </c:marker>
          <c:val>
            <c:numRef>
              <c:f>'WB Data'!$T$355:$T$380</c:f>
              <c:numCache>
                <c:formatCode>0%</c:formatCode>
                <c:ptCount val="26"/>
                <c:pt idx="0">
                  <c:v>0.12415</c:v>
                </c:pt>
                <c:pt idx="1">
                  <c:v>0.1404</c:v>
                </c:pt>
                <c:pt idx="2">
                  <c:v>0.111875</c:v>
                </c:pt>
                <c:pt idx="3">
                  <c:v>0.10835</c:v>
                </c:pt>
                <c:pt idx="4">
                  <c:v>0.12509999999999999</c:v>
                </c:pt>
                <c:pt idx="5">
                  <c:v>0.12753999999999999</c:v>
                </c:pt>
                <c:pt idx="6">
                  <c:v>0.13096666666666665</c:v>
                </c:pt>
                <c:pt idx="7">
                  <c:v>0.1284142857142857</c:v>
                </c:pt>
                <c:pt idx="8">
                  <c:v>0.11966666666666667</c:v>
                </c:pt>
                <c:pt idx="9">
                  <c:v>0.12559999999999999</c:v>
                </c:pt>
                <c:pt idx="10">
                  <c:v>0.12651666666666667</c:v>
                </c:pt>
                <c:pt idx="11">
                  <c:v>0.1255</c:v>
                </c:pt>
                <c:pt idx="12">
                  <c:v>0.13095714285714283</c:v>
                </c:pt>
                <c:pt idx="13">
                  <c:v>0.12292222222222221</c:v>
                </c:pt>
                <c:pt idx="14">
                  <c:v>0.11610000000000001</c:v>
                </c:pt>
                <c:pt idx="15">
                  <c:v>0.12098181818181819</c:v>
                </c:pt>
                <c:pt idx="16">
                  <c:v>0.12053333333333334</c:v>
                </c:pt>
                <c:pt idx="17">
                  <c:v>0.11907272727272727</c:v>
                </c:pt>
                <c:pt idx="18">
                  <c:v>0.12001818181818182</c:v>
                </c:pt>
                <c:pt idx="19">
                  <c:v>0.12443333333333335</c:v>
                </c:pt>
                <c:pt idx="20">
                  <c:v>0.12371818181818182</c:v>
                </c:pt>
                <c:pt idx="21">
                  <c:v>0.12211538461538464</c:v>
                </c:pt>
                <c:pt idx="22">
                  <c:v>0.12322</c:v>
                </c:pt>
                <c:pt idx="23">
                  <c:v>0.12770000000000001</c:v>
                </c:pt>
                <c:pt idx="24">
                  <c:v>0.12852727272727274</c:v>
                </c:pt>
                <c:pt idx="25">
                  <c:v>0.13172222222222221</c:v>
                </c:pt>
              </c:numCache>
            </c:numRef>
          </c:val>
          <c:smooth val="0"/>
        </c:ser>
        <c:ser>
          <c:idx val="3"/>
          <c:order val="3"/>
          <c:tx>
            <c:strRef>
              <c:f>'WB Data'!$W$354</c:f>
              <c:strCache>
                <c:ptCount val="1"/>
                <c:pt idx="0">
                  <c:v>Q4</c:v>
                </c:pt>
              </c:strCache>
            </c:strRef>
          </c:tx>
          <c:marker>
            <c:symbol val="none"/>
          </c:marker>
          <c:val>
            <c:numRef>
              <c:f>'WB Data'!$W$355:$W$380</c:f>
              <c:numCache>
                <c:formatCode>0%</c:formatCode>
                <c:ptCount val="26"/>
                <c:pt idx="0">
                  <c:v>0.20295000000000002</c:v>
                </c:pt>
                <c:pt idx="1">
                  <c:v>0.21576666666666663</c:v>
                </c:pt>
                <c:pt idx="2">
                  <c:v>0.18825</c:v>
                </c:pt>
                <c:pt idx="3">
                  <c:v>0.1875</c:v>
                </c:pt>
                <c:pt idx="4">
                  <c:v>0.20131250000000001</c:v>
                </c:pt>
                <c:pt idx="5">
                  <c:v>0.20377999999999996</c:v>
                </c:pt>
                <c:pt idx="6">
                  <c:v>0.2087</c:v>
                </c:pt>
                <c:pt idx="7">
                  <c:v>0.20115714285714287</c:v>
                </c:pt>
                <c:pt idx="8">
                  <c:v>0.19469999999999998</c:v>
                </c:pt>
                <c:pt idx="9">
                  <c:v>0.19796</c:v>
                </c:pt>
                <c:pt idx="10">
                  <c:v>0.20116666666666672</c:v>
                </c:pt>
                <c:pt idx="11">
                  <c:v>0.2000875</c:v>
                </c:pt>
                <c:pt idx="12">
                  <c:v>0.20531428571428573</c:v>
                </c:pt>
                <c:pt idx="13">
                  <c:v>0.19926666666666665</c:v>
                </c:pt>
                <c:pt idx="14">
                  <c:v>0.19445000000000001</c:v>
                </c:pt>
                <c:pt idx="15">
                  <c:v>0.19574545454545456</c:v>
                </c:pt>
                <c:pt idx="16">
                  <c:v>0.19769999999999999</c:v>
                </c:pt>
                <c:pt idx="17">
                  <c:v>0.19579999999999997</c:v>
                </c:pt>
                <c:pt idx="18">
                  <c:v>0.19564545454545457</c:v>
                </c:pt>
                <c:pt idx="19">
                  <c:v>0.19938333333333333</c:v>
                </c:pt>
                <c:pt idx="20">
                  <c:v>0.19947272727272722</c:v>
                </c:pt>
                <c:pt idx="21">
                  <c:v>0.19599230769230769</c:v>
                </c:pt>
                <c:pt idx="22">
                  <c:v>0.19654000000000005</c:v>
                </c:pt>
                <c:pt idx="23">
                  <c:v>0.20190909090909093</c:v>
                </c:pt>
                <c:pt idx="24">
                  <c:v>0.20143636363636361</c:v>
                </c:pt>
                <c:pt idx="25">
                  <c:v>0.20481111111111111</c:v>
                </c:pt>
              </c:numCache>
            </c:numRef>
          </c:val>
          <c:smooth val="0"/>
        </c:ser>
        <c:ser>
          <c:idx val="4"/>
          <c:order val="4"/>
          <c:tx>
            <c:strRef>
              <c:f>'WB Data'!$Z$354</c:f>
              <c:strCache>
                <c:ptCount val="1"/>
                <c:pt idx="0">
                  <c:v>Q5</c:v>
                </c:pt>
              </c:strCache>
            </c:strRef>
          </c:tx>
          <c:marker>
            <c:symbol val="none"/>
          </c:marker>
          <c:val>
            <c:numRef>
              <c:f>'WB Data'!$Z$355:$Z$380</c:f>
              <c:numCache>
                <c:formatCode>0%</c:formatCode>
                <c:ptCount val="26"/>
                <c:pt idx="0">
                  <c:v>0.55645</c:v>
                </c:pt>
                <c:pt idx="1">
                  <c:v>0.51533333333333331</c:v>
                </c:pt>
                <c:pt idx="2">
                  <c:v>0.60382500000000006</c:v>
                </c:pt>
                <c:pt idx="3">
                  <c:v>0.61410000000000009</c:v>
                </c:pt>
                <c:pt idx="4">
                  <c:v>0.56382499999999991</c:v>
                </c:pt>
                <c:pt idx="5">
                  <c:v>0.54411999999999994</c:v>
                </c:pt>
                <c:pt idx="6">
                  <c:v>0.54746666666666666</c:v>
                </c:pt>
                <c:pt idx="7">
                  <c:v>0.54700000000000004</c:v>
                </c:pt>
                <c:pt idx="8">
                  <c:v>0.57750000000000001</c:v>
                </c:pt>
                <c:pt idx="9">
                  <c:v>0.55759999999999987</c:v>
                </c:pt>
                <c:pt idx="10">
                  <c:v>0.55714999999999992</c:v>
                </c:pt>
                <c:pt idx="11">
                  <c:v>0.55812500000000009</c:v>
                </c:pt>
                <c:pt idx="12">
                  <c:v>0.5417142857142857</c:v>
                </c:pt>
                <c:pt idx="13">
                  <c:v>0.56733333333333336</c:v>
                </c:pt>
                <c:pt idx="14">
                  <c:v>0.59538749999999996</c:v>
                </c:pt>
                <c:pt idx="15">
                  <c:v>0.57738181818181822</c:v>
                </c:pt>
                <c:pt idx="16">
                  <c:v>0.57936666666666659</c:v>
                </c:pt>
                <c:pt idx="17">
                  <c:v>0.5824818181818181</c:v>
                </c:pt>
                <c:pt idx="18">
                  <c:v>0.57667272727272734</c:v>
                </c:pt>
                <c:pt idx="19">
                  <c:v>0.56053333333333344</c:v>
                </c:pt>
                <c:pt idx="20">
                  <c:v>0.56298181818181814</c:v>
                </c:pt>
                <c:pt idx="21">
                  <c:v>0.56786923076923079</c:v>
                </c:pt>
                <c:pt idx="22">
                  <c:v>0.56506999999999996</c:v>
                </c:pt>
                <c:pt idx="23">
                  <c:v>0.5489909090909092</c:v>
                </c:pt>
                <c:pt idx="24">
                  <c:v>0.54830000000000012</c:v>
                </c:pt>
                <c:pt idx="25">
                  <c:v>0.53442222222222224</c:v>
                </c:pt>
              </c:numCache>
            </c:numRef>
          </c:val>
          <c:smooth val="0"/>
        </c:ser>
        <c:dLbls>
          <c:showLegendKey val="0"/>
          <c:showVal val="0"/>
          <c:showCatName val="0"/>
          <c:showSerName val="0"/>
          <c:showPercent val="0"/>
          <c:showBubbleSize val="0"/>
        </c:dLbls>
        <c:smooth val="0"/>
        <c:axId val="156519496"/>
        <c:axId val="157893456"/>
      </c:lineChart>
      <c:catAx>
        <c:axId val="156519496"/>
        <c:scaling>
          <c:orientation val="minMax"/>
        </c:scaling>
        <c:delete val="0"/>
        <c:axPos val="b"/>
        <c:numFmt formatCode="General" sourceLinked="1"/>
        <c:majorTickMark val="out"/>
        <c:minorTickMark val="none"/>
        <c:tickLblPos val="nextTo"/>
        <c:crossAx val="157893456"/>
        <c:crosses val="autoZero"/>
        <c:auto val="1"/>
        <c:lblAlgn val="ctr"/>
        <c:lblOffset val="100"/>
        <c:noMultiLvlLbl val="0"/>
      </c:catAx>
      <c:valAx>
        <c:axId val="157893456"/>
        <c:scaling>
          <c:orientation val="minMax"/>
        </c:scaling>
        <c:delete val="0"/>
        <c:axPos val="l"/>
        <c:majorGridlines/>
        <c:numFmt formatCode="0%" sourceLinked="1"/>
        <c:majorTickMark val="out"/>
        <c:minorTickMark val="none"/>
        <c:tickLblPos val="nextTo"/>
        <c:crossAx val="1565194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22C3-8F06-49A5-A8FC-7D88F22E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59</Pages>
  <Words>17362</Words>
  <Characters>96538</Characters>
  <Application>Microsoft Office Word</Application>
  <DocSecurity>0</DocSecurity>
  <Lines>6895</Lines>
  <Paragraphs>5423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108477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Rombouts, M.D.</dc:creator>
  <cp:lastModifiedBy>M.M. Viola Gonzalez</cp:lastModifiedBy>
  <cp:revision>12</cp:revision>
  <cp:lastPrinted>2015-06-27T11:27:00Z</cp:lastPrinted>
  <dcterms:created xsi:type="dcterms:W3CDTF">2015-07-27T10:19:00Z</dcterms:created>
  <dcterms:modified xsi:type="dcterms:W3CDTF">2015-07-31T11:26:00Z</dcterms:modified>
</cp:coreProperties>
</file>