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B4B1755" w14:textId="4C1B9534" w:rsidR="004C1116" w:rsidRPr="00702FE7" w:rsidRDefault="007E310C" w:rsidP="00BC42EA">
      <w:pPr>
        <w:pStyle w:val="Title"/>
      </w:pPr>
      <w:r>
        <w:tab/>
      </w:r>
      <w:r w:rsidR="00B3639C">
        <w:tab/>
      </w:r>
      <w:r w:rsidR="00B3639C">
        <w:tab/>
      </w:r>
    </w:p>
    <w:p w14:paraId="1E316C5E" w14:textId="77777777" w:rsidR="004C1116" w:rsidRPr="00702FE7" w:rsidRDefault="004C1116" w:rsidP="00BC42EA">
      <w:pPr>
        <w:pStyle w:val="Title"/>
      </w:pPr>
    </w:p>
    <w:p w14:paraId="69170E50" w14:textId="77777777" w:rsidR="004C1116" w:rsidRPr="00702FE7" w:rsidRDefault="004C1116" w:rsidP="00BC42EA">
      <w:pPr>
        <w:pStyle w:val="Title"/>
      </w:pPr>
    </w:p>
    <w:p w14:paraId="44F42C3F" w14:textId="77777777" w:rsidR="00226029" w:rsidRPr="00702FE7" w:rsidRDefault="00226029" w:rsidP="00BC42EA">
      <w:pPr>
        <w:pStyle w:val="Title"/>
      </w:pPr>
    </w:p>
    <w:p w14:paraId="348D0DCC" w14:textId="793C3D25" w:rsidR="004C1116" w:rsidRPr="00702FE7" w:rsidRDefault="004B010B" w:rsidP="00001758">
      <w:pPr>
        <w:pStyle w:val="Title"/>
        <w:spacing w:line="240" w:lineRule="auto"/>
        <w:jc w:val="center"/>
      </w:pPr>
      <w:r w:rsidRPr="00702FE7">
        <w:t>Is broader health coverage</w:t>
      </w:r>
      <w:r w:rsidR="00226029" w:rsidRPr="00702FE7">
        <w:t xml:space="preserve"> good for </w:t>
      </w:r>
      <w:r w:rsidRPr="00702FE7">
        <w:t>a nation’s health?</w:t>
      </w:r>
      <w:r w:rsidR="00226029" w:rsidRPr="00702FE7">
        <w:t xml:space="preserve"> </w:t>
      </w:r>
      <w:r w:rsidRPr="00702FE7">
        <w:t>Revisiting the evidence from country level panel data</w:t>
      </w:r>
      <w:r w:rsidR="0043495D" w:rsidRPr="00702FE7">
        <w:t xml:space="preserve"> in the new m</w:t>
      </w:r>
      <w:r w:rsidR="00226029" w:rsidRPr="00702FE7">
        <w:t>illennium.</w:t>
      </w:r>
    </w:p>
    <w:p w14:paraId="225712D1" w14:textId="77777777" w:rsidR="004C1116" w:rsidRPr="00702FE7" w:rsidRDefault="004C1116" w:rsidP="00BC42EA">
      <w:pPr>
        <w:spacing w:line="240" w:lineRule="auto"/>
      </w:pPr>
    </w:p>
    <w:p w14:paraId="0179AF40" w14:textId="77562DA3" w:rsidR="006A3F45" w:rsidRPr="00CC3C7B" w:rsidRDefault="00702FE7" w:rsidP="00001758">
      <w:pPr>
        <w:pStyle w:val="Title"/>
        <w:spacing w:line="240" w:lineRule="auto"/>
        <w:jc w:val="center"/>
        <w:rPr>
          <w:lang w:val="nl-NL"/>
        </w:rPr>
      </w:pPr>
      <w:r w:rsidRPr="00CC3C7B">
        <w:rPr>
          <w:lang w:val="nl-NL"/>
        </w:rPr>
        <w:t>Erasmus University Rotterdam</w:t>
      </w:r>
    </w:p>
    <w:p w14:paraId="4398159F" w14:textId="77777777" w:rsidR="00001758" w:rsidRDefault="00001758" w:rsidP="00001758">
      <w:pPr>
        <w:pStyle w:val="Subtitle"/>
        <w:spacing w:line="240" w:lineRule="auto"/>
        <w:jc w:val="center"/>
        <w:rPr>
          <w:i w:val="0"/>
          <w:lang w:val="nl-NL"/>
        </w:rPr>
      </w:pPr>
    </w:p>
    <w:p w14:paraId="64766E11" w14:textId="6DF593C1" w:rsidR="00001758" w:rsidRDefault="004C1116" w:rsidP="00001758">
      <w:pPr>
        <w:pStyle w:val="Subtitle"/>
        <w:spacing w:line="240" w:lineRule="auto"/>
        <w:jc w:val="center"/>
        <w:rPr>
          <w:i w:val="0"/>
          <w:lang w:val="nl-NL"/>
        </w:rPr>
      </w:pPr>
      <w:r w:rsidRPr="00001758">
        <w:rPr>
          <w:i w:val="0"/>
          <w:lang w:val="nl-NL"/>
        </w:rPr>
        <w:t>Wes</w:t>
      </w:r>
      <w:r w:rsidR="00CC3C7B">
        <w:rPr>
          <w:i w:val="0"/>
          <w:lang w:val="nl-NL"/>
        </w:rPr>
        <w:t>s</w:t>
      </w:r>
      <w:r w:rsidRPr="00001758">
        <w:rPr>
          <w:i w:val="0"/>
          <w:lang w:val="nl-NL"/>
        </w:rPr>
        <w:t>el van Rietschoten</w:t>
      </w:r>
    </w:p>
    <w:p w14:paraId="2045BA37" w14:textId="77777777" w:rsidR="00001758" w:rsidRPr="00001758" w:rsidRDefault="00001758" w:rsidP="00001758">
      <w:pPr>
        <w:rPr>
          <w:lang w:val="nl-NL"/>
        </w:rPr>
      </w:pPr>
    </w:p>
    <w:p w14:paraId="3D79B001" w14:textId="2E697F4F" w:rsidR="00702FE7" w:rsidRPr="00B3639C" w:rsidRDefault="00702FE7" w:rsidP="00001758">
      <w:pPr>
        <w:pStyle w:val="Subtitle"/>
        <w:spacing w:line="240" w:lineRule="auto"/>
        <w:jc w:val="center"/>
        <w:rPr>
          <w:i w:val="0"/>
        </w:rPr>
      </w:pPr>
      <w:r w:rsidRPr="00B3639C">
        <w:rPr>
          <w:i w:val="0"/>
        </w:rPr>
        <w:t>Supervisor:</w:t>
      </w:r>
      <w:r w:rsidR="004C1116" w:rsidRPr="00B3639C">
        <w:rPr>
          <w:i w:val="0"/>
        </w:rPr>
        <w:t xml:space="preserve"> </w:t>
      </w:r>
      <w:r w:rsidRPr="00B3639C">
        <w:rPr>
          <w:i w:val="0"/>
        </w:rPr>
        <w:t>E. van Doorslaer</w:t>
      </w:r>
      <w:r w:rsidRPr="00B3639C">
        <w:rPr>
          <w:i w:val="0"/>
        </w:rPr>
        <w:br/>
        <w:t>Co-Reader: E. van de Poel</w:t>
      </w:r>
    </w:p>
    <w:p w14:paraId="16536B0B" w14:textId="77777777" w:rsidR="00702FE7" w:rsidRPr="00B3639C" w:rsidRDefault="00702FE7" w:rsidP="00001758">
      <w:pPr>
        <w:spacing w:line="240" w:lineRule="auto"/>
        <w:jc w:val="center"/>
      </w:pPr>
    </w:p>
    <w:p w14:paraId="193E3B2C" w14:textId="4792D2D5" w:rsidR="00702FE7" w:rsidRPr="00B3639C" w:rsidRDefault="00D74B93" w:rsidP="00001758">
      <w:pPr>
        <w:pStyle w:val="Subtitle"/>
        <w:spacing w:line="240" w:lineRule="auto"/>
        <w:jc w:val="center"/>
        <w:rPr>
          <w:i w:val="0"/>
        </w:rPr>
      </w:pPr>
      <w:r>
        <w:rPr>
          <w:i w:val="0"/>
        </w:rPr>
        <w:t>11</w:t>
      </w:r>
      <w:r w:rsidR="00001758" w:rsidRPr="00B3639C">
        <w:rPr>
          <w:i w:val="0"/>
        </w:rPr>
        <w:t>-08-</w:t>
      </w:r>
      <w:r w:rsidR="00702FE7" w:rsidRPr="00B3639C">
        <w:rPr>
          <w:i w:val="0"/>
        </w:rPr>
        <w:t>2015</w:t>
      </w:r>
    </w:p>
    <w:p w14:paraId="50E3FB47" w14:textId="77777777" w:rsidR="004C1116" w:rsidRPr="00B3639C" w:rsidRDefault="004C1116" w:rsidP="00BC42EA"/>
    <w:p w14:paraId="552BB24A" w14:textId="77777777" w:rsidR="004C1116" w:rsidRPr="00B3639C" w:rsidRDefault="004C1116" w:rsidP="00BC42EA"/>
    <w:p w14:paraId="3349A166" w14:textId="77777777" w:rsidR="00BC1C25" w:rsidRPr="00B3639C" w:rsidRDefault="00BC1C25" w:rsidP="00BC42EA">
      <w:r w:rsidRPr="00B3639C">
        <w:br w:type="page"/>
      </w:r>
    </w:p>
    <w:sdt>
      <w:sdtPr>
        <w:rPr>
          <w:rFonts w:ascii="Arial" w:eastAsiaTheme="minorEastAsia" w:hAnsi="Arial" w:cs="Arial"/>
          <w:b w:val="0"/>
          <w:bCs w:val="0"/>
          <w:color w:val="auto"/>
          <w:sz w:val="32"/>
          <w:szCs w:val="32"/>
        </w:rPr>
        <w:id w:val="1831169806"/>
        <w:docPartObj>
          <w:docPartGallery w:val="Table of Contents"/>
          <w:docPartUnique/>
        </w:docPartObj>
      </w:sdtPr>
      <w:sdtEndPr>
        <w:rPr>
          <w:noProof/>
          <w:sz w:val="24"/>
          <w:szCs w:val="24"/>
        </w:rPr>
      </w:sdtEndPr>
      <w:sdtContent>
        <w:p w14:paraId="72A50FAB" w14:textId="73C9A91A" w:rsidR="00BC1C25" w:rsidRPr="009872C9" w:rsidRDefault="00BC1C25" w:rsidP="00BC42EA">
          <w:pPr>
            <w:pStyle w:val="TOCHeading"/>
            <w:rPr>
              <w:rFonts w:ascii="Arial" w:hAnsi="Arial" w:cs="Arial"/>
              <w:sz w:val="36"/>
              <w:szCs w:val="32"/>
            </w:rPr>
          </w:pPr>
          <w:r w:rsidRPr="009872C9">
            <w:rPr>
              <w:rFonts w:ascii="Arial" w:hAnsi="Arial" w:cs="Arial"/>
              <w:sz w:val="36"/>
              <w:szCs w:val="32"/>
            </w:rPr>
            <w:t>Table of Contents</w:t>
          </w:r>
        </w:p>
        <w:p w14:paraId="347CBF02" w14:textId="77777777" w:rsidR="000060A4" w:rsidRPr="009872C9" w:rsidRDefault="00BC1C25">
          <w:pPr>
            <w:pStyle w:val="TOC1"/>
            <w:tabs>
              <w:tab w:val="right" w:leader="dot" w:pos="8290"/>
            </w:tabs>
            <w:rPr>
              <w:rFonts w:ascii="Arial" w:hAnsi="Arial" w:cs="Arial"/>
              <w:b w:val="0"/>
              <w:noProof/>
              <w:sz w:val="24"/>
              <w:lang w:eastAsia="nl-NL"/>
            </w:rPr>
          </w:pPr>
          <w:r w:rsidRPr="009872C9">
            <w:rPr>
              <w:rFonts w:ascii="Arial" w:hAnsi="Arial" w:cs="Arial"/>
              <w:color w:val="548DD4"/>
              <w:sz w:val="32"/>
              <w:szCs w:val="24"/>
            </w:rPr>
            <w:fldChar w:fldCharType="begin"/>
          </w:r>
          <w:r w:rsidRPr="009872C9">
            <w:rPr>
              <w:rFonts w:ascii="Arial" w:hAnsi="Arial" w:cs="Arial"/>
              <w:color w:val="548DD4"/>
              <w:sz w:val="32"/>
              <w:szCs w:val="24"/>
            </w:rPr>
            <w:instrText xml:space="preserve"> TOC \o </w:instrText>
          </w:r>
          <w:r w:rsidRPr="009872C9">
            <w:rPr>
              <w:rFonts w:ascii="Arial" w:hAnsi="Arial" w:cs="Arial"/>
              <w:color w:val="548DD4"/>
              <w:sz w:val="32"/>
              <w:szCs w:val="24"/>
            </w:rPr>
            <w:fldChar w:fldCharType="separate"/>
          </w:r>
          <w:r w:rsidR="000060A4" w:rsidRPr="009872C9">
            <w:rPr>
              <w:rFonts w:ascii="Arial" w:hAnsi="Arial" w:cs="Arial"/>
              <w:noProof/>
              <w:sz w:val="24"/>
            </w:rPr>
            <w:t>Introduction</w:t>
          </w:r>
          <w:r w:rsidR="000060A4" w:rsidRPr="009872C9">
            <w:rPr>
              <w:rFonts w:ascii="Arial" w:hAnsi="Arial" w:cs="Arial"/>
              <w:noProof/>
              <w:sz w:val="24"/>
            </w:rPr>
            <w:tab/>
          </w:r>
          <w:r w:rsidR="000060A4" w:rsidRPr="009872C9">
            <w:rPr>
              <w:rFonts w:ascii="Arial" w:hAnsi="Arial" w:cs="Arial"/>
              <w:noProof/>
              <w:sz w:val="24"/>
            </w:rPr>
            <w:fldChar w:fldCharType="begin"/>
          </w:r>
          <w:r w:rsidR="000060A4" w:rsidRPr="009872C9">
            <w:rPr>
              <w:rFonts w:ascii="Arial" w:hAnsi="Arial" w:cs="Arial"/>
              <w:noProof/>
              <w:sz w:val="24"/>
            </w:rPr>
            <w:instrText xml:space="preserve"> PAGEREF _Toc427006222 \h </w:instrText>
          </w:r>
          <w:r w:rsidR="000060A4" w:rsidRPr="009872C9">
            <w:rPr>
              <w:rFonts w:ascii="Arial" w:hAnsi="Arial" w:cs="Arial"/>
              <w:noProof/>
              <w:sz w:val="24"/>
            </w:rPr>
          </w:r>
          <w:r w:rsidR="000060A4" w:rsidRPr="009872C9">
            <w:rPr>
              <w:rFonts w:ascii="Arial" w:hAnsi="Arial" w:cs="Arial"/>
              <w:noProof/>
              <w:sz w:val="24"/>
            </w:rPr>
            <w:fldChar w:fldCharType="separate"/>
          </w:r>
          <w:r w:rsidR="000060A4" w:rsidRPr="009872C9">
            <w:rPr>
              <w:rFonts w:ascii="Arial" w:hAnsi="Arial" w:cs="Arial"/>
              <w:noProof/>
              <w:sz w:val="24"/>
            </w:rPr>
            <w:t>3</w:t>
          </w:r>
          <w:r w:rsidR="000060A4" w:rsidRPr="009872C9">
            <w:rPr>
              <w:rFonts w:ascii="Arial" w:hAnsi="Arial" w:cs="Arial"/>
              <w:noProof/>
              <w:sz w:val="24"/>
            </w:rPr>
            <w:fldChar w:fldCharType="end"/>
          </w:r>
        </w:p>
        <w:p w14:paraId="30B88D8A" w14:textId="77777777" w:rsidR="000060A4" w:rsidRPr="009872C9" w:rsidRDefault="000060A4">
          <w:pPr>
            <w:pStyle w:val="TOC4"/>
            <w:rPr>
              <w:rFonts w:ascii="Arial" w:hAnsi="Arial" w:cs="Arial"/>
              <w:noProof/>
              <w:sz w:val="24"/>
              <w:szCs w:val="22"/>
              <w:lang w:eastAsia="nl-NL"/>
            </w:rPr>
          </w:pPr>
          <w:r w:rsidRPr="009872C9">
            <w:rPr>
              <w:rFonts w:ascii="Arial" w:hAnsi="Arial" w:cs="Arial"/>
              <w:noProof/>
              <w:sz w:val="22"/>
            </w:rPr>
            <w:t>This research</w:t>
          </w:r>
          <w:r w:rsidRPr="009872C9">
            <w:rPr>
              <w:rFonts w:ascii="Arial" w:hAnsi="Arial" w:cs="Arial"/>
              <w:noProof/>
              <w:sz w:val="22"/>
            </w:rPr>
            <w:tab/>
          </w:r>
          <w:r w:rsidRPr="009872C9">
            <w:rPr>
              <w:rFonts w:ascii="Arial" w:hAnsi="Arial" w:cs="Arial"/>
              <w:noProof/>
              <w:sz w:val="22"/>
            </w:rPr>
            <w:fldChar w:fldCharType="begin"/>
          </w:r>
          <w:r w:rsidRPr="009872C9">
            <w:rPr>
              <w:rFonts w:ascii="Arial" w:hAnsi="Arial" w:cs="Arial"/>
              <w:noProof/>
              <w:sz w:val="22"/>
            </w:rPr>
            <w:instrText xml:space="preserve"> PAGEREF _Toc427006223 \h </w:instrText>
          </w:r>
          <w:r w:rsidRPr="009872C9">
            <w:rPr>
              <w:rFonts w:ascii="Arial" w:hAnsi="Arial" w:cs="Arial"/>
              <w:noProof/>
              <w:sz w:val="22"/>
            </w:rPr>
          </w:r>
          <w:r w:rsidRPr="009872C9">
            <w:rPr>
              <w:rFonts w:ascii="Arial" w:hAnsi="Arial" w:cs="Arial"/>
              <w:noProof/>
              <w:sz w:val="22"/>
            </w:rPr>
            <w:fldChar w:fldCharType="separate"/>
          </w:r>
          <w:r w:rsidRPr="009872C9">
            <w:rPr>
              <w:rFonts w:ascii="Arial" w:hAnsi="Arial" w:cs="Arial"/>
              <w:noProof/>
              <w:sz w:val="22"/>
            </w:rPr>
            <w:t>4</w:t>
          </w:r>
          <w:r w:rsidRPr="009872C9">
            <w:rPr>
              <w:rFonts w:ascii="Arial" w:hAnsi="Arial" w:cs="Arial"/>
              <w:noProof/>
              <w:sz w:val="22"/>
            </w:rPr>
            <w:fldChar w:fldCharType="end"/>
          </w:r>
        </w:p>
        <w:p w14:paraId="331AAA7F" w14:textId="77777777" w:rsidR="000060A4" w:rsidRPr="009872C9" w:rsidRDefault="000060A4">
          <w:pPr>
            <w:pStyle w:val="TOC1"/>
            <w:tabs>
              <w:tab w:val="right" w:leader="dot" w:pos="8290"/>
            </w:tabs>
            <w:rPr>
              <w:rFonts w:ascii="Arial" w:hAnsi="Arial" w:cs="Arial"/>
              <w:b w:val="0"/>
              <w:noProof/>
              <w:sz w:val="24"/>
              <w:lang w:eastAsia="nl-NL"/>
            </w:rPr>
          </w:pPr>
          <w:r w:rsidRPr="009872C9">
            <w:rPr>
              <w:rFonts w:ascii="Arial" w:hAnsi="Arial" w:cs="Arial"/>
              <w:noProof/>
              <w:sz w:val="24"/>
            </w:rPr>
            <w:t>Theoretical Framework</w:t>
          </w:r>
          <w:r w:rsidRPr="009872C9">
            <w:rPr>
              <w:rFonts w:ascii="Arial" w:hAnsi="Arial" w:cs="Arial"/>
              <w:noProof/>
              <w:sz w:val="24"/>
            </w:rPr>
            <w:tab/>
          </w:r>
          <w:r w:rsidRPr="009872C9">
            <w:rPr>
              <w:rFonts w:ascii="Arial" w:hAnsi="Arial" w:cs="Arial"/>
              <w:noProof/>
              <w:sz w:val="24"/>
            </w:rPr>
            <w:fldChar w:fldCharType="begin"/>
          </w:r>
          <w:r w:rsidRPr="009872C9">
            <w:rPr>
              <w:rFonts w:ascii="Arial" w:hAnsi="Arial" w:cs="Arial"/>
              <w:noProof/>
              <w:sz w:val="24"/>
            </w:rPr>
            <w:instrText xml:space="preserve"> PAGEREF _Toc427006224 \h </w:instrText>
          </w:r>
          <w:r w:rsidRPr="009872C9">
            <w:rPr>
              <w:rFonts w:ascii="Arial" w:hAnsi="Arial" w:cs="Arial"/>
              <w:noProof/>
              <w:sz w:val="24"/>
            </w:rPr>
          </w:r>
          <w:r w:rsidRPr="009872C9">
            <w:rPr>
              <w:rFonts w:ascii="Arial" w:hAnsi="Arial" w:cs="Arial"/>
              <w:noProof/>
              <w:sz w:val="24"/>
            </w:rPr>
            <w:fldChar w:fldCharType="separate"/>
          </w:r>
          <w:r w:rsidRPr="009872C9">
            <w:rPr>
              <w:rFonts w:ascii="Arial" w:hAnsi="Arial" w:cs="Arial"/>
              <w:noProof/>
              <w:sz w:val="24"/>
            </w:rPr>
            <w:t>7</w:t>
          </w:r>
          <w:r w:rsidRPr="009872C9">
            <w:rPr>
              <w:rFonts w:ascii="Arial" w:hAnsi="Arial" w:cs="Arial"/>
              <w:noProof/>
              <w:sz w:val="24"/>
            </w:rPr>
            <w:fldChar w:fldCharType="end"/>
          </w:r>
        </w:p>
        <w:p w14:paraId="210B88EE" w14:textId="77777777" w:rsidR="000060A4" w:rsidRPr="009872C9" w:rsidRDefault="000060A4">
          <w:pPr>
            <w:pStyle w:val="TOC4"/>
            <w:rPr>
              <w:rFonts w:ascii="Arial" w:hAnsi="Arial" w:cs="Arial"/>
              <w:noProof/>
              <w:sz w:val="24"/>
              <w:szCs w:val="22"/>
              <w:lang w:eastAsia="nl-NL"/>
            </w:rPr>
          </w:pPr>
          <w:r w:rsidRPr="009872C9">
            <w:rPr>
              <w:rFonts w:ascii="Arial" w:hAnsi="Arial" w:cs="Arial"/>
              <w:noProof/>
              <w:sz w:val="22"/>
            </w:rPr>
            <w:t>Effects of health coverage on population health</w:t>
          </w:r>
          <w:r w:rsidRPr="009872C9">
            <w:rPr>
              <w:rFonts w:ascii="Arial" w:hAnsi="Arial" w:cs="Arial"/>
              <w:noProof/>
              <w:sz w:val="22"/>
            </w:rPr>
            <w:tab/>
          </w:r>
          <w:r w:rsidRPr="009872C9">
            <w:rPr>
              <w:rFonts w:ascii="Arial" w:hAnsi="Arial" w:cs="Arial"/>
              <w:noProof/>
              <w:sz w:val="22"/>
            </w:rPr>
            <w:fldChar w:fldCharType="begin"/>
          </w:r>
          <w:r w:rsidRPr="009872C9">
            <w:rPr>
              <w:rFonts w:ascii="Arial" w:hAnsi="Arial" w:cs="Arial"/>
              <w:noProof/>
              <w:sz w:val="22"/>
            </w:rPr>
            <w:instrText xml:space="preserve"> PAGEREF _Toc427006225 \h </w:instrText>
          </w:r>
          <w:r w:rsidRPr="009872C9">
            <w:rPr>
              <w:rFonts w:ascii="Arial" w:hAnsi="Arial" w:cs="Arial"/>
              <w:noProof/>
              <w:sz w:val="22"/>
            </w:rPr>
          </w:r>
          <w:r w:rsidRPr="009872C9">
            <w:rPr>
              <w:rFonts w:ascii="Arial" w:hAnsi="Arial" w:cs="Arial"/>
              <w:noProof/>
              <w:sz w:val="22"/>
            </w:rPr>
            <w:fldChar w:fldCharType="separate"/>
          </w:r>
          <w:r w:rsidRPr="009872C9">
            <w:rPr>
              <w:rFonts w:ascii="Arial" w:hAnsi="Arial" w:cs="Arial"/>
              <w:noProof/>
              <w:sz w:val="22"/>
            </w:rPr>
            <w:t>7</w:t>
          </w:r>
          <w:r w:rsidRPr="009872C9">
            <w:rPr>
              <w:rFonts w:ascii="Arial" w:hAnsi="Arial" w:cs="Arial"/>
              <w:noProof/>
              <w:sz w:val="22"/>
            </w:rPr>
            <w:fldChar w:fldCharType="end"/>
          </w:r>
        </w:p>
        <w:p w14:paraId="5290CE2E" w14:textId="77777777" w:rsidR="000060A4" w:rsidRPr="009872C9" w:rsidRDefault="000060A4">
          <w:pPr>
            <w:pStyle w:val="TOC4"/>
            <w:rPr>
              <w:rFonts w:ascii="Arial" w:hAnsi="Arial" w:cs="Arial"/>
              <w:noProof/>
              <w:sz w:val="24"/>
              <w:szCs w:val="22"/>
              <w:lang w:eastAsia="nl-NL"/>
            </w:rPr>
          </w:pPr>
          <w:r w:rsidRPr="009872C9">
            <w:rPr>
              <w:rFonts w:ascii="Arial" w:hAnsi="Arial" w:cs="Arial"/>
              <w:noProof/>
              <w:sz w:val="22"/>
            </w:rPr>
            <w:t>Effect of governance on the efficacy of health coverage</w:t>
          </w:r>
          <w:r w:rsidRPr="009872C9">
            <w:rPr>
              <w:rFonts w:ascii="Arial" w:hAnsi="Arial" w:cs="Arial"/>
              <w:noProof/>
              <w:sz w:val="22"/>
            </w:rPr>
            <w:tab/>
          </w:r>
          <w:r w:rsidRPr="009872C9">
            <w:rPr>
              <w:rFonts w:ascii="Arial" w:hAnsi="Arial" w:cs="Arial"/>
              <w:noProof/>
              <w:sz w:val="22"/>
            </w:rPr>
            <w:fldChar w:fldCharType="begin"/>
          </w:r>
          <w:r w:rsidRPr="009872C9">
            <w:rPr>
              <w:rFonts w:ascii="Arial" w:hAnsi="Arial" w:cs="Arial"/>
              <w:noProof/>
              <w:sz w:val="22"/>
            </w:rPr>
            <w:instrText xml:space="preserve"> PAGEREF _Toc427006226 \h </w:instrText>
          </w:r>
          <w:r w:rsidRPr="009872C9">
            <w:rPr>
              <w:rFonts w:ascii="Arial" w:hAnsi="Arial" w:cs="Arial"/>
              <w:noProof/>
              <w:sz w:val="22"/>
            </w:rPr>
          </w:r>
          <w:r w:rsidRPr="009872C9">
            <w:rPr>
              <w:rFonts w:ascii="Arial" w:hAnsi="Arial" w:cs="Arial"/>
              <w:noProof/>
              <w:sz w:val="22"/>
            </w:rPr>
            <w:fldChar w:fldCharType="separate"/>
          </w:r>
          <w:r w:rsidRPr="009872C9">
            <w:rPr>
              <w:rFonts w:ascii="Arial" w:hAnsi="Arial" w:cs="Arial"/>
              <w:noProof/>
              <w:sz w:val="22"/>
            </w:rPr>
            <w:t>7</w:t>
          </w:r>
          <w:r w:rsidRPr="009872C9">
            <w:rPr>
              <w:rFonts w:ascii="Arial" w:hAnsi="Arial" w:cs="Arial"/>
              <w:noProof/>
              <w:sz w:val="22"/>
            </w:rPr>
            <w:fldChar w:fldCharType="end"/>
          </w:r>
        </w:p>
        <w:p w14:paraId="18428BA3" w14:textId="77777777" w:rsidR="000060A4" w:rsidRPr="009872C9" w:rsidRDefault="000060A4">
          <w:pPr>
            <w:pStyle w:val="TOC4"/>
            <w:rPr>
              <w:rFonts w:ascii="Arial" w:hAnsi="Arial" w:cs="Arial"/>
              <w:noProof/>
              <w:sz w:val="24"/>
              <w:szCs w:val="22"/>
              <w:lang w:eastAsia="nl-NL"/>
            </w:rPr>
          </w:pPr>
          <w:r w:rsidRPr="009872C9">
            <w:rPr>
              <w:rFonts w:ascii="Arial" w:hAnsi="Arial" w:cs="Arial"/>
              <w:noProof/>
              <w:sz w:val="22"/>
            </w:rPr>
            <w:t>Effects of extending the research</w:t>
          </w:r>
          <w:r w:rsidRPr="009872C9">
            <w:rPr>
              <w:rFonts w:ascii="Arial" w:hAnsi="Arial" w:cs="Arial"/>
              <w:noProof/>
              <w:sz w:val="22"/>
            </w:rPr>
            <w:tab/>
          </w:r>
          <w:r w:rsidRPr="009872C9">
            <w:rPr>
              <w:rFonts w:ascii="Arial" w:hAnsi="Arial" w:cs="Arial"/>
              <w:noProof/>
              <w:sz w:val="22"/>
            </w:rPr>
            <w:fldChar w:fldCharType="begin"/>
          </w:r>
          <w:r w:rsidRPr="009872C9">
            <w:rPr>
              <w:rFonts w:ascii="Arial" w:hAnsi="Arial" w:cs="Arial"/>
              <w:noProof/>
              <w:sz w:val="22"/>
            </w:rPr>
            <w:instrText xml:space="preserve"> PAGEREF _Toc427006227 \h </w:instrText>
          </w:r>
          <w:r w:rsidRPr="009872C9">
            <w:rPr>
              <w:rFonts w:ascii="Arial" w:hAnsi="Arial" w:cs="Arial"/>
              <w:noProof/>
              <w:sz w:val="22"/>
            </w:rPr>
          </w:r>
          <w:r w:rsidRPr="009872C9">
            <w:rPr>
              <w:rFonts w:ascii="Arial" w:hAnsi="Arial" w:cs="Arial"/>
              <w:noProof/>
              <w:sz w:val="22"/>
            </w:rPr>
            <w:fldChar w:fldCharType="separate"/>
          </w:r>
          <w:r w:rsidRPr="009872C9">
            <w:rPr>
              <w:rFonts w:ascii="Arial" w:hAnsi="Arial" w:cs="Arial"/>
              <w:noProof/>
              <w:sz w:val="22"/>
            </w:rPr>
            <w:t>9</w:t>
          </w:r>
          <w:r w:rsidRPr="009872C9">
            <w:rPr>
              <w:rFonts w:ascii="Arial" w:hAnsi="Arial" w:cs="Arial"/>
              <w:noProof/>
              <w:sz w:val="22"/>
            </w:rPr>
            <w:fldChar w:fldCharType="end"/>
          </w:r>
        </w:p>
        <w:p w14:paraId="4BF3A649" w14:textId="77777777" w:rsidR="000060A4" w:rsidRPr="009872C9" w:rsidRDefault="000060A4">
          <w:pPr>
            <w:pStyle w:val="TOC4"/>
            <w:rPr>
              <w:rFonts w:ascii="Arial" w:hAnsi="Arial" w:cs="Arial"/>
              <w:noProof/>
              <w:sz w:val="24"/>
              <w:szCs w:val="22"/>
              <w:lang w:eastAsia="nl-NL"/>
            </w:rPr>
          </w:pPr>
          <w:r w:rsidRPr="009872C9">
            <w:rPr>
              <w:rFonts w:ascii="Arial" w:hAnsi="Arial" w:cs="Arial"/>
              <w:noProof/>
              <w:sz w:val="22"/>
            </w:rPr>
            <w:t>Endogeneity</w:t>
          </w:r>
          <w:r w:rsidRPr="009872C9">
            <w:rPr>
              <w:rFonts w:ascii="Arial" w:hAnsi="Arial" w:cs="Arial"/>
              <w:noProof/>
              <w:sz w:val="22"/>
            </w:rPr>
            <w:tab/>
          </w:r>
          <w:r w:rsidRPr="009872C9">
            <w:rPr>
              <w:rFonts w:ascii="Arial" w:hAnsi="Arial" w:cs="Arial"/>
              <w:noProof/>
              <w:sz w:val="22"/>
            </w:rPr>
            <w:fldChar w:fldCharType="begin"/>
          </w:r>
          <w:r w:rsidRPr="009872C9">
            <w:rPr>
              <w:rFonts w:ascii="Arial" w:hAnsi="Arial" w:cs="Arial"/>
              <w:noProof/>
              <w:sz w:val="22"/>
            </w:rPr>
            <w:instrText xml:space="preserve"> PAGEREF _Toc427006228 \h </w:instrText>
          </w:r>
          <w:r w:rsidRPr="009872C9">
            <w:rPr>
              <w:rFonts w:ascii="Arial" w:hAnsi="Arial" w:cs="Arial"/>
              <w:noProof/>
              <w:sz w:val="22"/>
            </w:rPr>
          </w:r>
          <w:r w:rsidRPr="009872C9">
            <w:rPr>
              <w:rFonts w:ascii="Arial" w:hAnsi="Arial" w:cs="Arial"/>
              <w:noProof/>
              <w:sz w:val="22"/>
            </w:rPr>
            <w:fldChar w:fldCharType="separate"/>
          </w:r>
          <w:r w:rsidRPr="009872C9">
            <w:rPr>
              <w:rFonts w:ascii="Arial" w:hAnsi="Arial" w:cs="Arial"/>
              <w:noProof/>
              <w:sz w:val="22"/>
            </w:rPr>
            <w:t>10</w:t>
          </w:r>
          <w:r w:rsidRPr="009872C9">
            <w:rPr>
              <w:rFonts w:ascii="Arial" w:hAnsi="Arial" w:cs="Arial"/>
              <w:noProof/>
              <w:sz w:val="22"/>
            </w:rPr>
            <w:fldChar w:fldCharType="end"/>
          </w:r>
        </w:p>
        <w:p w14:paraId="5D3F0F97" w14:textId="77777777" w:rsidR="000060A4" w:rsidRPr="009872C9" w:rsidRDefault="000060A4">
          <w:pPr>
            <w:pStyle w:val="TOC1"/>
            <w:tabs>
              <w:tab w:val="right" w:leader="dot" w:pos="8290"/>
            </w:tabs>
            <w:rPr>
              <w:rFonts w:ascii="Arial" w:hAnsi="Arial" w:cs="Arial"/>
              <w:b w:val="0"/>
              <w:noProof/>
              <w:sz w:val="24"/>
              <w:lang w:eastAsia="nl-NL"/>
            </w:rPr>
          </w:pPr>
          <w:r w:rsidRPr="009872C9">
            <w:rPr>
              <w:rFonts w:ascii="Arial" w:hAnsi="Arial" w:cs="Arial"/>
              <w:noProof/>
              <w:sz w:val="24"/>
            </w:rPr>
            <w:t>Literature Review</w:t>
          </w:r>
          <w:r w:rsidRPr="009872C9">
            <w:rPr>
              <w:rFonts w:ascii="Arial" w:hAnsi="Arial" w:cs="Arial"/>
              <w:noProof/>
              <w:sz w:val="24"/>
            </w:rPr>
            <w:tab/>
          </w:r>
          <w:r w:rsidRPr="009872C9">
            <w:rPr>
              <w:rFonts w:ascii="Arial" w:hAnsi="Arial" w:cs="Arial"/>
              <w:noProof/>
              <w:sz w:val="24"/>
            </w:rPr>
            <w:fldChar w:fldCharType="begin"/>
          </w:r>
          <w:r w:rsidRPr="009872C9">
            <w:rPr>
              <w:rFonts w:ascii="Arial" w:hAnsi="Arial" w:cs="Arial"/>
              <w:noProof/>
              <w:sz w:val="24"/>
            </w:rPr>
            <w:instrText xml:space="preserve"> PAGEREF _Toc427006229 \h </w:instrText>
          </w:r>
          <w:r w:rsidRPr="009872C9">
            <w:rPr>
              <w:rFonts w:ascii="Arial" w:hAnsi="Arial" w:cs="Arial"/>
              <w:noProof/>
              <w:sz w:val="24"/>
            </w:rPr>
          </w:r>
          <w:r w:rsidRPr="009872C9">
            <w:rPr>
              <w:rFonts w:ascii="Arial" w:hAnsi="Arial" w:cs="Arial"/>
              <w:noProof/>
              <w:sz w:val="24"/>
            </w:rPr>
            <w:fldChar w:fldCharType="separate"/>
          </w:r>
          <w:r w:rsidRPr="009872C9">
            <w:rPr>
              <w:rFonts w:ascii="Arial" w:hAnsi="Arial" w:cs="Arial"/>
              <w:noProof/>
              <w:sz w:val="24"/>
            </w:rPr>
            <w:t>12</w:t>
          </w:r>
          <w:r w:rsidRPr="009872C9">
            <w:rPr>
              <w:rFonts w:ascii="Arial" w:hAnsi="Arial" w:cs="Arial"/>
              <w:noProof/>
              <w:sz w:val="24"/>
            </w:rPr>
            <w:fldChar w:fldCharType="end"/>
          </w:r>
        </w:p>
        <w:p w14:paraId="57460239" w14:textId="77777777" w:rsidR="000060A4" w:rsidRPr="009872C9" w:rsidRDefault="000060A4">
          <w:pPr>
            <w:pStyle w:val="TOC4"/>
            <w:rPr>
              <w:rFonts w:ascii="Arial" w:hAnsi="Arial" w:cs="Arial"/>
              <w:noProof/>
              <w:sz w:val="24"/>
              <w:szCs w:val="22"/>
              <w:lang w:eastAsia="nl-NL"/>
            </w:rPr>
          </w:pPr>
          <w:r w:rsidRPr="009872C9">
            <w:rPr>
              <w:rFonts w:ascii="Arial" w:hAnsi="Arial" w:cs="Arial"/>
              <w:noProof/>
              <w:sz w:val="22"/>
            </w:rPr>
            <w:t>Cross-country studies on health care coverage</w:t>
          </w:r>
          <w:r w:rsidRPr="009872C9">
            <w:rPr>
              <w:rFonts w:ascii="Arial" w:hAnsi="Arial" w:cs="Arial"/>
              <w:noProof/>
              <w:sz w:val="22"/>
            </w:rPr>
            <w:tab/>
          </w:r>
          <w:r w:rsidRPr="009872C9">
            <w:rPr>
              <w:rFonts w:ascii="Arial" w:hAnsi="Arial" w:cs="Arial"/>
              <w:noProof/>
              <w:sz w:val="22"/>
            </w:rPr>
            <w:fldChar w:fldCharType="begin"/>
          </w:r>
          <w:r w:rsidRPr="009872C9">
            <w:rPr>
              <w:rFonts w:ascii="Arial" w:hAnsi="Arial" w:cs="Arial"/>
              <w:noProof/>
              <w:sz w:val="22"/>
            </w:rPr>
            <w:instrText xml:space="preserve"> PAGEREF _Toc427006230 \h </w:instrText>
          </w:r>
          <w:r w:rsidRPr="009872C9">
            <w:rPr>
              <w:rFonts w:ascii="Arial" w:hAnsi="Arial" w:cs="Arial"/>
              <w:noProof/>
              <w:sz w:val="22"/>
            </w:rPr>
          </w:r>
          <w:r w:rsidRPr="009872C9">
            <w:rPr>
              <w:rFonts w:ascii="Arial" w:hAnsi="Arial" w:cs="Arial"/>
              <w:noProof/>
              <w:sz w:val="22"/>
            </w:rPr>
            <w:fldChar w:fldCharType="separate"/>
          </w:r>
          <w:r w:rsidRPr="009872C9">
            <w:rPr>
              <w:rFonts w:ascii="Arial" w:hAnsi="Arial" w:cs="Arial"/>
              <w:noProof/>
              <w:sz w:val="22"/>
            </w:rPr>
            <w:t>12</w:t>
          </w:r>
          <w:r w:rsidRPr="009872C9">
            <w:rPr>
              <w:rFonts w:ascii="Arial" w:hAnsi="Arial" w:cs="Arial"/>
              <w:noProof/>
              <w:sz w:val="22"/>
            </w:rPr>
            <w:fldChar w:fldCharType="end"/>
          </w:r>
        </w:p>
        <w:p w14:paraId="33D033E7" w14:textId="77777777" w:rsidR="000060A4" w:rsidRPr="009872C9" w:rsidRDefault="000060A4">
          <w:pPr>
            <w:pStyle w:val="TOC4"/>
            <w:rPr>
              <w:rFonts w:ascii="Arial" w:hAnsi="Arial" w:cs="Arial"/>
              <w:noProof/>
              <w:sz w:val="24"/>
              <w:szCs w:val="22"/>
              <w:lang w:eastAsia="nl-NL"/>
            </w:rPr>
          </w:pPr>
          <w:r w:rsidRPr="009872C9">
            <w:rPr>
              <w:rFonts w:ascii="Arial" w:hAnsi="Arial" w:cs="Arial"/>
              <w:noProof/>
              <w:sz w:val="22"/>
            </w:rPr>
            <w:t>Panel data studies on health care coverage</w:t>
          </w:r>
          <w:r w:rsidRPr="009872C9">
            <w:rPr>
              <w:rFonts w:ascii="Arial" w:hAnsi="Arial" w:cs="Arial"/>
              <w:noProof/>
              <w:sz w:val="22"/>
            </w:rPr>
            <w:tab/>
          </w:r>
          <w:r w:rsidRPr="009872C9">
            <w:rPr>
              <w:rFonts w:ascii="Arial" w:hAnsi="Arial" w:cs="Arial"/>
              <w:noProof/>
              <w:sz w:val="22"/>
            </w:rPr>
            <w:fldChar w:fldCharType="begin"/>
          </w:r>
          <w:r w:rsidRPr="009872C9">
            <w:rPr>
              <w:rFonts w:ascii="Arial" w:hAnsi="Arial" w:cs="Arial"/>
              <w:noProof/>
              <w:sz w:val="22"/>
            </w:rPr>
            <w:instrText xml:space="preserve"> PAGEREF _Toc427006231 \h </w:instrText>
          </w:r>
          <w:r w:rsidRPr="009872C9">
            <w:rPr>
              <w:rFonts w:ascii="Arial" w:hAnsi="Arial" w:cs="Arial"/>
              <w:noProof/>
              <w:sz w:val="22"/>
            </w:rPr>
          </w:r>
          <w:r w:rsidRPr="009872C9">
            <w:rPr>
              <w:rFonts w:ascii="Arial" w:hAnsi="Arial" w:cs="Arial"/>
              <w:noProof/>
              <w:sz w:val="22"/>
            </w:rPr>
            <w:fldChar w:fldCharType="separate"/>
          </w:r>
          <w:r w:rsidRPr="009872C9">
            <w:rPr>
              <w:rFonts w:ascii="Arial" w:hAnsi="Arial" w:cs="Arial"/>
              <w:noProof/>
              <w:sz w:val="22"/>
            </w:rPr>
            <w:t>13</w:t>
          </w:r>
          <w:r w:rsidRPr="009872C9">
            <w:rPr>
              <w:rFonts w:ascii="Arial" w:hAnsi="Arial" w:cs="Arial"/>
              <w:noProof/>
              <w:sz w:val="22"/>
            </w:rPr>
            <w:fldChar w:fldCharType="end"/>
          </w:r>
        </w:p>
        <w:p w14:paraId="5563EDAC" w14:textId="77777777" w:rsidR="000060A4" w:rsidRPr="009872C9" w:rsidRDefault="000060A4">
          <w:pPr>
            <w:pStyle w:val="TOC4"/>
            <w:rPr>
              <w:rFonts w:ascii="Arial" w:hAnsi="Arial" w:cs="Arial"/>
              <w:noProof/>
              <w:sz w:val="24"/>
              <w:szCs w:val="22"/>
              <w:lang w:eastAsia="nl-NL"/>
            </w:rPr>
          </w:pPr>
          <w:r w:rsidRPr="009872C9">
            <w:rPr>
              <w:rFonts w:ascii="Arial" w:hAnsi="Arial" w:cs="Arial"/>
              <w:noProof/>
              <w:sz w:val="22"/>
            </w:rPr>
            <w:t>Two-step instrumental variable approach</w:t>
          </w:r>
          <w:r w:rsidRPr="009872C9">
            <w:rPr>
              <w:rFonts w:ascii="Arial" w:hAnsi="Arial" w:cs="Arial"/>
              <w:noProof/>
              <w:sz w:val="22"/>
            </w:rPr>
            <w:tab/>
          </w:r>
          <w:r w:rsidRPr="009872C9">
            <w:rPr>
              <w:rFonts w:ascii="Arial" w:hAnsi="Arial" w:cs="Arial"/>
              <w:noProof/>
              <w:sz w:val="22"/>
            </w:rPr>
            <w:fldChar w:fldCharType="begin"/>
          </w:r>
          <w:r w:rsidRPr="009872C9">
            <w:rPr>
              <w:rFonts w:ascii="Arial" w:hAnsi="Arial" w:cs="Arial"/>
              <w:noProof/>
              <w:sz w:val="22"/>
            </w:rPr>
            <w:instrText xml:space="preserve"> PAGEREF _Toc427006232 \h </w:instrText>
          </w:r>
          <w:r w:rsidRPr="009872C9">
            <w:rPr>
              <w:rFonts w:ascii="Arial" w:hAnsi="Arial" w:cs="Arial"/>
              <w:noProof/>
              <w:sz w:val="22"/>
            </w:rPr>
          </w:r>
          <w:r w:rsidRPr="009872C9">
            <w:rPr>
              <w:rFonts w:ascii="Arial" w:hAnsi="Arial" w:cs="Arial"/>
              <w:noProof/>
              <w:sz w:val="22"/>
            </w:rPr>
            <w:fldChar w:fldCharType="separate"/>
          </w:r>
          <w:r w:rsidRPr="009872C9">
            <w:rPr>
              <w:rFonts w:ascii="Arial" w:hAnsi="Arial" w:cs="Arial"/>
              <w:noProof/>
              <w:sz w:val="22"/>
            </w:rPr>
            <w:t>15</w:t>
          </w:r>
          <w:r w:rsidRPr="009872C9">
            <w:rPr>
              <w:rFonts w:ascii="Arial" w:hAnsi="Arial" w:cs="Arial"/>
              <w:noProof/>
              <w:sz w:val="22"/>
            </w:rPr>
            <w:fldChar w:fldCharType="end"/>
          </w:r>
        </w:p>
        <w:p w14:paraId="75A1C7A2" w14:textId="77777777" w:rsidR="000060A4" w:rsidRPr="009872C9" w:rsidRDefault="000060A4">
          <w:pPr>
            <w:pStyle w:val="TOC1"/>
            <w:tabs>
              <w:tab w:val="right" w:leader="dot" w:pos="8290"/>
            </w:tabs>
            <w:rPr>
              <w:rFonts w:ascii="Arial" w:hAnsi="Arial" w:cs="Arial"/>
              <w:b w:val="0"/>
              <w:noProof/>
              <w:sz w:val="24"/>
              <w:lang w:eastAsia="nl-NL"/>
            </w:rPr>
          </w:pPr>
          <w:r w:rsidRPr="009872C9">
            <w:rPr>
              <w:rFonts w:ascii="Arial" w:hAnsi="Arial" w:cs="Arial"/>
              <w:noProof/>
              <w:sz w:val="24"/>
            </w:rPr>
            <w:t>Methodology</w:t>
          </w:r>
          <w:r w:rsidRPr="009872C9">
            <w:rPr>
              <w:rFonts w:ascii="Arial" w:hAnsi="Arial" w:cs="Arial"/>
              <w:noProof/>
              <w:sz w:val="24"/>
            </w:rPr>
            <w:tab/>
          </w:r>
          <w:r w:rsidRPr="009872C9">
            <w:rPr>
              <w:rFonts w:ascii="Arial" w:hAnsi="Arial" w:cs="Arial"/>
              <w:noProof/>
              <w:sz w:val="24"/>
            </w:rPr>
            <w:fldChar w:fldCharType="begin"/>
          </w:r>
          <w:r w:rsidRPr="009872C9">
            <w:rPr>
              <w:rFonts w:ascii="Arial" w:hAnsi="Arial" w:cs="Arial"/>
              <w:noProof/>
              <w:sz w:val="24"/>
            </w:rPr>
            <w:instrText xml:space="preserve"> PAGEREF _Toc427006233 \h </w:instrText>
          </w:r>
          <w:r w:rsidRPr="009872C9">
            <w:rPr>
              <w:rFonts w:ascii="Arial" w:hAnsi="Arial" w:cs="Arial"/>
              <w:noProof/>
              <w:sz w:val="24"/>
            </w:rPr>
          </w:r>
          <w:r w:rsidRPr="009872C9">
            <w:rPr>
              <w:rFonts w:ascii="Arial" w:hAnsi="Arial" w:cs="Arial"/>
              <w:noProof/>
              <w:sz w:val="24"/>
            </w:rPr>
            <w:fldChar w:fldCharType="separate"/>
          </w:r>
          <w:r w:rsidRPr="009872C9">
            <w:rPr>
              <w:rFonts w:ascii="Arial" w:hAnsi="Arial" w:cs="Arial"/>
              <w:noProof/>
              <w:sz w:val="24"/>
            </w:rPr>
            <w:t>16</w:t>
          </w:r>
          <w:r w:rsidRPr="009872C9">
            <w:rPr>
              <w:rFonts w:ascii="Arial" w:hAnsi="Arial" w:cs="Arial"/>
              <w:noProof/>
              <w:sz w:val="24"/>
            </w:rPr>
            <w:fldChar w:fldCharType="end"/>
          </w:r>
        </w:p>
        <w:p w14:paraId="5A747E1F" w14:textId="77777777" w:rsidR="000060A4" w:rsidRPr="009872C9" w:rsidRDefault="000060A4">
          <w:pPr>
            <w:pStyle w:val="TOC4"/>
            <w:rPr>
              <w:rFonts w:ascii="Arial" w:hAnsi="Arial" w:cs="Arial"/>
              <w:noProof/>
              <w:sz w:val="24"/>
              <w:szCs w:val="22"/>
              <w:lang w:eastAsia="nl-NL"/>
            </w:rPr>
          </w:pPr>
          <w:r w:rsidRPr="009872C9">
            <w:rPr>
              <w:rFonts w:ascii="Arial" w:hAnsi="Arial" w:cs="Arial"/>
              <w:noProof/>
              <w:sz w:val="22"/>
            </w:rPr>
            <w:t>Moreno-Serra &amp; Smith (2015) method explained</w:t>
          </w:r>
          <w:r w:rsidRPr="009872C9">
            <w:rPr>
              <w:rFonts w:ascii="Arial" w:hAnsi="Arial" w:cs="Arial"/>
              <w:noProof/>
              <w:sz w:val="22"/>
            </w:rPr>
            <w:tab/>
          </w:r>
          <w:r w:rsidRPr="009872C9">
            <w:rPr>
              <w:rFonts w:ascii="Arial" w:hAnsi="Arial" w:cs="Arial"/>
              <w:noProof/>
              <w:sz w:val="22"/>
            </w:rPr>
            <w:fldChar w:fldCharType="begin"/>
          </w:r>
          <w:r w:rsidRPr="009872C9">
            <w:rPr>
              <w:rFonts w:ascii="Arial" w:hAnsi="Arial" w:cs="Arial"/>
              <w:noProof/>
              <w:sz w:val="22"/>
            </w:rPr>
            <w:instrText xml:space="preserve"> PAGEREF _Toc427006234 \h </w:instrText>
          </w:r>
          <w:r w:rsidRPr="009872C9">
            <w:rPr>
              <w:rFonts w:ascii="Arial" w:hAnsi="Arial" w:cs="Arial"/>
              <w:noProof/>
              <w:sz w:val="22"/>
            </w:rPr>
          </w:r>
          <w:r w:rsidRPr="009872C9">
            <w:rPr>
              <w:rFonts w:ascii="Arial" w:hAnsi="Arial" w:cs="Arial"/>
              <w:noProof/>
              <w:sz w:val="22"/>
            </w:rPr>
            <w:fldChar w:fldCharType="separate"/>
          </w:r>
          <w:r w:rsidRPr="009872C9">
            <w:rPr>
              <w:rFonts w:ascii="Arial" w:hAnsi="Arial" w:cs="Arial"/>
              <w:noProof/>
              <w:sz w:val="22"/>
            </w:rPr>
            <w:t>16</w:t>
          </w:r>
          <w:r w:rsidRPr="009872C9">
            <w:rPr>
              <w:rFonts w:ascii="Arial" w:hAnsi="Arial" w:cs="Arial"/>
              <w:noProof/>
              <w:sz w:val="22"/>
            </w:rPr>
            <w:fldChar w:fldCharType="end"/>
          </w:r>
        </w:p>
        <w:p w14:paraId="4217573C" w14:textId="77777777" w:rsidR="000060A4" w:rsidRPr="009872C9" w:rsidRDefault="000060A4">
          <w:pPr>
            <w:pStyle w:val="TOC4"/>
            <w:rPr>
              <w:rFonts w:ascii="Arial" w:hAnsi="Arial" w:cs="Arial"/>
              <w:noProof/>
              <w:sz w:val="24"/>
              <w:szCs w:val="22"/>
              <w:lang w:eastAsia="nl-NL"/>
            </w:rPr>
          </w:pPr>
          <w:r w:rsidRPr="009872C9">
            <w:rPr>
              <w:rFonts w:ascii="Arial" w:hAnsi="Arial" w:cs="Arial"/>
              <w:noProof/>
              <w:sz w:val="22"/>
            </w:rPr>
            <w:t>Confounders</w:t>
          </w:r>
          <w:r w:rsidRPr="009872C9">
            <w:rPr>
              <w:rFonts w:ascii="Arial" w:hAnsi="Arial" w:cs="Arial"/>
              <w:noProof/>
              <w:sz w:val="22"/>
            </w:rPr>
            <w:tab/>
          </w:r>
          <w:r w:rsidRPr="009872C9">
            <w:rPr>
              <w:rFonts w:ascii="Arial" w:hAnsi="Arial" w:cs="Arial"/>
              <w:noProof/>
              <w:sz w:val="22"/>
            </w:rPr>
            <w:fldChar w:fldCharType="begin"/>
          </w:r>
          <w:r w:rsidRPr="009872C9">
            <w:rPr>
              <w:rFonts w:ascii="Arial" w:hAnsi="Arial" w:cs="Arial"/>
              <w:noProof/>
              <w:sz w:val="22"/>
            </w:rPr>
            <w:instrText xml:space="preserve"> PAGEREF _Toc427006235 \h </w:instrText>
          </w:r>
          <w:r w:rsidRPr="009872C9">
            <w:rPr>
              <w:rFonts w:ascii="Arial" w:hAnsi="Arial" w:cs="Arial"/>
              <w:noProof/>
              <w:sz w:val="22"/>
            </w:rPr>
          </w:r>
          <w:r w:rsidRPr="009872C9">
            <w:rPr>
              <w:rFonts w:ascii="Arial" w:hAnsi="Arial" w:cs="Arial"/>
              <w:noProof/>
              <w:sz w:val="22"/>
            </w:rPr>
            <w:fldChar w:fldCharType="separate"/>
          </w:r>
          <w:r w:rsidRPr="009872C9">
            <w:rPr>
              <w:rFonts w:ascii="Arial" w:hAnsi="Arial" w:cs="Arial"/>
              <w:noProof/>
              <w:sz w:val="22"/>
            </w:rPr>
            <w:t>16</w:t>
          </w:r>
          <w:r w:rsidRPr="009872C9">
            <w:rPr>
              <w:rFonts w:ascii="Arial" w:hAnsi="Arial" w:cs="Arial"/>
              <w:noProof/>
              <w:sz w:val="22"/>
            </w:rPr>
            <w:fldChar w:fldCharType="end"/>
          </w:r>
        </w:p>
        <w:p w14:paraId="147A68D3" w14:textId="77777777" w:rsidR="000060A4" w:rsidRPr="009872C9" w:rsidRDefault="000060A4">
          <w:pPr>
            <w:pStyle w:val="TOC4"/>
            <w:rPr>
              <w:rFonts w:ascii="Arial" w:hAnsi="Arial" w:cs="Arial"/>
              <w:noProof/>
              <w:sz w:val="24"/>
              <w:szCs w:val="22"/>
              <w:lang w:eastAsia="nl-NL"/>
            </w:rPr>
          </w:pPr>
          <w:r w:rsidRPr="009872C9">
            <w:rPr>
              <w:rFonts w:ascii="Arial" w:hAnsi="Arial" w:cs="Arial"/>
              <w:noProof/>
              <w:sz w:val="22"/>
            </w:rPr>
            <w:t>Reverse causality</w:t>
          </w:r>
          <w:r w:rsidRPr="009872C9">
            <w:rPr>
              <w:rFonts w:ascii="Arial" w:hAnsi="Arial" w:cs="Arial"/>
              <w:noProof/>
              <w:sz w:val="22"/>
            </w:rPr>
            <w:tab/>
          </w:r>
          <w:r w:rsidRPr="009872C9">
            <w:rPr>
              <w:rFonts w:ascii="Arial" w:hAnsi="Arial" w:cs="Arial"/>
              <w:noProof/>
              <w:sz w:val="22"/>
            </w:rPr>
            <w:fldChar w:fldCharType="begin"/>
          </w:r>
          <w:r w:rsidRPr="009872C9">
            <w:rPr>
              <w:rFonts w:ascii="Arial" w:hAnsi="Arial" w:cs="Arial"/>
              <w:noProof/>
              <w:sz w:val="22"/>
            </w:rPr>
            <w:instrText xml:space="preserve"> PAGEREF _Toc427006236 \h </w:instrText>
          </w:r>
          <w:r w:rsidRPr="009872C9">
            <w:rPr>
              <w:rFonts w:ascii="Arial" w:hAnsi="Arial" w:cs="Arial"/>
              <w:noProof/>
              <w:sz w:val="22"/>
            </w:rPr>
          </w:r>
          <w:r w:rsidRPr="009872C9">
            <w:rPr>
              <w:rFonts w:ascii="Arial" w:hAnsi="Arial" w:cs="Arial"/>
              <w:noProof/>
              <w:sz w:val="22"/>
            </w:rPr>
            <w:fldChar w:fldCharType="separate"/>
          </w:r>
          <w:r w:rsidRPr="009872C9">
            <w:rPr>
              <w:rFonts w:ascii="Arial" w:hAnsi="Arial" w:cs="Arial"/>
              <w:noProof/>
              <w:sz w:val="22"/>
            </w:rPr>
            <w:t>17</w:t>
          </w:r>
          <w:r w:rsidRPr="009872C9">
            <w:rPr>
              <w:rFonts w:ascii="Arial" w:hAnsi="Arial" w:cs="Arial"/>
              <w:noProof/>
              <w:sz w:val="22"/>
            </w:rPr>
            <w:fldChar w:fldCharType="end"/>
          </w:r>
        </w:p>
        <w:p w14:paraId="371419D4" w14:textId="77777777" w:rsidR="000060A4" w:rsidRPr="009872C9" w:rsidRDefault="000060A4">
          <w:pPr>
            <w:pStyle w:val="TOC4"/>
            <w:rPr>
              <w:rFonts w:ascii="Arial" w:hAnsi="Arial" w:cs="Arial"/>
              <w:noProof/>
              <w:sz w:val="24"/>
              <w:szCs w:val="22"/>
              <w:lang w:eastAsia="nl-NL"/>
            </w:rPr>
          </w:pPr>
          <w:r w:rsidRPr="009872C9">
            <w:rPr>
              <w:rFonts w:ascii="Arial" w:hAnsi="Arial" w:cs="Arial"/>
              <w:noProof/>
              <w:sz w:val="22"/>
            </w:rPr>
            <w:t>Alternative model</w:t>
          </w:r>
          <w:r w:rsidRPr="009872C9">
            <w:rPr>
              <w:rFonts w:ascii="Arial" w:hAnsi="Arial" w:cs="Arial"/>
              <w:noProof/>
              <w:sz w:val="22"/>
            </w:rPr>
            <w:tab/>
          </w:r>
          <w:r w:rsidRPr="009872C9">
            <w:rPr>
              <w:rFonts w:ascii="Arial" w:hAnsi="Arial" w:cs="Arial"/>
              <w:noProof/>
              <w:sz w:val="22"/>
            </w:rPr>
            <w:fldChar w:fldCharType="begin"/>
          </w:r>
          <w:r w:rsidRPr="009872C9">
            <w:rPr>
              <w:rFonts w:ascii="Arial" w:hAnsi="Arial" w:cs="Arial"/>
              <w:noProof/>
              <w:sz w:val="22"/>
            </w:rPr>
            <w:instrText xml:space="preserve"> PAGEREF _Toc427006237 \h </w:instrText>
          </w:r>
          <w:r w:rsidRPr="009872C9">
            <w:rPr>
              <w:rFonts w:ascii="Arial" w:hAnsi="Arial" w:cs="Arial"/>
              <w:noProof/>
              <w:sz w:val="22"/>
            </w:rPr>
          </w:r>
          <w:r w:rsidRPr="009872C9">
            <w:rPr>
              <w:rFonts w:ascii="Arial" w:hAnsi="Arial" w:cs="Arial"/>
              <w:noProof/>
              <w:sz w:val="22"/>
            </w:rPr>
            <w:fldChar w:fldCharType="separate"/>
          </w:r>
          <w:r w:rsidRPr="009872C9">
            <w:rPr>
              <w:rFonts w:ascii="Arial" w:hAnsi="Arial" w:cs="Arial"/>
              <w:noProof/>
              <w:sz w:val="22"/>
            </w:rPr>
            <w:t>18</w:t>
          </w:r>
          <w:r w:rsidRPr="009872C9">
            <w:rPr>
              <w:rFonts w:ascii="Arial" w:hAnsi="Arial" w:cs="Arial"/>
              <w:noProof/>
              <w:sz w:val="22"/>
            </w:rPr>
            <w:fldChar w:fldCharType="end"/>
          </w:r>
        </w:p>
        <w:p w14:paraId="192FB62E" w14:textId="77777777" w:rsidR="000060A4" w:rsidRPr="009872C9" w:rsidRDefault="000060A4">
          <w:pPr>
            <w:pStyle w:val="TOC4"/>
            <w:rPr>
              <w:rFonts w:ascii="Arial" w:hAnsi="Arial" w:cs="Arial"/>
              <w:noProof/>
              <w:sz w:val="24"/>
              <w:szCs w:val="22"/>
              <w:lang w:eastAsia="nl-NL"/>
            </w:rPr>
          </w:pPr>
          <w:r w:rsidRPr="009872C9">
            <w:rPr>
              <w:rFonts w:ascii="Arial" w:hAnsi="Arial" w:cs="Arial"/>
              <w:noProof/>
              <w:sz w:val="22"/>
            </w:rPr>
            <w:t>Sensitivity analysis</w:t>
          </w:r>
          <w:r w:rsidRPr="009872C9">
            <w:rPr>
              <w:rFonts w:ascii="Arial" w:hAnsi="Arial" w:cs="Arial"/>
              <w:noProof/>
              <w:sz w:val="22"/>
            </w:rPr>
            <w:tab/>
          </w:r>
          <w:r w:rsidRPr="009872C9">
            <w:rPr>
              <w:rFonts w:ascii="Arial" w:hAnsi="Arial" w:cs="Arial"/>
              <w:noProof/>
              <w:sz w:val="22"/>
            </w:rPr>
            <w:fldChar w:fldCharType="begin"/>
          </w:r>
          <w:r w:rsidRPr="009872C9">
            <w:rPr>
              <w:rFonts w:ascii="Arial" w:hAnsi="Arial" w:cs="Arial"/>
              <w:noProof/>
              <w:sz w:val="22"/>
            </w:rPr>
            <w:instrText xml:space="preserve"> PAGEREF _Toc427006238 \h </w:instrText>
          </w:r>
          <w:r w:rsidRPr="009872C9">
            <w:rPr>
              <w:rFonts w:ascii="Arial" w:hAnsi="Arial" w:cs="Arial"/>
              <w:noProof/>
              <w:sz w:val="22"/>
            </w:rPr>
          </w:r>
          <w:r w:rsidRPr="009872C9">
            <w:rPr>
              <w:rFonts w:ascii="Arial" w:hAnsi="Arial" w:cs="Arial"/>
              <w:noProof/>
              <w:sz w:val="22"/>
            </w:rPr>
            <w:fldChar w:fldCharType="separate"/>
          </w:r>
          <w:r w:rsidRPr="009872C9">
            <w:rPr>
              <w:rFonts w:ascii="Arial" w:hAnsi="Arial" w:cs="Arial"/>
              <w:noProof/>
              <w:sz w:val="22"/>
            </w:rPr>
            <w:t>19</w:t>
          </w:r>
          <w:r w:rsidRPr="009872C9">
            <w:rPr>
              <w:rFonts w:ascii="Arial" w:hAnsi="Arial" w:cs="Arial"/>
              <w:noProof/>
              <w:sz w:val="22"/>
            </w:rPr>
            <w:fldChar w:fldCharType="end"/>
          </w:r>
        </w:p>
        <w:p w14:paraId="566CC638" w14:textId="77777777" w:rsidR="000060A4" w:rsidRPr="009872C9" w:rsidRDefault="000060A4">
          <w:pPr>
            <w:pStyle w:val="TOC1"/>
            <w:tabs>
              <w:tab w:val="right" w:leader="dot" w:pos="8290"/>
            </w:tabs>
            <w:rPr>
              <w:rFonts w:ascii="Arial" w:hAnsi="Arial" w:cs="Arial"/>
              <w:b w:val="0"/>
              <w:noProof/>
              <w:sz w:val="24"/>
              <w:lang w:eastAsia="nl-NL"/>
            </w:rPr>
          </w:pPr>
          <w:r w:rsidRPr="009872C9">
            <w:rPr>
              <w:rFonts w:ascii="Arial" w:hAnsi="Arial" w:cs="Arial"/>
              <w:noProof/>
              <w:sz w:val="24"/>
            </w:rPr>
            <w:t>Data</w:t>
          </w:r>
          <w:r w:rsidRPr="009872C9">
            <w:rPr>
              <w:rFonts w:ascii="Arial" w:hAnsi="Arial" w:cs="Arial"/>
              <w:noProof/>
              <w:sz w:val="24"/>
            </w:rPr>
            <w:tab/>
          </w:r>
          <w:r w:rsidRPr="009872C9">
            <w:rPr>
              <w:rFonts w:ascii="Arial" w:hAnsi="Arial" w:cs="Arial"/>
              <w:noProof/>
              <w:sz w:val="24"/>
            </w:rPr>
            <w:fldChar w:fldCharType="begin"/>
          </w:r>
          <w:r w:rsidRPr="009872C9">
            <w:rPr>
              <w:rFonts w:ascii="Arial" w:hAnsi="Arial" w:cs="Arial"/>
              <w:noProof/>
              <w:sz w:val="24"/>
            </w:rPr>
            <w:instrText xml:space="preserve"> PAGEREF _Toc427006239 \h </w:instrText>
          </w:r>
          <w:r w:rsidRPr="009872C9">
            <w:rPr>
              <w:rFonts w:ascii="Arial" w:hAnsi="Arial" w:cs="Arial"/>
              <w:noProof/>
              <w:sz w:val="24"/>
            </w:rPr>
          </w:r>
          <w:r w:rsidRPr="009872C9">
            <w:rPr>
              <w:rFonts w:ascii="Arial" w:hAnsi="Arial" w:cs="Arial"/>
              <w:noProof/>
              <w:sz w:val="24"/>
            </w:rPr>
            <w:fldChar w:fldCharType="separate"/>
          </w:r>
          <w:r w:rsidRPr="009872C9">
            <w:rPr>
              <w:rFonts w:ascii="Arial" w:hAnsi="Arial" w:cs="Arial"/>
              <w:noProof/>
              <w:sz w:val="24"/>
            </w:rPr>
            <w:t>22</w:t>
          </w:r>
          <w:r w:rsidRPr="009872C9">
            <w:rPr>
              <w:rFonts w:ascii="Arial" w:hAnsi="Arial" w:cs="Arial"/>
              <w:noProof/>
              <w:sz w:val="24"/>
            </w:rPr>
            <w:fldChar w:fldCharType="end"/>
          </w:r>
        </w:p>
        <w:p w14:paraId="25FD456F" w14:textId="77777777" w:rsidR="000060A4" w:rsidRPr="009872C9" w:rsidRDefault="000060A4">
          <w:pPr>
            <w:pStyle w:val="TOC4"/>
            <w:rPr>
              <w:rFonts w:ascii="Arial" w:hAnsi="Arial" w:cs="Arial"/>
              <w:noProof/>
              <w:sz w:val="24"/>
              <w:szCs w:val="22"/>
              <w:lang w:eastAsia="nl-NL"/>
            </w:rPr>
          </w:pPr>
          <w:r w:rsidRPr="009872C9">
            <w:rPr>
              <w:rFonts w:ascii="Arial" w:hAnsi="Arial" w:cs="Arial"/>
              <w:noProof/>
              <w:sz w:val="22"/>
            </w:rPr>
            <w:t>Independent variables</w:t>
          </w:r>
          <w:r w:rsidRPr="009872C9">
            <w:rPr>
              <w:rFonts w:ascii="Arial" w:hAnsi="Arial" w:cs="Arial"/>
              <w:noProof/>
              <w:sz w:val="22"/>
            </w:rPr>
            <w:tab/>
          </w:r>
          <w:r w:rsidRPr="009872C9">
            <w:rPr>
              <w:rFonts w:ascii="Arial" w:hAnsi="Arial" w:cs="Arial"/>
              <w:noProof/>
              <w:sz w:val="22"/>
            </w:rPr>
            <w:fldChar w:fldCharType="begin"/>
          </w:r>
          <w:r w:rsidRPr="009872C9">
            <w:rPr>
              <w:rFonts w:ascii="Arial" w:hAnsi="Arial" w:cs="Arial"/>
              <w:noProof/>
              <w:sz w:val="22"/>
            </w:rPr>
            <w:instrText xml:space="preserve"> PAGEREF _Toc427006240 \h </w:instrText>
          </w:r>
          <w:r w:rsidRPr="009872C9">
            <w:rPr>
              <w:rFonts w:ascii="Arial" w:hAnsi="Arial" w:cs="Arial"/>
              <w:noProof/>
              <w:sz w:val="22"/>
            </w:rPr>
          </w:r>
          <w:r w:rsidRPr="009872C9">
            <w:rPr>
              <w:rFonts w:ascii="Arial" w:hAnsi="Arial" w:cs="Arial"/>
              <w:noProof/>
              <w:sz w:val="22"/>
            </w:rPr>
            <w:fldChar w:fldCharType="separate"/>
          </w:r>
          <w:r w:rsidRPr="009872C9">
            <w:rPr>
              <w:rFonts w:ascii="Arial" w:hAnsi="Arial" w:cs="Arial"/>
              <w:noProof/>
              <w:sz w:val="22"/>
            </w:rPr>
            <w:t>22</w:t>
          </w:r>
          <w:r w:rsidRPr="009872C9">
            <w:rPr>
              <w:rFonts w:ascii="Arial" w:hAnsi="Arial" w:cs="Arial"/>
              <w:noProof/>
              <w:sz w:val="22"/>
            </w:rPr>
            <w:fldChar w:fldCharType="end"/>
          </w:r>
        </w:p>
        <w:p w14:paraId="005D8D2B" w14:textId="77777777" w:rsidR="000060A4" w:rsidRPr="009872C9" w:rsidRDefault="000060A4">
          <w:pPr>
            <w:pStyle w:val="TOC4"/>
            <w:rPr>
              <w:rFonts w:ascii="Arial" w:hAnsi="Arial" w:cs="Arial"/>
              <w:noProof/>
              <w:sz w:val="24"/>
              <w:szCs w:val="22"/>
              <w:lang w:eastAsia="nl-NL"/>
            </w:rPr>
          </w:pPr>
          <w:r w:rsidRPr="009872C9">
            <w:rPr>
              <w:rFonts w:ascii="Arial" w:hAnsi="Arial" w:cs="Arial"/>
              <w:noProof/>
              <w:sz w:val="22"/>
            </w:rPr>
            <w:t>Original dependent variables and instruments</w:t>
          </w:r>
          <w:r w:rsidRPr="009872C9">
            <w:rPr>
              <w:rFonts w:ascii="Arial" w:hAnsi="Arial" w:cs="Arial"/>
              <w:noProof/>
              <w:sz w:val="22"/>
            </w:rPr>
            <w:tab/>
          </w:r>
          <w:r w:rsidRPr="009872C9">
            <w:rPr>
              <w:rFonts w:ascii="Arial" w:hAnsi="Arial" w:cs="Arial"/>
              <w:noProof/>
              <w:sz w:val="22"/>
            </w:rPr>
            <w:fldChar w:fldCharType="begin"/>
          </w:r>
          <w:r w:rsidRPr="009872C9">
            <w:rPr>
              <w:rFonts w:ascii="Arial" w:hAnsi="Arial" w:cs="Arial"/>
              <w:noProof/>
              <w:sz w:val="22"/>
            </w:rPr>
            <w:instrText xml:space="preserve"> PAGEREF _Toc427006241 \h </w:instrText>
          </w:r>
          <w:r w:rsidRPr="009872C9">
            <w:rPr>
              <w:rFonts w:ascii="Arial" w:hAnsi="Arial" w:cs="Arial"/>
              <w:noProof/>
              <w:sz w:val="22"/>
            </w:rPr>
          </w:r>
          <w:r w:rsidRPr="009872C9">
            <w:rPr>
              <w:rFonts w:ascii="Arial" w:hAnsi="Arial" w:cs="Arial"/>
              <w:noProof/>
              <w:sz w:val="22"/>
            </w:rPr>
            <w:fldChar w:fldCharType="separate"/>
          </w:r>
          <w:r w:rsidRPr="009872C9">
            <w:rPr>
              <w:rFonts w:ascii="Arial" w:hAnsi="Arial" w:cs="Arial"/>
              <w:noProof/>
              <w:sz w:val="22"/>
            </w:rPr>
            <w:t>22</w:t>
          </w:r>
          <w:r w:rsidRPr="009872C9">
            <w:rPr>
              <w:rFonts w:ascii="Arial" w:hAnsi="Arial" w:cs="Arial"/>
              <w:noProof/>
              <w:sz w:val="22"/>
            </w:rPr>
            <w:fldChar w:fldCharType="end"/>
          </w:r>
        </w:p>
        <w:p w14:paraId="1FFD55EF" w14:textId="77777777" w:rsidR="000060A4" w:rsidRPr="009872C9" w:rsidRDefault="000060A4">
          <w:pPr>
            <w:pStyle w:val="TOC4"/>
            <w:rPr>
              <w:rFonts w:ascii="Arial" w:hAnsi="Arial" w:cs="Arial"/>
              <w:noProof/>
              <w:sz w:val="24"/>
              <w:szCs w:val="22"/>
              <w:lang w:eastAsia="nl-NL"/>
            </w:rPr>
          </w:pPr>
          <w:r w:rsidRPr="009872C9">
            <w:rPr>
              <w:rFonts w:ascii="Arial" w:hAnsi="Arial" w:cs="Arial"/>
              <w:noProof/>
              <w:sz w:val="22"/>
            </w:rPr>
            <w:t>Dependent variables alternative model</w:t>
          </w:r>
          <w:r w:rsidRPr="009872C9">
            <w:rPr>
              <w:rFonts w:ascii="Arial" w:hAnsi="Arial" w:cs="Arial"/>
              <w:noProof/>
              <w:sz w:val="22"/>
            </w:rPr>
            <w:tab/>
          </w:r>
          <w:r w:rsidRPr="009872C9">
            <w:rPr>
              <w:rFonts w:ascii="Arial" w:hAnsi="Arial" w:cs="Arial"/>
              <w:noProof/>
              <w:sz w:val="22"/>
            </w:rPr>
            <w:fldChar w:fldCharType="begin"/>
          </w:r>
          <w:r w:rsidRPr="009872C9">
            <w:rPr>
              <w:rFonts w:ascii="Arial" w:hAnsi="Arial" w:cs="Arial"/>
              <w:noProof/>
              <w:sz w:val="22"/>
            </w:rPr>
            <w:instrText xml:space="preserve"> PAGEREF _Toc427006242 \h </w:instrText>
          </w:r>
          <w:r w:rsidRPr="009872C9">
            <w:rPr>
              <w:rFonts w:ascii="Arial" w:hAnsi="Arial" w:cs="Arial"/>
              <w:noProof/>
              <w:sz w:val="22"/>
            </w:rPr>
          </w:r>
          <w:r w:rsidRPr="009872C9">
            <w:rPr>
              <w:rFonts w:ascii="Arial" w:hAnsi="Arial" w:cs="Arial"/>
              <w:noProof/>
              <w:sz w:val="22"/>
            </w:rPr>
            <w:fldChar w:fldCharType="separate"/>
          </w:r>
          <w:r w:rsidRPr="009872C9">
            <w:rPr>
              <w:rFonts w:ascii="Arial" w:hAnsi="Arial" w:cs="Arial"/>
              <w:noProof/>
              <w:sz w:val="22"/>
            </w:rPr>
            <w:t>23</w:t>
          </w:r>
          <w:r w:rsidRPr="009872C9">
            <w:rPr>
              <w:rFonts w:ascii="Arial" w:hAnsi="Arial" w:cs="Arial"/>
              <w:noProof/>
              <w:sz w:val="22"/>
            </w:rPr>
            <w:fldChar w:fldCharType="end"/>
          </w:r>
        </w:p>
        <w:p w14:paraId="54D664DA" w14:textId="77777777" w:rsidR="000060A4" w:rsidRPr="009872C9" w:rsidRDefault="000060A4">
          <w:pPr>
            <w:pStyle w:val="TOC1"/>
            <w:tabs>
              <w:tab w:val="right" w:leader="dot" w:pos="8290"/>
            </w:tabs>
            <w:rPr>
              <w:rFonts w:ascii="Arial" w:hAnsi="Arial" w:cs="Arial"/>
              <w:b w:val="0"/>
              <w:noProof/>
              <w:sz w:val="24"/>
              <w:lang w:eastAsia="nl-NL"/>
            </w:rPr>
          </w:pPr>
          <w:r w:rsidRPr="009872C9">
            <w:rPr>
              <w:rFonts w:ascii="Arial" w:hAnsi="Arial" w:cs="Arial"/>
              <w:noProof/>
              <w:sz w:val="24"/>
            </w:rPr>
            <w:t>Results</w:t>
          </w:r>
          <w:r w:rsidRPr="009872C9">
            <w:rPr>
              <w:rFonts w:ascii="Arial" w:hAnsi="Arial" w:cs="Arial"/>
              <w:noProof/>
              <w:sz w:val="24"/>
            </w:rPr>
            <w:tab/>
          </w:r>
          <w:r w:rsidRPr="009872C9">
            <w:rPr>
              <w:rFonts w:ascii="Arial" w:hAnsi="Arial" w:cs="Arial"/>
              <w:noProof/>
              <w:sz w:val="24"/>
            </w:rPr>
            <w:fldChar w:fldCharType="begin"/>
          </w:r>
          <w:r w:rsidRPr="009872C9">
            <w:rPr>
              <w:rFonts w:ascii="Arial" w:hAnsi="Arial" w:cs="Arial"/>
              <w:noProof/>
              <w:sz w:val="24"/>
            </w:rPr>
            <w:instrText xml:space="preserve"> PAGEREF _Toc427006243 \h </w:instrText>
          </w:r>
          <w:r w:rsidRPr="009872C9">
            <w:rPr>
              <w:rFonts w:ascii="Arial" w:hAnsi="Arial" w:cs="Arial"/>
              <w:noProof/>
              <w:sz w:val="24"/>
            </w:rPr>
          </w:r>
          <w:r w:rsidRPr="009872C9">
            <w:rPr>
              <w:rFonts w:ascii="Arial" w:hAnsi="Arial" w:cs="Arial"/>
              <w:noProof/>
              <w:sz w:val="24"/>
            </w:rPr>
            <w:fldChar w:fldCharType="separate"/>
          </w:r>
          <w:r w:rsidRPr="009872C9">
            <w:rPr>
              <w:rFonts w:ascii="Arial" w:hAnsi="Arial" w:cs="Arial"/>
              <w:noProof/>
              <w:sz w:val="24"/>
            </w:rPr>
            <w:t>25</w:t>
          </w:r>
          <w:r w:rsidRPr="009872C9">
            <w:rPr>
              <w:rFonts w:ascii="Arial" w:hAnsi="Arial" w:cs="Arial"/>
              <w:noProof/>
              <w:sz w:val="24"/>
            </w:rPr>
            <w:fldChar w:fldCharType="end"/>
          </w:r>
        </w:p>
        <w:p w14:paraId="3FE7DBCF" w14:textId="77777777" w:rsidR="000060A4" w:rsidRPr="009872C9" w:rsidRDefault="000060A4">
          <w:pPr>
            <w:pStyle w:val="TOC4"/>
            <w:rPr>
              <w:rFonts w:ascii="Arial" w:hAnsi="Arial" w:cs="Arial"/>
              <w:noProof/>
              <w:sz w:val="24"/>
              <w:szCs w:val="22"/>
              <w:lang w:eastAsia="nl-NL"/>
            </w:rPr>
          </w:pPr>
          <w:r w:rsidRPr="009872C9">
            <w:rPr>
              <w:rFonts w:ascii="Arial" w:hAnsi="Arial" w:cs="Arial"/>
              <w:noProof/>
              <w:sz w:val="22"/>
            </w:rPr>
            <w:t>Differences investigated</w:t>
          </w:r>
          <w:r w:rsidRPr="009872C9">
            <w:rPr>
              <w:rFonts w:ascii="Arial" w:hAnsi="Arial" w:cs="Arial"/>
              <w:noProof/>
              <w:sz w:val="22"/>
            </w:rPr>
            <w:tab/>
          </w:r>
          <w:r w:rsidRPr="009872C9">
            <w:rPr>
              <w:rFonts w:ascii="Arial" w:hAnsi="Arial" w:cs="Arial"/>
              <w:noProof/>
              <w:sz w:val="22"/>
            </w:rPr>
            <w:fldChar w:fldCharType="begin"/>
          </w:r>
          <w:r w:rsidRPr="009872C9">
            <w:rPr>
              <w:rFonts w:ascii="Arial" w:hAnsi="Arial" w:cs="Arial"/>
              <w:noProof/>
              <w:sz w:val="22"/>
            </w:rPr>
            <w:instrText xml:space="preserve"> PAGEREF _Toc427006244 \h </w:instrText>
          </w:r>
          <w:r w:rsidRPr="009872C9">
            <w:rPr>
              <w:rFonts w:ascii="Arial" w:hAnsi="Arial" w:cs="Arial"/>
              <w:noProof/>
              <w:sz w:val="22"/>
            </w:rPr>
          </w:r>
          <w:r w:rsidRPr="009872C9">
            <w:rPr>
              <w:rFonts w:ascii="Arial" w:hAnsi="Arial" w:cs="Arial"/>
              <w:noProof/>
              <w:sz w:val="22"/>
            </w:rPr>
            <w:fldChar w:fldCharType="separate"/>
          </w:r>
          <w:r w:rsidRPr="009872C9">
            <w:rPr>
              <w:rFonts w:ascii="Arial" w:hAnsi="Arial" w:cs="Arial"/>
              <w:noProof/>
              <w:sz w:val="22"/>
            </w:rPr>
            <w:t>25</w:t>
          </w:r>
          <w:r w:rsidRPr="009872C9">
            <w:rPr>
              <w:rFonts w:ascii="Arial" w:hAnsi="Arial" w:cs="Arial"/>
              <w:noProof/>
              <w:sz w:val="22"/>
            </w:rPr>
            <w:fldChar w:fldCharType="end"/>
          </w:r>
        </w:p>
        <w:p w14:paraId="3CE85B28" w14:textId="77777777" w:rsidR="000060A4" w:rsidRPr="009872C9" w:rsidRDefault="000060A4">
          <w:pPr>
            <w:pStyle w:val="TOC4"/>
            <w:rPr>
              <w:rFonts w:ascii="Arial" w:hAnsi="Arial" w:cs="Arial"/>
              <w:noProof/>
              <w:sz w:val="24"/>
              <w:szCs w:val="22"/>
              <w:lang w:eastAsia="nl-NL"/>
            </w:rPr>
          </w:pPr>
          <w:r w:rsidRPr="009872C9">
            <w:rPr>
              <w:rFonts w:ascii="Arial" w:hAnsi="Arial" w:cs="Arial"/>
              <w:noProof/>
              <w:sz w:val="22"/>
            </w:rPr>
            <w:t>Alternative research</w:t>
          </w:r>
          <w:r w:rsidRPr="009872C9">
            <w:rPr>
              <w:rFonts w:ascii="Arial" w:hAnsi="Arial" w:cs="Arial"/>
              <w:noProof/>
              <w:sz w:val="22"/>
            </w:rPr>
            <w:tab/>
          </w:r>
          <w:r w:rsidRPr="009872C9">
            <w:rPr>
              <w:rFonts w:ascii="Arial" w:hAnsi="Arial" w:cs="Arial"/>
              <w:noProof/>
              <w:sz w:val="22"/>
            </w:rPr>
            <w:fldChar w:fldCharType="begin"/>
          </w:r>
          <w:r w:rsidRPr="009872C9">
            <w:rPr>
              <w:rFonts w:ascii="Arial" w:hAnsi="Arial" w:cs="Arial"/>
              <w:noProof/>
              <w:sz w:val="22"/>
            </w:rPr>
            <w:instrText xml:space="preserve"> PAGEREF _Toc427006245 \h </w:instrText>
          </w:r>
          <w:r w:rsidRPr="009872C9">
            <w:rPr>
              <w:rFonts w:ascii="Arial" w:hAnsi="Arial" w:cs="Arial"/>
              <w:noProof/>
              <w:sz w:val="22"/>
            </w:rPr>
          </w:r>
          <w:r w:rsidRPr="009872C9">
            <w:rPr>
              <w:rFonts w:ascii="Arial" w:hAnsi="Arial" w:cs="Arial"/>
              <w:noProof/>
              <w:sz w:val="22"/>
            </w:rPr>
            <w:fldChar w:fldCharType="separate"/>
          </w:r>
          <w:r w:rsidRPr="009872C9">
            <w:rPr>
              <w:rFonts w:ascii="Arial" w:hAnsi="Arial" w:cs="Arial"/>
              <w:noProof/>
              <w:sz w:val="22"/>
            </w:rPr>
            <w:t>27</w:t>
          </w:r>
          <w:r w:rsidRPr="009872C9">
            <w:rPr>
              <w:rFonts w:ascii="Arial" w:hAnsi="Arial" w:cs="Arial"/>
              <w:noProof/>
              <w:sz w:val="22"/>
            </w:rPr>
            <w:fldChar w:fldCharType="end"/>
          </w:r>
        </w:p>
        <w:p w14:paraId="38FDE7E5" w14:textId="77777777" w:rsidR="000060A4" w:rsidRPr="009872C9" w:rsidRDefault="000060A4">
          <w:pPr>
            <w:pStyle w:val="TOC4"/>
            <w:rPr>
              <w:rFonts w:ascii="Arial" w:hAnsi="Arial" w:cs="Arial"/>
              <w:noProof/>
              <w:sz w:val="24"/>
              <w:szCs w:val="22"/>
              <w:lang w:eastAsia="nl-NL"/>
            </w:rPr>
          </w:pPr>
          <w:r w:rsidRPr="009872C9">
            <w:rPr>
              <w:rFonts w:ascii="Arial" w:hAnsi="Arial" w:cs="Arial"/>
              <w:noProof/>
              <w:sz w:val="22"/>
            </w:rPr>
            <w:t>Sensitivity analysis</w:t>
          </w:r>
          <w:r w:rsidRPr="009872C9">
            <w:rPr>
              <w:rFonts w:ascii="Arial" w:hAnsi="Arial" w:cs="Arial"/>
              <w:noProof/>
              <w:sz w:val="22"/>
            </w:rPr>
            <w:tab/>
          </w:r>
          <w:r w:rsidRPr="009872C9">
            <w:rPr>
              <w:rFonts w:ascii="Arial" w:hAnsi="Arial" w:cs="Arial"/>
              <w:noProof/>
              <w:sz w:val="22"/>
            </w:rPr>
            <w:fldChar w:fldCharType="begin"/>
          </w:r>
          <w:r w:rsidRPr="009872C9">
            <w:rPr>
              <w:rFonts w:ascii="Arial" w:hAnsi="Arial" w:cs="Arial"/>
              <w:noProof/>
              <w:sz w:val="22"/>
            </w:rPr>
            <w:instrText xml:space="preserve"> PAGEREF _Toc427006246 \h </w:instrText>
          </w:r>
          <w:r w:rsidRPr="009872C9">
            <w:rPr>
              <w:rFonts w:ascii="Arial" w:hAnsi="Arial" w:cs="Arial"/>
              <w:noProof/>
              <w:sz w:val="22"/>
            </w:rPr>
          </w:r>
          <w:r w:rsidRPr="009872C9">
            <w:rPr>
              <w:rFonts w:ascii="Arial" w:hAnsi="Arial" w:cs="Arial"/>
              <w:noProof/>
              <w:sz w:val="22"/>
            </w:rPr>
            <w:fldChar w:fldCharType="separate"/>
          </w:r>
          <w:r w:rsidRPr="009872C9">
            <w:rPr>
              <w:rFonts w:ascii="Arial" w:hAnsi="Arial" w:cs="Arial"/>
              <w:noProof/>
              <w:sz w:val="22"/>
            </w:rPr>
            <w:t>29</w:t>
          </w:r>
          <w:r w:rsidRPr="009872C9">
            <w:rPr>
              <w:rFonts w:ascii="Arial" w:hAnsi="Arial" w:cs="Arial"/>
              <w:noProof/>
              <w:sz w:val="22"/>
            </w:rPr>
            <w:fldChar w:fldCharType="end"/>
          </w:r>
        </w:p>
        <w:p w14:paraId="7FB61846" w14:textId="77777777" w:rsidR="000060A4" w:rsidRPr="009872C9" w:rsidRDefault="000060A4">
          <w:pPr>
            <w:pStyle w:val="TOC1"/>
            <w:tabs>
              <w:tab w:val="right" w:leader="dot" w:pos="8290"/>
            </w:tabs>
            <w:rPr>
              <w:rFonts w:ascii="Arial" w:hAnsi="Arial" w:cs="Arial"/>
              <w:b w:val="0"/>
              <w:noProof/>
              <w:sz w:val="24"/>
              <w:lang w:eastAsia="nl-NL"/>
            </w:rPr>
          </w:pPr>
          <w:r w:rsidRPr="009872C9">
            <w:rPr>
              <w:rFonts w:ascii="Arial" w:hAnsi="Arial" w:cs="Arial"/>
              <w:noProof/>
              <w:sz w:val="24"/>
            </w:rPr>
            <w:t>Conclusion</w:t>
          </w:r>
          <w:r w:rsidRPr="009872C9">
            <w:rPr>
              <w:rFonts w:ascii="Arial" w:hAnsi="Arial" w:cs="Arial"/>
              <w:noProof/>
              <w:sz w:val="24"/>
            </w:rPr>
            <w:tab/>
          </w:r>
          <w:r w:rsidRPr="009872C9">
            <w:rPr>
              <w:rFonts w:ascii="Arial" w:hAnsi="Arial" w:cs="Arial"/>
              <w:noProof/>
              <w:sz w:val="24"/>
            </w:rPr>
            <w:fldChar w:fldCharType="begin"/>
          </w:r>
          <w:r w:rsidRPr="009872C9">
            <w:rPr>
              <w:rFonts w:ascii="Arial" w:hAnsi="Arial" w:cs="Arial"/>
              <w:noProof/>
              <w:sz w:val="24"/>
            </w:rPr>
            <w:instrText xml:space="preserve"> PAGEREF _Toc427006247 \h </w:instrText>
          </w:r>
          <w:r w:rsidRPr="009872C9">
            <w:rPr>
              <w:rFonts w:ascii="Arial" w:hAnsi="Arial" w:cs="Arial"/>
              <w:noProof/>
              <w:sz w:val="24"/>
            </w:rPr>
          </w:r>
          <w:r w:rsidRPr="009872C9">
            <w:rPr>
              <w:rFonts w:ascii="Arial" w:hAnsi="Arial" w:cs="Arial"/>
              <w:noProof/>
              <w:sz w:val="24"/>
            </w:rPr>
            <w:fldChar w:fldCharType="separate"/>
          </w:r>
          <w:r w:rsidRPr="009872C9">
            <w:rPr>
              <w:rFonts w:ascii="Arial" w:hAnsi="Arial" w:cs="Arial"/>
              <w:noProof/>
              <w:sz w:val="24"/>
            </w:rPr>
            <w:t>34</w:t>
          </w:r>
          <w:r w:rsidRPr="009872C9">
            <w:rPr>
              <w:rFonts w:ascii="Arial" w:hAnsi="Arial" w:cs="Arial"/>
              <w:noProof/>
              <w:sz w:val="24"/>
            </w:rPr>
            <w:fldChar w:fldCharType="end"/>
          </w:r>
        </w:p>
        <w:p w14:paraId="07CE3EB4" w14:textId="77777777" w:rsidR="000060A4" w:rsidRPr="009872C9" w:rsidRDefault="000060A4">
          <w:pPr>
            <w:pStyle w:val="TOC1"/>
            <w:tabs>
              <w:tab w:val="right" w:leader="dot" w:pos="8290"/>
            </w:tabs>
            <w:rPr>
              <w:rFonts w:ascii="Arial" w:hAnsi="Arial" w:cs="Arial"/>
              <w:b w:val="0"/>
              <w:noProof/>
              <w:sz w:val="24"/>
              <w:lang w:eastAsia="nl-NL"/>
            </w:rPr>
          </w:pPr>
          <w:r w:rsidRPr="009872C9">
            <w:rPr>
              <w:rFonts w:ascii="Arial" w:hAnsi="Arial" w:cs="Arial"/>
              <w:noProof/>
              <w:sz w:val="24"/>
            </w:rPr>
            <w:t>Discussion &amp; Limitations</w:t>
          </w:r>
          <w:r w:rsidRPr="009872C9">
            <w:rPr>
              <w:rFonts w:ascii="Arial" w:hAnsi="Arial" w:cs="Arial"/>
              <w:noProof/>
              <w:sz w:val="24"/>
            </w:rPr>
            <w:tab/>
          </w:r>
          <w:r w:rsidRPr="009872C9">
            <w:rPr>
              <w:rFonts w:ascii="Arial" w:hAnsi="Arial" w:cs="Arial"/>
              <w:noProof/>
              <w:sz w:val="24"/>
            </w:rPr>
            <w:fldChar w:fldCharType="begin"/>
          </w:r>
          <w:r w:rsidRPr="009872C9">
            <w:rPr>
              <w:rFonts w:ascii="Arial" w:hAnsi="Arial" w:cs="Arial"/>
              <w:noProof/>
              <w:sz w:val="24"/>
            </w:rPr>
            <w:instrText xml:space="preserve"> PAGEREF _Toc427006248 \h </w:instrText>
          </w:r>
          <w:r w:rsidRPr="009872C9">
            <w:rPr>
              <w:rFonts w:ascii="Arial" w:hAnsi="Arial" w:cs="Arial"/>
              <w:noProof/>
              <w:sz w:val="24"/>
            </w:rPr>
          </w:r>
          <w:r w:rsidRPr="009872C9">
            <w:rPr>
              <w:rFonts w:ascii="Arial" w:hAnsi="Arial" w:cs="Arial"/>
              <w:noProof/>
              <w:sz w:val="24"/>
            </w:rPr>
            <w:fldChar w:fldCharType="separate"/>
          </w:r>
          <w:r w:rsidRPr="009872C9">
            <w:rPr>
              <w:rFonts w:ascii="Arial" w:hAnsi="Arial" w:cs="Arial"/>
              <w:noProof/>
              <w:sz w:val="24"/>
            </w:rPr>
            <w:t>37</w:t>
          </w:r>
          <w:r w:rsidRPr="009872C9">
            <w:rPr>
              <w:rFonts w:ascii="Arial" w:hAnsi="Arial" w:cs="Arial"/>
              <w:noProof/>
              <w:sz w:val="24"/>
            </w:rPr>
            <w:fldChar w:fldCharType="end"/>
          </w:r>
        </w:p>
        <w:p w14:paraId="0E4829E1" w14:textId="77777777" w:rsidR="000060A4" w:rsidRPr="009872C9" w:rsidRDefault="000060A4">
          <w:pPr>
            <w:pStyle w:val="TOC1"/>
            <w:tabs>
              <w:tab w:val="right" w:leader="dot" w:pos="8290"/>
            </w:tabs>
            <w:rPr>
              <w:rFonts w:ascii="Arial" w:hAnsi="Arial" w:cs="Arial"/>
              <w:b w:val="0"/>
              <w:noProof/>
              <w:sz w:val="24"/>
              <w:lang w:eastAsia="nl-NL"/>
            </w:rPr>
          </w:pPr>
          <w:r w:rsidRPr="009872C9">
            <w:rPr>
              <w:rFonts w:ascii="Arial" w:hAnsi="Arial" w:cs="Arial"/>
              <w:noProof/>
              <w:sz w:val="24"/>
            </w:rPr>
            <w:t>Further Research Suggestions</w:t>
          </w:r>
          <w:r w:rsidRPr="009872C9">
            <w:rPr>
              <w:rFonts w:ascii="Arial" w:hAnsi="Arial" w:cs="Arial"/>
              <w:noProof/>
              <w:sz w:val="24"/>
            </w:rPr>
            <w:tab/>
          </w:r>
          <w:r w:rsidRPr="009872C9">
            <w:rPr>
              <w:rFonts w:ascii="Arial" w:hAnsi="Arial" w:cs="Arial"/>
              <w:noProof/>
              <w:sz w:val="24"/>
            </w:rPr>
            <w:fldChar w:fldCharType="begin"/>
          </w:r>
          <w:r w:rsidRPr="009872C9">
            <w:rPr>
              <w:rFonts w:ascii="Arial" w:hAnsi="Arial" w:cs="Arial"/>
              <w:noProof/>
              <w:sz w:val="24"/>
            </w:rPr>
            <w:instrText xml:space="preserve"> PAGEREF _Toc427006249 \h </w:instrText>
          </w:r>
          <w:r w:rsidRPr="009872C9">
            <w:rPr>
              <w:rFonts w:ascii="Arial" w:hAnsi="Arial" w:cs="Arial"/>
              <w:noProof/>
              <w:sz w:val="24"/>
            </w:rPr>
          </w:r>
          <w:r w:rsidRPr="009872C9">
            <w:rPr>
              <w:rFonts w:ascii="Arial" w:hAnsi="Arial" w:cs="Arial"/>
              <w:noProof/>
              <w:sz w:val="24"/>
            </w:rPr>
            <w:fldChar w:fldCharType="separate"/>
          </w:r>
          <w:r w:rsidRPr="009872C9">
            <w:rPr>
              <w:rFonts w:ascii="Arial" w:hAnsi="Arial" w:cs="Arial"/>
              <w:noProof/>
              <w:sz w:val="24"/>
            </w:rPr>
            <w:t>39</w:t>
          </w:r>
          <w:r w:rsidRPr="009872C9">
            <w:rPr>
              <w:rFonts w:ascii="Arial" w:hAnsi="Arial" w:cs="Arial"/>
              <w:noProof/>
              <w:sz w:val="24"/>
            </w:rPr>
            <w:fldChar w:fldCharType="end"/>
          </w:r>
        </w:p>
        <w:p w14:paraId="017B4FD8" w14:textId="77777777" w:rsidR="000060A4" w:rsidRPr="009872C9" w:rsidRDefault="000060A4">
          <w:pPr>
            <w:pStyle w:val="TOC1"/>
            <w:tabs>
              <w:tab w:val="right" w:leader="dot" w:pos="8290"/>
            </w:tabs>
            <w:rPr>
              <w:rFonts w:ascii="Arial" w:hAnsi="Arial" w:cs="Arial"/>
              <w:b w:val="0"/>
              <w:noProof/>
              <w:sz w:val="24"/>
              <w:lang w:val="nl-NL" w:eastAsia="nl-NL"/>
            </w:rPr>
          </w:pPr>
          <w:r w:rsidRPr="009872C9">
            <w:rPr>
              <w:rFonts w:ascii="Arial" w:hAnsi="Arial" w:cs="Arial"/>
              <w:noProof/>
              <w:sz w:val="24"/>
            </w:rPr>
            <w:t>Bibliography</w:t>
          </w:r>
          <w:r w:rsidRPr="009872C9">
            <w:rPr>
              <w:rFonts w:ascii="Arial" w:hAnsi="Arial" w:cs="Arial"/>
              <w:noProof/>
              <w:sz w:val="24"/>
            </w:rPr>
            <w:tab/>
          </w:r>
          <w:r w:rsidRPr="009872C9">
            <w:rPr>
              <w:rFonts w:ascii="Arial" w:hAnsi="Arial" w:cs="Arial"/>
              <w:noProof/>
              <w:sz w:val="24"/>
            </w:rPr>
            <w:fldChar w:fldCharType="begin"/>
          </w:r>
          <w:r w:rsidRPr="009872C9">
            <w:rPr>
              <w:rFonts w:ascii="Arial" w:hAnsi="Arial" w:cs="Arial"/>
              <w:noProof/>
              <w:sz w:val="24"/>
            </w:rPr>
            <w:instrText xml:space="preserve"> PAGEREF _Toc427006250 \h </w:instrText>
          </w:r>
          <w:r w:rsidRPr="009872C9">
            <w:rPr>
              <w:rFonts w:ascii="Arial" w:hAnsi="Arial" w:cs="Arial"/>
              <w:noProof/>
              <w:sz w:val="24"/>
            </w:rPr>
          </w:r>
          <w:r w:rsidRPr="009872C9">
            <w:rPr>
              <w:rFonts w:ascii="Arial" w:hAnsi="Arial" w:cs="Arial"/>
              <w:noProof/>
              <w:sz w:val="24"/>
            </w:rPr>
            <w:fldChar w:fldCharType="separate"/>
          </w:r>
          <w:r w:rsidRPr="009872C9">
            <w:rPr>
              <w:rFonts w:ascii="Arial" w:hAnsi="Arial" w:cs="Arial"/>
              <w:noProof/>
              <w:sz w:val="24"/>
            </w:rPr>
            <w:t>41</w:t>
          </w:r>
          <w:r w:rsidRPr="009872C9">
            <w:rPr>
              <w:rFonts w:ascii="Arial" w:hAnsi="Arial" w:cs="Arial"/>
              <w:noProof/>
              <w:sz w:val="24"/>
            </w:rPr>
            <w:fldChar w:fldCharType="end"/>
          </w:r>
        </w:p>
        <w:p w14:paraId="72B2C04C" w14:textId="77777777" w:rsidR="000060A4" w:rsidRPr="009872C9" w:rsidRDefault="000060A4">
          <w:pPr>
            <w:pStyle w:val="TOC1"/>
            <w:tabs>
              <w:tab w:val="right" w:leader="dot" w:pos="8290"/>
            </w:tabs>
            <w:rPr>
              <w:rFonts w:ascii="Arial" w:hAnsi="Arial" w:cs="Arial"/>
              <w:b w:val="0"/>
              <w:noProof/>
              <w:sz w:val="24"/>
              <w:lang w:val="nl-NL" w:eastAsia="nl-NL"/>
            </w:rPr>
          </w:pPr>
          <w:r w:rsidRPr="009872C9">
            <w:rPr>
              <w:rFonts w:ascii="Arial" w:hAnsi="Arial" w:cs="Arial"/>
              <w:noProof/>
              <w:sz w:val="24"/>
            </w:rPr>
            <w:t>Appendix</w:t>
          </w:r>
          <w:r w:rsidRPr="009872C9">
            <w:rPr>
              <w:rFonts w:ascii="Arial" w:hAnsi="Arial" w:cs="Arial"/>
              <w:noProof/>
              <w:sz w:val="24"/>
            </w:rPr>
            <w:tab/>
          </w:r>
          <w:r w:rsidRPr="009872C9">
            <w:rPr>
              <w:rFonts w:ascii="Arial" w:hAnsi="Arial" w:cs="Arial"/>
              <w:noProof/>
              <w:sz w:val="24"/>
            </w:rPr>
            <w:fldChar w:fldCharType="begin"/>
          </w:r>
          <w:r w:rsidRPr="009872C9">
            <w:rPr>
              <w:rFonts w:ascii="Arial" w:hAnsi="Arial" w:cs="Arial"/>
              <w:noProof/>
              <w:sz w:val="24"/>
            </w:rPr>
            <w:instrText xml:space="preserve"> PAGEREF _Toc427006251 \h </w:instrText>
          </w:r>
          <w:r w:rsidRPr="009872C9">
            <w:rPr>
              <w:rFonts w:ascii="Arial" w:hAnsi="Arial" w:cs="Arial"/>
              <w:noProof/>
              <w:sz w:val="24"/>
            </w:rPr>
          </w:r>
          <w:r w:rsidRPr="009872C9">
            <w:rPr>
              <w:rFonts w:ascii="Arial" w:hAnsi="Arial" w:cs="Arial"/>
              <w:noProof/>
              <w:sz w:val="24"/>
            </w:rPr>
            <w:fldChar w:fldCharType="separate"/>
          </w:r>
          <w:r w:rsidRPr="009872C9">
            <w:rPr>
              <w:rFonts w:ascii="Arial" w:hAnsi="Arial" w:cs="Arial"/>
              <w:noProof/>
              <w:sz w:val="24"/>
            </w:rPr>
            <w:t>43</w:t>
          </w:r>
          <w:r w:rsidRPr="009872C9">
            <w:rPr>
              <w:rFonts w:ascii="Arial" w:hAnsi="Arial" w:cs="Arial"/>
              <w:noProof/>
              <w:sz w:val="24"/>
            </w:rPr>
            <w:fldChar w:fldCharType="end"/>
          </w:r>
        </w:p>
        <w:p w14:paraId="4156FDD2" w14:textId="078FC6DA" w:rsidR="00BC1C25" w:rsidRPr="00001758" w:rsidRDefault="00BC1C25" w:rsidP="00BC42EA">
          <w:pPr>
            <w:rPr>
              <w:rFonts w:cs="Arial"/>
            </w:rPr>
          </w:pPr>
          <w:r w:rsidRPr="009872C9">
            <w:rPr>
              <w:rFonts w:cs="Arial"/>
              <w:b/>
              <w:color w:val="548DD4"/>
              <w:sz w:val="32"/>
            </w:rPr>
            <w:fldChar w:fldCharType="end"/>
          </w:r>
        </w:p>
      </w:sdtContent>
    </w:sdt>
    <w:p w14:paraId="08639ACD" w14:textId="790E43BD" w:rsidR="004C1116" w:rsidRPr="00702FE7" w:rsidRDefault="004C1116" w:rsidP="00BC42EA">
      <w:pPr>
        <w:rPr>
          <w:rFonts w:asciiTheme="majorHAnsi" w:eastAsiaTheme="majorEastAsia" w:hAnsiTheme="majorHAnsi" w:cstheme="majorBidi"/>
          <w:color w:val="345A8A" w:themeColor="accent1" w:themeShade="B5"/>
          <w:sz w:val="32"/>
          <w:szCs w:val="32"/>
        </w:rPr>
      </w:pPr>
      <w:r w:rsidRPr="00702FE7">
        <w:br w:type="page"/>
      </w:r>
    </w:p>
    <w:p w14:paraId="70910704" w14:textId="09AEF860" w:rsidR="009376BF" w:rsidRPr="00702FE7" w:rsidRDefault="004C1116" w:rsidP="00602A74">
      <w:pPr>
        <w:pStyle w:val="Heading1"/>
      </w:pPr>
      <w:bookmarkStart w:id="0" w:name="_Toc427006222"/>
      <w:r w:rsidRPr="00702FE7">
        <w:t>Introduction</w:t>
      </w:r>
      <w:bookmarkEnd w:id="0"/>
    </w:p>
    <w:p w14:paraId="06C71992" w14:textId="77777777" w:rsidR="00C90FA8" w:rsidRPr="00702FE7" w:rsidRDefault="00173AAB" w:rsidP="00BC42EA">
      <w:r w:rsidRPr="00702FE7">
        <w:t>Health care coverage has been and still is an important goal to be reached globally. The World Health Organiza</w:t>
      </w:r>
      <w:r w:rsidR="00C90FA8" w:rsidRPr="00702FE7">
        <w:t>tion (WHO) defines universal health coverage (UHC) as ensuring that all people can use the promotive, preventive, curative, rehabilitative and palliative health services they need, of sufficient quality to be effective, while also ensuring that the use of these services does not expose the user to financial hardship.</w:t>
      </w:r>
      <w:sdt>
        <w:sdtPr>
          <w:id w:val="198822407"/>
          <w:citation/>
        </w:sdtPr>
        <w:sdtEndPr/>
        <w:sdtContent>
          <w:r w:rsidR="00C90FA8" w:rsidRPr="00702FE7">
            <w:fldChar w:fldCharType="begin"/>
          </w:r>
          <w:r w:rsidR="00C90FA8" w:rsidRPr="00702FE7">
            <w:instrText xml:space="preserve"> CITATION Wor14 \l 1033 </w:instrText>
          </w:r>
          <w:r w:rsidR="00C90FA8" w:rsidRPr="00702FE7">
            <w:fldChar w:fldCharType="separate"/>
          </w:r>
          <w:r w:rsidR="00317F02">
            <w:rPr>
              <w:noProof/>
            </w:rPr>
            <w:t xml:space="preserve"> (World Health Organization, 2014)</w:t>
          </w:r>
          <w:r w:rsidR="00C90FA8" w:rsidRPr="00702FE7">
            <w:fldChar w:fldCharType="end"/>
          </w:r>
        </w:sdtContent>
      </w:sdt>
    </w:p>
    <w:p w14:paraId="1F2CA5EC" w14:textId="77777777" w:rsidR="00173AAB" w:rsidRPr="00702FE7" w:rsidRDefault="00173AAB" w:rsidP="00BC42EA"/>
    <w:p w14:paraId="0EE604D6" w14:textId="16B7EB6C" w:rsidR="009376BF" w:rsidRPr="00702FE7" w:rsidRDefault="00173AAB" w:rsidP="00BC42EA">
      <w:r w:rsidRPr="00702FE7">
        <w:t xml:space="preserve">The United Nations recognizes the importance of universal health coverage to enhancing health, social cohesion and sustainable human and economic development in their general assembly resolution of 2012. They pledge to strengthen health systems towards the provision of equitable universal coverage. </w:t>
      </w:r>
      <w:r w:rsidR="00265A95" w:rsidRPr="00702FE7">
        <w:t>“</w:t>
      </w:r>
      <w:r w:rsidRPr="00702FE7">
        <w:t>We call for the involvement of all relevant actors for coordinated multi-sectorial action to address urgently the health needs of the world’s population.</w:t>
      </w:r>
      <w:r w:rsidR="00265A95" w:rsidRPr="00702FE7">
        <w:t>”</w:t>
      </w:r>
      <w:sdt>
        <w:sdtPr>
          <w:id w:val="521898538"/>
          <w:citation/>
        </w:sdtPr>
        <w:sdtEndPr/>
        <w:sdtContent>
          <w:r w:rsidRPr="00702FE7">
            <w:fldChar w:fldCharType="begin"/>
          </w:r>
          <w:r w:rsidRPr="00702FE7">
            <w:instrText xml:space="preserve"> CITATION Uni12 \l 1033 </w:instrText>
          </w:r>
          <w:r w:rsidRPr="00702FE7">
            <w:fldChar w:fldCharType="separate"/>
          </w:r>
          <w:r w:rsidR="00317F02">
            <w:rPr>
              <w:noProof/>
            </w:rPr>
            <w:t xml:space="preserve"> (United Nations, 2012)</w:t>
          </w:r>
          <w:r w:rsidRPr="00702FE7">
            <w:fldChar w:fldCharType="end"/>
          </w:r>
        </w:sdtContent>
      </w:sdt>
      <w:r w:rsidR="009376BF" w:rsidRPr="00702FE7">
        <w:t>.</w:t>
      </w:r>
    </w:p>
    <w:p w14:paraId="1FF8A173" w14:textId="77777777" w:rsidR="008946CE" w:rsidRPr="00702FE7" w:rsidRDefault="008946CE" w:rsidP="00BC42EA"/>
    <w:p w14:paraId="15D33987" w14:textId="6352B19A" w:rsidR="006475EA" w:rsidRPr="00702FE7" w:rsidRDefault="0063076F" w:rsidP="00BC42EA">
      <w:r w:rsidRPr="00702FE7">
        <w:t xml:space="preserve">Essential is to monitor the progress made in countries towards UHC. In order to track progress the WHO has developed guidelines. The WHO guidelines state that indicators for UHC can be found in two different areas: </w:t>
      </w:r>
      <w:bookmarkStart w:id="1" w:name="_GoBack"/>
      <w:bookmarkEnd w:id="1"/>
      <w:r w:rsidRPr="00702FE7">
        <w:t xml:space="preserve">Health service coverage and </w:t>
      </w:r>
      <w:r w:rsidR="006475EA" w:rsidRPr="00702FE7">
        <w:t>financial</w:t>
      </w:r>
      <w:r w:rsidRPr="00702FE7">
        <w:t xml:space="preserve"> protection.  </w:t>
      </w:r>
      <w:r w:rsidR="006475EA" w:rsidRPr="00702FE7">
        <w:t xml:space="preserve">The indicators for health service coverage are prevention and treatment. For financial protection those are impoverishing expenditures and catastrophic expenditures. Next to the aggregate levels of these indicators also equity in them is important for UHC. </w:t>
      </w:r>
      <w:sdt>
        <w:sdtPr>
          <w:id w:val="454289809"/>
          <w:citation/>
        </w:sdtPr>
        <w:sdtEndPr/>
        <w:sdtContent>
          <w:r w:rsidR="006475EA" w:rsidRPr="00702FE7">
            <w:fldChar w:fldCharType="begin"/>
          </w:r>
          <w:r w:rsidR="006475EA" w:rsidRPr="00702FE7">
            <w:instrText xml:space="preserve"> CITATION WHO14 \l 1033 </w:instrText>
          </w:r>
          <w:r w:rsidR="006475EA" w:rsidRPr="00702FE7">
            <w:fldChar w:fldCharType="separate"/>
          </w:r>
          <w:r w:rsidR="00317F02">
            <w:rPr>
              <w:noProof/>
            </w:rPr>
            <w:t>(WHO, Worldbank Group, 2014)</w:t>
          </w:r>
          <w:r w:rsidR="006475EA" w:rsidRPr="00702FE7">
            <w:fldChar w:fldCharType="end"/>
          </w:r>
        </w:sdtContent>
      </w:sdt>
    </w:p>
    <w:p w14:paraId="2E9ACEB9" w14:textId="049AA4D9" w:rsidR="009376BF" w:rsidRPr="00702FE7" w:rsidRDefault="0063076F" w:rsidP="00BC42EA">
      <w:r w:rsidRPr="00702FE7">
        <w:t xml:space="preserve">  </w:t>
      </w:r>
    </w:p>
    <w:p w14:paraId="11A1AA26" w14:textId="0D8C3F7F" w:rsidR="009376BF" w:rsidRPr="00702FE7" w:rsidRDefault="00736960" w:rsidP="00BC42EA">
      <w:r w:rsidRPr="00702FE7">
        <w:t>So far it became clear that UHC is an import point on the agenda in many developing countries. Assumed is that health coverage will have a positive effect on health outcomes. This is investigated in many micro</w:t>
      </w:r>
      <w:r w:rsidR="00F51AC3" w:rsidRPr="00702FE7">
        <w:t xml:space="preserve"> (single country)</w:t>
      </w:r>
      <w:r w:rsidRPr="00702FE7">
        <w:t xml:space="preserve"> level studies. For example Card et al. </w:t>
      </w:r>
      <w:r w:rsidR="00D52B8A">
        <w:t>(</w:t>
      </w:r>
      <w:r w:rsidRPr="00702FE7">
        <w:t>2005</w:t>
      </w:r>
      <w:r w:rsidR="00D52B8A">
        <w:t>)</w:t>
      </w:r>
      <w:r w:rsidRPr="00702FE7">
        <w:t xml:space="preserve"> investigated the effect of Medicare in the United States. Every elderly gets free Medicare insurance after the age of 65. This results in an increase of insurance coverage and as their results have shown a positive effect on health outcomes. </w:t>
      </w:r>
      <w:sdt>
        <w:sdtPr>
          <w:id w:val="-225834592"/>
          <w:citation/>
        </w:sdtPr>
        <w:sdtEndPr/>
        <w:sdtContent>
          <w:r w:rsidRPr="00702FE7">
            <w:fldChar w:fldCharType="begin"/>
          </w:r>
          <w:r w:rsidRPr="00702FE7">
            <w:instrText xml:space="preserve"> CITATION Car05 \l 1033 </w:instrText>
          </w:r>
          <w:r w:rsidRPr="00702FE7">
            <w:fldChar w:fldCharType="separate"/>
          </w:r>
          <w:r w:rsidR="00317F02">
            <w:rPr>
              <w:noProof/>
            </w:rPr>
            <w:t>(Card, Dobkin, &amp; Maestas, 2005)</w:t>
          </w:r>
          <w:r w:rsidRPr="00702FE7">
            <w:fldChar w:fldCharType="end"/>
          </w:r>
        </w:sdtContent>
      </w:sdt>
    </w:p>
    <w:p w14:paraId="5B76922B" w14:textId="77777777" w:rsidR="00840FB0" w:rsidRPr="00702FE7" w:rsidRDefault="00840FB0" w:rsidP="00BC42EA"/>
    <w:p w14:paraId="2DC91401" w14:textId="3B03DD5D" w:rsidR="00C224D1" w:rsidRDefault="007C4980" w:rsidP="00BC42EA">
      <w:r w:rsidRPr="00702FE7">
        <w:t>Although plenty of micro level studies are available on the effects of specific coverage i</w:t>
      </w:r>
      <w:r w:rsidR="004B010B" w:rsidRPr="00702FE7">
        <w:t>nterventions on health outcomes, e</w:t>
      </w:r>
      <w:r w:rsidRPr="00702FE7">
        <w:t>mpirical research on the average macro</w:t>
      </w:r>
      <w:r w:rsidR="00F51AC3" w:rsidRPr="00702FE7">
        <w:t xml:space="preserve"> (multiple countries)</w:t>
      </w:r>
      <w:r w:rsidRPr="00702FE7">
        <w:t xml:space="preserve"> level effects however is scarce. </w:t>
      </w:r>
      <w:r w:rsidR="00C224D1">
        <w:t xml:space="preserve">The main problem with macro level empirical studies is the reverse causality bias that exists when estimating the effect of coverage indicators on mortality. This is the reverse effect of mortality rates on those coverage indicators, meaning that countries with higher mortality rates </w:t>
      </w:r>
      <w:r w:rsidR="001E7C25">
        <w:t xml:space="preserve">may </w:t>
      </w:r>
      <w:r w:rsidR="00C224D1">
        <w:t xml:space="preserve">tend to spend more on healthcare. This </w:t>
      </w:r>
      <w:r w:rsidR="001E7C25">
        <w:t xml:space="preserve">may </w:t>
      </w:r>
      <w:r w:rsidR="00C224D1">
        <w:t xml:space="preserve">cause the estimates of coverage indicators on mortality rates to be biased. Early studies that did not correct for this bias therefor found no or little beneficial effect of coverage on mortality. </w:t>
      </w:r>
      <w:sdt>
        <w:sdtPr>
          <w:id w:val="153648172"/>
          <w:citation/>
        </w:sdtPr>
        <w:sdtEndPr/>
        <w:sdtContent>
          <w:r w:rsidR="00C224D1">
            <w:fldChar w:fldCharType="begin"/>
          </w:r>
          <w:r w:rsidR="00C224D1" w:rsidRPr="00C224D1">
            <w:instrText xml:space="preserve"> CITATION Mus96 \l 1043 </w:instrText>
          </w:r>
          <w:r w:rsidR="00C224D1">
            <w:fldChar w:fldCharType="separate"/>
          </w:r>
          <w:r w:rsidR="00317F02">
            <w:rPr>
              <w:noProof/>
            </w:rPr>
            <w:t>(Musgrove, 1996)</w:t>
          </w:r>
          <w:r w:rsidR="00C224D1">
            <w:fldChar w:fldCharType="end"/>
          </w:r>
        </w:sdtContent>
      </w:sdt>
      <w:r w:rsidR="00C224D1">
        <w:t xml:space="preserve"> </w:t>
      </w:r>
    </w:p>
    <w:p w14:paraId="2EFF55BD" w14:textId="77777777" w:rsidR="00C224D1" w:rsidRDefault="00C224D1" w:rsidP="00BC42EA"/>
    <w:p w14:paraId="1A1EB246" w14:textId="656CD39F" w:rsidR="00DB6C38" w:rsidRPr="00702FE7" w:rsidRDefault="00265A95" w:rsidP="00BC42EA">
      <w:r w:rsidRPr="00702FE7">
        <w:t>A rec</w:t>
      </w:r>
      <w:r w:rsidR="00F51AC3" w:rsidRPr="00702FE7">
        <w:t>ent study by Moreno-Serra and Smith</w:t>
      </w:r>
      <w:r w:rsidR="00C224D1">
        <w:t xml:space="preserve"> (2015)</w:t>
      </w:r>
      <w:r w:rsidR="00F51AC3" w:rsidRPr="00702FE7">
        <w:t xml:space="preserve"> </w:t>
      </w:r>
      <w:r w:rsidR="00C224D1">
        <w:t>does manage</w:t>
      </w:r>
      <w:r w:rsidR="00F51AC3" w:rsidRPr="00702FE7">
        <w:t xml:space="preserve"> to </w:t>
      </w:r>
      <w:r w:rsidR="00C224D1">
        <w:t>correct for the reverse causality</w:t>
      </w:r>
      <w:r w:rsidR="005721AC" w:rsidRPr="00702FE7">
        <w:t xml:space="preserve"> by using a two-step</w:t>
      </w:r>
      <w:r w:rsidR="00F51AC3" w:rsidRPr="00702FE7">
        <w:t xml:space="preserve"> instru</w:t>
      </w:r>
      <w:r w:rsidR="005573B9" w:rsidRPr="00702FE7">
        <w:t>mental variable approach (IV)</w:t>
      </w:r>
      <w:r w:rsidR="00F51AC3" w:rsidRPr="00702FE7">
        <w:t xml:space="preserve">. The IV’s used are </w:t>
      </w:r>
      <w:r w:rsidR="00DF624C" w:rsidRPr="00702FE7">
        <w:t xml:space="preserve">CO2 emission and conflict deaths. </w:t>
      </w:r>
      <w:r w:rsidR="00865BB5" w:rsidRPr="00702FE7">
        <w:t xml:space="preserve">In their study a panel dataset of 221 countries from 1995-2008 is used. They estimate the effects of several health coverage indicators on under-five mortality, female mortality and male mortality. One of their indicators is government health spending per capita. Using their regression estimates and some straightforward calculations they calculate the marginal costs of saving a year of live. Surprisingly they find fairly low </w:t>
      </w:r>
      <w:r w:rsidR="004B010B" w:rsidRPr="00702FE7">
        <w:t>CERs</w:t>
      </w:r>
      <w:r w:rsidR="00865BB5" w:rsidRPr="00702FE7">
        <w:t>: on avera</w:t>
      </w:r>
      <w:r w:rsidR="00DB6C38" w:rsidRPr="00702FE7">
        <w:t>ge</w:t>
      </w:r>
      <w:r w:rsidR="00865BB5" w:rsidRPr="00702FE7">
        <w:t xml:space="preserve"> around $1,000 in the whole sample of countrie</w:t>
      </w:r>
      <w:r w:rsidR="00DB6C38" w:rsidRPr="00702FE7">
        <w:t>s, and $145 for a low or middle-</w:t>
      </w:r>
      <w:r w:rsidR="00865BB5" w:rsidRPr="00702FE7">
        <w:t xml:space="preserve">income country. </w:t>
      </w:r>
      <w:r w:rsidR="00DB6C38" w:rsidRPr="00702FE7">
        <w:t xml:space="preserve">These numbers suggest that especially in low and middle-income countries there still is a large amount of life years to gain for a fairly low amount of money. </w:t>
      </w:r>
      <w:sdt>
        <w:sdtPr>
          <w:id w:val="477655447"/>
          <w:citation/>
        </w:sdtPr>
        <w:sdtEndPr/>
        <w:sdtContent>
          <w:r w:rsidR="00C224D1">
            <w:fldChar w:fldCharType="begin"/>
          </w:r>
          <w:r w:rsidR="00C224D1" w:rsidRPr="008314FB">
            <w:instrText xml:space="preserve">CITATION Mor15 \t  \l 1043 </w:instrText>
          </w:r>
          <w:r w:rsidR="00C224D1">
            <w:fldChar w:fldCharType="separate"/>
          </w:r>
          <w:r w:rsidR="00317F02" w:rsidRPr="008314FB">
            <w:rPr>
              <w:noProof/>
            </w:rPr>
            <w:t>(Moreno-Serra &amp; Smith, 2015)</w:t>
          </w:r>
          <w:r w:rsidR="00C224D1">
            <w:fldChar w:fldCharType="end"/>
          </w:r>
        </w:sdtContent>
      </w:sdt>
    </w:p>
    <w:p w14:paraId="26A9EAF1" w14:textId="19C95CBA" w:rsidR="00DB6C38" w:rsidRPr="00702FE7" w:rsidRDefault="00DB6C38" w:rsidP="00602A74">
      <w:pPr>
        <w:pStyle w:val="Heading4"/>
      </w:pPr>
      <w:bookmarkStart w:id="2" w:name="_Toc427006223"/>
      <w:r w:rsidRPr="00702FE7">
        <w:t>This research</w:t>
      </w:r>
      <w:bookmarkEnd w:id="2"/>
    </w:p>
    <w:p w14:paraId="0B746FE2" w14:textId="64C148E2" w:rsidR="003E5F6F" w:rsidRPr="00702FE7" w:rsidRDefault="00DB6C38" w:rsidP="00602A74">
      <w:r w:rsidRPr="00702FE7">
        <w:t xml:space="preserve">The aim of this research </w:t>
      </w:r>
      <w:r w:rsidR="00D52B8A">
        <w:t>is to revisit the empirical evidence of the effect of coverage indicators on mortality rates in the new millennium. The first part of this research will</w:t>
      </w:r>
      <w:r w:rsidRPr="00702FE7">
        <w:t xml:space="preserve"> </w:t>
      </w:r>
      <w:r w:rsidR="008D4F30" w:rsidRPr="00702FE7">
        <w:t xml:space="preserve">reproduce and </w:t>
      </w:r>
      <w:r w:rsidRPr="00702FE7">
        <w:t xml:space="preserve">expand the study done by Moreno-Serra </w:t>
      </w:r>
      <w:r w:rsidR="001B50B5" w:rsidRPr="00702FE7">
        <w:t xml:space="preserve">and </w:t>
      </w:r>
      <w:r w:rsidRPr="00702FE7">
        <w:t xml:space="preserve">Smith </w:t>
      </w:r>
      <w:r w:rsidR="008D4F30" w:rsidRPr="00702FE7">
        <w:t xml:space="preserve">(2015). </w:t>
      </w:r>
      <w:r w:rsidR="00DA62E9" w:rsidRPr="00702FE7">
        <w:t>The original study will be redone with</w:t>
      </w:r>
      <w:r w:rsidR="008D4F30" w:rsidRPr="00702FE7">
        <w:t xml:space="preserve"> </w:t>
      </w:r>
      <w:r w:rsidR="00265A95" w:rsidRPr="00702FE7">
        <w:t xml:space="preserve">the </w:t>
      </w:r>
      <w:r w:rsidR="008D4F30" w:rsidRPr="00702FE7">
        <w:t>currently available data</w:t>
      </w:r>
      <w:r w:rsidR="00DA62E9" w:rsidRPr="00702FE7">
        <w:t>.</w:t>
      </w:r>
      <w:r w:rsidR="00D52B8A">
        <w:t xml:space="preserve"> The second step is</w:t>
      </w:r>
      <w:r w:rsidR="008D4F30" w:rsidRPr="00702FE7">
        <w:t xml:space="preserve"> to expand the data with 4 additional years (2008-2012). However because of unexpected </w:t>
      </w:r>
      <w:r w:rsidR="003E5F6F" w:rsidRPr="00702FE7">
        <w:t xml:space="preserve">differences </w:t>
      </w:r>
      <w:r w:rsidR="008D4F30" w:rsidRPr="00702FE7">
        <w:t xml:space="preserve">already in the first phase of recreating the original study over the years 1995-2008 the second step </w:t>
      </w:r>
      <w:r w:rsidR="001E7C25">
        <w:t>could</w:t>
      </w:r>
      <w:r w:rsidR="00D52B8A">
        <w:t xml:space="preserve"> </w:t>
      </w:r>
      <w:r w:rsidR="008D4F30" w:rsidRPr="00702FE7">
        <w:t>n</w:t>
      </w:r>
      <w:r w:rsidR="00D52B8A">
        <w:t>o</w:t>
      </w:r>
      <w:r w:rsidR="008D4F30" w:rsidRPr="00702FE7">
        <w:t xml:space="preserve">t </w:t>
      </w:r>
      <w:r w:rsidR="001E7C25">
        <w:t xml:space="preserve">be </w:t>
      </w:r>
      <w:r w:rsidR="008D4F30" w:rsidRPr="00702FE7">
        <w:t xml:space="preserve">executed. Instead this research tries to </w:t>
      </w:r>
      <w:r w:rsidR="003E5F6F" w:rsidRPr="00702FE7">
        <w:t xml:space="preserve">investigate and </w:t>
      </w:r>
      <w:r w:rsidR="008D4F30" w:rsidRPr="00702FE7">
        <w:t xml:space="preserve">explain the differences with the original study. </w:t>
      </w:r>
    </w:p>
    <w:p w14:paraId="236424AF" w14:textId="77777777" w:rsidR="004B010B" w:rsidRPr="00702FE7" w:rsidRDefault="004B010B" w:rsidP="00BC42EA"/>
    <w:p w14:paraId="2B093E21" w14:textId="5029CED8" w:rsidR="006B0F4A" w:rsidRPr="00702FE7" w:rsidRDefault="00D52B8A" w:rsidP="00BC42EA">
      <w:r>
        <w:t xml:space="preserve">The second part of this research uses </w:t>
      </w:r>
      <w:r w:rsidR="00300352" w:rsidRPr="00702FE7">
        <w:t>t</w:t>
      </w:r>
      <w:r>
        <w:t xml:space="preserve">he updated data set </w:t>
      </w:r>
      <w:r w:rsidR="008D4F30" w:rsidRPr="00702FE7">
        <w:t xml:space="preserve">to </w:t>
      </w:r>
      <w:r w:rsidR="00300352" w:rsidRPr="00702FE7">
        <w:t>estimate a different model</w:t>
      </w:r>
      <w:r w:rsidR="008D4F30" w:rsidRPr="00702FE7">
        <w:t xml:space="preserve"> on the effect of health ca</w:t>
      </w:r>
      <w:r w:rsidR="003E5F6F" w:rsidRPr="00702FE7">
        <w:t>re coverage on mortality rates. This alternative method</w:t>
      </w:r>
      <w:r w:rsidR="00300352" w:rsidRPr="00702FE7">
        <w:t xml:space="preserve"> estimates the effects of </w:t>
      </w:r>
      <w:r w:rsidR="00240D9A" w:rsidRPr="00702FE7">
        <w:t xml:space="preserve">government health spending per capita (as % of GDP), GDP an immunization rate on under5-, male- and female- mortality over a time period of 1995 - 2012. This model in contrast to the original model does not succeed in overcoming the reverse causality bias. </w:t>
      </w:r>
      <w:r w:rsidR="009503D1" w:rsidRPr="00702FE7">
        <w:t xml:space="preserve">Causing the results to </w:t>
      </w:r>
      <w:r w:rsidR="001E7C25">
        <w:t xml:space="preserve">potentially </w:t>
      </w:r>
      <w:r w:rsidR="009503D1" w:rsidRPr="00702FE7">
        <w:t xml:space="preserve">suffer </w:t>
      </w:r>
      <w:r w:rsidRPr="00702FE7">
        <w:t>from</w:t>
      </w:r>
      <w:r w:rsidR="009503D1" w:rsidRPr="00702FE7">
        <w:t xml:space="preserve"> upward bias</w:t>
      </w:r>
      <w:r w:rsidR="0004045D">
        <w:t xml:space="preserve"> as is observed in previous studies</w:t>
      </w:r>
      <w:r w:rsidR="009503D1" w:rsidRPr="00702FE7">
        <w:t>.</w:t>
      </w:r>
      <w:r w:rsidR="0004045D">
        <w:t xml:space="preserve"> </w:t>
      </w:r>
      <w:sdt>
        <w:sdtPr>
          <w:id w:val="-301843152"/>
          <w:citation/>
        </w:sdtPr>
        <w:sdtEndPr/>
        <w:sdtContent>
          <w:r w:rsidR="0004045D">
            <w:fldChar w:fldCharType="begin"/>
          </w:r>
          <w:r w:rsidR="0004045D" w:rsidRPr="0004045D">
            <w:instrText xml:space="preserve">CITATION Mor15 \t  \l 1043 </w:instrText>
          </w:r>
          <w:r w:rsidR="0004045D">
            <w:fldChar w:fldCharType="separate"/>
          </w:r>
          <w:r w:rsidR="0004045D" w:rsidRPr="0004045D">
            <w:rPr>
              <w:noProof/>
            </w:rPr>
            <w:t>(Moreno-Serra &amp; Smith, 2015)</w:t>
          </w:r>
          <w:r w:rsidR="0004045D">
            <w:fldChar w:fldCharType="end"/>
          </w:r>
        </w:sdtContent>
      </w:sdt>
      <w:r w:rsidR="009503D1" w:rsidRPr="00702FE7">
        <w:t xml:space="preserve"> Meaning that government health spending appears to be less beneficial than when corrected for this bias. Because of this the baseline estimates do not hold reliable insights.</w:t>
      </w:r>
      <w:r w:rsidR="006B0F4A" w:rsidRPr="00702FE7">
        <w:t xml:space="preserve"> </w:t>
      </w:r>
      <w:r w:rsidR="009503D1" w:rsidRPr="00702FE7">
        <w:t>Therefor</w:t>
      </w:r>
      <w:r w:rsidR="001E7C25">
        <w:t xml:space="preserve">e, </w:t>
      </w:r>
      <w:r w:rsidR="009503D1" w:rsidRPr="00702FE7">
        <w:t xml:space="preserve">instead the model is re-estimated with </w:t>
      </w:r>
      <w:r w:rsidR="001E7C25" w:rsidRPr="00702FE7">
        <w:t xml:space="preserve">several </w:t>
      </w:r>
      <w:r w:rsidR="009503D1" w:rsidRPr="00702FE7">
        <w:t xml:space="preserve">different specifications. Although still the results will be biased it will give more reliable insights when looking at the differences between the baseline model and the models used in the </w:t>
      </w:r>
      <w:r w:rsidR="0004045D" w:rsidRPr="0004045D">
        <w:rPr>
          <w:bCs/>
          <w:iCs/>
        </w:rPr>
        <w:t>sensitivity analysis</w:t>
      </w:r>
      <w:r w:rsidR="009503D1" w:rsidRPr="00702FE7">
        <w:t xml:space="preserve">. </w:t>
      </w:r>
    </w:p>
    <w:p w14:paraId="6F24195B" w14:textId="77777777" w:rsidR="006B0F4A" w:rsidRPr="00702FE7" w:rsidRDefault="006B0F4A" w:rsidP="00BC42EA"/>
    <w:p w14:paraId="5E832C0D" w14:textId="01E66C39" w:rsidR="006B0F4A" w:rsidRPr="00702FE7" w:rsidRDefault="006B0F4A" w:rsidP="00BC42EA">
      <w:r w:rsidRPr="00702FE7">
        <w:t>The first test will be to examine the differences in effect for the whole sample of 211 countries and a subsample including only low- and middle- income countries. This is done to test the hypothesis that the effect of government health spending is more beneficial for less developed countries. Secondly the model is re-estimated twice, once for countries with a negative governance score and again for those with a positive governance score. This will shed light on the hypothesis that government health spending has a more beneficial effect on mortality rates in countries with good governance.</w:t>
      </w:r>
      <w:sdt>
        <w:sdtPr>
          <w:id w:val="-1273932917"/>
          <w:citation/>
        </w:sdtPr>
        <w:sdtEndPr/>
        <w:sdtContent>
          <w:r w:rsidR="002D2E6D">
            <w:fldChar w:fldCharType="begin"/>
          </w:r>
          <w:r w:rsidR="002D2E6D">
            <w:instrText xml:space="preserve">CITATION Mor12 \t  \l 1043 </w:instrText>
          </w:r>
          <w:r w:rsidR="002D2E6D">
            <w:fldChar w:fldCharType="separate"/>
          </w:r>
          <w:r w:rsidR="002D2E6D">
            <w:rPr>
              <w:noProof/>
            </w:rPr>
            <w:t xml:space="preserve"> (Moreno-Serra &amp; Smith, 2012)</w:t>
          </w:r>
          <w:r w:rsidR="002D2E6D">
            <w:fldChar w:fldCharType="end"/>
          </w:r>
        </w:sdtContent>
      </w:sdt>
      <w:r w:rsidRPr="00702FE7">
        <w:t xml:space="preserve"> The last hypothesis that will be tested is about economic development and health care coverage. The model will be re-estimated over two different time periods of eight years each, 1995-2003 and 2004-2012. Under the assumption that in general countries are more economically developed in the more recent time period it will test the hypothesis of diminishing marginal returns of GDP on mortality.</w:t>
      </w:r>
    </w:p>
    <w:p w14:paraId="1B253F8D" w14:textId="77777777" w:rsidR="00571DFF" w:rsidRPr="00702FE7" w:rsidRDefault="00571DFF" w:rsidP="00BC42EA"/>
    <w:p w14:paraId="02092350" w14:textId="730F5EE5" w:rsidR="004C1116" w:rsidRPr="00702FE7" w:rsidRDefault="004C1116" w:rsidP="00BC42EA">
      <w:r w:rsidRPr="00702FE7">
        <w:br w:type="page"/>
      </w:r>
    </w:p>
    <w:p w14:paraId="1328A035" w14:textId="46D68D1A" w:rsidR="004C1116" w:rsidRPr="00702FE7" w:rsidRDefault="004C1116" w:rsidP="00602A74">
      <w:pPr>
        <w:pStyle w:val="Heading1"/>
      </w:pPr>
      <w:bookmarkStart w:id="3" w:name="_Toc427006224"/>
      <w:r w:rsidRPr="00702FE7">
        <w:t>Theoretical Framework</w:t>
      </w:r>
      <w:bookmarkEnd w:id="3"/>
    </w:p>
    <w:p w14:paraId="5AF3935C" w14:textId="11F76116" w:rsidR="00F14AA4" w:rsidRPr="00702FE7" w:rsidRDefault="00F14AA4" w:rsidP="00BC42EA">
      <w:pPr>
        <w:pStyle w:val="Heading4"/>
      </w:pPr>
      <w:bookmarkStart w:id="4" w:name="_Toc427006225"/>
      <w:r w:rsidRPr="00702FE7">
        <w:t>Effects of health coverage on population health</w:t>
      </w:r>
      <w:bookmarkEnd w:id="4"/>
    </w:p>
    <w:p w14:paraId="6CA5C647" w14:textId="26D71A76" w:rsidR="0080447E" w:rsidRPr="00702FE7" w:rsidRDefault="008B2887" w:rsidP="00BC42EA">
      <w:r w:rsidRPr="00702FE7">
        <w:t xml:space="preserve">As </w:t>
      </w:r>
      <w:r w:rsidR="00B12FF7">
        <w:t>discussed</w:t>
      </w:r>
      <w:r w:rsidRPr="00702FE7">
        <w:t xml:space="preserve"> in the introduction increasing health care coverage is an important </w:t>
      </w:r>
      <w:r w:rsidR="004B010B" w:rsidRPr="00702FE7">
        <w:t>policy goal</w:t>
      </w:r>
      <w:r w:rsidRPr="00702FE7">
        <w:t xml:space="preserve"> in many developing countries.</w:t>
      </w:r>
      <w:r w:rsidR="002043B5">
        <w:t xml:space="preserve"> The concept of health care coverage consist of h</w:t>
      </w:r>
      <w:r w:rsidR="002043B5" w:rsidRPr="00702FE7">
        <w:t>ealth service coverage and financial protection.</w:t>
      </w:r>
      <w:r w:rsidR="002043B5">
        <w:t xml:space="preserve"> Health service coverage is measured as the access to effective services by individuals. Next to physical access to care also the financial part is important, health coverage also means that an individual should not lead </w:t>
      </w:r>
      <w:r w:rsidR="002043B5" w:rsidRPr="00702FE7">
        <w:t xml:space="preserve">impoverishing </w:t>
      </w:r>
      <w:r w:rsidR="002043B5">
        <w:t xml:space="preserve">or </w:t>
      </w:r>
      <w:r w:rsidR="002043B5" w:rsidRPr="00702FE7">
        <w:t>catastrophic expenditures</w:t>
      </w:r>
      <w:r w:rsidR="002043B5">
        <w:t xml:space="preserve"> from seeking care.</w:t>
      </w:r>
      <w:sdt>
        <w:sdtPr>
          <w:id w:val="-406691497"/>
          <w:citation/>
        </w:sdtPr>
        <w:sdtEndPr/>
        <w:sdtContent>
          <w:r w:rsidR="002043B5">
            <w:fldChar w:fldCharType="begin"/>
          </w:r>
          <w:r w:rsidR="002043B5" w:rsidRPr="002043B5">
            <w:instrText xml:space="preserve"> CITATION WHO14 \l 1043 </w:instrText>
          </w:r>
          <w:r w:rsidR="002043B5">
            <w:fldChar w:fldCharType="separate"/>
          </w:r>
          <w:r w:rsidR="002043B5" w:rsidRPr="002043B5">
            <w:rPr>
              <w:noProof/>
            </w:rPr>
            <w:t xml:space="preserve"> (WHO, Worldbank Group, 2014)</w:t>
          </w:r>
          <w:r w:rsidR="002043B5">
            <w:fldChar w:fldCharType="end"/>
          </w:r>
        </w:sdtContent>
      </w:sdt>
      <w:r w:rsidR="002043B5">
        <w:t xml:space="preserve"> Although it is not straightforward to measure UHC, a lot of studies use government health spending as indicator for UHC. In</w:t>
      </w:r>
      <w:r w:rsidR="00564A96" w:rsidRPr="00702FE7">
        <w:t xml:space="preserve"> theory this idea is straightforward</w:t>
      </w:r>
      <w:r w:rsidR="004B010B" w:rsidRPr="00702FE7">
        <w:t>: it is</w:t>
      </w:r>
      <w:r w:rsidR="00564A96" w:rsidRPr="00702FE7">
        <w:t xml:space="preserve"> a</w:t>
      </w:r>
      <w:r w:rsidR="005F49CC" w:rsidRPr="00702FE7">
        <w:t>ssumed</w:t>
      </w:r>
      <w:r w:rsidR="00537E42" w:rsidRPr="00702FE7">
        <w:t xml:space="preserve"> that an increase in government or public health care spending will lead to </w:t>
      </w:r>
      <w:r w:rsidR="00564A96" w:rsidRPr="00702FE7">
        <w:t>better</w:t>
      </w:r>
      <w:r w:rsidR="00537E42" w:rsidRPr="00702FE7">
        <w:t xml:space="preserve"> coverage, which in turn</w:t>
      </w:r>
      <w:r w:rsidR="005F49CC" w:rsidRPr="00702FE7">
        <w:t xml:space="preserve"> will lead to better health outcomes. </w:t>
      </w:r>
      <w:r w:rsidR="00564A96" w:rsidRPr="00702FE7">
        <w:t>However empirical research</w:t>
      </w:r>
      <w:r w:rsidR="00C72EF6">
        <w:t xml:space="preserve"> on the macro level</w:t>
      </w:r>
      <w:r w:rsidR="00564A96" w:rsidRPr="00702FE7">
        <w:t xml:space="preserve"> so far</w:t>
      </w:r>
      <w:r w:rsidR="00537E42" w:rsidRPr="00702FE7">
        <w:t xml:space="preserve">, which will be discussed in the literature review, </w:t>
      </w:r>
      <w:r w:rsidR="00564A96" w:rsidRPr="00702FE7">
        <w:t>has shown ambiguous results on the</w:t>
      </w:r>
      <w:r w:rsidR="00537E42" w:rsidRPr="00702FE7">
        <w:t xml:space="preserve"> claims of increased public health spending to decrease mortality rates. </w:t>
      </w:r>
    </w:p>
    <w:p w14:paraId="6CB8345E" w14:textId="77777777" w:rsidR="0080447E" w:rsidRPr="00702FE7" w:rsidRDefault="0080447E" w:rsidP="00BC42EA"/>
    <w:p w14:paraId="774EF193" w14:textId="6893E757" w:rsidR="00B12FF7" w:rsidRDefault="0080447E" w:rsidP="00BC42EA">
      <w:r w:rsidRPr="00702FE7">
        <w:t xml:space="preserve">A literature review done by Moreno-Serra and Smith </w:t>
      </w:r>
      <w:r w:rsidR="00564A96" w:rsidRPr="00702FE7">
        <w:t>does confirm</w:t>
      </w:r>
      <w:r w:rsidRPr="00702FE7">
        <w:t xml:space="preserve"> these positive effects of the movement towards health care coverage on population health. They argue that overall increasing coverage has a positive effect on population health, but </w:t>
      </w:r>
      <w:r w:rsidR="009E02C3" w:rsidRPr="00702FE7">
        <w:t xml:space="preserve">the magnitude of this effect depends on other factors such as the governance in a country. They also show that lower income countries benefit most from increased coverage. </w:t>
      </w:r>
      <w:sdt>
        <w:sdtPr>
          <w:id w:val="-315960116"/>
          <w:citation/>
        </w:sdtPr>
        <w:sdtEndPr/>
        <w:sdtContent>
          <w:r w:rsidR="005F49CC" w:rsidRPr="00702FE7">
            <w:fldChar w:fldCharType="begin"/>
          </w:r>
          <w:r w:rsidR="005F49CC" w:rsidRPr="00702FE7">
            <w:instrText xml:space="preserve">CITATION Mor12 \t  \l 1033 </w:instrText>
          </w:r>
          <w:r w:rsidR="005F49CC" w:rsidRPr="00702FE7">
            <w:fldChar w:fldCharType="separate"/>
          </w:r>
          <w:r w:rsidR="00317F02">
            <w:rPr>
              <w:noProof/>
            </w:rPr>
            <w:t>(Moreno-Serra &amp; Smith, 2012)</w:t>
          </w:r>
          <w:r w:rsidR="005F49CC" w:rsidRPr="00702FE7">
            <w:fldChar w:fldCharType="end"/>
          </w:r>
        </w:sdtContent>
      </w:sdt>
    </w:p>
    <w:p w14:paraId="3FD4DFD3" w14:textId="08F794EF" w:rsidR="007641AC" w:rsidRDefault="007641AC" w:rsidP="007641AC">
      <w:pPr>
        <w:pStyle w:val="Heading4"/>
      </w:pPr>
      <w:bookmarkStart w:id="5" w:name="_Toc427006226"/>
      <w:r w:rsidRPr="007641AC">
        <w:t xml:space="preserve">Effect of governance on the </w:t>
      </w:r>
      <w:r>
        <w:t>efficacy of health coverage</w:t>
      </w:r>
      <w:bookmarkEnd w:id="5"/>
    </w:p>
    <w:p w14:paraId="6B2C4E5F" w14:textId="72C2F2FF" w:rsidR="00B12FF7" w:rsidRDefault="00936131" w:rsidP="00BC42EA">
      <w:r>
        <w:t>G</w:t>
      </w:r>
      <w:r w:rsidR="00B12FF7">
        <w:t>overnance</w:t>
      </w:r>
      <w:r>
        <w:t xml:space="preserve"> plays an important role in the efficacy of government health spending. </w:t>
      </w:r>
      <w:r w:rsidR="009911CC">
        <w:t xml:space="preserve">In the literature review empirical studies that test the role of governance on the efficacy of government spending will be discussed in more detail. </w:t>
      </w:r>
      <w:r w:rsidR="00AA3735">
        <w:t>One of those studies developed a</w:t>
      </w:r>
      <w:r w:rsidR="00646BE8">
        <w:t xml:space="preserve"> theoretical framework that expresses this relation as chain from public spending to health status (see figure 1).</w:t>
      </w:r>
      <w:sdt>
        <w:sdtPr>
          <w:id w:val="-243331010"/>
          <w:citation/>
        </w:sdtPr>
        <w:sdtEndPr/>
        <w:sdtContent>
          <w:r w:rsidR="00317F02">
            <w:fldChar w:fldCharType="begin"/>
          </w:r>
          <w:r w:rsidR="00317F02" w:rsidRPr="00317F02">
            <w:instrText xml:space="preserve"> CITATION Fil99 \l 1043 </w:instrText>
          </w:r>
          <w:r w:rsidR="00317F02">
            <w:fldChar w:fldCharType="separate"/>
          </w:r>
          <w:r w:rsidR="00317F02">
            <w:rPr>
              <w:noProof/>
            </w:rPr>
            <w:t xml:space="preserve"> (Filmer &amp; Pritchett, 1999)</w:t>
          </w:r>
          <w:r w:rsidR="00317F02">
            <w:fldChar w:fldCharType="end"/>
          </w:r>
        </w:sdtContent>
      </w:sdt>
      <w:r w:rsidR="00317F02">
        <w:t xml:space="preserve"> According to their theory there are three possibility as to why, even though there is a potential for health improvements it is not observed. First the health production function, the improvement in health status is dependent on the consumption of health services. Within the health production function there is a difference in effectiveness in improving health status. </w:t>
      </w:r>
      <w:r w:rsidR="0040093F">
        <w:t>Secondly the net public sector impact matters, even though some publicly provided health services might be cost effective it does not guarantee a health improvement. The provision of these services by the government might crowd out private provision causing the net beneficial health effect of this government intervention to be small. Lastly the public sector efficacy is important when it comes to public health spending. The impact of public spending will depend on the degree to which public spending is able to cr</w:t>
      </w:r>
      <w:r w:rsidR="007641AC">
        <w:t>eate effective public services. So in order for public spending to improve health it must first create effective health services. Second the existence of those services has to change the total amount of effective health services consumed by the population. Third the additional services have to be cost effective in improving health. If any of these conditions is not met the actual cost effectiveness</w:t>
      </w:r>
      <w:r w:rsidR="00C72EF6">
        <w:t xml:space="preserve"> </w:t>
      </w:r>
      <w:r w:rsidR="007641AC">
        <w:t xml:space="preserve">of public health interventions can be very high. </w:t>
      </w:r>
      <w:sdt>
        <w:sdtPr>
          <w:id w:val="-1870828595"/>
          <w:citation/>
        </w:sdtPr>
        <w:sdtEndPr/>
        <w:sdtContent>
          <w:r w:rsidR="007641AC">
            <w:fldChar w:fldCharType="begin"/>
          </w:r>
          <w:r w:rsidR="007641AC" w:rsidRPr="008314FB">
            <w:instrText xml:space="preserve"> CITATION Fil99 \l 1043 </w:instrText>
          </w:r>
          <w:r w:rsidR="007641AC">
            <w:fldChar w:fldCharType="separate"/>
          </w:r>
          <w:r w:rsidR="007641AC" w:rsidRPr="008314FB">
            <w:rPr>
              <w:noProof/>
            </w:rPr>
            <w:t>(Filmer &amp; Pritchett, 1999)</w:t>
          </w:r>
          <w:r w:rsidR="007641AC">
            <w:fldChar w:fldCharType="end"/>
          </w:r>
        </w:sdtContent>
      </w:sdt>
    </w:p>
    <w:p w14:paraId="16BAB1E3" w14:textId="77777777" w:rsidR="007641AC" w:rsidRDefault="007641AC" w:rsidP="00BC42EA"/>
    <w:p w14:paraId="4B0E942B" w14:textId="6621B1CF" w:rsidR="009911CC" w:rsidRPr="00702FE7" w:rsidRDefault="009911CC" w:rsidP="009911CC">
      <w:pPr>
        <w:rPr>
          <w:rStyle w:val="SubtleEmphasis"/>
        </w:rPr>
      </w:pPr>
      <w:r w:rsidRPr="00702FE7">
        <w:rPr>
          <w:noProof/>
          <w:lang w:val="en-GB" w:eastAsia="en-GB"/>
        </w:rPr>
        <w:drawing>
          <wp:inline distT="0" distB="0" distL="0" distR="0" wp14:anchorId="09571E86" wp14:editId="6E3AB98B">
            <wp:extent cx="3888463" cy="4927375"/>
            <wp:effectExtent l="0" t="0" r="0" b="6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888677" cy="4927646"/>
                    </a:xfrm>
                    <a:prstGeom prst="rect">
                      <a:avLst/>
                    </a:prstGeom>
                    <a:noFill/>
                    <a:ln>
                      <a:noFill/>
                    </a:ln>
                  </pic:spPr>
                </pic:pic>
              </a:graphicData>
            </a:graphic>
          </wp:inline>
        </w:drawing>
      </w:r>
      <w:r w:rsidRPr="00702FE7">
        <w:br/>
      </w:r>
      <w:r>
        <w:rPr>
          <w:rStyle w:val="SubtleEmphasis"/>
        </w:rPr>
        <w:t>Figure 1</w:t>
      </w:r>
      <w:r w:rsidRPr="00702FE7">
        <w:rPr>
          <w:rStyle w:val="SubtleEmphasis"/>
        </w:rPr>
        <w:t xml:space="preserve">: Chain from public spending to better health. </w:t>
      </w:r>
      <w:sdt>
        <w:sdtPr>
          <w:rPr>
            <w:rStyle w:val="SubtleEmphasis"/>
          </w:rPr>
          <w:id w:val="356772452"/>
          <w:citation/>
        </w:sdtPr>
        <w:sdtEndPr>
          <w:rPr>
            <w:rStyle w:val="SubtleEmphasis"/>
          </w:rPr>
        </w:sdtEndPr>
        <w:sdtContent>
          <w:r w:rsidRPr="00702FE7">
            <w:rPr>
              <w:rStyle w:val="SubtleEmphasis"/>
            </w:rPr>
            <w:fldChar w:fldCharType="begin"/>
          </w:r>
          <w:r w:rsidRPr="00702FE7">
            <w:rPr>
              <w:rStyle w:val="SubtleEmphasis"/>
            </w:rPr>
            <w:instrText xml:space="preserve"> CITATION Fil99 \l 1033 </w:instrText>
          </w:r>
          <w:r w:rsidRPr="00702FE7">
            <w:rPr>
              <w:rStyle w:val="SubtleEmphasis"/>
            </w:rPr>
            <w:fldChar w:fldCharType="separate"/>
          </w:r>
          <w:r w:rsidR="00317F02" w:rsidRPr="00317F02">
            <w:rPr>
              <w:noProof/>
              <w:color w:val="808080" w:themeColor="text1" w:themeTint="7F"/>
              <w:sz w:val="20"/>
              <w:szCs w:val="20"/>
            </w:rPr>
            <w:t>(Filmer &amp; Pritchett, 1999)</w:t>
          </w:r>
          <w:r w:rsidRPr="00702FE7">
            <w:rPr>
              <w:rStyle w:val="SubtleEmphasis"/>
            </w:rPr>
            <w:fldChar w:fldCharType="end"/>
          </w:r>
        </w:sdtContent>
      </w:sdt>
    </w:p>
    <w:p w14:paraId="041F97C8" w14:textId="77777777" w:rsidR="009911CC" w:rsidRPr="00702FE7" w:rsidRDefault="009911CC" w:rsidP="00BC42EA"/>
    <w:p w14:paraId="65019E49" w14:textId="3DC4C2C4" w:rsidR="00F14AA4" w:rsidRPr="00702FE7" w:rsidRDefault="00226029" w:rsidP="00BC42EA">
      <w:pPr>
        <w:pStyle w:val="Heading4"/>
      </w:pPr>
      <w:bookmarkStart w:id="6" w:name="_Toc427006227"/>
      <w:r w:rsidRPr="00702FE7">
        <w:t>Effects of extending the research</w:t>
      </w:r>
      <w:bookmarkEnd w:id="6"/>
    </w:p>
    <w:p w14:paraId="7ED555E5" w14:textId="3F6CFA52" w:rsidR="00F14AA4" w:rsidRPr="00702FE7" w:rsidRDefault="005573B9" w:rsidP="00BC42EA">
      <w:r w:rsidRPr="00702FE7">
        <w:t>The original time period of the panel data ranges from 1995 to 2008.</w:t>
      </w:r>
      <w:r w:rsidR="001B7581">
        <w:t xml:space="preserve"> This research will add the years 2009 to 2012, to see how this influences the results. Previous research has shown that t</w:t>
      </w:r>
      <w:r w:rsidRPr="00702FE7">
        <w:t>he effects of health coverage</w:t>
      </w:r>
      <w:r w:rsidR="008914C3" w:rsidRPr="00702FE7">
        <w:t xml:space="preserve"> on population health </w:t>
      </w:r>
      <w:r w:rsidRPr="00702FE7">
        <w:t>are largest for low-income countries.</w:t>
      </w:r>
      <w:sdt>
        <w:sdtPr>
          <w:id w:val="-1729289162"/>
          <w:citation/>
        </w:sdtPr>
        <w:sdtEndPr/>
        <w:sdtContent>
          <w:r w:rsidR="001B7581">
            <w:fldChar w:fldCharType="begin"/>
          </w:r>
          <w:r w:rsidR="001B7581">
            <w:instrText xml:space="preserve">CITATION Mor12 \t  \l 1043 </w:instrText>
          </w:r>
          <w:r w:rsidR="001B7581">
            <w:fldChar w:fldCharType="separate"/>
          </w:r>
          <w:r w:rsidR="00317F02">
            <w:rPr>
              <w:noProof/>
            </w:rPr>
            <w:t xml:space="preserve"> (Moreno-Serra &amp; Smith, 2012)</w:t>
          </w:r>
          <w:r w:rsidR="001B7581">
            <w:fldChar w:fldCharType="end"/>
          </w:r>
        </w:sdtContent>
      </w:sdt>
      <w:r w:rsidRPr="00702FE7">
        <w:t xml:space="preserve"> </w:t>
      </w:r>
      <w:r w:rsidR="0075504E">
        <w:t>As</w:t>
      </w:r>
      <w:r w:rsidR="0075504E" w:rsidRPr="00702FE7">
        <w:t xml:space="preserve"> </w:t>
      </w:r>
      <w:r w:rsidRPr="00702FE7">
        <w:t xml:space="preserve">countries develop it is reasonable to assume that on average the effect will </w:t>
      </w:r>
      <w:r w:rsidR="0075504E">
        <w:t>fall</w:t>
      </w:r>
      <w:r w:rsidRPr="00702FE7">
        <w:t xml:space="preserve"> and that the cost of a life year saved will have increased.</w:t>
      </w:r>
    </w:p>
    <w:p w14:paraId="243E99A9" w14:textId="77777777" w:rsidR="008914C3" w:rsidRPr="00702FE7" w:rsidRDefault="008914C3" w:rsidP="00BC42EA"/>
    <w:p w14:paraId="75BC0E8E" w14:textId="3DF0A324" w:rsidR="008914C3" w:rsidRDefault="008914C3" w:rsidP="00BC42EA">
      <w:r w:rsidRPr="00702FE7">
        <w:t>Samuel H. Preston showed already in 1975 a connection between a country’s GDP and life ex</w:t>
      </w:r>
      <w:r w:rsidR="00084A58" w:rsidRPr="00702FE7">
        <w:t xml:space="preserve">pectancy. The Preston curve shows a concave relation between GDP and life expectancy. </w:t>
      </w:r>
      <w:sdt>
        <w:sdtPr>
          <w:id w:val="522365577"/>
          <w:citation/>
        </w:sdtPr>
        <w:sdtEndPr/>
        <w:sdtContent>
          <w:r w:rsidR="00084A58" w:rsidRPr="00702FE7">
            <w:fldChar w:fldCharType="begin"/>
          </w:r>
          <w:r w:rsidR="00084A58" w:rsidRPr="00702FE7">
            <w:instrText xml:space="preserve"> CITATION Pre75 \l 1033 </w:instrText>
          </w:r>
          <w:r w:rsidR="00084A58" w:rsidRPr="00702FE7">
            <w:fldChar w:fldCharType="separate"/>
          </w:r>
          <w:r w:rsidR="00317F02">
            <w:rPr>
              <w:noProof/>
            </w:rPr>
            <w:t>(Preston, 1975)</w:t>
          </w:r>
          <w:r w:rsidR="00084A58" w:rsidRPr="00702FE7">
            <w:fldChar w:fldCharType="end"/>
          </w:r>
        </w:sdtContent>
      </w:sdt>
      <w:r w:rsidR="00084A58" w:rsidRPr="00702FE7">
        <w:t xml:space="preserve"> The diminishing</w:t>
      </w:r>
      <w:r w:rsidR="00C77C70" w:rsidRPr="00702FE7">
        <w:t xml:space="preserve"> returns to scale of</w:t>
      </w:r>
      <w:r w:rsidR="00084A58" w:rsidRPr="00702FE7">
        <w:t xml:space="preserve"> GDP increase</w:t>
      </w:r>
      <w:r w:rsidR="00C77C70" w:rsidRPr="00702FE7">
        <w:t xml:space="preserve"> on mortality </w:t>
      </w:r>
      <w:r w:rsidR="00084A58" w:rsidRPr="00702FE7">
        <w:t>suggest an increase in costs per life years saved when countries are more economically developed.</w:t>
      </w:r>
      <w:r w:rsidR="009911CC">
        <w:t xml:space="preserve"> More recent literature confirms that this theory </w:t>
      </w:r>
      <w:r w:rsidR="001B7581">
        <w:t>still</w:t>
      </w:r>
      <w:r w:rsidR="009911CC">
        <w:t xml:space="preserve"> holds true for </w:t>
      </w:r>
      <w:r w:rsidR="001B7581">
        <w:t>current times.</w:t>
      </w:r>
      <w:sdt>
        <w:sdtPr>
          <w:id w:val="558374448"/>
          <w:citation/>
        </w:sdtPr>
        <w:sdtEndPr/>
        <w:sdtContent>
          <w:r w:rsidR="00AA3735">
            <w:fldChar w:fldCharType="begin"/>
          </w:r>
          <w:r w:rsidR="00AA3735" w:rsidRPr="00AA3735">
            <w:instrText xml:space="preserve"> CITATION Dea03 \l 1043 </w:instrText>
          </w:r>
          <w:r w:rsidR="00AA3735">
            <w:fldChar w:fldCharType="separate"/>
          </w:r>
          <w:r w:rsidR="00317F02">
            <w:rPr>
              <w:noProof/>
            </w:rPr>
            <w:t xml:space="preserve"> (Deaton, 2003)</w:t>
          </w:r>
          <w:r w:rsidR="00AA3735">
            <w:fldChar w:fldCharType="end"/>
          </w:r>
        </w:sdtContent>
      </w:sdt>
      <w:sdt>
        <w:sdtPr>
          <w:id w:val="-1784031043"/>
          <w:citation/>
        </w:sdtPr>
        <w:sdtEndPr/>
        <w:sdtContent>
          <w:r w:rsidR="009911CC">
            <w:fldChar w:fldCharType="begin"/>
          </w:r>
          <w:r w:rsidR="009911CC" w:rsidRPr="009911CC">
            <w:instrText xml:space="preserve"> CITATION Blo07 \l 1043 </w:instrText>
          </w:r>
          <w:r w:rsidR="009911CC">
            <w:fldChar w:fldCharType="separate"/>
          </w:r>
          <w:r w:rsidR="00317F02">
            <w:rPr>
              <w:noProof/>
            </w:rPr>
            <w:t xml:space="preserve"> (Bloom &amp; Canning, 2007)</w:t>
          </w:r>
          <w:r w:rsidR="009911CC">
            <w:fldChar w:fldCharType="end"/>
          </w:r>
        </w:sdtContent>
      </w:sdt>
      <w:r w:rsidR="009911CC">
        <w:t>.</w:t>
      </w:r>
      <w:r w:rsidR="00C77C70" w:rsidRPr="00702FE7">
        <w:t xml:space="preserve"> </w:t>
      </w:r>
      <w:r w:rsidR="001B7581">
        <w:t xml:space="preserve">Following this theory it is likely to observe less beneficial effects of GDP and government health spending on mortality rates for the more recent time periods because of the diminishing returns to scale. </w:t>
      </w:r>
    </w:p>
    <w:p w14:paraId="0E4E4BD1" w14:textId="77777777" w:rsidR="00AA3735" w:rsidRPr="008314FB" w:rsidRDefault="00AA3735" w:rsidP="00BC42EA">
      <w:pPr>
        <w:rPr>
          <w:noProof/>
          <w:lang w:eastAsia="nl-NL"/>
        </w:rPr>
      </w:pPr>
    </w:p>
    <w:p w14:paraId="1E9A00D0" w14:textId="67FA34B8" w:rsidR="009911CC" w:rsidRDefault="00AA3735" w:rsidP="00BC42EA">
      <w:r>
        <w:rPr>
          <w:noProof/>
          <w:lang w:val="en-GB" w:eastAsia="en-GB"/>
        </w:rPr>
        <w:drawing>
          <wp:inline distT="0" distB="0" distL="0" distR="0" wp14:anchorId="04C5601F" wp14:editId="6421BB67">
            <wp:extent cx="3482035" cy="2033873"/>
            <wp:effectExtent l="0" t="0" r="4445" b="508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24711" t="24427" r="26567" b="24982"/>
                    <a:stretch/>
                  </pic:blipFill>
                  <pic:spPr bwMode="auto">
                    <a:xfrm>
                      <a:off x="0" y="0"/>
                      <a:ext cx="3499347" cy="2043985"/>
                    </a:xfrm>
                    <a:prstGeom prst="rect">
                      <a:avLst/>
                    </a:prstGeom>
                    <a:ln>
                      <a:noFill/>
                    </a:ln>
                    <a:extLst>
                      <a:ext uri="{53640926-AAD7-44D8-BBD7-CCE9431645EC}">
                        <a14:shadowObscured xmlns:a14="http://schemas.microsoft.com/office/drawing/2010/main"/>
                      </a:ext>
                    </a:extLst>
                  </pic:spPr>
                </pic:pic>
              </a:graphicData>
            </a:graphic>
          </wp:inline>
        </w:drawing>
      </w:r>
    </w:p>
    <w:p w14:paraId="7ED04941" w14:textId="5C34D511" w:rsidR="001B7581" w:rsidRPr="001B7581" w:rsidRDefault="001B7581" w:rsidP="00BC42EA">
      <w:pPr>
        <w:rPr>
          <w:rStyle w:val="SubtleEmphasis"/>
        </w:rPr>
      </w:pPr>
      <w:r>
        <w:rPr>
          <w:rStyle w:val="SubtleEmphasis"/>
        </w:rPr>
        <w:t xml:space="preserve">Figure 2: Preston Curve </w:t>
      </w:r>
      <w:sdt>
        <w:sdtPr>
          <w:rPr>
            <w:rStyle w:val="SubtleEmphasis"/>
          </w:rPr>
          <w:id w:val="208158044"/>
          <w:citation/>
        </w:sdtPr>
        <w:sdtEndPr>
          <w:rPr>
            <w:rStyle w:val="SubtleEmphasis"/>
          </w:rPr>
        </w:sdtEndPr>
        <w:sdtContent>
          <w:r w:rsidR="00AA3735">
            <w:rPr>
              <w:rStyle w:val="SubtleEmphasis"/>
            </w:rPr>
            <w:fldChar w:fldCharType="begin"/>
          </w:r>
          <w:r w:rsidR="00AA3735" w:rsidRPr="008314FB">
            <w:rPr>
              <w:rStyle w:val="SubtleEmphasis"/>
            </w:rPr>
            <w:instrText xml:space="preserve"> CITATION Dea03 \l 1043 </w:instrText>
          </w:r>
          <w:r w:rsidR="00AA3735">
            <w:rPr>
              <w:rStyle w:val="SubtleEmphasis"/>
            </w:rPr>
            <w:fldChar w:fldCharType="separate"/>
          </w:r>
          <w:r w:rsidR="00317F02" w:rsidRPr="008314FB">
            <w:rPr>
              <w:noProof/>
              <w:color w:val="808080" w:themeColor="text1" w:themeTint="7F"/>
              <w:sz w:val="20"/>
              <w:szCs w:val="20"/>
            </w:rPr>
            <w:t>(Deaton, 2003)</w:t>
          </w:r>
          <w:r w:rsidR="00AA3735">
            <w:rPr>
              <w:rStyle w:val="SubtleEmphasis"/>
            </w:rPr>
            <w:fldChar w:fldCharType="end"/>
          </w:r>
        </w:sdtContent>
      </w:sdt>
    </w:p>
    <w:p w14:paraId="2BCF6AB0" w14:textId="77777777" w:rsidR="00AA3735" w:rsidRDefault="00AA3735" w:rsidP="00BC42EA"/>
    <w:p w14:paraId="1C0BB7F5" w14:textId="5151BFD3" w:rsidR="00084A58" w:rsidRPr="00702FE7" w:rsidRDefault="00084A58" w:rsidP="00BC42EA">
      <w:r w:rsidRPr="00702FE7">
        <w:t xml:space="preserve">Moreno-Serra and Smith </w:t>
      </w:r>
      <w:r w:rsidR="00C72EF6">
        <w:t xml:space="preserve">(2015) </w:t>
      </w:r>
      <w:r w:rsidRPr="00702FE7">
        <w:t>have</w:t>
      </w:r>
      <w:r w:rsidR="00C77C70" w:rsidRPr="00702FE7">
        <w:t xml:space="preserve"> already</w:t>
      </w:r>
      <w:r w:rsidRPr="00702FE7">
        <w:t xml:space="preserve"> investigated the effects of exclusion of </w:t>
      </w:r>
      <w:r w:rsidR="0075504E">
        <w:t xml:space="preserve">earlier </w:t>
      </w:r>
      <w:r w:rsidRPr="00702FE7">
        <w:t xml:space="preserve">years in the original research. They showed that exclusion of the observations of the years before 1999 hardly had any influence on their estimates. </w:t>
      </w:r>
      <w:r w:rsidR="004B010B" w:rsidRPr="00702FE7">
        <w:t>While</w:t>
      </w:r>
      <w:r w:rsidRPr="00702FE7">
        <w:t xml:space="preserve"> they do not provide an explanation for this</w:t>
      </w:r>
      <w:r w:rsidR="0075504E">
        <w:t>, and nor</w:t>
      </w:r>
      <w:r w:rsidR="00C77C70" w:rsidRPr="00702FE7">
        <w:t xml:space="preserve"> they do mention that there are only 61 countries with usable data from the period before 1999</w:t>
      </w:r>
      <w:r w:rsidRPr="00702FE7">
        <w:t xml:space="preserve">. </w:t>
      </w:r>
      <w:sdt>
        <w:sdtPr>
          <w:id w:val="-621994247"/>
          <w:citation/>
        </w:sdtPr>
        <w:sdtEndPr/>
        <w:sdtContent>
          <w:r w:rsidRPr="00702FE7">
            <w:fldChar w:fldCharType="begin"/>
          </w:r>
          <w:r w:rsidRPr="00702FE7">
            <w:instrText xml:space="preserve">CITATION Mor15 \t  \l 1033 </w:instrText>
          </w:r>
          <w:r w:rsidRPr="00702FE7">
            <w:fldChar w:fldCharType="separate"/>
          </w:r>
          <w:r w:rsidR="00317F02">
            <w:rPr>
              <w:noProof/>
            </w:rPr>
            <w:t>(Moreno-Serra &amp; Smith, 2015)</w:t>
          </w:r>
          <w:r w:rsidRPr="00702FE7">
            <w:fldChar w:fldCharType="end"/>
          </w:r>
        </w:sdtContent>
      </w:sdt>
    </w:p>
    <w:p w14:paraId="4D692097" w14:textId="54B4D470" w:rsidR="00F14AA4" w:rsidRPr="00702FE7" w:rsidRDefault="00AF41AB" w:rsidP="00BC42EA">
      <w:pPr>
        <w:pStyle w:val="Heading4"/>
      </w:pPr>
      <w:bookmarkStart w:id="7" w:name="_Toc427006228"/>
      <w:r w:rsidRPr="00702FE7">
        <w:t>Endogeneity</w:t>
      </w:r>
      <w:bookmarkEnd w:id="7"/>
      <w:r w:rsidRPr="00702FE7">
        <w:t xml:space="preserve"> </w:t>
      </w:r>
    </w:p>
    <w:p w14:paraId="4A66736D" w14:textId="2546ED02" w:rsidR="001A182D" w:rsidRPr="00702FE7" w:rsidRDefault="00840FB0" w:rsidP="00BC42EA">
      <w:r w:rsidRPr="00702FE7">
        <w:t xml:space="preserve">A major problem that occurs when investigating the effects of </w:t>
      </w:r>
      <w:r w:rsidR="00F14AA4" w:rsidRPr="00702FE7">
        <w:t>coverage</w:t>
      </w:r>
      <w:r w:rsidRPr="00702FE7">
        <w:t xml:space="preserve"> indicators on health outcomes</w:t>
      </w:r>
      <w:r w:rsidR="00F14AA4" w:rsidRPr="00702FE7">
        <w:t xml:space="preserve"> in a country level study</w:t>
      </w:r>
      <w:r w:rsidRPr="00702FE7">
        <w:t xml:space="preserve"> is the</w:t>
      </w:r>
      <w:r w:rsidR="00AF41AB" w:rsidRPr="00702FE7">
        <w:t xml:space="preserve"> problem of endogeneity</w:t>
      </w:r>
      <w:r w:rsidR="0075504E">
        <w:t>, w</w:t>
      </w:r>
      <w:r w:rsidR="00AF41AB" w:rsidRPr="00702FE7">
        <w:t>ith confounders and</w:t>
      </w:r>
      <w:r w:rsidRPr="00702FE7">
        <w:t xml:space="preserve"> reverse causality</w:t>
      </w:r>
      <w:r w:rsidR="00AF41AB" w:rsidRPr="00702FE7">
        <w:t xml:space="preserve"> as the main issue</w:t>
      </w:r>
      <w:r w:rsidRPr="00702FE7">
        <w:t>.</w:t>
      </w:r>
      <w:r w:rsidR="00AF41AB" w:rsidRPr="00702FE7">
        <w:t xml:space="preserve"> Confounders are variables that correlate with both the independe</w:t>
      </w:r>
      <w:r w:rsidR="008B2887" w:rsidRPr="00702FE7">
        <w:t>nt and the dependent variables</w:t>
      </w:r>
      <w:r w:rsidR="00714B78">
        <w:t>, if those variables can be observed they can be controlled for by including them in the regression</w:t>
      </w:r>
      <w:r w:rsidR="008B2887" w:rsidRPr="00702FE7">
        <w:t xml:space="preserve">. </w:t>
      </w:r>
      <w:r w:rsidR="00AF41AB" w:rsidRPr="00702FE7">
        <w:t>Reverse causality</w:t>
      </w:r>
      <w:r w:rsidRPr="00702FE7">
        <w:t xml:space="preserve"> occurs when there is an effect of the independent variable on the dependent variables. In thi</w:t>
      </w:r>
      <w:r w:rsidR="009234D3">
        <w:t xml:space="preserve">s case this means an effect of </w:t>
      </w:r>
      <w:r w:rsidRPr="00702FE7">
        <w:t xml:space="preserve">mortality rates on government health spending </w:t>
      </w:r>
      <w:r w:rsidR="009234D3">
        <w:t xml:space="preserve">or GDP </w:t>
      </w:r>
      <w:r w:rsidRPr="00702FE7">
        <w:t xml:space="preserve">per capita. This </w:t>
      </w:r>
      <w:r w:rsidR="00F96179" w:rsidRPr="00702FE7">
        <w:t xml:space="preserve">effect can exist in two ways. </w:t>
      </w:r>
      <w:r w:rsidR="009234D3">
        <w:t>I</w:t>
      </w:r>
      <w:r w:rsidR="00F96179" w:rsidRPr="00702FE7">
        <w:t xml:space="preserve">ncreases in life expectancy are associated with economic growth. </w:t>
      </w:r>
      <w:r w:rsidR="009234D3">
        <w:t>Besides</w:t>
      </w:r>
      <w:r w:rsidR="00F96179" w:rsidRPr="00702FE7">
        <w:t xml:space="preserve"> it can be argued that people living longer use more care in their lifetime, thereby increasing health care expenditures. This is graphically represented in the figure below. </w:t>
      </w:r>
      <w:sdt>
        <w:sdtPr>
          <w:id w:val="733821016"/>
          <w:citation/>
        </w:sdtPr>
        <w:sdtEndPr/>
        <w:sdtContent>
          <w:r w:rsidR="00F96179" w:rsidRPr="00702FE7">
            <w:fldChar w:fldCharType="begin"/>
          </w:r>
          <w:r w:rsidR="00F96179" w:rsidRPr="00702FE7">
            <w:instrText xml:space="preserve"> CITATION van13 \l 1033 </w:instrText>
          </w:r>
          <w:r w:rsidR="00F96179" w:rsidRPr="00702FE7">
            <w:fldChar w:fldCharType="separate"/>
          </w:r>
          <w:r w:rsidR="00317F02">
            <w:rPr>
              <w:noProof/>
            </w:rPr>
            <w:t>(van Baal, Parida, Brouwer, Nusselder, &amp; Mackenbach, 2013)</w:t>
          </w:r>
          <w:r w:rsidR="00F96179" w:rsidRPr="00702FE7">
            <w:fldChar w:fldCharType="end"/>
          </w:r>
        </w:sdtContent>
      </w:sdt>
    </w:p>
    <w:p w14:paraId="7719374F" w14:textId="5766F95C" w:rsidR="001A182D" w:rsidRPr="00702FE7" w:rsidRDefault="00F96179" w:rsidP="00BC42EA">
      <w:r w:rsidRPr="00702FE7">
        <w:rPr>
          <w:noProof/>
          <w:lang w:val="en-GB" w:eastAsia="en-GB"/>
        </w:rPr>
        <w:drawing>
          <wp:inline distT="0" distB="0" distL="0" distR="0" wp14:anchorId="6246E422" wp14:editId="53DF44FC">
            <wp:extent cx="5269443" cy="2154724"/>
            <wp:effectExtent l="0" t="0" r="0" b="4445"/>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0">
                      <a:extLst>
                        <a:ext uri="{28A0092B-C50C-407E-A947-70E740481C1C}">
                          <a14:useLocalDpi xmlns:a14="http://schemas.microsoft.com/office/drawing/2010/main" val="0"/>
                        </a:ext>
                      </a:extLst>
                    </a:blip>
                    <a:srcRect b="16360"/>
                    <a:stretch/>
                  </pic:blipFill>
                  <pic:spPr bwMode="auto">
                    <a:xfrm>
                      <a:off x="0" y="0"/>
                      <a:ext cx="5270500" cy="2155156"/>
                    </a:xfrm>
                    <a:prstGeom prst="rect">
                      <a:avLst/>
                    </a:prstGeom>
                    <a:noFill/>
                    <a:ln>
                      <a:noFill/>
                    </a:ln>
                    <a:extLst>
                      <a:ext uri="{53640926-AAD7-44D8-BBD7-CCE9431645EC}">
                        <a14:shadowObscured xmlns:a14="http://schemas.microsoft.com/office/drawing/2010/main"/>
                      </a:ext>
                    </a:extLst>
                  </pic:spPr>
                </pic:pic>
              </a:graphicData>
            </a:graphic>
          </wp:inline>
        </w:drawing>
      </w:r>
    </w:p>
    <w:p w14:paraId="4755F899" w14:textId="1F5B493A" w:rsidR="00840FB0" w:rsidRPr="00702FE7" w:rsidRDefault="001A182D" w:rsidP="00BC42EA">
      <w:pPr>
        <w:rPr>
          <w:rStyle w:val="SubtleEmphasis"/>
        </w:rPr>
      </w:pPr>
      <w:r w:rsidRPr="00702FE7">
        <w:rPr>
          <w:rStyle w:val="SubtleEmphasis"/>
        </w:rPr>
        <w:t>Fi</w:t>
      </w:r>
      <w:r w:rsidR="009911CC">
        <w:rPr>
          <w:rStyle w:val="SubtleEmphasis"/>
        </w:rPr>
        <w:t>gure 3</w:t>
      </w:r>
      <w:r w:rsidRPr="00702FE7">
        <w:rPr>
          <w:rStyle w:val="SubtleEmphasis"/>
        </w:rPr>
        <w:t xml:space="preserve">: Causal chain running from GDP </w:t>
      </w:r>
      <w:r w:rsidR="008B2887" w:rsidRPr="00702FE7">
        <w:rPr>
          <w:rStyle w:val="SubtleEmphasis"/>
        </w:rPr>
        <w:t xml:space="preserve">to mortality </w:t>
      </w:r>
      <w:r w:rsidRPr="00702FE7">
        <w:rPr>
          <w:rStyle w:val="SubtleEmphasis"/>
        </w:rPr>
        <w:t xml:space="preserve">and back. </w:t>
      </w:r>
      <w:sdt>
        <w:sdtPr>
          <w:rPr>
            <w:rStyle w:val="SubtleEmphasis"/>
          </w:rPr>
          <w:id w:val="-187063737"/>
          <w:citation/>
        </w:sdtPr>
        <w:sdtEndPr>
          <w:rPr>
            <w:rStyle w:val="SubtleEmphasis"/>
          </w:rPr>
        </w:sdtEndPr>
        <w:sdtContent>
          <w:r w:rsidRPr="00702FE7">
            <w:rPr>
              <w:rStyle w:val="SubtleEmphasis"/>
            </w:rPr>
            <w:fldChar w:fldCharType="begin"/>
          </w:r>
          <w:r w:rsidRPr="00702FE7">
            <w:rPr>
              <w:rStyle w:val="SubtleEmphasis"/>
            </w:rPr>
            <w:instrText xml:space="preserve"> CITATION van13 \l 1033 </w:instrText>
          </w:r>
          <w:r w:rsidRPr="00702FE7">
            <w:rPr>
              <w:rStyle w:val="SubtleEmphasis"/>
            </w:rPr>
            <w:fldChar w:fldCharType="separate"/>
          </w:r>
          <w:r w:rsidR="00317F02" w:rsidRPr="00317F02">
            <w:rPr>
              <w:noProof/>
              <w:color w:val="808080" w:themeColor="text1" w:themeTint="7F"/>
              <w:sz w:val="20"/>
              <w:szCs w:val="20"/>
            </w:rPr>
            <w:t>(van Baal, Parida, Brouwer, Nusselder, &amp; Mackenbach, 2013)</w:t>
          </w:r>
          <w:r w:rsidRPr="00702FE7">
            <w:rPr>
              <w:rStyle w:val="SubtleEmphasis"/>
            </w:rPr>
            <w:fldChar w:fldCharType="end"/>
          </w:r>
        </w:sdtContent>
      </w:sdt>
    </w:p>
    <w:p w14:paraId="482EDD9F" w14:textId="77777777" w:rsidR="00840FB0" w:rsidRPr="00702FE7" w:rsidRDefault="00840FB0" w:rsidP="00BC42EA"/>
    <w:p w14:paraId="7C2C8A5A" w14:textId="4F3CBCAA" w:rsidR="009234D3" w:rsidRDefault="009234D3" w:rsidP="00BC42EA">
      <w:r>
        <w:t xml:space="preserve">The reverse effect of mortality on GDP is expected to bias the estimates of a straightforward OLS model. Because higher mortality rates can lead to governments spending more money on health care this bias is upwards. Meaning that the results from a simple OLS regression will not show clear causal effects of health spending on mortality. Most likely the results will be less negative or even positive, suggesting additional health spending increases mortality, because of this bias. </w:t>
      </w:r>
    </w:p>
    <w:p w14:paraId="605507A1" w14:textId="1EEC7C88" w:rsidR="00AF41AB" w:rsidRPr="00702FE7" w:rsidRDefault="00F31AC8" w:rsidP="00BC42EA">
      <w:r w:rsidRPr="00702FE7">
        <w:t>In order to overcome this reverse causality problem Instrumental variable</w:t>
      </w:r>
      <w:r w:rsidR="0075504E">
        <w:t xml:space="preserve"> approache</w:t>
      </w:r>
      <w:r w:rsidRPr="00702FE7">
        <w:t>s are often used. Good IVs have to fulfil two criteria:</w:t>
      </w:r>
    </w:p>
    <w:p w14:paraId="07BCD2A3" w14:textId="197FF770" w:rsidR="00F31AC8" w:rsidRPr="00702FE7" w:rsidRDefault="00F31AC8" w:rsidP="00BC42EA">
      <w:r w:rsidRPr="00702FE7">
        <w:t>1. They have to be external to both dependent and independent variables and</w:t>
      </w:r>
    </w:p>
    <w:p w14:paraId="03F239DA" w14:textId="38DD580E" w:rsidR="00F31AC8" w:rsidRPr="00702FE7" w:rsidRDefault="00F31AC8" w:rsidP="00BC42EA">
      <w:r w:rsidRPr="00702FE7">
        <w:t xml:space="preserve">2. They must be orthogonal to the independent variables. </w:t>
      </w:r>
      <w:r w:rsidR="00A17AD7" w:rsidRPr="00702FE7">
        <w:t>Which means the only effect of the IV on the independent variables can be through the effect on the dependent variable.</w:t>
      </w:r>
    </w:p>
    <w:p w14:paraId="69C13A38" w14:textId="77777777" w:rsidR="004C1116" w:rsidRPr="00702FE7" w:rsidRDefault="004C1116" w:rsidP="00BC42EA"/>
    <w:p w14:paraId="42803DCC" w14:textId="71723D47" w:rsidR="008B2887" w:rsidRPr="00702FE7" w:rsidRDefault="008B2887" w:rsidP="00BC42EA">
      <w:r w:rsidRPr="00702FE7">
        <w:t xml:space="preserve">In the methodology is explained </w:t>
      </w:r>
      <w:r w:rsidR="0075504E">
        <w:t xml:space="preserve">whether and </w:t>
      </w:r>
      <w:r w:rsidRPr="00702FE7">
        <w:t xml:space="preserve">how these endogeneity issues </w:t>
      </w:r>
      <w:r w:rsidR="0075504E">
        <w:t>will be</w:t>
      </w:r>
      <w:r w:rsidR="0075504E" w:rsidRPr="00702FE7">
        <w:t xml:space="preserve"> </w:t>
      </w:r>
      <w:r w:rsidRPr="00702FE7">
        <w:t xml:space="preserve">addressed in this research. </w:t>
      </w:r>
    </w:p>
    <w:p w14:paraId="2FE04454" w14:textId="77777777" w:rsidR="0097392D" w:rsidRPr="00702FE7" w:rsidRDefault="0097392D" w:rsidP="00BC42EA">
      <w:r w:rsidRPr="00702FE7">
        <w:br w:type="page"/>
      </w:r>
    </w:p>
    <w:p w14:paraId="510BD20A" w14:textId="0B6CA9B2" w:rsidR="00382825" w:rsidRPr="00702FE7" w:rsidRDefault="0097392D" w:rsidP="00602A74">
      <w:pPr>
        <w:pStyle w:val="Heading1"/>
      </w:pPr>
      <w:bookmarkStart w:id="8" w:name="_Toc427006229"/>
      <w:r w:rsidRPr="00702FE7">
        <w:t>Literature Review</w:t>
      </w:r>
      <w:bookmarkEnd w:id="8"/>
    </w:p>
    <w:p w14:paraId="72C2ADEB" w14:textId="3197064F" w:rsidR="00265A95" w:rsidRPr="00702FE7" w:rsidRDefault="00265A95" w:rsidP="00265A95">
      <w:r w:rsidRPr="00702FE7">
        <w:t>In order to put this research in perspective a brief review of the most important related studies is provided below.</w:t>
      </w:r>
    </w:p>
    <w:p w14:paraId="7C30299B" w14:textId="68705F7A" w:rsidR="00EC10D9" w:rsidRPr="00702FE7" w:rsidRDefault="00A87DEB" w:rsidP="00BC42EA">
      <w:pPr>
        <w:pStyle w:val="Heading4"/>
      </w:pPr>
      <w:bookmarkStart w:id="9" w:name="_Toc427006230"/>
      <w:r w:rsidRPr="00702FE7">
        <w:t>Cross-country studies on h</w:t>
      </w:r>
      <w:r w:rsidR="00EC10D9" w:rsidRPr="00702FE7">
        <w:t>ealth care coverage</w:t>
      </w:r>
      <w:bookmarkEnd w:id="9"/>
      <w:r w:rsidR="00382825" w:rsidRPr="00702FE7">
        <w:t xml:space="preserve"> </w:t>
      </w:r>
    </w:p>
    <w:p w14:paraId="7BB91BD6" w14:textId="46A5BEC2" w:rsidR="00EC10D9" w:rsidRPr="00702FE7" w:rsidRDefault="00C72EF6" w:rsidP="00BC42EA">
      <w:r>
        <w:t>I</w:t>
      </w:r>
      <w:r w:rsidR="00D905B1" w:rsidRPr="00702FE7">
        <w:t xml:space="preserve">n </w:t>
      </w:r>
      <w:r w:rsidR="00D905B1" w:rsidRPr="00C224D1">
        <w:t>1996</w:t>
      </w:r>
      <w:r w:rsidR="00D905B1" w:rsidRPr="00702FE7">
        <w:t xml:space="preserve"> Philip Musgrove </w:t>
      </w:r>
      <w:r w:rsidR="000A6E00">
        <w:t xml:space="preserve">was </w:t>
      </w:r>
      <w:r w:rsidR="00D905B1" w:rsidRPr="00702FE7">
        <w:t xml:space="preserve">commissioned by the World Bank </w:t>
      </w:r>
      <w:r w:rsidR="000A6E00">
        <w:t xml:space="preserve">to </w:t>
      </w:r>
      <w:r w:rsidR="00D905B1" w:rsidRPr="00702FE7">
        <w:t>stud</w:t>
      </w:r>
      <w:r w:rsidR="000A6E00">
        <w:t>y</w:t>
      </w:r>
      <w:r w:rsidR="00D905B1" w:rsidRPr="00702FE7">
        <w:t xml:space="preserve"> the different contributors to a health system.</w:t>
      </w:r>
      <w:r w:rsidR="001E6B60" w:rsidRPr="00702FE7">
        <w:t xml:space="preserve"> The aim of the study was to investigate the balance between public and private health care spending.</w:t>
      </w:r>
      <w:r w:rsidR="00D905B1" w:rsidRPr="00702FE7">
        <w:t xml:space="preserve"> </w:t>
      </w:r>
      <w:r w:rsidR="00035519" w:rsidRPr="00702FE7">
        <w:t xml:space="preserve">Three different justifications of government intervention in the health care market are present in economic theory. Government intervention to assure the optimal production of public goods; to correct for market failures; or to guarantee access to health care to the less wealthy. He argues that a combination of public intervention and private activity leads to most effective health sectors. In theory public health activities </w:t>
      </w:r>
      <w:r w:rsidR="001E6B60" w:rsidRPr="00702FE7">
        <w:t>are most important at low-income levels, especially public financing may be crucial for health in poor countries. However</w:t>
      </w:r>
      <w:r w:rsidR="00035519" w:rsidRPr="00702FE7">
        <w:t xml:space="preserve"> </w:t>
      </w:r>
      <w:r w:rsidR="001E6B60" w:rsidRPr="00702FE7">
        <w:t xml:space="preserve">empirically in a cross-country study he found little evidence of a systematic effect of public health care spending on mortality. </w:t>
      </w:r>
      <w:r w:rsidR="007610F6" w:rsidRPr="00702FE7">
        <w:t xml:space="preserve">Instead he found that the state role in financing tends to expand as income increases. </w:t>
      </w:r>
      <w:sdt>
        <w:sdtPr>
          <w:id w:val="1187483238"/>
          <w:citation/>
        </w:sdtPr>
        <w:sdtEndPr/>
        <w:sdtContent>
          <w:r w:rsidR="001E6B60" w:rsidRPr="00702FE7">
            <w:fldChar w:fldCharType="begin"/>
          </w:r>
          <w:r w:rsidR="001E6B60" w:rsidRPr="00702FE7">
            <w:instrText xml:space="preserve"> CITATION Mus96 \l 1033 </w:instrText>
          </w:r>
          <w:r w:rsidR="001E6B60" w:rsidRPr="00702FE7">
            <w:fldChar w:fldCharType="separate"/>
          </w:r>
          <w:r w:rsidR="00317F02">
            <w:rPr>
              <w:noProof/>
            </w:rPr>
            <w:t>(Musgrove, 1996)</w:t>
          </w:r>
          <w:r w:rsidR="001E6B60" w:rsidRPr="00702FE7">
            <w:fldChar w:fldCharType="end"/>
          </w:r>
        </w:sdtContent>
      </w:sdt>
    </w:p>
    <w:p w14:paraId="3EF3DA0B" w14:textId="77777777" w:rsidR="007610F6" w:rsidRPr="00702FE7" w:rsidRDefault="007610F6" w:rsidP="00BC42EA"/>
    <w:p w14:paraId="724CD518" w14:textId="5203173E" w:rsidR="001005DF" w:rsidRPr="00702FE7" w:rsidRDefault="007610F6" w:rsidP="00BC42EA">
      <w:r w:rsidRPr="00702FE7">
        <w:t xml:space="preserve">Methodological issues flawed the empirical results of this early research. Despite the biased results it did show the complexity of the relation between government spending and mortality. A </w:t>
      </w:r>
      <w:r w:rsidR="00F25FC6" w:rsidRPr="00702FE7">
        <w:t>more rigorous empirical study by Filmer and Pritchett</w:t>
      </w:r>
      <w:r w:rsidR="00573633" w:rsidRPr="00702FE7">
        <w:t xml:space="preserve"> (1999)</w:t>
      </w:r>
      <w:r w:rsidR="00F25FC6" w:rsidRPr="00702FE7">
        <w:t xml:space="preserve"> aimed to further investigate this relation.</w:t>
      </w:r>
      <w:r w:rsidR="00C0052F" w:rsidRPr="00702FE7">
        <w:t xml:space="preserve"> They used cross-national data to examine the impact of public spending and some non-health factors on under-5 and infant mortality. Their empirical</w:t>
      </w:r>
      <w:r w:rsidR="00D27D9C" w:rsidRPr="00702FE7">
        <w:t xml:space="preserve"> strategy consisted</w:t>
      </w:r>
      <w:r w:rsidR="00C0052F" w:rsidRPr="00702FE7">
        <w:t xml:space="preserve"> of a straightforward equation with the natural log of mor</w:t>
      </w:r>
      <w:r w:rsidR="00573633" w:rsidRPr="00702FE7">
        <w:t>tality as dependent variable and as explanatory variables</w:t>
      </w:r>
      <w:r w:rsidR="00C0052F" w:rsidRPr="00702FE7">
        <w:t xml:space="preserve"> the natural log of GDP per capita, public spending as a fraction of GDP and som</w:t>
      </w:r>
      <w:r w:rsidR="00D27D9C" w:rsidRPr="00702FE7">
        <w:t xml:space="preserve">e socio-economic variables. </w:t>
      </w:r>
      <w:r w:rsidR="001005DF" w:rsidRPr="00702FE7">
        <w:t>Besides a simple OLS also a two stage least squares regression with neighbors’ public and military spending as instruments was executed. Both</w:t>
      </w:r>
      <w:r w:rsidR="00D27D9C" w:rsidRPr="00702FE7">
        <w:t xml:space="preserve"> regression</w:t>
      </w:r>
      <w:r w:rsidR="001005DF" w:rsidRPr="00702FE7">
        <w:t>s</w:t>
      </w:r>
      <w:r w:rsidR="00D27D9C" w:rsidRPr="00702FE7">
        <w:t xml:space="preserve"> resulted in a very small and insignificant impact of public spending on health of less than one-seventh of 1%. These estimates imply public spending per child death averted in a developing country to be between $50.000 and $100.000. This in large contrast to the typical cost effectiveness of medical interventions to avert chil</w:t>
      </w:r>
      <w:r w:rsidR="001005DF" w:rsidRPr="00702FE7">
        <w:t xml:space="preserve">d mortality in developing countries, which ranges between $10 and $4000. </w:t>
      </w:r>
      <w:sdt>
        <w:sdtPr>
          <w:id w:val="1354308740"/>
          <w:citation/>
        </w:sdtPr>
        <w:sdtEndPr/>
        <w:sdtContent>
          <w:r w:rsidR="00F25FC6" w:rsidRPr="00702FE7">
            <w:fldChar w:fldCharType="begin"/>
          </w:r>
          <w:r w:rsidR="00F25FC6" w:rsidRPr="00702FE7">
            <w:instrText xml:space="preserve"> CITATION Fil99 \l 1033 </w:instrText>
          </w:r>
          <w:r w:rsidR="00F25FC6" w:rsidRPr="00702FE7">
            <w:fldChar w:fldCharType="separate"/>
          </w:r>
          <w:r w:rsidR="00317F02">
            <w:rPr>
              <w:noProof/>
            </w:rPr>
            <w:t>(Filmer &amp; Pritchett, 1999)</w:t>
          </w:r>
          <w:r w:rsidR="00F25FC6" w:rsidRPr="00702FE7">
            <w:fldChar w:fldCharType="end"/>
          </w:r>
        </w:sdtContent>
      </w:sdt>
    </w:p>
    <w:p w14:paraId="0D4299B9" w14:textId="558D027D" w:rsidR="00417C61" w:rsidRDefault="001005DF" w:rsidP="00454A1C">
      <w:r w:rsidRPr="00702FE7">
        <w:t>By the use of an instrumental variable technique the study by Filmer and Pritchett</w:t>
      </w:r>
      <w:r w:rsidR="00454A1C">
        <w:t xml:space="preserve"> (1999)</w:t>
      </w:r>
      <w:r w:rsidRPr="00702FE7">
        <w:t xml:space="preserve"> tried to overcome the endogeneity issues. However still their results were small and insignificant. </w:t>
      </w:r>
      <w:r w:rsidR="00573633" w:rsidRPr="00702FE7">
        <w:t>Apart</w:t>
      </w:r>
      <w:r w:rsidRPr="00702FE7">
        <w:t xml:space="preserve"> from questioning the validity of the instruments used they developed</w:t>
      </w:r>
      <w:r w:rsidR="00A66348" w:rsidRPr="00702FE7">
        <w:t xml:space="preserve"> a framework (figure </w:t>
      </w:r>
      <w:r w:rsidR="00714B78">
        <w:t>1</w:t>
      </w:r>
      <w:r w:rsidR="00A66348" w:rsidRPr="00702FE7">
        <w:t>) to explain their findings.</w:t>
      </w:r>
      <w:r w:rsidR="00417C61" w:rsidRPr="00702FE7">
        <w:t xml:space="preserve"> They argue that the total impact of public spending on health status depended on all the elements in the chain</w:t>
      </w:r>
      <w:r w:rsidR="00A87DEB" w:rsidRPr="00702FE7">
        <w:t>.</w:t>
      </w:r>
      <w:sdt>
        <w:sdtPr>
          <w:id w:val="-1506048098"/>
          <w:citation/>
        </w:sdtPr>
        <w:sdtEndPr/>
        <w:sdtContent>
          <w:r w:rsidR="00A87DEB" w:rsidRPr="00702FE7">
            <w:fldChar w:fldCharType="begin"/>
          </w:r>
          <w:r w:rsidR="00A87DEB" w:rsidRPr="00702FE7">
            <w:instrText xml:space="preserve"> CITATION Fil99 \l 1033 </w:instrText>
          </w:r>
          <w:r w:rsidR="00A87DEB" w:rsidRPr="00702FE7">
            <w:fldChar w:fldCharType="separate"/>
          </w:r>
          <w:r w:rsidR="00317F02">
            <w:rPr>
              <w:noProof/>
            </w:rPr>
            <w:t xml:space="preserve"> (Filmer &amp; Pritchett, 1999)</w:t>
          </w:r>
          <w:r w:rsidR="00A87DEB" w:rsidRPr="00702FE7">
            <w:fldChar w:fldCharType="end"/>
          </w:r>
        </w:sdtContent>
      </w:sdt>
      <w:r w:rsidR="00417C61" w:rsidRPr="00702FE7">
        <w:t xml:space="preserve"> This framework provides an explanation for the lack of significant effect of public spending on health services</w:t>
      </w:r>
      <w:r w:rsidR="009911CC">
        <w:t xml:space="preserve"> as discussed in the theoretical framework</w:t>
      </w:r>
      <w:r w:rsidR="00417C61" w:rsidRPr="00702FE7">
        <w:t>.</w:t>
      </w:r>
    </w:p>
    <w:p w14:paraId="037A2443" w14:textId="77777777" w:rsidR="009911CC" w:rsidRPr="009911CC" w:rsidRDefault="009911CC" w:rsidP="00454A1C">
      <w:pPr>
        <w:rPr>
          <w:rStyle w:val="SubtleEmphasis"/>
          <w:i w:val="0"/>
          <w:iCs w:val="0"/>
          <w:color w:val="auto"/>
          <w:sz w:val="24"/>
          <w:szCs w:val="24"/>
        </w:rPr>
      </w:pPr>
    </w:p>
    <w:p w14:paraId="2F8B2FE3" w14:textId="376B7FBA" w:rsidR="00454A1C" w:rsidRPr="00702FE7" w:rsidRDefault="00454A1C" w:rsidP="00454A1C">
      <w:pPr>
        <w:rPr>
          <w:rStyle w:val="SubtleEmphasis"/>
        </w:rPr>
      </w:pPr>
      <w:r>
        <w:t>In 2007 another research commissioned by the World Bank has studied the links between public spending governance and outcomes. Th</w:t>
      </w:r>
      <w:r w:rsidR="00936131">
        <w:t>eir</w:t>
      </w:r>
      <w:r>
        <w:t xml:space="preserve"> study shows empirically that </w:t>
      </w:r>
      <w:r w:rsidR="00936131">
        <w:t>the differences observed in efficacy of public spending can for a large part be explained</w:t>
      </w:r>
      <w:r>
        <w:t xml:space="preserve"> </w:t>
      </w:r>
      <w:r w:rsidR="00936131">
        <w:t>by the governance of a country. Their empiric</w:t>
      </w:r>
      <w:r w:rsidR="000A6E00">
        <w:t>al</w:t>
      </w:r>
      <w:r w:rsidR="00936131">
        <w:t xml:space="preserve"> results show that public health spending lowers child mortality more in countries with good governance. In their conclusion they even claim that public spending has hardly any impact on health and education outcomes in poorly governed outcomes. </w:t>
      </w:r>
      <w:sdt>
        <w:sdtPr>
          <w:id w:val="-442534529"/>
          <w:citation/>
        </w:sdtPr>
        <w:sdtEndPr/>
        <w:sdtContent>
          <w:r w:rsidR="00936131">
            <w:fldChar w:fldCharType="begin"/>
          </w:r>
          <w:r w:rsidR="00936131" w:rsidRPr="008314FB">
            <w:instrText xml:space="preserve"> CITATION Raj07 \l 1043 </w:instrText>
          </w:r>
          <w:r w:rsidR="00936131">
            <w:fldChar w:fldCharType="separate"/>
          </w:r>
          <w:r w:rsidR="00317F02" w:rsidRPr="008314FB">
            <w:rPr>
              <w:noProof/>
            </w:rPr>
            <w:t>(Rajukmar &amp; Swaroop, 2007)</w:t>
          </w:r>
          <w:r w:rsidR="00936131">
            <w:fldChar w:fldCharType="end"/>
          </w:r>
        </w:sdtContent>
      </w:sdt>
    </w:p>
    <w:p w14:paraId="7EDC6C38" w14:textId="2C80F571" w:rsidR="00A87DEB" w:rsidRPr="00702FE7" w:rsidRDefault="00A87DEB" w:rsidP="00A87DEB">
      <w:pPr>
        <w:pStyle w:val="Heading4"/>
      </w:pPr>
      <w:bookmarkStart w:id="10" w:name="_Toc427006231"/>
      <w:r w:rsidRPr="00702FE7">
        <w:t>Panel data studies on health care coverage</w:t>
      </w:r>
      <w:bookmarkEnd w:id="10"/>
    </w:p>
    <w:p w14:paraId="793E9057" w14:textId="16578BE9" w:rsidR="00537E42" w:rsidRPr="00702FE7" w:rsidRDefault="00A87DEB" w:rsidP="00A87DEB">
      <w:r w:rsidRPr="00702FE7">
        <w:t>More recently</w:t>
      </w:r>
      <w:r w:rsidR="00A56CC8" w:rsidRPr="00702FE7">
        <w:t xml:space="preserve"> some econometric studies</w:t>
      </w:r>
      <w:r w:rsidR="0094065E" w:rsidRPr="00702FE7">
        <w:t xml:space="preserve"> using panel data</w:t>
      </w:r>
      <w:r w:rsidR="00A56CC8" w:rsidRPr="00702FE7">
        <w:t xml:space="preserve"> did manage to find </w:t>
      </w:r>
      <w:r w:rsidR="0094065E" w:rsidRPr="00702FE7">
        <w:t xml:space="preserve">positive effects of publicly pooled spending on mortality. </w:t>
      </w:r>
      <w:r w:rsidR="00ED6510" w:rsidRPr="00702FE7">
        <w:t xml:space="preserve">In 2004 </w:t>
      </w:r>
      <w:r w:rsidR="001D7AFA" w:rsidRPr="00702FE7">
        <w:t>Wagstaff and Claeson came to the conclusion that extra government health spending does decrease mortality</w:t>
      </w:r>
      <w:r w:rsidR="000A6E00">
        <w:t xml:space="preserve">. </w:t>
      </w:r>
      <w:r w:rsidR="001D7AFA" w:rsidRPr="00702FE7">
        <w:t xml:space="preserve"> </w:t>
      </w:r>
      <w:r w:rsidR="000A6E00">
        <w:t>H</w:t>
      </w:r>
      <w:r w:rsidR="001D7AFA" w:rsidRPr="00702FE7">
        <w:t>owever</w:t>
      </w:r>
      <w:r w:rsidR="000A6E00">
        <w:t>,</w:t>
      </w:r>
      <w:r w:rsidR="001D7AFA" w:rsidRPr="00702FE7">
        <w:t xml:space="preserve"> the magnitude of this effect </w:t>
      </w:r>
      <w:r w:rsidR="000A6E00">
        <w:t>was found to be</w:t>
      </w:r>
      <w:r w:rsidR="000A6E00" w:rsidRPr="00702FE7">
        <w:t xml:space="preserve"> </w:t>
      </w:r>
      <w:r w:rsidR="001D7AFA" w:rsidRPr="00702FE7">
        <w:t>highly dependent on the level of governance in a country.</w:t>
      </w:r>
      <w:r w:rsidR="00465780" w:rsidRPr="00702FE7">
        <w:t xml:space="preserve"> </w:t>
      </w:r>
      <w:r w:rsidR="00537E42" w:rsidRPr="00702FE7">
        <w:t xml:space="preserve">They </w:t>
      </w:r>
      <w:r w:rsidR="000A6E00">
        <w:t>use</w:t>
      </w:r>
      <w:r w:rsidR="000A6E00" w:rsidRPr="00702FE7">
        <w:t xml:space="preserve">d </w:t>
      </w:r>
      <w:r w:rsidR="00537E42" w:rsidRPr="00702FE7">
        <w:t>data on 120 countries, finding reductions ranging between 0.8% and 1.5% in under-5 mortality for a 10% increase in government health expenditure relative to GDP.</w:t>
      </w:r>
      <w:r w:rsidR="00093C3C">
        <w:t xml:space="preserve"> In their study they used the same instruments as </w:t>
      </w:r>
      <w:r w:rsidR="00093C3C" w:rsidRPr="00702FE7">
        <w:t>Filmer and Pritchett</w:t>
      </w:r>
      <w:r w:rsidR="00093C3C">
        <w:t xml:space="preserve"> (1999), besides they added a third instrument: the country policy of institutional assessment (CPIA) score of neighboring countries.</w:t>
      </w:r>
      <w:r w:rsidR="001D7AFA" w:rsidRPr="00702FE7">
        <w:t xml:space="preserve"> </w:t>
      </w:r>
      <w:sdt>
        <w:sdtPr>
          <w:id w:val="1738281745"/>
          <w:citation/>
        </w:sdtPr>
        <w:sdtEndPr/>
        <w:sdtContent>
          <w:r w:rsidR="00ED6510" w:rsidRPr="00702FE7">
            <w:fldChar w:fldCharType="begin"/>
          </w:r>
          <w:r w:rsidR="00ED6510" w:rsidRPr="00702FE7">
            <w:instrText xml:space="preserve"> CITATION Wag04 \l 1033 </w:instrText>
          </w:r>
          <w:r w:rsidR="00ED6510" w:rsidRPr="00702FE7">
            <w:fldChar w:fldCharType="separate"/>
          </w:r>
          <w:r w:rsidR="00317F02">
            <w:rPr>
              <w:noProof/>
            </w:rPr>
            <w:t>(Wagstaff &amp; Claeson, 2004)</w:t>
          </w:r>
          <w:r w:rsidR="00ED6510" w:rsidRPr="00702FE7">
            <w:fldChar w:fldCharType="end"/>
          </w:r>
        </w:sdtContent>
      </w:sdt>
    </w:p>
    <w:p w14:paraId="51AC88A0" w14:textId="7F1C4A62" w:rsidR="00537E42" w:rsidRPr="00702FE7" w:rsidRDefault="00537E42" w:rsidP="00A87DEB">
      <w:r w:rsidRPr="00702FE7">
        <w:t>Despite these some</w:t>
      </w:r>
      <w:r w:rsidR="00632123" w:rsidRPr="00702FE7">
        <w:t xml:space="preserve">what more promising results </w:t>
      </w:r>
      <w:r w:rsidRPr="00702FE7">
        <w:t>the importance of good governance and allocation</w:t>
      </w:r>
      <w:r w:rsidR="00632123" w:rsidRPr="00702FE7">
        <w:t xml:space="preserve"> is stressed</w:t>
      </w:r>
      <w:r w:rsidRPr="00702FE7">
        <w:t xml:space="preserve">. </w:t>
      </w:r>
      <w:r w:rsidR="002D6654" w:rsidRPr="00702FE7">
        <w:t xml:space="preserve">For </w:t>
      </w:r>
      <w:r w:rsidR="000A6E00">
        <w:t>additional spending</w:t>
      </w:r>
      <w:r w:rsidR="000A6E00" w:rsidRPr="00702FE7">
        <w:t xml:space="preserve"> </w:t>
      </w:r>
      <w:r w:rsidR="002D6654" w:rsidRPr="00702FE7">
        <w:t>to lead to the desired</w:t>
      </w:r>
      <w:r w:rsidR="00093C3C">
        <w:t xml:space="preserve"> </w:t>
      </w:r>
      <w:r w:rsidR="00093C3C" w:rsidRPr="00702FE7">
        <w:t>mortality</w:t>
      </w:r>
      <w:r w:rsidR="00093C3C">
        <w:t xml:space="preserve"> rates as stated in the millennium development goals</w:t>
      </w:r>
      <w:r w:rsidR="00673DC9">
        <w:t xml:space="preserve"> </w:t>
      </w:r>
      <w:r w:rsidR="002D6654" w:rsidRPr="00702FE7">
        <w:t xml:space="preserve">impressively large increases in the share of GDP devoted to government health spending are necessary. In order for the extra money to have the desired effect targeting programs, better policies and improvements in health service delivery are essential. </w:t>
      </w:r>
      <w:sdt>
        <w:sdtPr>
          <w:id w:val="-1797127931"/>
          <w:citation/>
        </w:sdtPr>
        <w:sdtEndPr/>
        <w:sdtContent>
          <w:r w:rsidR="002D6654" w:rsidRPr="00702FE7">
            <w:fldChar w:fldCharType="begin"/>
          </w:r>
          <w:r w:rsidR="002D6654" w:rsidRPr="00702FE7">
            <w:instrText xml:space="preserve"> CITATION Wag04 \l 1033 </w:instrText>
          </w:r>
          <w:r w:rsidR="002D6654" w:rsidRPr="00702FE7">
            <w:fldChar w:fldCharType="separate"/>
          </w:r>
          <w:r w:rsidR="00317F02">
            <w:rPr>
              <w:noProof/>
            </w:rPr>
            <w:t>(Wagstaff &amp; Claeson, 2004)</w:t>
          </w:r>
          <w:r w:rsidR="002D6654" w:rsidRPr="00702FE7">
            <w:fldChar w:fldCharType="end"/>
          </w:r>
        </w:sdtContent>
      </w:sdt>
    </w:p>
    <w:p w14:paraId="36178B1D" w14:textId="77777777" w:rsidR="002D6654" w:rsidRPr="00702FE7" w:rsidRDefault="002D6654" w:rsidP="00A87DEB"/>
    <w:p w14:paraId="6B38901E" w14:textId="5B3D0A4D" w:rsidR="00632123" w:rsidRPr="00702FE7" w:rsidRDefault="00632123" w:rsidP="00A87DEB">
      <w:r w:rsidRPr="00702FE7">
        <w:t>Another panel data study executed in 2007 provides</w:t>
      </w:r>
      <w:r w:rsidR="00180D2E" w:rsidRPr="00702FE7">
        <w:t xml:space="preserve"> even more convincing</w:t>
      </w:r>
      <w:r w:rsidRPr="00702FE7">
        <w:t xml:space="preserve"> econometric evidence linking countries per capita government health expenditures and income to under-5 and maternal mortality.</w:t>
      </w:r>
      <w:r w:rsidR="005D00D0" w:rsidRPr="00702FE7">
        <w:t xml:space="preserve"> By using military expenses of neighboring countries as an instrument for government health expenditures to overcome the issue of reverse causality. This study found fo</w:t>
      </w:r>
      <w:r w:rsidRPr="00702FE7">
        <w:t xml:space="preserve">r a 10% increase in government </w:t>
      </w:r>
      <w:r w:rsidR="00180D2E" w:rsidRPr="00702FE7">
        <w:t>per capita health expenditures</w:t>
      </w:r>
      <w:r w:rsidRPr="00702FE7">
        <w:t xml:space="preserve"> on average</w:t>
      </w:r>
      <w:r w:rsidR="00180D2E" w:rsidRPr="00702FE7">
        <w:t xml:space="preserve"> a</w:t>
      </w:r>
      <w:r w:rsidRPr="00702FE7">
        <w:t xml:space="preserve"> reduction of 3.3%</w:t>
      </w:r>
      <w:r w:rsidR="00180D2E" w:rsidRPr="00702FE7">
        <w:t xml:space="preserve"> in</w:t>
      </w:r>
      <w:r w:rsidR="005D00D0" w:rsidRPr="00702FE7">
        <w:t xml:space="preserve"> under-5 mortality</w:t>
      </w:r>
      <w:r w:rsidRPr="00702FE7">
        <w:t xml:space="preserve">. For maternal mortality this </w:t>
      </w:r>
      <w:r w:rsidR="00180D2E" w:rsidRPr="00702FE7">
        <w:t xml:space="preserve">leads to an even </w:t>
      </w:r>
      <w:r w:rsidR="00702FE7" w:rsidRPr="00702FE7">
        <w:t>larger</w:t>
      </w:r>
      <w:r w:rsidRPr="00702FE7">
        <w:t xml:space="preserve"> reduction of</w:t>
      </w:r>
      <w:r w:rsidR="00180D2E" w:rsidRPr="00702FE7">
        <w:t xml:space="preserve"> on average</w:t>
      </w:r>
      <w:r w:rsidRPr="00702FE7">
        <w:t xml:space="preserve"> 5.0%. </w:t>
      </w:r>
      <w:sdt>
        <w:sdtPr>
          <w:id w:val="342443622"/>
          <w:citation/>
        </w:sdtPr>
        <w:sdtEndPr/>
        <w:sdtContent>
          <w:r w:rsidR="00180D2E" w:rsidRPr="00702FE7">
            <w:fldChar w:fldCharType="begin"/>
          </w:r>
          <w:r w:rsidR="00180D2E" w:rsidRPr="00702FE7">
            <w:instrText xml:space="preserve"> CITATION Bok07 \l 1033 </w:instrText>
          </w:r>
          <w:r w:rsidR="00180D2E" w:rsidRPr="00702FE7">
            <w:fldChar w:fldCharType="separate"/>
          </w:r>
          <w:r w:rsidR="00317F02">
            <w:rPr>
              <w:noProof/>
            </w:rPr>
            <w:t>(Bokhari, Gai, &amp; Gottret, 2007)</w:t>
          </w:r>
          <w:r w:rsidR="00180D2E" w:rsidRPr="00702FE7">
            <w:fldChar w:fldCharType="end"/>
          </w:r>
        </w:sdtContent>
      </w:sdt>
      <w:r w:rsidRPr="00702FE7">
        <w:t xml:space="preserve"> </w:t>
      </w:r>
    </w:p>
    <w:p w14:paraId="51C56D46" w14:textId="77777777" w:rsidR="005D00D0" w:rsidRPr="00702FE7" w:rsidRDefault="005D00D0" w:rsidP="00A87DEB"/>
    <w:p w14:paraId="24A3121E" w14:textId="66EF0B47" w:rsidR="005D00D0" w:rsidRPr="00702FE7" w:rsidRDefault="005D00D0" w:rsidP="00A87DEB">
      <w:r w:rsidRPr="00702FE7">
        <w:t xml:space="preserve">Reviewing relevant literature it has become clear that finding straightforward links between health care coverage (government health spending) and mortality is challenging. </w:t>
      </w:r>
      <w:r w:rsidR="002E5383">
        <w:t xml:space="preserve">Early empirical research </w:t>
      </w:r>
      <w:r w:rsidR="00673DC9">
        <w:t xml:space="preserve">has </w:t>
      </w:r>
      <w:r w:rsidR="002E5383">
        <w:t xml:space="preserve">failed to </w:t>
      </w:r>
      <w:r w:rsidR="00454A1C">
        <w:t xml:space="preserve">discover causal effects of coverage on health, mostly </w:t>
      </w:r>
      <w:r w:rsidR="00673DC9">
        <w:t>due to</w:t>
      </w:r>
      <w:r w:rsidR="00454A1C">
        <w:t xml:space="preserve"> methodological issues. Later studies managed to correct for the reverse causality</w:t>
      </w:r>
      <w:r w:rsidRPr="00702FE7">
        <w:t xml:space="preserve"> </w:t>
      </w:r>
      <w:r w:rsidR="00454A1C">
        <w:t>by adopting</w:t>
      </w:r>
      <w:r w:rsidRPr="00702FE7">
        <w:t xml:space="preserve"> an instrumental variable approach.</w:t>
      </w:r>
      <w:r w:rsidR="00454A1C">
        <w:t xml:space="preserve"> This led to more optimistic estimates of the effect of coverage on mortality, however those stud</w:t>
      </w:r>
      <w:r w:rsidR="00673DC9">
        <w:t>ies do</w:t>
      </w:r>
      <w:r w:rsidR="00454A1C">
        <w:t xml:space="preserve"> stress the importance of good governance for the efficacy of health spending. In the reviewed literature m</w:t>
      </w:r>
      <w:r w:rsidRPr="00702FE7">
        <w:t>ilitary expenses</w:t>
      </w:r>
      <w:r w:rsidR="00454A1C">
        <w:t xml:space="preserve"> of neighboring countries</w:t>
      </w:r>
      <w:r w:rsidRPr="00702FE7">
        <w:t xml:space="preserve"> </w:t>
      </w:r>
      <w:r w:rsidR="00454A1C">
        <w:t xml:space="preserve">is </w:t>
      </w:r>
      <w:r w:rsidRPr="00702FE7">
        <w:t>often used as instrument, this in line with the use of battle related deaths in the Moreno-Serra and Smith (2015) study.</w:t>
      </w:r>
      <w:r w:rsidR="00634F76" w:rsidRPr="00702FE7">
        <w:t xml:space="preserve"> </w:t>
      </w:r>
      <w:r w:rsidR="00454A1C">
        <w:t xml:space="preserve">Although these </w:t>
      </w:r>
      <w:r w:rsidR="00634F76" w:rsidRPr="00702FE7">
        <w:t>studies indeed found significant</w:t>
      </w:r>
      <w:r w:rsidR="00454A1C">
        <w:t xml:space="preserve"> beneficial</w:t>
      </w:r>
      <w:r w:rsidR="00634F76" w:rsidRPr="00702FE7">
        <w:t xml:space="preserve"> effects of government health spending on (under-5) mortality</w:t>
      </w:r>
      <w:r w:rsidR="00673DC9">
        <w:t>, c</w:t>
      </w:r>
      <w:r w:rsidR="00454A1C">
        <w:t>ompared with t</w:t>
      </w:r>
      <w:r w:rsidR="00634F76" w:rsidRPr="00702FE7">
        <w:t>he</w:t>
      </w:r>
      <w:r w:rsidR="00454A1C">
        <w:t xml:space="preserve"> study by Moreno-Serra and Smith (2015) </w:t>
      </w:r>
      <w:r w:rsidR="00673DC9">
        <w:t>they</w:t>
      </w:r>
      <w:r w:rsidR="00634F76" w:rsidRPr="00702FE7">
        <w:t xml:space="preserve"> found fairly small effects. This difference in magnitude might also be partly due to differences in the econometric techniques used. </w:t>
      </w:r>
    </w:p>
    <w:p w14:paraId="1E793675" w14:textId="512FF71E" w:rsidR="00634F76" w:rsidRPr="00702FE7" w:rsidRDefault="00AD2461" w:rsidP="00BC42EA">
      <w:pPr>
        <w:pStyle w:val="Heading4"/>
      </w:pPr>
      <w:bookmarkStart w:id="11" w:name="_Toc427006232"/>
      <w:r w:rsidRPr="00702FE7">
        <w:t>Two-</w:t>
      </w:r>
      <w:r w:rsidR="008E6D5C" w:rsidRPr="00702FE7">
        <w:t>step i</w:t>
      </w:r>
      <w:r w:rsidR="00EC10D9" w:rsidRPr="00702FE7">
        <w:t>nstrumental variabl</w:t>
      </w:r>
      <w:r w:rsidR="008E6D5C" w:rsidRPr="00702FE7">
        <w:t>e approach</w:t>
      </w:r>
      <w:bookmarkEnd w:id="11"/>
    </w:p>
    <w:p w14:paraId="1594B8EC" w14:textId="2A567970" w:rsidR="00AD2461" w:rsidRPr="00702FE7" w:rsidRDefault="00AD2461" w:rsidP="00E34428">
      <w:pPr>
        <w:tabs>
          <w:tab w:val="left" w:pos="1126"/>
        </w:tabs>
      </w:pPr>
      <w:r w:rsidRPr="00702FE7">
        <w:t>The study by Moreno-Serra and Smith (2015) makes use of a two-step instrumental variable approach to deal with the reverse causality issue. In the methodology part their application will be further explained. This approach has been previously applied in a different context in the study “On the simultaneity problem in the aid and growth debate” by Brückner (2011). For completeness this study and the use of this approach is reviewed bellow.</w:t>
      </w:r>
    </w:p>
    <w:p w14:paraId="25797999" w14:textId="77777777" w:rsidR="00AD2461" w:rsidRPr="00702FE7" w:rsidRDefault="00AD2461" w:rsidP="00E34428">
      <w:pPr>
        <w:tabs>
          <w:tab w:val="left" w:pos="1126"/>
        </w:tabs>
      </w:pPr>
    </w:p>
    <w:p w14:paraId="2312E57B" w14:textId="3340D5D1" w:rsidR="00F66F13" w:rsidRPr="00702FE7" w:rsidRDefault="000E0852" w:rsidP="00E34428">
      <w:pPr>
        <w:tabs>
          <w:tab w:val="left" w:pos="1126"/>
        </w:tabs>
      </w:pPr>
      <w:r w:rsidRPr="00702FE7">
        <w:t>The aim of the study by</w:t>
      </w:r>
      <w:r w:rsidR="00AD2461" w:rsidRPr="00702FE7">
        <w:t xml:space="preserve"> </w:t>
      </w:r>
      <w:r w:rsidRPr="00702FE7">
        <w:t>Br</w:t>
      </w:r>
      <w:r w:rsidR="00F66F13" w:rsidRPr="00702FE7">
        <w:t>ü</w:t>
      </w:r>
      <w:r w:rsidRPr="00702FE7">
        <w:t xml:space="preserve">ckner (2011) was to estimate a causal effect of foreign aid on per capita GDP growth. He faced the problem that foreign aid is endogenous to per capita GDP growth, causing a reverse causal relation similar as the one faced in this research. A straightforward OLS regression therefore would suffer from downward bias due to the reverse negative effect of per capita GDP growth on foreign aid. To overcome this problem first the effect of per capita GDP growth on foreign aid is estimate using rainfall data as IV. </w:t>
      </w:r>
      <w:r w:rsidR="00F66F13" w:rsidRPr="00702FE7">
        <w:t>The second step is to use these estimates to construct adjusted foreign aid series where the reverse effect as estimated in the first step is eliminated. Now the causal effect of foreign aid on per capita GDP growth is estimated and is by definition free from reverse causality bias.</w:t>
      </w:r>
      <w:r w:rsidR="00734B1A" w:rsidRPr="00702FE7">
        <w:t xml:space="preserve"> Using</w:t>
      </w:r>
      <w:r w:rsidR="007F3642" w:rsidRPr="00702FE7">
        <w:t xml:space="preserve"> this approach they find (in contrast to previous literature) a significant positive average effect of foreign aid on per capita GDP growth. </w:t>
      </w:r>
      <w:sdt>
        <w:sdtPr>
          <w:id w:val="-1519535318"/>
          <w:citation/>
        </w:sdtPr>
        <w:sdtEndPr/>
        <w:sdtContent>
          <w:r w:rsidR="00F66F13" w:rsidRPr="00702FE7">
            <w:fldChar w:fldCharType="begin"/>
          </w:r>
          <w:r w:rsidR="00F66F13" w:rsidRPr="00702FE7">
            <w:instrText xml:space="preserve"> CITATION Brü11 \l 1033 </w:instrText>
          </w:r>
          <w:r w:rsidR="00F66F13" w:rsidRPr="00702FE7">
            <w:fldChar w:fldCharType="separate"/>
          </w:r>
          <w:r w:rsidR="00317F02">
            <w:rPr>
              <w:noProof/>
            </w:rPr>
            <w:t>(Brückner, 2011)</w:t>
          </w:r>
          <w:r w:rsidR="00F66F13" w:rsidRPr="00702FE7">
            <w:fldChar w:fldCharType="end"/>
          </w:r>
        </w:sdtContent>
      </w:sdt>
    </w:p>
    <w:p w14:paraId="70DE6951" w14:textId="77777777" w:rsidR="00F66F13" w:rsidRPr="00702FE7" w:rsidRDefault="00F66F13" w:rsidP="00E34428">
      <w:pPr>
        <w:tabs>
          <w:tab w:val="left" w:pos="1126"/>
        </w:tabs>
      </w:pPr>
    </w:p>
    <w:p w14:paraId="3AB568C6" w14:textId="26FA716F" w:rsidR="008E6D5C" w:rsidRPr="00702FE7" w:rsidRDefault="00F66F13" w:rsidP="00E34428">
      <w:pPr>
        <w:tabs>
          <w:tab w:val="left" w:pos="1126"/>
        </w:tabs>
      </w:pPr>
      <w:r w:rsidRPr="00702FE7">
        <w:t xml:space="preserve">  </w:t>
      </w:r>
    </w:p>
    <w:p w14:paraId="34E3550E" w14:textId="2B2AEC1D" w:rsidR="004C1116" w:rsidRPr="00702FE7" w:rsidRDefault="004C1116" w:rsidP="00634F76">
      <w:r w:rsidRPr="00702FE7">
        <w:br w:type="page"/>
      </w:r>
    </w:p>
    <w:p w14:paraId="6ED26258" w14:textId="3B810C0B" w:rsidR="00840FB0" w:rsidRPr="00702FE7" w:rsidRDefault="004C1116" w:rsidP="00602A74">
      <w:pPr>
        <w:pStyle w:val="Heading1"/>
      </w:pPr>
      <w:bookmarkStart w:id="12" w:name="_Toc427006233"/>
      <w:r w:rsidRPr="00702FE7">
        <w:t>Methodology</w:t>
      </w:r>
      <w:bookmarkEnd w:id="12"/>
    </w:p>
    <w:p w14:paraId="1D350DFC" w14:textId="36753054" w:rsidR="002008C9" w:rsidRPr="00702FE7" w:rsidRDefault="002008C9" w:rsidP="00BC42EA">
      <w:pPr>
        <w:pStyle w:val="Heading4"/>
      </w:pPr>
      <w:bookmarkStart w:id="13" w:name="_Toc427006234"/>
      <w:r w:rsidRPr="00702FE7">
        <w:t>Moreno-Serra &amp; Smith</w:t>
      </w:r>
      <w:r w:rsidR="007641AC">
        <w:t xml:space="preserve"> (2015)</w:t>
      </w:r>
      <w:r w:rsidRPr="00702FE7">
        <w:t xml:space="preserve"> method explained</w:t>
      </w:r>
      <w:bookmarkEnd w:id="13"/>
    </w:p>
    <w:p w14:paraId="49D9EA8C" w14:textId="5DF20AE7" w:rsidR="00296E4B" w:rsidRPr="00702FE7" w:rsidRDefault="00632123" w:rsidP="00BC42EA">
      <w:r w:rsidRPr="00702FE7">
        <w:t>The first part of this</w:t>
      </w:r>
      <w:r w:rsidR="00865763" w:rsidRPr="00702FE7">
        <w:t xml:space="preserve"> research follows the methodology as used by </w:t>
      </w:r>
      <w:r w:rsidR="008314FB" w:rsidRPr="00702FE7">
        <w:t>Moreno</w:t>
      </w:r>
      <w:r w:rsidR="00482C88" w:rsidRPr="00702FE7">
        <w:t>-Serra and Smith</w:t>
      </w:r>
      <w:r w:rsidR="00F745D3">
        <w:t xml:space="preserve"> (2015)</w:t>
      </w:r>
      <w:r w:rsidR="00482C88" w:rsidRPr="00702FE7">
        <w:t xml:space="preserve"> in “</w:t>
      </w:r>
      <w:r w:rsidR="00482C88" w:rsidRPr="00702FE7">
        <w:rPr>
          <w:bCs/>
          <w:i/>
        </w:rPr>
        <w:t>Broader health coverage is good for the nation’s health: evidence from country level panel data</w:t>
      </w:r>
      <w:r w:rsidR="00482C88" w:rsidRPr="00702FE7">
        <w:rPr>
          <w:bCs/>
        </w:rPr>
        <w:t>”</w:t>
      </w:r>
      <w:r w:rsidR="00870680" w:rsidRPr="00702FE7">
        <w:t xml:space="preserve">. In their study they use a strategy to address both the problem of reverse causality and confounders. </w:t>
      </w:r>
    </w:p>
    <w:p w14:paraId="4807E90E" w14:textId="2F2BFCAE" w:rsidR="00296E4B" w:rsidRPr="00702FE7" w:rsidRDefault="00296E4B" w:rsidP="00BC42EA">
      <w:pPr>
        <w:pStyle w:val="Heading4"/>
      </w:pPr>
      <w:bookmarkStart w:id="14" w:name="_Toc427006235"/>
      <w:r w:rsidRPr="00702FE7">
        <w:t>Confounders</w:t>
      </w:r>
      <w:bookmarkEnd w:id="14"/>
      <w:r w:rsidRPr="00702FE7">
        <w:t xml:space="preserve"> </w:t>
      </w:r>
    </w:p>
    <w:p w14:paraId="4B9D0229" w14:textId="4FC168AF" w:rsidR="00870680" w:rsidRPr="00702FE7" w:rsidRDefault="00296E4B" w:rsidP="00BC42EA">
      <w:r w:rsidRPr="00702FE7">
        <w:t>The start is</w:t>
      </w:r>
      <w:r w:rsidR="00870680" w:rsidRPr="00702FE7">
        <w:t xml:space="preserve"> a simple model where the population health outcome of interest in country </w:t>
      </w:r>
      <w:r w:rsidR="00870680" w:rsidRPr="00702FE7">
        <w:rPr>
          <w:i/>
        </w:rPr>
        <w:t>i</w:t>
      </w:r>
      <w:r w:rsidR="00870680" w:rsidRPr="00702FE7">
        <w:t xml:space="preserve"> at time</w:t>
      </w:r>
      <w:r w:rsidR="00870680" w:rsidRPr="00702FE7">
        <w:rPr>
          <w:i/>
        </w:rPr>
        <w:t xml:space="preserve"> t</w:t>
      </w:r>
      <w:r w:rsidR="00870680" w:rsidRPr="00702FE7">
        <w:t xml:space="preserve">, </w:t>
      </w:r>
      <w:r w:rsidR="00870680" w:rsidRPr="00702FE7">
        <w:rPr>
          <w:i/>
        </w:rPr>
        <w:t>y</w:t>
      </w:r>
      <w:r w:rsidR="00870680" w:rsidRPr="00702FE7">
        <w:rPr>
          <w:i/>
          <w:vertAlign w:val="subscript"/>
        </w:rPr>
        <w:t>it</w:t>
      </w:r>
      <w:r w:rsidR="00870680" w:rsidRPr="00702FE7">
        <w:rPr>
          <w:i/>
        </w:rPr>
        <w:t>,</w:t>
      </w:r>
      <w:r w:rsidR="00870680" w:rsidRPr="00702FE7">
        <w:t xml:space="preserve"> depends on a vector C</w:t>
      </w:r>
      <w:r w:rsidR="00870680" w:rsidRPr="00702FE7">
        <w:rPr>
          <w:vertAlign w:val="subscript"/>
        </w:rPr>
        <w:t>it</w:t>
      </w:r>
      <w:r w:rsidR="00870680" w:rsidRPr="00702FE7">
        <w:t xml:space="preserve"> containing indicators of the level of health system coverage, and a vector X</w:t>
      </w:r>
      <w:r w:rsidR="00870680" w:rsidRPr="00702FE7">
        <w:rPr>
          <w:vertAlign w:val="subscript"/>
        </w:rPr>
        <w:t>it</w:t>
      </w:r>
      <w:r w:rsidR="00870680" w:rsidRPr="00702FE7">
        <w:t xml:space="preserve"> of covariates that might potentially influence both the outcome and health coverage. </w:t>
      </w:r>
      <w:r w:rsidRPr="00702FE7">
        <w:t>P</w:t>
      </w:r>
      <w:r w:rsidR="00870680" w:rsidRPr="00702FE7">
        <w:t>opulation health</w:t>
      </w:r>
      <w:r w:rsidRPr="00702FE7">
        <w:t xml:space="preserve"> is measured</w:t>
      </w:r>
      <w:r w:rsidR="00870680" w:rsidRPr="00702FE7">
        <w:t xml:space="preserve"> through mortality rates, and coverage through health spending measures and immunization rates. This simple model can be written as </w:t>
      </w:r>
    </w:p>
    <w:p w14:paraId="08AA3572" w14:textId="77777777" w:rsidR="00870680" w:rsidRPr="00702FE7" w:rsidRDefault="00870680" w:rsidP="00BC42EA"/>
    <w:p w14:paraId="3547B776" w14:textId="73463AD8" w:rsidR="00870680" w:rsidRPr="00702FE7" w:rsidRDefault="00870680" w:rsidP="00BC42EA">
      <w:r w:rsidRPr="00702FE7">
        <w:t>y</w:t>
      </w:r>
      <w:r w:rsidRPr="00702FE7">
        <w:rPr>
          <w:vertAlign w:val="subscript"/>
        </w:rPr>
        <w:t>it</w:t>
      </w:r>
      <w:r w:rsidRPr="00702FE7">
        <w:t xml:space="preserve"> = βC</w:t>
      </w:r>
      <w:r w:rsidRPr="00702FE7">
        <w:rPr>
          <w:vertAlign w:val="subscript"/>
        </w:rPr>
        <w:t>it</w:t>
      </w:r>
      <w:r w:rsidRPr="00702FE7">
        <w:t xml:space="preserve"> + δX</w:t>
      </w:r>
      <w:r w:rsidRPr="00702FE7">
        <w:rPr>
          <w:vertAlign w:val="subscript"/>
        </w:rPr>
        <w:t>it</w:t>
      </w:r>
      <w:r w:rsidRPr="00702FE7">
        <w:t xml:space="preserve"> + e</w:t>
      </w:r>
      <w:r w:rsidRPr="00702FE7">
        <w:rPr>
          <w:vertAlign w:val="subscript"/>
        </w:rPr>
        <w:t>it</w:t>
      </w:r>
      <w:r w:rsidRPr="00702FE7">
        <w:t xml:space="preserve"> </w:t>
      </w:r>
      <w:r w:rsidRPr="00702FE7">
        <w:tab/>
      </w:r>
      <w:r w:rsidRPr="00702FE7">
        <w:tab/>
      </w:r>
      <w:r w:rsidRPr="00702FE7">
        <w:tab/>
      </w:r>
      <w:r w:rsidRPr="00702FE7">
        <w:tab/>
      </w:r>
      <w:r w:rsidRPr="00702FE7">
        <w:tab/>
      </w:r>
      <w:r w:rsidRPr="00702FE7">
        <w:tab/>
      </w:r>
      <w:r w:rsidRPr="00702FE7">
        <w:tab/>
      </w:r>
      <w:r w:rsidRPr="00702FE7">
        <w:tab/>
      </w:r>
      <w:r w:rsidRPr="00702FE7">
        <w:tab/>
        <w:t>(1)</w:t>
      </w:r>
    </w:p>
    <w:p w14:paraId="4DD3308E" w14:textId="77777777" w:rsidR="00870680" w:rsidRPr="00702FE7" w:rsidRDefault="00870680" w:rsidP="00BC42EA"/>
    <w:p w14:paraId="3DA5B410" w14:textId="141E6161" w:rsidR="00870680" w:rsidRPr="00702FE7" w:rsidRDefault="001A182D" w:rsidP="00BC42EA">
      <w:r w:rsidRPr="00702FE7">
        <w:t>Where</w:t>
      </w:r>
      <w:r w:rsidR="00870680" w:rsidRPr="00702FE7">
        <w:t xml:space="preserve"> e</w:t>
      </w:r>
      <w:r w:rsidR="00870680" w:rsidRPr="00702FE7">
        <w:rPr>
          <w:vertAlign w:val="subscript"/>
        </w:rPr>
        <w:t>it</w:t>
      </w:r>
      <w:r w:rsidR="00870680" w:rsidRPr="00702FE7">
        <w:t xml:space="preserve"> is an error term capturing unobservable variables and random noise. </w:t>
      </w:r>
      <w:r w:rsidR="00564A96" w:rsidRPr="00702FE7">
        <w:t>The</w:t>
      </w:r>
      <w:r w:rsidR="00870680" w:rsidRPr="00702FE7">
        <w:t xml:space="preserve"> error term in equation (1)</w:t>
      </w:r>
      <w:r w:rsidR="00564A96" w:rsidRPr="00702FE7">
        <w:t xml:space="preserve"> can be decomposed</w:t>
      </w:r>
      <w:r w:rsidR="00870680" w:rsidRPr="00702FE7">
        <w:t xml:space="preserve"> into three components that account for different sources of endogeneity. Let the error term be denoted as</w:t>
      </w:r>
      <w:r w:rsidR="00564A96" w:rsidRPr="00702FE7">
        <w:t>:</w:t>
      </w:r>
      <w:r w:rsidR="00870680" w:rsidRPr="00702FE7">
        <w:t xml:space="preserve"> </w:t>
      </w:r>
    </w:p>
    <w:p w14:paraId="16513A13" w14:textId="77777777" w:rsidR="00870680" w:rsidRPr="00702FE7" w:rsidRDefault="00870680" w:rsidP="00BC42EA"/>
    <w:p w14:paraId="18F9A1EE" w14:textId="4BDE2F85" w:rsidR="00870680" w:rsidRPr="00702FE7" w:rsidRDefault="00870680" w:rsidP="00BC42EA">
      <w:r w:rsidRPr="00702FE7">
        <w:t>e</w:t>
      </w:r>
      <w:r w:rsidRPr="00702FE7">
        <w:rPr>
          <w:vertAlign w:val="subscript"/>
        </w:rPr>
        <w:t>it</w:t>
      </w:r>
      <w:r w:rsidRPr="00702FE7">
        <w:t xml:space="preserve"> =α</w:t>
      </w:r>
      <w:r w:rsidRPr="00702FE7">
        <w:rPr>
          <w:vertAlign w:val="subscript"/>
        </w:rPr>
        <w:t>i</w:t>
      </w:r>
      <w:r w:rsidRPr="00702FE7">
        <w:t xml:space="preserve"> +θ</w:t>
      </w:r>
      <w:r w:rsidRPr="00702FE7">
        <w:rPr>
          <w:vertAlign w:val="subscript"/>
        </w:rPr>
        <w:t>t</w:t>
      </w:r>
      <w:r w:rsidRPr="00702FE7">
        <w:t xml:space="preserve"> +</w:t>
      </w:r>
      <w:r w:rsidRPr="00702FE7">
        <w:rPr>
          <w:rFonts w:cs="Arial"/>
        </w:rPr>
        <w:t>ε</w:t>
      </w:r>
      <w:r w:rsidRPr="00702FE7">
        <w:rPr>
          <w:vertAlign w:val="subscript"/>
        </w:rPr>
        <w:t>it</w:t>
      </w:r>
      <w:r w:rsidRPr="00702FE7">
        <w:tab/>
        <w:t xml:space="preserve"> </w:t>
      </w:r>
      <w:r w:rsidRPr="00702FE7">
        <w:tab/>
      </w:r>
      <w:r w:rsidRPr="00702FE7">
        <w:tab/>
      </w:r>
      <w:r w:rsidRPr="00702FE7">
        <w:tab/>
      </w:r>
      <w:r w:rsidRPr="00702FE7">
        <w:tab/>
      </w:r>
      <w:r w:rsidRPr="00702FE7">
        <w:tab/>
      </w:r>
      <w:r w:rsidRPr="00702FE7">
        <w:tab/>
      </w:r>
      <w:r w:rsidRPr="00702FE7">
        <w:tab/>
      </w:r>
      <w:r w:rsidRPr="00702FE7">
        <w:tab/>
      </w:r>
      <w:r w:rsidRPr="00702FE7">
        <w:tab/>
        <w:t xml:space="preserve">(2) </w:t>
      </w:r>
    </w:p>
    <w:p w14:paraId="452DB65B" w14:textId="77777777" w:rsidR="00870680" w:rsidRPr="00702FE7" w:rsidRDefault="00870680" w:rsidP="00BC42EA"/>
    <w:p w14:paraId="3BC5F251" w14:textId="6C8A9549" w:rsidR="00870680" w:rsidRPr="00702FE7" w:rsidRDefault="00870680" w:rsidP="00BC42EA">
      <w:r w:rsidRPr="00702FE7">
        <w:t>In this formulation, α</w:t>
      </w:r>
      <w:r w:rsidRPr="00702FE7">
        <w:rPr>
          <w:vertAlign w:val="subscript"/>
        </w:rPr>
        <w:t>i</w:t>
      </w:r>
      <w:r w:rsidRPr="00702FE7">
        <w:t xml:space="preserve"> is a country-specific effect that captures time invariant unobservables that are potentially correlated with the levels of coverage and mortality observed in a given country. The term θ</w:t>
      </w:r>
      <w:r w:rsidRPr="00702FE7">
        <w:rPr>
          <w:vertAlign w:val="subscript"/>
        </w:rPr>
        <w:t>t</w:t>
      </w:r>
      <w:r w:rsidRPr="00702FE7">
        <w:t xml:space="preserve"> is a period-specific intercept that captures aggregate shocks affecting mortality outcomes in all countries at the same time. If all potential sources of endogeneity have been accounted for in the previous two components, ε</w:t>
      </w:r>
      <w:r w:rsidRPr="00702FE7">
        <w:rPr>
          <w:vertAlign w:val="subscript"/>
        </w:rPr>
        <w:t>it</w:t>
      </w:r>
      <w:r w:rsidRPr="00702FE7">
        <w:t xml:space="preserve"> represents a random, idiosyncratic error component. This formulation of the error term leads, by substituting equation (2) into equation (1), to the model</w:t>
      </w:r>
      <w:r w:rsidR="00564A96" w:rsidRPr="00702FE7">
        <w:t>:</w:t>
      </w:r>
      <w:r w:rsidRPr="00702FE7">
        <w:t xml:space="preserve"> </w:t>
      </w:r>
    </w:p>
    <w:p w14:paraId="6C4B8124" w14:textId="77777777" w:rsidR="00870680" w:rsidRPr="00702FE7" w:rsidRDefault="00870680" w:rsidP="00BC42EA"/>
    <w:p w14:paraId="33EDD283" w14:textId="684C5A1E" w:rsidR="00870680" w:rsidRPr="00702FE7" w:rsidRDefault="00870680" w:rsidP="00BC42EA">
      <w:r w:rsidRPr="00702FE7">
        <w:t>y</w:t>
      </w:r>
      <w:r w:rsidRPr="00702FE7">
        <w:rPr>
          <w:vertAlign w:val="subscript"/>
        </w:rPr>
        <w:t>it</w:t>
      </w:r>
      <w:r w:rsidRPr="00702FE7">
        <w:t xml:space="preserve"> =βC</w:t>
      </w:r>
      <w:r w:rsidRPr="00702FE7">
        <w:rPr>
          <w:vertAlign w:val="subscript"/>
        </w:rPr>
        <w:t>it</w:t>
      </w:r>
      <w:r w:rsidRPr="00702FE7">
        <w:t xml:space="preserve"> +δX</w:t>
      </w:r>
      <w:r w:rsidRPr="00702FE7">
        <w:rPr>
          <w:vertAlign w:val="subscript"/>
        </w:rPr>
        <w:t>it</w:t>
      </w:r>
      <w:r w:rsidRPr="00702FE7">
        <w:t xml:space="preserve"> +α</w:t>
      </w:r>
      <w:r w:rsidRPr="00702FE7">
        <w:rPr>
          <w:vertAlign w:val="subscript"/>
        </w:rPr>
        <w:t>i</w:t>
      </w:r>
      <w:r w:rsidRPr="00702FE7">
        <w:t xml:space="preserve"> +θ</w:t>
      </w:r>
      <w:r w:rsidRPr="00702FE7">
        <w:rPr>
          <w:vertAlign w:val="subscript"/>
        </w:rPr>
        <w:t>t</w:t>
      </w:r>
      <w:r w:rsidRPr="00702FE7">
        <w:t xml:space="preserve"> +ε</w:t>
      </w:r>
      <w:r w:rsidRPr="00702FE7">
        <w:rPr>
          <w:vertAlign w:val="subscript"/>
        </w:rPr>
        <w:t xml:space="preserve">it </w:t>
      </w:r>
      <w:r w:rsidRPr="00702FE7">
        <w:tab/>
      </w:r>
      <w:r w:rsidRPr="00702FE7">
        <w:tab/>
      </w:r>
      <w:r w:rsidRPr="00702FE7">
        <w:tab/>
      </w:r>
      <w:r w:rsidRPr="00702FE7">
        <w:tab/>
      </w:r>
      <w:r w:rsidRPr="00702FE7">
        <w:tab/>
      </w:r>
      <w:r w:rsidRPr="00702FE7">
        <w:tab/>
      </w:r>
      <w:r w:rsidRPr="00702FE7">
        <w:tab/>
      </w:r>
      <w:r w:rsidRPr="00702FE7">
        <w:tab/>
        <w:t xml:space="preserve">(3) </w:t>
      </w:r>
    </w:p>
    <w:p w14:paraId="27A641C2" w14:textId="77777777" w:rsidR="00870680" w:rsidRPr="00702FE7" w:rsidRDefault="00870680" w:rsidP="00BC42EA"/>
    <w:p w14:paraId="7EE38053" w14:textId="1B8E0390" w:rsidR="00296E4B" w:rsidRPr="00702FE7" w:rsidRDefault="00870680" w:rsidP="00BC42EA">
      <w:r w:rsidRPr="00702FE7">
        <w:t xml:space="preserve">This model can be estimated through a fixed effects approach. </w:t>
      </w:r>
      <w:r w:rsidR="00296E4B" w:rsidRPr="00702FE7">
        <w:t>T</w:t>
      </w:r>
      <w:r w:rsidRPr="00702FE7">
        <w:t>he within-country variation in outcomes and regressors over time is used to obtain the coefficients of interest. Since the country-specific effect α</w:t>
      </w:r>
      <w:r w:rsidRPr="00702FE7">
        <w:rPr>
          <w:vertAlign w:val="subscript"/>
        </w:rPr>
        <w:t>i</w:t>
      </w:r>
      <w:r w:rsidRPr="00702FE7">
        <w:t xml:space="preserve"> is fixed over time, the effects of time invariant unobservables captured by α</w:t>
      </w:r>
      <w:r w:rsidRPr="00702FE7">
        <w:rPr>
          <w:vertAlign w:val="subscript"/>
        </w:rPr>
        <w:t>i</w:t>
      </w:r>
      <w:r w:rsidRPr="00702FE7">
        <w:t xml:space="preserve"> are eliminated in the estimation. Fixed effects estimations with longitudinal data require the estimated standard errors to be adjusted for arbitrary types of serial cor</w:t>
      </w:r>
      <w:r w:rsidR="00296E4B" w:rsidRPr="00702FE7">
        <w:t xml:space="preserve">relation and heteroscedasticity. To control for this, </w:t>
      </w:r>
      <w:r w:rsidRPr="00702FE7">
        <w:t>panel robust standard errors</w:t>
      </w:r>
      <w:r w:rsidR="00564A96" w:rsidRPr="00702FE7">
        <w:t xml:space="preserve"> are</w:t>
      </w:r>
      <w:r w:rsidRPr="00702FE7">
        <w:t xml:space="preserve"> clustered at the country level. </w:t>
      </w:r>
    </w:p>
    <w:p w14:paraId="656E9DA1" w14:textId="0B99FB1B" w:rsidR="00296E4B" w:rsidRPr="00702FE7" w:rsidRDefault="00296E4B" w:rsidP="00BC42EA">
      <w:pPr>
        <w:pStyle w:val="Heading4"/>
      </w:pPr>
      <w:bookmarkStart w:id="15" w:name="_Toc427006236"/>
      <w:r w:rsidRPr="00702FE7">
        <w:t>Reverse causality</w:t>
      </w:r>
      <w:bookmarkEnd w:id="15"/>
    </w:p>
    <w:p w14:paraId="5FFB7B19" w14:textId="20620D82" w:rsidR="00870680" w:rsidRPr="00702FE7" w:rsidRDefault="00E13E13" w:rsidP="00BC42EA">
      <w:r w:rsidRPr="00702FE7">
        <w:t>Next step is to solve the problem of possible revers</w:t>
      </w:r>
      <w:r w:rsidR="00564A96" w:rsidRPr="00702FE7">
        <w:t>e causality. In order to do so the</w:t>
      </w:r>
      <w:r w:rsidR="00870680" w:rsidRPr="00702FE7">
        <w:t xml:space="preserve"> two-step IV approach</w:t>
      </w:r>
      <w:r w:rsidR="00564A96" w:rsidRPr="00702FE7">
        <w:t>, which has been discussed before in the context of the study by Brückner (2011), is used</w:t>
      </w:r>
      <w:r w:rsidRPr="00702FE7">
        <w:t>. The first steps</w:t>
      </w:r>
      <w:r w:rsidR="00870680" w:rsidRPr="00702FE7">
        <w:t xml:space="preserve"> estimate</w:t>
      </w:r>
      <w:r w:rsidRPr="00702FE7">
        <w:t>s</w:t>
      </w:r>
      <w:r w:rsidR="00870680" w:rsidRPr="00702FE7">
        <w:t xml:space="preserve"> any reverse causal effects of mortality outcomes on coverage indicators, to adjust for these effects directly when estimating the effects of health coverage</w:t>
      </w:r>
      <w:r w:rsidRPr="00702FE7">
        <w:t xml:space="preserve"> on mortality in a second step.</w:t>
      </w:r>
    </w:p>
    <w:p w14:paraId="707F6944" w14:textId="77777777" w:rsidR="005F49CC" w:rsidRPr="00702FE7" w:rsidRDefault="005F49CC" w:rsidP="00BC42EA"/>
    <w:p w14:paraId="316BB9F0" w14:textId="027D3EB9" w:rsidR="00870680" w:rsidRPr="00702FE7" w:rsidRDefault="000273ED" w:rsidP="00BC42EA">
      <w:r w:rsidRPr="00702FE7">
        <w:t>Consider</w:t>
      </w:r>
      <w:r w:rsidR="00870680" w:rsidRPr="00702FE7">
        <w:t xml:space="preserve"> a potential reverse causality of mortality outcomes leading to increased coverage. Let th</w:t>
      </w:r>
      <w:r w:rsidRPr="00702FE7">
        <w:t>is relationship be expressed as:</w:t>
      </w:r>
    </w:p>
    <w:p w14:paraId="4DAE5E40" w14:textId="77777777" w:rsidR="00870680" w:rsidRPr="00702FE7" w:rsidRDefault="00870680" w:rsidP="00BC42EA"/>
    <w:p w14:paraId="0CC8FA7E" w14:textId="111BBD2F" w:rsidR="00870680" w:rsidRPr="00702FE7" w:rsidRDefault="00870680" w:rsidP="00BC42EA">
      <w:r w:rsidRPr="00702FE7">
        <w:t>C</w:t>
      </w:r>
      <w:r w:rsidRPr="00702FE7">
        <w:rPr>
          <w:vertAlign w:val="subscript"/>
        </w:rPr>
        <w:t>it</w:t>
      </w:r>
      <w:r w:rsidRPr="00702FE7">
        <w:t xml:space="preserve"> =λy</w:t>
      </w:r>
      <w:r w:rsidRPr="00702FE7">
        <w:rPr>
          <w:vertAlign w:val="subscript"/>
        </w:rPr>
        <w:t>it</w:t>
      </w:r>
      <w:r w:rsidRPr="00702FE7">
        <w:t xml:space="preserve"> +φX</w:t>
      </w:r>
      <w:r w:rsidRPr="00702FE7">
        <w:rPr>
          <w:vertAlign w:val="subscript"/>
        </w:rPr>
        <w:t>it</w:t>
      </w:r>
      <w:r w:rsidRPr="00702FE7">
        <w:t xml:space="preserve"> +γ</w:t>
      </w:r>
      <w:r w:rsidRPr="00702FE7">
        <w:rPr>
          <w:vertAlign w:val="subscript"/>
        </w:rPr>
        <w:t>i</w:t>
      </w:r>
      <w:r w:rsidRPr="00702FE7">
        <w:t xml:space="preserve"> +ω</w:t>
      </w:r>
      <w:r w:rsidRPr="00702FE7">
        <w:rPr>
          <w:vertAlign w:val="subscript"/>
        </w:rPr>
        <w:t xml:space="preserve">t </w:t>
      </w:r>
      <w:r w:rsidRPr="00702FE7">
        <w:t>+μ</w:t>
      </w:r>
      <w:r w:rsidRPr="00702FE7">
        <w:rPr>
          <w:vertAlign w:val="subscript"/>
        </w:rPr>
        <w:t>it</w:t>
      </w:r>
      <w:r w:rsidR="00296E4B" w:rsidRPr="00702FE7">
        <w:tab/>
      </w:r>
      <w:r w:rsidRPr="00702FE7">
        <w:t xml:space="preserve"> </w:t>
      </w:r>
      <w:r w:rsidRPr="00702FE7">
        <w:tab/>
      </w:r>
      <w:r w:rsidRPr="00702FE7">
        <w:tab/>
      </w:r>
      <w:r w:rsidRPr="00702FE7">
        <w:tab/>
      </w:r>
      <w:r w:rsidRPr="00702FE7">
        <w:tab/>
      </w:r>
      <w:r w:rsidRPr="00702FE7">
        <w:tab/>
      </w:r>
      <w:r w:rsidRPr="00702FE7">
        <w:tab/>
      </w:r>
      <w:r w:rsidRPr="00702FE7">
        <w:tab/>
        <w:t xml:space="preserve">(4) </w:t>
      </w:r>
    </w:p>
    <w:p w14:paraId="04D11894" w14:textId="77777777" w:rsidR="00870680" w:rsidRPr="00702FE7" w:rsidRDefault="00870680" w:rsidP="00BC42EA"/>
    <w:p w14:paraId="663FFECD" w14:textId="3B390338" w:rsidR="000273ED" w:rsidRPr="00702FE7" w:rsidRDefault="00E13E13" w:rsidP="00BC42EA">
      <w:r w:rsidRPr="00702FE7">
        <w:t xml:space="preserve">For each pairwise combination of mortality and coverage indicators, a separate version of equation (4) is estimated to obtain consistent estimates of the reverse causal effect of mortality on coverage, λ. This is done by a method called </w:t>
      </w:r>
      <w:r w:rsidR="000273ED" w:rsidRPr="00702FE7">
        <w:t>two-step generalized method-of-moments (method IV-GMM).</w:t>
      </w:r>
    </w:p>
    <w:p w14:paraId="3567FFF3" w14:textId="03E5FA32" w:rsidR="00E13E13" w:rsidRPr="00702FE7" w:rsidRDefault="00E13E13" w:rsidP="00BC42EA">
      <w:r w:rsidRPr="00702FE7">
        <w:t>By inspecting the sign and s</w:t>
      </w:r>
      <w:r w:rsidR="000273ED" w:rsidRPr="00702FE7">
        <w:t>tatistical significance of λ,</w:t>
      </w:r>
      <w:r w:rsidRPr="00702FE7">
        <w:t xml:space="preserve"> the direction of the bias that woul</w:t>
      </w:r>
      <w:r w:rsidR="000273ED" w:rsidRPr="00702FE7">
        <w:t>d affect the coefficients of the</w:t>
      </w:r>
      <w:r w:rsidRPr="00702FE7">
        <w:t xml:space="preserve"> coverage variables</w:t>
      </w:r>
      <w:r w:rsidR="000273ED" w:rsidRPr="00702FE7">
        <w:t xml:space="preserve"> can be estimated. </w:t>
      </w:r>
      <w:r w:rsidRPr="00702FE7">
        <w:t>A positive λ would mean that higher mor</w:t>
      </w:r>
      <w:r w:rsidR="000273ED" w:rsidRPr="00702FE7">
        <w:t xml:space="preserve">tality causally leads to higher </w:t>
      </w:r>
      <w:r w:rsidRPr="00702FE7">
        <w:t>coverage, thus resulting in an estimated coverage coefficient β in equation (3) that is biased upwards</w:t>
      </w:r>
      <w:r w:rsidR="000273ED" w:rsidRPr="00702FE7">
        <w:t xml:space="preserve">. </w:t>
      </w:r>
      <w:r w:rsidRPr="00702FE7">
        <w:t xml:space="preserve">Conversely, a negative λ would imply a negative causal effect of mortality on coverage, leading to a standard fixed effects estimate of the effect of coverage in equation (3) that is biased downwards. </w:t>
      </w:r>
    </w:p>
    <w:p w14:paraId="71D2D01C" w14:textId="77777777" w:rsidR="00E13E13" w:rsidRPr="00702FE7" w:rsidRDefault="00E13E13" w:rsidP="00BC42EA"/>
    <w:p w14:paraId="75134068" w14:textId="13530825" w:rsidR="00870680" w:rsidRPr="00702FE7" w:rsidRDefault="000273ED" w:rsidP="00BC42EA">
      <w:r w:rsidRPr="00702FE7">
        <w:t>T</w:t>
      </w:r>
      <w:r w:rsidR="00870680" w:rsidRPr="00702FE7">
        <w:t>he results from the consistent estimation of equation (4)</w:t>
      </w:r>
      <w:r w:rsidRPr="00702FE7">
        <w:t xml:space="preserve"> are used</w:t>
      </w:r>
      <w:r w:rsidR="00870680" w:rsidRPr="00702FE7">
        <w:t xml:space="preserve"> to avoid the potential simultaneity and other biases that were described above. This is done, in a second step, by estimating equation (3) through an IV procedure that </w:t>
      </w:r>
      <w:r w:rsidR="00573633" w:rsidRPr="00702FE7">
        <w:t>purges</w:t>
      </w:r>
      <w:r w:rsidR="00870680" w:rsidRPr="00702FE7">
        <w:t xml:space="preserve"> the reverse effect of mortalit</w:t>
      </w:r>
      <w:r w:rsidRPr="00702FE7">
        <w:t>y on coverage measures. T</w:t>
      </w:r>
      <w:r w:rsidR="00870680" w:rsidRPr="00702FE7">
        <w:t>he IV mortality coefficients λ estimated from equation (4)</w:t>
      </w:r>
      <w:r w:rsidRPr="00702FE7">
        <w:t xml:space="preserve"> are used</w:t>
      </w:r>
      <w:r w:rsidR="00870680" w:rsidRPr="00702FE7">
        <w:t xml:space="preserve"> to construct adjusted series of coverage indicators C</w:t>
      </w:r>
      <w:r w:rsidR="00E13E13" w:rsidRPr="00702FE7">
        <w:t>*</w:t>
      </w:r>
      <w:r w:rsidR="00870680" w:rsidRPr="00702FE7">
        <w:t xml:space="preserve"> for each country, subtracting the effect of mortality on each coverage indicator:</w:t>
      </w:r>
    </w:p>
    <w:p w14:paraId="6D269833" w14:textId="77777777" w:rsidR="00632123" w:rsidRPr="00702FE7" w:rsidRDefault="00632123" w:rsidP="00BC42EA"/>
    <w:p w14:paraId="46111D46" w14:textId="549963E7" w:rsidR="00870680" w:rsidRPr="00702FE7" w:rsidRDefault="00296E4B" w:rsidP="00BC42EA">
      <w:r w:rsidRPr="00702FE7">
        <w:t>C*</w:t>
      </w:r>
      <w:r w:rsidRPr="00702FE7">
        <w:rPr>
          <w:vertAlign w:val="subscript"/>
        </w:rPr>
        <w:t>it</w:t>
      </w:r>
      <w:r w:rsidRPr="00702FE7">
        <w:t>=C −λy</w:t>
      </w:r>
      <w:r w:rsidRPr="00702FE7">
        <w:rPr>
          <w:vertAlign w:val="subscript"/>
        </w:rPr>
        <w:t>it</w:t>
      </w:r>
      <w:r w:rsidR="00870680" w:rsidRPr="00702FE7">
        <w:tab/>
      </w:r>
      <w:r w:rsidR="00870680" w:rsidRPr="00702FE7">
        <w:tab/>
      </w:r>
      <w:r w:rsidR="00870680" w:rsidRPr="00702FE7">
        <w:tab/>
      </w:r>
      <w:r w:rsidR="00870680" w:rsidRPr="00702FE7">
        <w:tab/>
      </w:r>
      <w:r w:rsidR="00870680" w:rsidRPr="00702FE7">
        <w:tab/>
      </w:r>
      <w:r w:rsidR="00870680" w:rsidRPr="00702FE7">
        <w:tab/>
      </w:r>
      <w:r w:rsidR="00870680" w:rsidRPr="00702FE7">
        <w:tab/>
      </w:r>
      <w:r w:rsidR="00870680" w:rsidRPr="00702FE7">
        <w:tab/>
      </w:r>
      <w:r w:rsidR="00870680" w:rsidRPr="00702FE7">
        <w:tab/>
      </w:r>
      <w:r w:rsidR="00870680" w:rsidRPr="00702FE7">
        <w:tab/>
        <w:t>(5)</w:t>
      </w:r>
    </w:p>
    <w:p w14:paraId="62ADB899" w14:textId="77777777" w:rsidR="00870680" w:rsidRPr="00702FE7" w:rsidRDefault="00870680" w:rsidP="00BC42EA"/>
    <w:p w14:paraId="337B460D" w14:textId="5ED63E30" w:rsidR="00931510" w:rsidRPr="00702FE7" w:rsidRDefault="000273ED" w:rsidP="00BC42EA">
      <w:r w:rsidRPr="00702FE7">
        <w:t xml:space="preserve">Then C* is used as an instrument for the corresponding coverage indicator in equation (3). Since this procedure leads to only one constructed instrument for each coverage measure, equation (3) is estimated through the two-stage least squares (IV-2SLS) approach. </w:t>
      </w:r>
      <w:r w:rsidR="004D7927" w:rsidRPr="00702FE7">
        <w:t>Lastly variables</w:t>
      </w:r>
      <w:r w:rsidR="00974D27" w:rsidRPr="00702FE7">
        <w:t xml:space="preserve"> such as GDP and primary education enrollment rate</w:t>
      </w:r>
      <w:r w:rsidR="004D7927" w:rsidRPr="00702FE7">
        <w:t xml:space="preserve"> are added to the model that correct for within-country variations in socio-economic and demographic factors</w:t>
      </w:r>
      <w:r w:rsidR="00931510" w:rsidRPr="00702FE7">
        <w:t xml:space="preserve">, to solve for remaining possible correlation in the error terms. </w:t>
      </w:r>
    </w:p>
    <w:p w14:paraId="02794B32" w14:textId="3901C100" w:rsidR="00602A74" w:rsidRPr="00702FE7" w:rsidRDefault="001B50B5" w:rsidP="00602A74">
      <w:pPr>
        <w:pStyle w:val="Heading4"/>
      </w:pPr>
      <w:bookmarkStart w:id="16" w:name="_Toc427006237"/>
      <w:r w:rsidRPr="00702FE7">
        <w:t>Alternative</w:t>
      </w:r>
      <w:r w:rsidR="00602A74" w:rsidRPr="00702FE7">
        <w:t xml:space="preserve"> model</w:t>
      </w:r>
      <w:bookmarkEnd w:id="16"/>
    </w:p>
    <w:p w14:paraId="5F8F4A4B" w14:textId="09A9C1D0" w:rsidR="001B50B5" w:rsidRPr="00702FE7" w:rsidRDefault="001B50B5" w:rsidP="00602A74">
      <w:r w:rsidRPr="00702FE7">
        <w:t>Because of unexpected differences between the updated dataset</w:t>
      </w:r>
      <w:r w:rsidR="00602A74" w:rsidRPr="00702FE7">
        <w:t xml:space="preserve"> </w:t>
      </w:r>
      <w:r w:rsidRPr="00702FE7">
        <w:t>and the original data used by Moreno-Serra and Smith (2015) it has been chosen to build a</w:t>
      </w:r>
      <w:r w:rsidR="00B12FF7">
        <w:t>n</w:t>
      </w:r>
      <w:r w:rsidRPr="00702FE7">
        <w:t xml:space="preserve"> alternative model rather than to redo the study. This new model is econometrically less advanced but </w:t>
      </w:r>
      <w:r w:rsidR="00673DC9">
        <w:t xml:space="preserve">nonetheless does make some </w:t>
      </w:r>
      <w:r w:rsidRPr="00702FE7">
        <w:t>attempts to overcome some of the endogeneity issues.</w:t>
      </w:r>
    </w:p>
    <w:p w14:paraId="02467178" w14:textId="1721FFE8" w:rsidR="00602A74" w:rsidRPr="00702FE7" w:rsidRDefault="001B50B5" w:rsidP="00602A74">
      <w:r w:rsidRPr="00702FE7">
        <w:t xml:space="preserve"> </w:t>
      </w:r>
    </w:p>
    <w:p w14:paraId="4F2DB3D4" w14:textId="093CE7E4" w:rsidR="00345A08" w:rsidRPr="00702FE7" w:rsidRDefault="00345A08" w:rsidP="00602A74">
      <w:r w:rsidRPr="00702FE7">
        <w:t>The baseline model that will be estimated is equal to equation (3) in the above part. With the</w:t>
      </w:r>
      <w:r w:rsidR="009206EF">
        <w:t xml:space="preserve"> time- and</w:t>
      </w:r>
      <w:r w:rsidRPr="00702FE7">
        <w:t xml:space="preserve"> country-</w:t>
      </w:r>
      <w:r w:rsidR="009206EF">
        <w:t xml:space="preserve"> </w:t>
      </w:r>
      <w:r w:rsidRPr="00702FE7">
        <w:t>specific effect α</w:t>
      </w:r>
      <w:r w:rsidRPr="00702FE7">
        <w:rPr>
          <w:vertAlign w:val="subscript"/>
        </w:rPr>
        <w:t>i</w:t>
      </w:r>
      <w:r w:rsidR="009206EF">
        <w:t xml:space="preserve"> is fixed</w:t>
      </w:r>
      <w:r w:rsidRPr="00702FE7">
        <w:t xml:space="preserve"> over time and the use of panel robust standard errors clustered at the country level this equation can be reduced to the following:</w:t>
      </w:r>
    </w:p>
    <w:p w14:paraId="2C8C4659" w14:textId="77777777" w:rsidR="00345A08" w:rsidRPr="00702FE7" w:rsidRDefault="00345A08" w:rsidP="00602A74"/>
    <w:p w14:paraId="4FD1D1A6" w14:textId="705DE350" w:rsidR="00345A08" w:rsidRPr="00702FE7" w:rsidRDefault="00345A08" w:rsidP="00602A74">
      <w:r w:rsidRPr="00702FE7">
        <w:t>y</w:t>
      </w:r>
      <w:r w:rsidRPr="00702FE7">
        <w:rPr>
          <w:vertAlign w:val="subscript"/>
        </w:rPr>
        <w:t>it</w:t>
      </w:r>
      <w:r w:rsidRPr="00702FE7">
        <w:t xml:space="preserve"> =βC</w:t>
      </w:r>
      <w:r w:rsidRPr="00702FE7">
        <w:rPr>
          <w:vertAlign w:val="subscript"/>
        </w:rPr>
        <w:t>it</w:t>
      </w:r>
      <w:r w:rsidRPr="00702FE7">
        <w:t xml:space="preserve"> +δX</w:t>
      </w:r>
      <w:r w:rsidRPr="00702FE7">
        <w:rPr>
          <w:vertAlign w:val="subscript"/>
        </w:rPr>
        <w:t>it</w:t>
      </w:r>
      <w:r w:rsidRPr="00702FE7">
        <w:t xml:space="preserve"> +ε</w:t>
      </w:r>
      <w:r w:rsidRPr="00702FE7">
        <w:rPr>
          <w:vertAlign w:val="subscript"/>
        </w:rPr>
        <w:t>it</w:t>
      </w:r>
      <w:r w:rsidRPr="00702FE7">
        <w:rPr>
          <w:vertAlign w:val="subscript"/>
        </w:rPr>
        <w:tab/>
      </w:r>
      <w:r w:rsidRPr="00702FE7">
        <w:rPr>
          <w:vertAlign w:val="subscript"/>
        </w:rPr>
        <w:tab/>
      </w:r>
      <w:r w:rsidRPr="00702FE7">
        <w:rPr>
          <w:vertAlign w:val="subscript"/>
        </w:rPr>
        <w:tab/>
      </w:r>
      <w:r w:rsidRPr="00702FE7">
        <w:rPr>
          <w:vertAlign w:val="subscript"/>
        </w:rPr>
        <w:tab/>
      </w:r>
      <w:r w:rsidRPr="00702FE7">
        <w:rPr>
          <w:vertAlign w:val="subscript"/>
        </w:rPr>
        <w:tab/>
      </w:r>
      <w:r w:rsidRPr="00702FE7">
        <w:rPr>
          <w:vertAlign w:val="subscript"/>
        </w:rPr>
        <w:tab/>
      </w:r>
      <w:r w:rsidRPr="00702FE7">
        <w:tab/>
      </w:r>
      <w:r w:rsidRPr="00702FE7">
        <w:tab/>
      </w:r>
      <w:r w:rsidRPr="00702FE7">
        <w:tab/>
        <w:t>(6)</w:t>
      </w:r>
    </w:p>
    <w:p w14:paraId="5CE65CA9" w14:textId="11ED254C" w:rsidR="00345A08" w:rsidRPr="00702FE7" w:rsidRDefault="00B326A7" w:rsidP="00602A74">
      <w:r w:rsidRPr="00702FE7">
        <w:t>Equation</w:t>
      </w:r>
      <w:r w:rsidR="00345A08" w:rsidRPr="00702FE7">
        <w:t xml:space="preserve"> (6) </w:t>
      </w:r>
      <w:r w:rsidRPr="00702FE7">
        <w:t xml:space="preserve">implies a linear relation between the mortality outcomes and the coverage indicators. However from theory it is know that a concave relation between GDP and life expectancy exists. </w:t>
      </w:r>
      <w:sdt>
        <w:sdtPr>
          <w:id w:val="-1009528143"/>
          <w:citation/>
        </w:sdtPr>
        <w:sdtEndPr/>
        <w:sdtContent>
          <w:r w:rsidRPr="00702FE7">
            <w:fldChar w:fldCharType="begin"/>
          </w:r>
          <w:r w:rsidRPr="00702FE7">
            <w:instrText xml:space="preserve"> CITATION Pre75 \l 1033 </w:instrText>
          </w:r>
          <w:r w:rsidRPr="00702FE7">
            <w:fldChar w:fldCharType="separate"/>
          </w:r>
          <w:r w:rsidR="00317F02">
            <w:rPr>
              <w:noProof/>
            </w:rPr>
            <w:t>(Preston, 1975)</w:t>
          </w:r>
          <w:r w:rsidRPr="00702FE7">
            <w:fldChar w:fldCharType="end"/>
          </w:r>
        </w:sdtContent>
      </w:sdt>
      <w:r w:rsidRPr="00702FE7">
        <w:t xml:space="preserve"> Estimating a linear model would thus not be a good fit to the data. In order to overcome this the natural logarithm of the coverage indicators is used. To simplify interpretation of the coefficients also the mortality outcomes are transformed into their natural logarithm, making equation (7</w:t>
      </w:r>
      <w:r w:rsidR="00734B1A" w:rsidRPr="00702FE7">
        <w:t>) an estimation of elasticity’s:</w:t>
      </w:r>
      <w:r w:rsidRPr="00702FE7">
        <w:t xml:space="preserve"> </w:t>
      </w:r>
    </w:p>
    <w:p w14:paraId="074C3B26" w14:textId="77777777" w:rsidR="00B326A7" w:rsidRPr="00702FE7" w:rsidRDefault="00B326A7" w:rsidP="00602A74"/>
    <w:p w14:paraId="0F01A746" w14:textId="00C30C50" w:rsidR="00B326A7" w:rsidRPr="00702FE7" w:rsidRDefault="00734B1A" w:rsidP="00602A74">
      <w:r w:rsidRPr="00702FE7">
        <w:t>ln (</w:t>
      </w:r>
      <w:r w:rsidR="00B326A7" w:rsidRPr="00702FE7">
        <w:t>y</w:t>
      </w:r>
      <w:r w:rsidR="00B326A7" w:rsidRPr="00702FE7">
        <w:rPr>
          <w:vertAlign w:val="subscript"/>
        </w:rPr>
        <w:t>it</w:t>
      </w:r>
      <w:r w:rsidRPr="00702FE7">
        <w:t>)</w:t>
      </w:r>
      <w:r w:rsidR="00B326A7" w:rsidRPr="00702FE7">
        <w:t xml:space="preserve"> =β</w:t>
      </w:r>
      <w:r w:rsidRPr="00702FE7">
        <w:t xml:space="preserve"> ln (</w:t>
      </w:r>
      <w:r w:rsidR="00B326A7" w:rsidRPr="00702FE7">
        <w:t>C</w:t>
      </w:r>
      <w:r w:rsidR="00B326A7" w:rsidRPr="00702FE7">
        <w:rPr>
          <w:vertAlign w:val="subscript"/>
        </w:rPr>
        <w:t>it</w:t>
      </w:r>
      <w:r w:rsidRPr="00702FE7">
        <w:t>)</w:t>
      </w:r>
      <w:r w:rsidR="00B326A7" w:rsidRPr="00702FE7">
        <w:t xml:space="preserve"> +δX</w:t>
      </w:r>
      <w:r w:rsidR="00B326A7" w:rsidRPr="00702FE7">
        <w:rPr>
          <w:vertAlign w:val="subscript"/>
        </w:rPr>
        <w:t>it</w:t>
      </w:r>
      <w:r w:rsidR="00B326A7" w:rsidRPr="00702FE7">
        <w:t xml:space="preserve"> +ε</w:t>
      </w:r>
      <w:r w:rsidR="00B326A7" w:rsidRPr="00702FE7">
        <w:rPr>
          <w:vertAlign w:val="subscript"/>
        </w:rPr>
        <w:t>it</w:t>
      </w:r>
      <w:r w:rsidR="00B326A7" w:rsidRPr="00702FE7">
        <w:rPr>
          <w:vertAlign w:val="subscript"/>
        </w:rPr>
        <w:tab/>
      </w:r>
      <w:r w:rsidR="00B326A7" w:rsidRPr="00702FE7">
        <w:rPr>
          <w:vertAlign w:val="subscript"/>
        </w:rPr>
        <w:tab/>
      </w:r>
      <w:r w:rsidR="00B326A7" w:rsidRPr="00702FE7">
        <w:rPr>
          <w:vertAlign w:val="subscript"/>
        </w:rPr>
        <w:tab/>
      </w:r>
      <w:r w:rsidR="00B326A7" w:rsidRPr="00702FE7">
        <w:rPr>
          <w:vertAlign w:val="subscript"/>
        </w:rPr>
        <w:tab/>
      </w:r>
      <w:r w:rsidR="00B326A7" w:rsidRPr="00702FE7">
        <w:rPr>
          <w:vertAlign w:val="subscript"/>
        </w:rPr>
        <w:tab/>
      </w:r>
      <w:r w:rsidR="00B326A7" w:rsidRPr="00702FE7">
        <w:rPr>
          <w:vertAlign w:val="subscript"/>
        </w:rPr>
        <w:tab/>
      </w:r>
      <w:r w:rsidR="00B326A7" w:rsidRPr="00702FE7">
        <w:rPr>
          <w:vertAlign w:val="subscript"/>
        </w:rPr>
        <w:tab/>
      </w:r>
      <w:r w:rsidR="00B326A7" w:rsidRPr="00702FE7">
        <w:tab/>
        <w:t>(7)</w:t>
      </w:r>
    </w:p>
    <w:p w14:paraId="55BC02B9" w14:textId="77777777" w:rsidR="00734B1A" w:rsidRPr="00702FE7" w:rsidRDefault="00734B1A" w:rsidP="00602A74"/>
    <w:p w14:paraId="3011043E" w14:textId="218C7CB0" w:rsidR="00560A42" w:rsidRPr="00702FE7" w:rsidRDefault="00734B1A" w:rsidP="00602A74">
      <w:r w:rsidRPr="00702FE7">
        <w:t>Equation (7) is similar to the model that is used in the Filmer &amp; Pritchett (1999) study. In their research they found similar results using OLS and a two-stage least squares (2SLS) regression</w:t>
      </w:r>
      <w:r w:rsidR="00984C44">
        <w:t xml:space="preserve"> with military</w:t>
      </w:r>
      <w:r w:rsidR="009D46F8">
        <w:t xml:space="preserve"> and public</w:t>
      </w:r>
      <w:r w:rsidR="00984C44">
        <w:t xml:space="preserve"> expenses</w:t>
      </w:r>
      <w:r w:rsidR="009D46F8">
        <w:t xml:space="preserve"> of neighboring countries as instruments</w:t>
      </w:r>
      <w:r w:rsidRPr="00702FE7">
        <w:t xml:space="preserve">. </w:t>
      </w:r>
      <w:r w:rsidR="009D46F8">
        <w:t>Although</w:t>
      </w:r>
      <w:r w:rsidRPr="00702FE7">
        <w:t xml:space="preserve"> they found </w:t>
      </w:r>
      <w:r w:rsidR="009D46F8">
        <w:t>little difference between the OLS and 2SLS model it is likely for reverse causality to be present</w:t>
      </w:r>
      <w:r w:rsidR="00465169">
        <w:t xml:space="preserve"> as shown in Moreno-Serra and Smith (2015)</w:t>
      </w:r>
      <w:r w:rsidRPr="00702FE7">
        <w:t>.</w:t>
      </w:r>
      <w:r w:rsidR="009D46F8">
        <w:t xml:space="preserve"> Because of the lack of a more reliable instrument this research only estimates the OLS model.</w:t>
      </w:r>
      <w:r w:rsidRPr="00702FE7">
        <w:t xml:space="preserve"> On the downside this means that the model </w:t>
      </w:r>
      <w:r w:rsidR="00573633" w:rsidRPr="00702FE7">
        <w:t>is likely to suffer</w:t>
      </w:r>
      <w:r w:rsidRPr="00702FE7">
        <w:t xml:space="preserve"> from reverse causality</w:t>
      </w:r>
      <w:r w:rsidR="009D46F8">
        <w:t>.</w:t>
      </w:r>
      <w:r w:rsidR="00560A42" w:rsidRPr="00702FE7">
        <w:t xml:space="preserve"> However on the other hand the use of a model that is similar to the Filmer &amp; Pritchett (1999) study allows</w:t>
      </w:r>
      <w:r w:rsidR="00465169">
        <w:t xml:space="preserve"> for comparison of the results.</w:t>
      </w:r>
    </w:p>
    <w:p w14:paraId="056EF238" w14:textId="3531A6AE" w:rsidR="00560A42" w:rsidRPr="00702FE7" w:rsidRDefault="0004045D" w:rsidP="0008770D">
      <w:pPr>
        <w:pStyle w:val="Heading4"/>
      </w:pPr>
      <w:bookmarkStart w:id="17" w:name="_Toc427006238"/>
      <w:r>
        <w:t>Sensitivity analysis</w:t>
      </w:r>
      <w:bookmarkEnd w:id="17"/>
      <w:r>
        <w:t xml:space="preserve"> </w:t>
      </w:r>
    </w:p>
    <w:p w14:paraId="018581EA" w14:textId="21A4CA94" w:rsidR="00290A92" w:rsidRDefault="0008770D" w:rsidP="0008770D">
      <w:r w:rsidRPr="00702FE7">
        <w:t>After estimating the baseline model some modifications are made to see how the model performs when assumptions are changed.</w:t>
      </w:r>
      <w:r w:rsidR="00465169">
        <w:t xml:space="preserve"> </w:t>
      </w:r>
    </w:p>
    <w:p w14:paraId="49FC45F0" w14:textId="77777777" w:rsidR="00465169" w:rsidRDefault="00465169" w:rsidP="0008770D"/>
    <w:p w14:paraId="05854F11" w14:textId="68499AE8" w:rsidR="00465169" w:rsidRDefault="00465169" w:rsidP="0008770D">
      <w:r>
        <w:t>First of all the model will be estimated with</w:t>
      </w:r>
      <w:r w:rsidR="000950E4">
        <w:t xml:space="preserve"> the </w:t>
      </w:r>
      <w:r w:rsidR="000950E4" w:rsidRPr="000950E4">
        <w:rPr>
          <w:b/>
          <w:u w:val="single"/>
        </w:rPr>
        <w:t>natural logarithm of per capita</w:t>
      </w:r>
      <w:r w:rsidRPr="000950E4">
        <w:rPr>
          <w:b/>
          <w:u w:val="single"/>
        </w:rPr>
        <w:t xml:space="preserve"> </w:t>
      </w:r>
      <w:r w:rsidR="000950E4" w:rsidRPr="000950E4">
        <w:rPr>
          <w:b/>
          <w:u w:val="single"/>
        </w:rPr>
        <w:t>public health care spending</w:t>
      </w:r>
      <w:r w:rsidR="000950E4">
        <w:t xml:space="preserve"> as coverage indicator. The baseline model uses the natural logarithm of per capita public health care spending (as % of GDP) as coverage indicator. Because the model also includes GDP per capita the correlation between the two might cause the estimates to be insignificant. </w:t>
      </w:r>
      <w:r>
        <w:t xml:space="preserve"> </w:t>
      </w:r>
      <w:r w:rsidR="000950E4">
        <w:t>In order to test for</w:t>
      </w:r>
      <w:r w:rsidR="00AC4E62">
        <w:t xml:space="preserve"> the effect of</w:t>
      </w:r>
      <w:r w:rsidR="000950E4">
        <w:t xml:space="preserve"> this</w:t>
      </w:r>
      <w:r w:rsidR="00AC4E62">
        <w:t xml:space="preserve"> correlation</w:t>
      </w:r>
      <w:r w:rsidR="000950E4">
        <w:t xml:space="preserve"> the baseline model is </w:t>
      </w:r>
      <w:r w:rsidR="00AC4E62">
        <w:t xml:space="preserve">re-estimated with the actual values of per capita public health care spending rather than as a fraction of GDP.   </w:t>
      </w:r>
    </w:p>
    <w:p w14:paraId="2C138FED" w14:textId="77777777" w:rsidR="00465169" w:rsidRPr="00702FE7" w:rsidRDefault="00465169" w:rsidP="0008770D"/>
    <w:p w14:paraId="1BE0DD75" w14:textId="0DB3029F" w:rsidR="004B0883" w:rsidRPr="00702FE7" w:rsidRDefault="004B0883" w:rsidP="0008770D">
      <w:r w:rsidRPr="00702FE7">
        <w:t xml:space="preserve">The </w:t>
      </w:r>
      <w:r w:rsidR="00465169">
        <w:t>second</w:t>
      </w:r>
      <w:r w:rsidRPr="00702FE7">
        <w:t xml:space="preserve"> modification to the baseline model will be to split up the dataset in </w:t>
      </w:r>
      <w:r w:rsidRPr="00A448A7">
        <w:rPr>
          <w:b/>
          <w:u w:val="single"/>
        </w:rPr>
        <w:t xml:space="preserve">high </w:t>
      </w:r>
      <w:r w:rsidR="00C63AD1" w:rsidRPr="00A448A7">
        <w:rPr>
          <w:b/>
          <w:u w:val="single"/>
        </w:rPr>
        <w:t xml:space="preserve">versus </w:t>
      </w:r>
      <w:r w:rsidRPr="00A448A7">
        <w:rPr>
          <w:b/>
          <w:u w:val="single"/>
        </w:rPr>
        <w:t>low/middle income countries</w:t>
      </w:r>
      <w:r w:rsidRPr="00702FE7">
        <w:t xml:space="preserve"> (LMIC). The most up to date threshold by the World Bank categorizes countries with a GDP per capita up to $12735 as LMIC. </w:t>
      </w:r>
      <w:sdt>
        <w:sdtPr>
          <w:id w:val="747613203"/>
          <w:citation/>
        </w:sdtPr>
        <w:sdtEndPr/>
        <w:sdtContent>
          <w:r w:rsidRPr="00702FE7">
            <w:fldChar w:fldCharType="begin"/>
          </w:r>
          <w:r w:rsidRPr="00702FE7">
            <w:instrText xml:space="preserve"> CITATION Wor15 \l 1033 </w:instrText>
          </w:r>
          <w:r w:rsidRPr="00702FE7">
            <w:fldChar w:fldCharType="separate"/>
          </w:r>
          <w:r w:rsidR="00317F02">
            <w:rPr>
              <w:noProof/>
            </w:rPr>
            <w:t>(World Bank, 2015)</w:t>
          </w:r>
          <w:r w:rsidRPr="00702FE7">
            <w:fldChar w:fldCharType="end"/>
          </w:r>
        </w:sdtContent>
      </w:sdt>
      <w:r w:rsidRPr="00702FE7">
        <w:t xml:space="preserve"> As already discussed in the theoretical framework the effect of government health spending is likely to be more beneficial to mortality rates in low and middle income countries. The original study by Moreno-Serra and Smith (2015) did also make a separate regression with only LMIC (GDP per capita up to $12195), finding much larger effects than their full sample estimates. </w:t>
      </w:r>
    </w:p>
    <w:p w14:paraId="1C9C94CB" w14:textId="77777777" w:rsidR="004B0883" w:rsidRPr="00702FE7" w:rsidRDefault="004B0883" w:rsidP="0008770D"/>
    <w:p w14:paraId="088C587E" w14:textId="4BB64F78" w:rsidR="0008770D" w:rsidRPr="00702FE7" w:rsidRDefault="0008770D" w:rsidP="0008770D">
      <w:r w:rsidRPr="00702FE7">
        <w:t xml:space="preserve">The </w:t>
      </w:r>
      <w:r w:rsidR="00465169">
        <w:t>third</w:t>
      </w:r>
      <w:r w:rsidRPr="00702FE7">
        <w:t xml:space="preserve"> test will be to re-estimate the model including only the </w:t>
      </w:r>
      <w:r w:rsidRPr="00A448A7">
        <w:rPr>
          <w:b/>
          <w:u w:val="single"/>
        </w:rPr>
        <w:t>larger countries</w:t>
      </w:r>
      <w:r w:rsidRPr="00702FE7">
        <w:t xml:space="preserve"> with a population of 1 million and above. Because the dataset consist of 221 countries and no </w:t>
      </w:r>
      <w:r w:rsidR="00573633" w:rsidRPr="00702FE7">
        <w:t>selectio</w:t>
      </w:r>
      <w:r w:rsidRPr="00702FE7">
        <w:t xml:space="preserve">n is made based on the sizes of </w:t>
      </w:r>
      <w:r w:rsidR="00290A92" w:rsidRPr="00702FE7">
        <w:t xml:space="preserve">a country. This means that </w:t>
      </w:r>
      <w:r w:rsidRPr="00702FE7">
        <w:t>the basel</w:t>
      </w:r>
      <w:r w:rsidR="00290A92" w:rsidRPr="00702FE7">
        <w:t>ine regression is influenced equally by data from a small island like Barbados and the whole of the United States of America. Because the size of a country does matter for their health system the baseline estimation is repeated with only countries that have over 1 million inhabitants.</w:t>
      </w:r>
    </w:p>
    <w:p w14:paraId="7FB932E8" w14:textId="77777777" w:rsidR="00117835" w:rsidRPr="00702FE7" w:rsidRDefault="00117835" w:rsidP="00602A74"/>
    <w:p w14:paraId="2FA95559" w14:textId="26980756" w:rsidR="004B0883" w:rsidRPr="00702FE7" w:rsidRDefault="004B0883" w:rsidP="00602A74">
      <w:r w:rsidRPr="00702FE7">
        <w:t xml:space="preserve">Next the dataset will be divided up into </w:t>
      </w:r>
      <w:r w:rsidRPr="00A448A7">
        <w:rPr>
          <w:b/>
          <w:u w:val="single"/>
        </w:rPr>
        <w:t>high and low governance</w:t>
      </w:r>
      <w:r w:rsidRPr="00702FE7">
        <w:t xml:space="preserve"> based on their average governance score. Governance is measured over six dimensions yearly by The World</w:t>
      </w:r>
      <w:r w:rsidR="00DC6793" w:rsidRPr="00702FE7">
        <w:t xml:space="preserve"> B</w:t>
      </w:r>
      <w:r w:rsidRPr="00702FE7">
        <w:t xml:space="preserve">ank Group and presented in the so-called </w:t>
      </w:r>
      <w:r w:rsidRPr="00702FE7">
        <w:rPr>
          <w:i/>
        </w:rPr>
        <w:t>“Worldwide Governance Indicators”</w:t>
      </w:r>
      <w:r w:rsidRPr="00702FE7">
        <w:t xml:space="preserve">. The six measures of governance all get a score from -2.5 (very low) to </w:t>
      </w:r>
      <w:r w:rsidR="00DC6793" w:rsidRPr="00702FE7">
        <w:t>+</w:t>
      </w:r>
      <w:r w:rsidRPr="00702FE7">
        <w:t xml:space="preserve">2.5 (very high). The six different measures are: voice and accountability, political stability and absence of violence/terrorism, government effectiveness, regulatory quality, </w:t>
      </w:r>
      <w:r w:rsidR="00DC6793" w:rsidRPr="00702FE7">
        <w:t xml:space="preserve">rule of law and control of corruption. </w:t>
      </w:r>
      <w:sdt>
        <w:sdtPr>
          <w:id w:val="1428309841"/>
          <w:citation/>
        </w:sdtPr>
        <w:sdtEndPr/>
        <w:sdtContent>
          <w:r w:rsidR="00DC6793" w:rsidRPr="00702FE7">
            <w:fldChar w:fldCharType="begin"/>
          </w:r>
          <w:r w:rsidR="00DC6793" w:rsidRPr="00702FE7">
            <w:instrText xml:space="preserve"> CITATION The14 \l 1033 </w:instrText>
          </w:r>
          <w:r w:rsidR="00DC6793" w:rsidRPr="00702FE7">
            <w:fldChar w:fldCharType="separate"/>
          </w:r>
          <w:r w:rsidR="00317F02">
            <w:rPr>
              <w:noProof/>
            </w:rPr>
            <w:t>(The World Bank Group, 2014)</w:t>
          </w:r>
          <w:r w:rsidR="00DC6793" w:rsidRPr="00702FE7">
            <w:fldChar w:fldCharType="end"/>
          </w:r>
        </w:sdtContent>
      </w:sdt>
      <w:r w:rsidR="00DC6793" w:rsidRPr="00702FE7">
        <w:t xml:space="preserve"> The average over these six measures is taken to construct a single governance score on a scale ranging from -2.5 to +2.5. This test will re-estimate the model with a sub-sample of countries with a negative governance score and once with those who have a positive governance score. The division between high and low governance is done to gain insights on the effect of governance on government health spending. </w:t>
      </w:r>
      <w:r w:rsidR="00D852C1" w:rsidRPr="00702FE7">
        <w:t xml:space="preserve">Since </w:t>
      </w:r>
      <w:r w:rsidR="00DC6793" w:rsidRPr="00702FE7">
        <w:t>previous research has shown</w:t>
      </w:r>
      <w:r w:rsidR="00D852C1" w:rsidRPr="00702FE7">
        <w:t xml:space="preserve"> the beneficial effects of</w:t>
      </w:r>
      <w:r w:rsidR="00DC6793" w:rsidRPr="00702FE7">
        <w:t xml:space="preserve"> additional government health spending to be</w:t>
      </w:r>
      <w:r w:rsidR="00D852C1" w:rsidRPr="00702FE7">
        <w:t xml:space="preserve"> conditional upon good governance</w:t>
      </w:r>
      <w:r w:rsidR="00DC6793" w:rsidRPr="00702FE7">
        <w:t xml:space="preserve">. </w:t>
      </w:r>
      <w:sdt>
        <w:sdtPr>
          <w:id w:val="1204367138"/>
          <w:citation/>
        </w:sdtPr>
        <w:sdtEndPr/>
        <w:sdtContent>
          <w:r w:rsidR="00D852C1" w:rsidRPr="00702FE7">
            <w:fldChar w:fldCharType="begin"/>
          </w:r>
          <w:r w:rsidR="00D852C1" w:rsidRPr="00702FE7">
            <w:instrText xml:space="preserve"> CITATION Fil99 \l 1033 </w:instrText>
          </w:r>
          <w:r w:rsidR="00D852C1" w:rsidRPr="00702FE7">
            <w:fldChar w:fldCharType="separate"/>
          </w:r>
          <w:r w:rsidR="00317F02">
            <w:rPr>
              <w:noProof/>
            </w:rPr>
            <w:t>(Filmer &amp; Pritchett, 1999)</w:t>
          </w:r>
          <w:r w:rsidR="00D852C1" w:rsidRPr="00702FE7">
            <w:fldChar w:fldCharType="end"/>
          </w:r>
        </w:sdtContent>
      </w:sdt>
    </w:p>
    <w:p w14:paraId="0E3C11C6" w14:textId="77777777" w:rsidR="004B0883" w:rsidRPr="00702FE7" w:rsidRDefault="004B0883" w:rsidP="00602A74"/>
    <w:p w14:paraId="58670056" w14:textId="1AC5E2EE" w:rsidR="00465169" w:rsidRDefault="00117835" w:rsidP="00465169">
      <w:r w:rsidRPr="00702FE7">
        <w:t xml:space="preserve">Lastly the baseline model will be re-estimated for the </w:t>
      </w:r>
      <w:r w:rsidR="00C63AD1" w:rsidRPr="00C63AD1">
        <w:t xml:space="preserve">time </w:t>
      </w:r>
      <w:r w:rsidRPr="008A644E">
        <w:t>period</w:t>
      </w:r>
      <w:r w:rsidRPr="00702FE7">
        <w:t xml:space="preserve"> 1995-2003 and 2004-2012. Separating the model into </w:t>
      </w:r>
      <w:r w:rsidRPr="00A448A7">
        <w:rPr>
          <w:b/>
          <w:u w:val="single"/>
        </w:rPr>
        <w:t>two time periods</w:t>
      </w:r>
      <w:r w:rsidRPr="00702FE7">
        <w:t xml:space="preserve"> of 8 ye</w:t>
      </w:r>
      <w:r w:rsidR="004537D1" w:rsidRPr="00702FE7">
        <w:t>ars will give information on if</w:t>
      </w:r>
      <w:r w:rsidRPr="00702FE7">
        <w:t xml:space="preserve"> the effect of government health spending on mortality has </w:t>
      </w:r>
      <w:r w:rsidR="004537D1" w:rsidRPr="00702FE7">
        <w:t>been stable over time</w:t>
      </w:r>
      <w:r w:rsidRPr="00702FE7">
        <w:t xml:space="preserve">. Here it is expected that the effect has lessened in the most recent 8 years because countries have become more economically developed. </w:t>
      </w:r>
    </w:p>
    <w:p w14:paraId="349F9456" w14:textId="77777777" w:rsidR="00465169" w:rsidRDefault="00465169">
      <w:pPr>
        <w:spacing w:line="240" w:lineRule="auto"/>
        <w:jc w:val="left"/>
      </w:pPr>
      <w:r>
        <w:br w:type="page"/>
      </w:r>
    </w:p>
    <w:p w14:paraId="7F49A516" w14:textId="5D8A52F6" w:rsidR="00602A74" w:rsidRPr="00702FE7" w:rsidRDefault="00602A74" w:rsidP="00602A74">
      <w:pPr>
        <w:pStyle w:val="Heading1"/>
      </w:pPr>
      <w:bookmarkStart w:id="18" w:name="_Toc427006239"/>
      <w:r w:rsidRPr="00702FE7">
        <w:t>Data</w:t>
      </w:r>
      <w:bookmarkEnd w:id="18"/>
    </w:p>
    <w:p w14:paraId="6AD0484B" w14:textId="1B726273" w:rsidR="00257A13" w:rsidRPr="00702FE7" w:rsidRDefault="00257A13" w:rsidP="00BC42EA">
      <w:pPr>
        <w:pStyle w:val="Heading4"/>
      </w:pPr>
      <w:bookmarkStart w:id="19" w:name="_Toc427006240"/>
      <w:r w:rsidRPr="00702FE7">
        <w:t>Independent variables</w:t>
      </w:r>
      <w:bookmarkEnd w:id="19"/>
    </w:p>
    <w:p w14:paraId="53724335" w14:textId="689F9380" w:rsidR="00257A13" w:rsidRPr="00702FE7" w:rsidRDefault="00982B0D" w:rsidP="00257A13">
      <w:r w:rsidRPr="00702FE7">
        <w:t xml:space="preserve">The independent variable used in both the models is population health measured in mortality. Three separate models for under-5 mortality (deaths per 1000 live births), female and male mortality are estimated. According to literature (Under-5) mortality rates are considered an important indicator for population health. </w:t>
      </w:r>
      <w:sdt>
        <w:sdtPr>
          <w:id w:val="-891264094"/>
          <w:citation/>
        </w:sdtPr>
        <w:sdtEndPr/>
        <w:sdtContent>
          <w:r w:rsidRPr="00702FE7">
            <w:fldChar w:fldCharType="begin"/>
          </w:r>
          <w:r w:rsidRPr="00702FE7">
            <w:instrText xml:space="preserve"> CITATION Rei03 \l 1033 </w:instrText>
          </w:r>
          <w:r w:rsidRPr="00702FE7">
            <w:fldChar w:fldCharType="separate"/>
          </w:r>
          <w:r w:rsidR="00317F02">
            <w:rPr>
              <w:noProof/>
            </w:rPr>
            <w:t>(Reidpath &amp; Allotey, 2003)</w:t>
          </w:r>
          <w:r w:rsidRPr="00702FE7">
            <w:fldChar w:fldCharType="end"/>
          </w:r>
        </w:sdtContent>
      </w:sdt>
      <w:r w:rsidRPr="00702FE7">
        <w:t xml:space="preserve"> The under-5 mortality</w:t>
      </w:r>
      <w:r w:rsidR="00D96607" w:rsidRPr="00702FE7">
        <w:t xml:space="preserve"> rates</w:t>
      </w:r>
      <w:r w:rsidRPr="00702FE7">
        <w:t xml:space="preserve"> </w:t>
      </w:r>
      <w:r w:rsidR="00D96607" w:rsidRPr="00702FE7">
        <w:t>are</w:t>
      </w:r>
      <w:r w:rsidRPr="00702FE7">
        <w:t xml:space="preserve"> retrieved from the</w:t>
      </w:r>
      <w:r w:rsidR="00F409B3" w:rsidRPr="00702FE7">
        <w:t xml:space="preserve"> “</w:t>
      </w:r>
      <w:r w:rsidR="00F409B3" w:rsidRPr="00702FE7">
        <w:rPr>
          <w:i/>
        </w:rPr>
        <w:t>Global Health Data Exchange</w:t>
      </w:r>
      <w:r w:rsidR="00F409B3" w:rsidRPr="00702FE7">
        <w:t xml:space="preserve">” </w:t>
      </w:r>
      <w:r w:rsidR="00D96607" w:rsidRPr="00702FE7">
        <w:t>coordinated</w:t>
      </w:r>
      <w:r w:rsidR="00F409B3" w:rsidRPr="00702FE7">
        <w:t xml:space="preserve"> by the</w:t>
      </w:r>
      <w:r w:rsidRPr="00702FE7">
        <w:t xml:space="preserve"> Institute o</w:t>
      </w:r>
      <w:r w:rsidR="00D96607" w:rsidRPr="00702FE7">
        <w:t xml:space="preserve">f Health Metrics and </w:t>
      </w:r>
      <w:r w:rsidR="00C63AD1" w:rsidRPr="00702FE7">
        <w:t>E</w:t>
      </w:r>
      <w:r w:rsidR="00C63AD1">
        <w:t>valu</w:t>
      </w:r>
      <w:r w:rsidR="00C63AD1" w:rsidRPr="00702FE7">
        <w:t>ation</w:t>
      </w:r>
      <w:r w:rsidR="00D96607" w:rsidRPr="00702FE7">
        <w:t xml:space="preserve">. </w:t>
      </w:r>
      <w:sdt>
        <w:sdtPr>
          <w:id w:val="-1231621884"/>
          <w:citation/>
        </w:sdtPr>
        <w:sdtEndPr/>
        <w:sdtContent>
          <w:r w:rsidR="00F409B3" w:rsidRPr="00702FE7">
            <w:fldChar w:fldCharType="begin"/>
          </w:r>
          <w:r w:rsidR="00D96607" w:rsidRPr="00702FE7">
            <w:instrText xml:space="preserve">CITATION Ins13 \l 1033 </w:instrText>
          </w:r>
          <w:r w:rsidR="00F409B3" w:rsidRPr="00702FE7">
            <w:fldChar w:fldCharType="separate"/>
          </w:r>
          <w:r w:rsidR="00317F02">
            <w:rPr>
              <w:noProof/>
            </w:rPr>
            <w:t>(Institute for Health Metrics and Evaluation, 2013)</w:t>
          </w:r>
          <w:r w:rsidR="00F409B3" w:rsidRPr="00702FE7">
            <w:fldChar w:fldCharType="end"/>
          </w:r>
        </w:sdtContent>
      </w:sdt>
      <w:r w:rsidRPr="00702FE7">
        <w:t xml:space="preserve"> The male and female mortality rates </w:t>
      </w:r>
      <w:r w:rsidR="00F409B3" w:rsidRPr="00702FE7">
        <w:t>from the “</w:t>
      </w:r>
      <w:r w:rsidR="00F409B3" w:rsidRPr="00702FE7">
        <w:rPr>
          <w:i/>
        </w:rPr>
        <w:t>World Development Indicators</w:t>
      </w:r>
      <w:r w:rsidR="00F409B3" w:rsidRPr="00702FE7">
        <w:t>”, which is an annual data collection project by the World Bank</w:t>
      </w:r>
      <w:sdt>
        <w:sdtPr>
          <w:id w:val="11735075"/>
          <w:citation/>
        </w:sdtPr>
        <w:sdtEndPr/>
        <w:sdtContent>
          <w:r w:rsidR="00F409B3" w:rsidRPr="00702FE7">
            <w:fldChar w:fldCharType="begin"/>
          </w:r>
          <w:r w:rsidR="00F409B3" w:rsidRPr="00702FE7">
            <w:instrText xml:space="preserve"> CITATION Wor15 \l 1033 </w:instrText>
          </w:r>
          <w:r w:rsidR="00F409B3" w:rsidRPr="00702FE7">
            <w:fldChar w:fldCharType="separate"/>
          </w:r>
          <w:r w:rsidR="00317F02">
            <w:rPr>
              <w:noProof/>
            </w:rPr>
            <w:t xml:space="preserve"> (World Bank, 2015)</w:t>
          </w:r>
          <w:r w:rsidR="00F409B3" w:rsidRPr="00702FE7">
            <w:fldChar w:fldCharType="end"/>
          </w:r>
        </w:sdtContent>
      </w:sdt>
    </w:p>
    <w:p w14:paraId="6A7FAA79" w14:textId="7C0CFE12" w:rsidR="00864467" w:rsidRPr="00702FE7" w:rsidRDefault="00602A74" w:rsidP="00BC42EA">
      <w:pPr>
        <w:pStyle w:val="Heading4"/>
      </w:pPr>
      <w:bookmarkStart w:id="20" w:name="_Toc427006241"/>
      <w:r w:rsidRPr="00702FE7">
        <w:t xml:space="preserve">Original </w:t>
      </w:r>
      <w:r w:rsidR="00257A13" w:rsidRPr="00702FE7">
        <w:t xml:space="preserve">dependent </w:t>
      </w:r>
      <w:r w:rsidRPr="00702FE7">
        <w:t>v</w:t>
      </w:r>
      <w:r w:rsidR="00864467" w:rsidRPr="00702FE7">
        <w:t>ariables and instruments</w:t>
      </w:r>
      <w:bookmarkEnd w:id="20"/>
    </w:p>
    <w:p w14:paraId="286260F0" w14:textId="3418D929" w:rsidR="004537D1" w:rsidRPr="00702FE7" w:rsidRDefault="00D96607" w:rsidP="00BC42EA">
      <w:r w:rsidRPr="00702FE7">
        <w:t>A list of dependent variables used in the original study by Moreno-Serra and Smith (2015) is given in the Appendix</w:t>
      </w:r>
      <w:r w:rsidR="00046142" w:rsidRPr="00702FE7">
        <w:t xml:space="preserve"> (Table A1)</w:t>
      </w:r>
      <w:r w:rsidRPr="00702FE7">
        <w:t xml:space="preserve">. The same data sources are used for this research </w:t>
      </w:r>
      <w:r w:rsidR="00C63AD1">
        <w:t>but</w:t>
      </w:r>
      <w:r w:rsidR="00C63AD1" w:rsidRPr="00702FE7">
        <w:t xml:space="preserve"> </w:t>
      </w:r>
      <w:r w:rsidRPr="00702FE7">
        <w:t xml:space="preserve">the time period is extended from 1995-2008 to 1995-2012. </w:t>
      </w:r>
      <w:r w:rsidR="00E1430D" w:rsidRPr="00702FE7">
        <w:t>Next to the median immunization rate, five health spending variables are used: government health expenditure per capita, private pre-paid plans (VHI) health expenditure per capita, private out of pocket (OOP) health expenditure per capita, private out of pocket (OOP) health expenditure as a share of total health expenditures and total health expenditures per capita. All of these are retrieved from the “</w:t>
      </w:r>
      <w:r w:rsidR="00E1430D" w:rsidRPr="00702FE7">
        <w:rPr>
          <w:i/>
        </w:rPr>
        <w:t>Global Health Observatory”</w:t>
      </w:r>
      <w:r w:rsidR="00E24311" w:rsidRPr="00702FE7">
        <w:t>.</w:t>
      </w:r>
      <w:r w:rsidR="00E1430D" w:rsidRPr="00702FE7">
        <w:rPr>
          <w:i/>
        </w:rPr>
        <w:t xml:space="preserve"> </w:t>
      </w:r>
      <w:sdt>
        <w:sdtPr>
          <w:rPr>
            <w:i/>
          </w:rPr>
          <w:id w:val="293330652"/>
          <w:citation/>
        </w:sdtPr>
        <w:sdtEndPr/>
        <w:sdtContent>
          <w:r w:rsidR="00E1430D" w:rsidRPr="00702FE7">
            <w:rPr>
              <w:i/>
            </w:rPr>
            <w:fldChar w:fldCharType="begin"/>
          </w:r>
          <w:r w:rsidR="00E24311" w:rsidRPr="00702FE7">
            <w:instrText xml:space="preserve">CITATION WHO15 \l 1033 </w:instrText>
          </w:r>
          <w:r w:rsidR="00E1430D" w:rsidRPr="00702FE7">
            <w:rPr>
              <w:i/>
            </w:rPr>
            <w:fldChar w:fldCharType="separate"/>
          </w:r>
          <w:r w:rsidR="00317F02">
            <w:rPr>
              <w:noProof/>
            </w:rPr>
            <w:t>(World Health Organization, 2015)</w:t>
          </w:r>
          <w:r w:rsidR="00E1430D" w:rsidRPr="00702FE7">
            <w:rPr>
              <w:i/>
            </w:rPr>
            <w:fldChar w:fldCharType="end"/>
          </w:r>
        </w:sdtContent>
      </w:sdt>
      <w:r w:rsidR="00E24311" w:rsidRPr="00702FE7">
        <w:t xml:space="preserve"> Besides those health system coverage indicators some socio-economic and demographic variables are used in the regression. These variables are: GDP per capita, primary education enrollment rate, share of the population age 0-14 an share of the population 65+, all retrieved from the “</w:t>
      </w:r>
      <w:r w:rsidR="00E24311" w:rsidRPr="00702FE7">
        <w:rPr>
          <w:i/>
        </w:rPr>
        <w:t>World Development Indicators</w:t>
      </w:r>
      <w:r w:rsidR="00E24311" w:rsidRPr="00702FE7">
        <w:t xml:space="preserve">”. </w:t>
      </w:r>
      <w:sdt>
        <w:sdtPr>
          <w:id w:val="-1093478730"/>
          <w:citation/>
        </w:sdtPr>
        <w:sdtEndPr/>
        <w:sdtContent>
          <w:r w:rsidR="00E24311" w:rsidRPr="00702FE7">
            <w:fldChar w:fldCharType="begin"/>
          </w:r>
          <w:r w:rsidR="00E24311" w:rsidRPr="00702FE7">
            <w:instrText xml:space="preserve"> CITATION Wor15 \l 1033 </w:instrText>
          </w:r>
          <w:r w:rsidR="00E24311" w:rsidRPr="00702FE7">
            <w:fldChar w:fldCharType="separate"/>
          </w:r>
          <w:r w:rsidR="00317F02">
            <w:rPr>
              <w:noProof/>
            </w:rPr>
            <w:t>(World Bank, 2015)</w:t>
          </w:r>
          <w:r w:rsidR="00E24311" w:rsidRPr="00702FE7">
            <w:fldChar w:fldCharType="end"/>
          </w:r>
        </w:sdtContent>
      </w:sdt>
    </w:p>
    <w:p w14:paraId="612DA4F6" w14:textId="77777777" w:rsidR="004537D1" w:rsidRPr="00702FE7" w:rsidRDefault="004537D1" w:rsidP="00BC42EA"/>
    <w:p w14:paraId="55C2F0BB" w14:textId="7773C473" w:rsidR="006969FA" w:rsidRPr="00702FE7" w:rsidRDefault="00E24311" w:rsidP="00BC42EA">
      <w:r w:rsidRPr="00702FE7">
        <w:t>The instruments variables used are CO2 emission per capita from the “</w:t>
      </w:r>
      <w:r w:rsidRPr="00702FE7">
        <w:rPr>
          <w:i/>
        </w:rPr>
        <w:t>World Development Indicators</w:t>
      </w:r>
      <w:r w:rsidRPr="00702FE7">
        <w:t>” and battle related conflict deaths from the “</w:t>
      </w:r>
      <w:r w:rsidRPr="00702FE7">
        <w:rPr>
          <w:i/>
        </w:rPr>
        <w:t>Upsala Conflict Data Program”</w:t>
      </w:r>
      <w:r w:rsidRPr="00702FE7">
        <w:t xml:space="preserve">. </w:t>
      </w:r>
      <w:sdt>
        <w:sdtPr>
          <w:id w:val="-1645116233"/>
          <w:citation/>
        </w:sdtPr>
        <w:sdtEndPr/>
        <w:sdtContent>
          <w:r w:rsidRPr="00702FE7">
            <w:fldChar w:fldCharType="begin"/>
          </w:r>
          <w:r w:rsidRPr="00702FE7">
            <w:instrText xml:space="preserve"> CITATION Wor15 \l 1033 </w:instrText>
          </w:r>
          <w:r w:rsidRPr="00702FE7">
            <w:fldChar w:fldCharType="separate"/>
          </w:r>
          <w:r w:rsidR="00317F02">
            <w:rPr>
              <w:noProof/>
            </w:rPr>
            <w:t>(World Bank, 2015)</w:t>
          </w:r>
          <w:r w:rsidRPr="00702FE7">
            <w:fldChar w:fldCharType="end"/>
          </w:r>
        </w:sdtContent>
      </w:sdt>
      <w:r w:rsidRPr="00702FE7">
        <w:t xml:space="preserve"> These </w:t>
      </w:r>
      <w:r w:rsidR="004537D1" w:rsidRPr="00702FE7">
        <w:t>instrumental variables</w:t>
      </w:r>
      <w:r w:rsidRPr="00702FE7">
        <w:t xml:space="preserve"> are used</w:t>
      </w:r>
      <w:r w:rsidR="004537D1" w:rsidRPr="00702FE7">
        <w:t xml:space="preserve"> for the estimation of the reverse effect of mortality on the coverage indicators as given in equation (4).</w:t>
      </w:r>
      <w:r w:rsidR="006700D5" w:rsidRPr="00702FE7">
        <w:t xml:space="preserve"> </w:t>
      </w:r>
      <w:r w:rsidR="006969FA" w:rsidRPr="00702FE7">
        <w:t xml:space="preserve">For CO2 emission and conflict deaths to be valid IV </w:t>
      </w:r>
      <w:r w:rsidR="00864467" w:rsidRPr="00702FE7">
        <w:t>instruments</w:t>
      </w:r>
      <w:r w:rsidR="006969FA" w:rsidRPr="00702FE7">
        <w:t xml:space="preserve"> they are required to be external to both mortality and coverage. Besides the only effects on health coverage allowed must be through their effect on mortality. </w:t>
      </w:r>
    </w:p>
    <w:p w14:paraId="3E9078FD" w14:textId="77777777" w:rsidR="00864467" w:rsidRPr="00702FE7" w:rsidRDefault="00864467" w:rsidP="00BC42EA"/>
    <w:p w14:paraId="477E67D0" w14:textId="754D24E7" w:rsidR="00864467" w:rsidRPr="00702FE7" w:rsidRDefault="00864467" w:rsidP="00BC42EA">
      <w:r w:rsidRPr="00702FE7">
        <w:t xml:space="preserve">The effect of CO2 emission on mortality is expected to be ambiguous. On the one hand higher emission rate will have a positive effect on mortality rates as more CO2 emission will lead to more respiratory diseases, leading to higher mortality rates. On the other hand CO2 emission can also be seen a proxy for urbanization. Compared to rural areas urban </w:t>
      </w:r>
      <w:r w:rsidR="00107A3B" w:rsidRPr="00702FE7">
        <w:t>areas are less exposed to waterborne diseases and diseases related to vector density, which will lead to a negative effect on mortality.</w:t>
      </w:r>
      <w:r w:rsidR="00CE3159" w:rsidRPr="00702FE7">
        <w:t xml:space="preserve"> </w:t>
      </w:r>
      <w:r w:rsidR="0025138F" w:rsidRPr="00702FE7">
        <w:t>Conflict deaths are</w:t>
      </w:r>
      <w:r w:rsidR="00CE3159" w:rsidRPr="00702FE7">
        <w:t xml:space="preserve"> a small fraction of total mo</w:t>
      </w:r>
      <w:r w:rsidR="0025138F" w:rsidRPr="00702FE7">
        <w:t>rtality for most countries, apart from those countries that have been in conflicts in the period of the analysis.</w:t>
      </w:r>
    </w:p>
    <w:p w14:paraId="1297A67A" w14:textId="77777777" w:rsidR="0025138F" w:rsidRPr="00702FE7" w:rsidRDefault="0025138F" w:rsidP="00BC42EA"/>
    <w:p w14:paraId="028409FD" w14:textId="600184C2" w:rsidR="00EC10D9" w:rsidRPr="00702FE7" w:rsidRDefault="0025138F" w:rsidP="00BC42EA">
      <w:r w:rsidRPr="00702FE7">
        <w:t>For both instruments the assumption is made that their only influence on the coverage indicators is through their effect on mortality. For CO2 emission this can for instance be more government health care spending resulting from the increase in mortality caused by respiratory diseases. Increase in battle related mortality often t</w:t>
      </w:r>
      <w:r w:rsidR="00257A13" w:rsidRPr="00702FE7">
        <w:t>riggers an increase in (donor-) funds</w:t>
      </w:r>
      <w:r w:rsidRPr="00702FE7">
        <w:t xml:space="preserve"> for health care. It seems reasonable to assume that system coverage responses to variations in CO2 emissions and battle-related deaths will be caused primarily by the health effects of the indicators for CO2 emissions and battle-related deaths. However also other effects are plausible such as for instance and effect of CO2 emission through GDP. Since the model corrects for GDP and other time invariant country factors these indirect effects of the IV do not invalidate them. </w:t>
      </w:r>
    </w:p>
    <w:p w14:paraId="148A430F" w14:textId="0AF929DE" w:rsidR="00046142" w:rsidRPr="00702FE7" w:rsidRDefault="00257A13" w:rsidP="00046142">
      <w:pPr>
        <w:pStyle w:val="Heading4"/>
      </w:pPr>
      <w:bookmarkStart w:id="21" w:name="_Toc427006242"/>
      <w:r w:rsidRPr="00702FE7">
        <w:t>Dependent v</w:t>
      </w:r>
      <w:r w:rsidR="00602A74" w:rsidRPr="00702FE7">
        <w:t xml:space="preserve">ariables </w:t>
      </w:r>
      <w:r w:rsidR="004537D1" w:rsidRPr="00702FE7">
        <w:t>alternative</w:t>
      </w:r>
      <w:r w:rsidR="00602A74" w:rsidRPr="00702FE7">
        <w:t xml:space="preserve"> model</w:t>
      </w:r>
      <w:bookmarkEnd w:id="21"/>
    </w:p>
    <w:p w14:paraId="57900647" w14:textId="1DF92C3F" w:rsidR="00046142" w:rsidRPr="00702FE7" w:rsidRDefault="00046142" w:rsidP="00046142">
      <w:r w:rsidRPr="00702FE7">
        <w:t>The alternative model will again use the three different mortality rates as outcome variable</w:t>
      </w:r>
      <w:r w:rsidR="000B699E" w:rsidRPr="00702FE7">
        <w:t>, however this time transformed into their natural logarithm</w:t>
      </w:r>
      <w:r w:rsidRPr="00702FE7">
        <w:t xml:space="preserve">. </w:t>
      </w:r>
      <w:r w:rsidR="000B699E" w:rsidRPr="00702FE7">
        <w:t>The</w:t>
      </w:r>
      <w:r w:rsidR="00984C44">
        <w:t xml:space="preserve"> coverage indicators used as</w:t>
      </w:r>
      <w:r w:rsidRPr="00702FE7">
        <w:t xml:space="preserve"> dependent variables </w:t>
      </w:r>
      <w:r w:rsidR="000B699E" w:rsidRPr="00702FE7">
        <w:t xml:space="preserve">differ </w:t>
      </w:r>
      <w:r w:rsidRPr="00702FE7">
        <w:t xml:space="preserve">from the Moreno-Serra and Smith (2015) study. </w:t>
      </w:r>
      <w:r w:rsidR="000B699E" w:rsidRPr="00702FE7">
        <w:t>As health system coverage indicators next to median immunization rate the natu</w:t>
      </w:r>
      <w:r w:rsidR="00C77656" w:rsidRPr="00702FE7">
        <w:t>ral logarithm of GDP per capita</w:t>
      </w:r>
      <w:sdt>
        <w:sdtPr>
          <w:id w:val="811906228"/>
          <w:citation/>
        </w:sdtPr>
        <w:sdtEndPr/>
        <w:sdtContent>
          <w:r w:rsidR="00C77656" w:rsidRPr="00702FE7">
            <w:fldChar w:fldCharType="begin"/>
          </w:r>
          <w:r w:rsidR="00C77656" w:rsidRPr="00702FE7">
            <w:instrText xml:space="preserve"> CITATION Wor15 \l 1033 </w:instrText>
          </w:r>
          <w:r w:rsidR="00C77656" w:rsidRPr="00702FE7">
            <w:fldChar w:fldCharType="separate"/>
          </w:r>
          <w:r w:rsidR="00317F02">
            <w:rPr>
              <w:noProof/>
            </w:rPr>
            <w:t xml:space="preserve"> (World Bank, 2015)</w:t>
          </w:r>
          <w:r w:rsidR="00C77656" w:rsidRPr="00702FE7">
            <w:fldChar w:fldCharType="end"/>
          </w:r>
        </w:sdtContent>
      </w:sdt>
      <w:r w:rsidR="00C77656" w:rsidRPr="00702FE7">
        <w:t xml:space="preserve"> and</w:t>
      </w:r>
      <w:r w:rsidR="000B699E" w:rsidRPr="00702FE7">
        <w:t xml:space="preserve"> government health expenditure</w:t>
      </w:r>
      <w:r w:rsidR="00C77656" w:rsidRPr="00702FE7">
        <w:t>s</w:t>
      </w:r>
      <w:r w:rsidR="000B699E" w:rsidRPr="00702FE7">
        <w:t xml:space="preserve"> per capita as </w:t>
      </w:r>
      <w:r w:rsidR="00C77656" w:rsidRPr="00702FE7">
        <w:t>a fraction of GDP.</w:t>
      </w:r>
      <w:sdt>
        <w:sdtPr>
          <w:id w:val="151269819"/>
          <w:citation/>
        </w:sdtPr>
        <w:sdtEndPr/>
        <w:sdtContent>
          <w:r w:rsidR="006D6796" w:rsidRPr="00702FE7">
            <w:fldChar w:fldCharType="begin"/>
          </w:r>
          <w:r w:rsidR="006D6796" w:rsidRPr="00702FE7">
            <w:instrText xml:space="preserve"> CITATION Wor15 \l 1033 </w:instrText>
          </w:r>
          <w:r w:rsidR="006D6796" w:rsidRPr="00702FE7">
            <w:fldChar w:fldCharType="separate"/>
          </w:r>
          <w:r w:rsidR="00317F02">
            <w:rPr>
              <w:noProof/>
            </w:rPr>
            <w:t xml:space="preserve"> (World Bank, 2015)</w:t>
          </w:r>
          <w:r w:rsidR="006D6796" w:rsidRPr="00702FE7">
            <w:fldChar w:fldCharType="end"/>
          </w:r>
        </w:sdtContent>
      </w:sdt>
      <w:r w:rsidR="00C77656" w:rsidRPr="00702FE7">
        <w:t xml:space="preserve"> For comparability reasons these health system coverage indicators are the same as used in</w:t>
      </w:r>
      <w:r w:rsidR="000B699E" w:rsidRPr="00702FE7">
        <w:t xml:space="preserve"> the</w:t>
      </w:r>
      <w:r w:rsidR="00074A72" w:rsidRPr="00702FE7">
        <w:t xml:space="preserve"> study by Filmer &amp; Pritchett (1999)</w:t>
      </w:r>
      <w:r w:rsidR="006D6796" w:rsidRPr="00702FE7">
        <w:t>.</w:t>
      </w:r>
      <w:r w:rsidR="00AC4E62">
        <w:t xml:space="preserve"> However in the first sensitivity analysis the natural logarithm of per capita government health expenditures is used as coverage indicator. </w:t>
      </w:r>
      <w:sdt>
        <w:sdtPr>
          <w:id w:val="-1696525452"/>
          <w:citation/>
        </w:sdtPr>
        <w:sdtEndPr/>
        <w:sdtContent>
          <w:r w:rsidR="00AC4E62">
            <w:fldChar w:fldCharType="begin"/>
          </w:r>
          <w:r w:rsidR="00AC4E62" w:rsidRPr="00D74B93">
            <w:instrText xml:space="preserve"> CITATION WHO15 \l 1043 </w:instrText>
          </w:r>
          <w:r w:rsidR="00AC4E62">
            <w:fldChar w:fldCharType="separate"/>
          </w:r>
          <w:r w:rsidR="00AC4E62" w:rsidRPr="00AC4E62">
            <w:rPr>
              <w:noProof/>
            </w:rPr>
            <w:t>(World Health Organization, 2015)</w:t>
          </w:r>
          <w:r w:rsidR="00AC4E62">
            <w:fldChar w:fldCharType="end"/>
          </w:r>
        </w:sdtContent>
      </w:sdt>
      <w:r w:rsidR="00AC4E62">
        <w:t xml:space="preserve"> </w:t>
      </w:r>
      <w:r w:rsidR="00C77656" w:rsidRPr="00702FE7">
        <w:t>Next to these</w:t>
      </w:r>
      <w:r w:rsidR="006D6796" w:rsidRPr="00702FE7">
        <w:t xml:space="preserve"> different</w:t>
      </w:r>
      <w:r w:rsidR="00C77656" w:rsidRPr="00702FE7">
        <w:t xml:space="preserve"> coverage indicators</w:t>
      </w:r>
      <w:r w:rsidR="006D6796" w:rsidRPr="00702FE7">
        <w:t xml:space="preserve"> the total population size per country per year is added, in order to separate larger from small countries as will be done in </w:t>
      </w:r>
      <w:r w:rsidR="0004045D">
        <w:t>the sensitivity analysis</w:t>
      </w:r>
      <w:r w:rsidR="006D6796" w:rsidRPr="00702FE7">
        <w:t>. Also retrieved from the “</w:t>
      </w:r>
      <w:r w:rsidR="006D6796" w:rsidRPr="00702FE7">
        <w:rPr>
          <w:i/>
        </w:rPr>
        <w:t>World Development Indicators</w:t>
      </w:r>
      <w:r w:rsidR="006D6796" w:rsidRPr="00702FE7">
        <w:t>”.</w:t>
      </w:r>
      <w:sdt>
        <w:sdtPr>
          <w:id w:val="-2077579794"/>
          <w:citation/>
        </w:sdtPr>
        <w:sdtEndPr/>
        <w:sdtContent>
          <w:r w:rsidR="006D6796" w:rsidRPr="00702FE7">
            <w:fldChar w:fldCharType="begin"/>
          </w:r>
          <w:r w:rsidR="006D6796" w:rsidRPr="00702FE7">
            <w:instrText xml:space="preserve"> CITATION Wor15 \l 1033 </w:instrText>
          </w:r>
          <w:r w:rsidR="006D6796" w:rsidRPr="00702FE7">
            <w:fldChar w:fldCharType="separate"/>
          </w:r>
          <w:r w:rsidR="00317F02">
            <w:rPr>
              <w:noProof/>
            </w:rPr>
            <w:t xml:space="preserve"> (World Bank, 2015)</w:t>
          </w:r>
          <w:r w:rsidR="006D6796" w:rsidRPr="00702FE7">
            <w:fldChar w:fldCharType="end"/>
          </w:r>
        </w:sdtContent>
      </w:sdt>
      <w:r w:rsidR="006D6796" w:rsidRPr="00702FE7">
        <w:t xml:space="preserve"> T</w:t>
      </w:r>
      <w:r w:rsidR="00C77656" w:rsidRPr="00702FE7">
        <w:t>he same socio-economic and demographic variables as above are used in the regressions.</w:t>
      </w:r>
      <w:r w:rsidR="006D6796" w:rsidRPr="00702FE7">
        <w:t xml:space="preserve"> </w:t>
      </w:r>
      <w:r w:rsidR="00C77656" w:rsidRPr="00702FE7">
        <w:t xml:space="preserve"> The period of analysis for this the data used in this part is from 1995 up to and including 2012. </w:t>
      </w:r>
    </w:p>
    <w:p w14:paraId="39FDFDB4" w14:textId="77777777" w:rsidR="00C77656" w:rsidRPr="00702FE7" w:rsidRDefault="00C77656" w:rsidP="00046142"/>
    <w:p w14:paraId="0EE0182F" w14:textId="77777777" w:rsidR="0049389E" w:rsidRPr="00702FE7" w:rsidRDefault="0049389E" w:rsidP="00046142"/>
    <w:p w14:paraId="0A5FAFF7" w14:textId="1911EC11" w:rsidR="00BC1C25" w:rsidRPr="00702FE7" w:rsidRDefault="0025138F" w:rsidP="0049389E">
      <w:pPr>
        <w:pStyle w:val="Heading1"/>
      </w:pPr>
      <w:r w:rsidRPr="00702FE7">
        <w:br w:type="page"/>
      </w:r>
      <w:bookmarkStart w:id="22" w:name="_Toc427006243"/>
      <w:r w:rsidR="008D4F30" w:rsidRPr="00702FE7">
        <w:t>Results</w:t>
      </w:r>
      <w:bookmarkEnd w:id="22"/>
    </w:p>
    <w:p w14:paraId="5AEDCFFC" w14:textId="11B73A45" w:rsidR="008D4F30" w:rsidRPr="00702FE7" w:rsidRDefault="002008C9" w:rsidP="00602A74">
      <w:pPr>
        <w:pStyle w:val="Heading4"/>
      </w:pPr>
      <w:bookmarkStart w:id="23" w:name="_Toc427006244"/>
      <w:r w:rsidRPr="00702FE7">
        <w:t>Differences investigated</w:t>
      </w:r>
      <w:bookmarkEnd w:id="23"/>
    </w:p>
    <w:p w14:paraId="1134A7B5" w14:textId="13274F75" w:rsidR="00553BFB" w:rsidRPr="00702FE7" w:rsidRDefault="00F745D3" w:rsidP="007C1310">
      <w:pPr>
        <w:rPr>
          <w:rFonts w:eastAsia="Times New Roman" w:cs="Arial"/>
          <w:color w:val="222222"/>
          <w:shd w:val="clear" w:color="auto" w:fill="FFFFFF"/>
        </w:rPr>
      </w:pPr>
      <w:r>
        <w:t>Using the dataset and Stata commands file</w:t>
      </w:r>
      <w:r w:rsidR="005E2687" w:rsidRPr="00702FE7">
        <w:t xml:space="preserve"> provided</w:t>
      </w:r>
      <w:r w:rsidR="007C1310" w:rsidRPr="00702FE7">
        <w:t xml:space="preserve"> by Moreno-Serra and Smith</w:t>
      </w:r>
      <w:r>
        <w:t xml:space="preserve"> (2015)</w:t>
      </w:r>
      <w:r w:rsidR="007C1310" w:rsidRPr="00702FE7">
        <w:t xml:space="preserve"> it was straightforward to recreate the results of their “</w:t>
      </w:r>
      <w:r w:rsidR="007C1310" w:rsidRPr="00702FE7">
        <w:rPr>
          <w:bCs/>
          <w:i/>
        </w:rPr>
        <w:t>Broader health coverage is good for the nation’s health: evidence from country level panel data</w:t>
      </w:r>
      <w:r w:rsidR="007C1310" w:rsidRPr="00702FE7">
        <w:rPr>
          <w:bCs/>
        </w:rPr>
        <w:t xml:space="preserve">”. However when accessing the sources to expand the dataset with the additional 4 years it became clear that some variables had changed. The most prominent one was the change of GDP per capita </w:t>
      </w:r>
      <w:r w:rsidR="00553BFB" w:rsidRPr="00702FE7">
        <w:rPr>
          <w:bCs/>
        </w:rPr>
        <w:t xml:space="preserve">based on </w:t>
      </w:r>
      <w:r w:rsidR="007C1310" w:rsidRPr="00702FE7">
        <w:rPr>
          <w:rFonts w:eastAsia="Times New Roman" w:cs="Arial"/>
          <w:color w:val="222222"/>
          <w:shd w:val="clear" w:color="auto" w:fill="FFFFFF"/>
        </w:rPr>
        <w:t>purchasing power parity (</w:t>
      </w:r>
      <w:r w:rsidR="007C1310" w:rsidRPr="00702FE7">
        <w:rPr>
          <w:rFonts w:eastAsia="Times New Roman" w:cs="Arial"/>
          <w:bCs/>
          <w:color w:val="222222"/>
          <w:shd w:val="clear" w:color="auto" w:fill="FFFFFF"/>
        </w:rPr>
        <w:t>PPP</w:t>
      </w:r>
      <w:r w:rsidR="007C1310" w:rsidRPr="00702FE7">
        <w:rPr>
          <w:rFonts w:eastAsia="Times New Roman" w:cs="Arial"/>
          <w:color w:val="222222"/>
          <w:shd w:val="clear" w:color="auto" w:fill="FFFFFF"/>
        </w:rPr>
        <w:t>)</w:t>
      </w:r>
      <w:r w:rsidR="00553BFB" w:rsidRPr="00702FE7">
        <w:rPr>
          <w:rFonts w:eastAsia="Times New Roman" w:cs="Arial"/>
          <w:color w:val="222222"/>
          <w:shd w:val="clear" w:color="auto" w:fill="FFFFFF"/>
        </w:rPr>
        <w:t xml:space="preserve"> in constant 2005 international dollar to the 2011 equivalent. This change in unit of measurement caused the GDP per capita values to be</w:t>
      </w:r>
      <w:r w:rsidR="00984C44">
        <w:rPr>
          <w:rFonts w:eastAsia="Times New Roman" w:cs="Arial"/>
          <w:color w:val="222222"/>
          <w:shd w:val="clear" w:color="auto" w:fill="FFFFFF"/>
        </w:rPr>
        <w:t xml:space="preserve"> on average 43</w:t>
      </w:r>
      <w:r w:rsidR="00C63AD1">
        <w:rPr>
          <w:rFonts w:eastAsia="Times New Roman" w:cs="Arial"/>
          <w:color w:val="222222"/>
          <w:shd w:val="clear" w:color="auto" w:fill="FFFFFF"/>
        </w:rPr>
        <w:t>%</w:t>
      </w:r>
      <w:r w:rsidR="00553BFB" w:rsidRPr="00702FE7">
        <w:rPr>
          <w:rFonts w:eastAsia="Times New Roman" w:cs="Arial"/>
          <w:color w:val="222222"/>
          <w:shd w:val="clear" w:color="auto" w:fill="FFFFFF"/>
        </w:rPr>
        <w:t xml:space="preserve"> higher than in the original dataset. Because of this and the possibility that some of the other variables could have changed in retrospect it was decided to recreate the dataset over the years 1995-2008 first before expanding it. This decision was made to make the research as reliable as possible, otherwise the possibility existed to find </w:t>
      </w:r>
      <w:r w:rsidR="00C63AD1">
        <w:rPr>
          <w:rFonts w:eastAsia="Times New Roman" w:cs="Arial"/>
          <w:color w:val="222222"/>
          <w:shd w:val="clear" w:color="auto" w:fill="FFFFFF"/>
        </w:rPr>
        <w:t xml:space="preserve">changes in </w:t>
      </w:r>
      <w:r w:rsidR="00553BFB" w:rsidRPr="00702FE7">
        <w:rPr>
          <w:rFonts w:eastAsia="Times New Roman" w:cs="Arial"/>
          <w:color w:val="222222"/>
          <w:shd w:val="clear" w:color="auto" w:fill="FFFFFF"/>
        </w:rPr>
        <w:t xml:space="preserve">effects based on units of measurement or data changes </w:t>
      </w:r>
      <w:r w:rsidR="00C63AD1">
        <w:rPr>
          <w:rFonts w:eastAsia="Times New Roman" w:cs="Arial"/>
          <w:color w:val="222222"/>
          <w:shd w:val="clear" w:color="auto" w:fill="FFFFFF"/>
        </w:rPr>
        <w:t>only</w:t>
      </w:r>
      <w:r w:rsidR="00553BFB" w:rsidRPr="00702FE7">
        <w:rPr>
          <w:rFonts w:eastAsia="Times New Roman" w:cs="Arial"/>
          <w:color w:val="222222"/>
          <w:shd w:val="clear" w:color="auto" w:fill="FFFFFF"/>
        </w:rPr>
        <w:t>.</w:t>
      </w:r>
    </w:p>
    <w:p w14:paraId="5DC080C0" w14:textId="77777777" w:rsidR="00553BFB" w:rsidRPr="00702FE7" w:rsidRDefault="00553BFB" w:rsidP="007C1310">
      <w:pPr>
        <w:rPr>
          <w:rFonts w:eastAsia="Times New Roman" w:cs="Arial"/>
          <w:color w:val="222222"/>
          <w:shd w:val="clear" w:color="auto" w:fill="FFFFFF"/>
        </w:rPr>
      </w:pPr>
    </w:p>
    <w:p w14:paraId="3D182210" w14:textId="0EF5B07A" w:rsidR="00553BFB" w:rsidRPr="00702FE7" w:rsidRDefault="00553BFB" w:rsidP="007C1310">
      <w:pPr>
        <w:rPr>
          <w:rFonts w:eastAsia="Times New Roman" w:cs="Arial"/>
          <w:color w:val="222222"/>
          <w:shd w:val="clear" w:color="auto" w:fill="FFFFFF"/>
        </w:rPr>
      </w:pPr>
      <w:r w:rsidRPr="00702FE7">
        <w:rPr>
          <w:rFonts w:eastAsia="Times New Roman" w:cs="Arial"/>
          <w:color w:val="222222"/>
          <w:shd w:val="clear" w:color="auto" w:fill="FFFFFF"/>
        </w:rPr>
        <w:t>When recreating the dataset it became clear that not only GDP per capita had changed</w:t>
      </w:r>
      <w:r w:rsidR="00157C95" w:rsidRPr="00702FE7">
        <w:rPr>
          <w:rFonts w:eastAsia="Times New Roman" w:cs="Arial"/>
          <w:color w:val="222222"/>
          <w:shd w:val="clear" w:color="auto" w:fill="FFFFFF"/>
        </w:rPr>
        <w:t>. The data</w:t>
      </w:r>
      <w:r w:rsidRPr="00702FE7">
        <w:rPr>
          <w:rFonts w:eastAsia="Times New Roman" w:cs="Arial"/>
          <w:color w:val="222222"/>
          <w:shd w:val="clear" w:color="auto" w:fill="FFFFFF"/>
        </w:rPr>
        <w:t xml:space="preserve"> as available at the time of the </w:t>
      </w:r>
      <w:r w:rsidRPr="00702FE7">
        <w:t>Moreno-Serra and Smith (2015)</w:t>
      </w:r>
      <w:r w:rsidR="00157C95" w:rsidRPr="00702FE7">
        <w:t xml:space="preserve"> and during this study had changed significantly, although the same data sources are used. In table 1 the descriptive statistics from the original study are presented. </w:t>
      </w:r>
      <w:sdt>
        <w:sdtPr>
          <w:id w:val="-608896954"/>
          <w:citation/>
        </w:sdtPr>
        <w:sdtEndPr/>
        <w:sdtContent>
          <w:r w:rsidR="00157C95" w:rsidRPr="00702FE7">
            <w:fldChar w:fldCharType="begin"/>
          </w:r>
          <w:r w:rsidR="00157C95" w:rsidRPr="00702FE7">
            <w:instrText xml:space="preserve">CITATION Mor15 \t  \l 1033 </w:instrText>
          </w:r>
          <w:r w:rsidR="00157C95" w:rsidRPr="00702FE7">
            <w:fldChar w:fldCharType="separate"/>
          </w:r>
          <w:r w:rsidR="00317F02">
            <w:rPr>
              <w:noProof/>
            </w:rPr>
            <w:t>(Moreno-Serra &amp; Smith, 2015)</w:t>
          </w:r>
          <w:r w:rsidR="00157C95" w:rsidRPr="00702FE7">
            <w:fldChar w:fldCharType="end"/>
          </w:r>
        </w:sdtContent>
      </w:sdt>
      <w:r w:rsidR="00157C95" w:rsidRPr="00702FE7">
        <w:t xml:space="preserve"> The same descriptive statistics generated with the updated</w:t>
      </w:r>
      <w:r w:rsidR="00E01310" w:rsidRPr="00702FE7">
        <w:t xml:space="preserve"> dataset are given in table 2. Already from these descriptive statistics it becomes clear that not only GDP per capita had been retroactively changed. The male and female mortality rates together with some of the coverage indicator also appear to be different from the original dataset. </w:t>
      </w:r>
    </w:p>
    <w:p w14:paraId="1C38243A" w14:textId="758969C1" w:rsidR="0019312C" w:rsidRPr="00702FE7" w:rsidRDefault="0019312C" w:rsidP="00BC42EA"/>
    <w:p w14:paraId="39950910" w14:textId="07F570AE" w:rsidR="00E01310" w:rsidRPr="00702FE7" w:rsidRDefault="00243798" w:rsidP="00BC42EA">
      <w:pPr>
        <w:rPr>
          <w:rStyle w:val="SubtleEmphasis"/>
        </w:rPr>
      </w:pPr>
      <w:r w:rsidRPr="00702FE7">
        <w:rPr>
          <w:noProof/>
          <w:lang w:val="en-GB" w:eastAsia="en-GB"/>
        </w:rPr>
        <w:drawing>
          <wp:inline distT="0" distB="0" distL="0" distR="0" wp14:anchorId="549C98FC" wp14:editId="2795B338">
            <wp:extent cx="4904360" cy="4000500"/>
            <wp:effectExtent l="0" t="0" r="0" b="0"/>
            <wp:docPr id="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904934" cy="4000968"/>
                    </a:xfrm>
                    <a:prstGeom prst="rect">
                      <a:avLst/>
                    </a:prstGeom>
                    <a:noFill/>
                    <a:ln>
                      <a:noFill/>
                    </a:ln>
                  </pic:spPr>
                </pic:pic>
              </a:graphicData>
            </a:graphic>
          </wp:inline>
        </w:drawing>
      </w:r>
      <w:r w:rsidR="00E32317" w:rsidRPr="00702FE7">
        <w:br/>
      </w:r>
      <w:r w:rsidR="00E32317" w:rsidRPr="00702FE7">
        <w:rPr>
          <w:rStyle w:val="SubtleEmphasis"/>
        </w:rPr>
        <w:t xml:space="preserve">Table 1: Descriptive statistics (Time period is 1995-2008) </w:t>
      </w:r>
      <w:sdt>
        <w:sdtPr>
          <w:rPr>
            <w:rStyle w:val="SubtleEmphasis"/>
          </w:rPr>
          <w:id w:val="2137531360"/>
          <w:citation/>
        </w:sdtPr>
        <w:sdtEndPr>
          <w:rPr>
            <w:rStyle w:val="SubtleEmphasis"/>
          </w:rPr>
        </w:sdtEndPr>
        <w:sdtContent>
          <w:r w:rsidR="00E32317" w:rsidRPr="00702FE7">
            <w:rPr>
              <w:rStyle w:val="SubtleEmphasis"/>
            </w:rPr>
            <w:fldChar w:fldCharType="begin"/>
          </w:r>
          <w:r w:rsidR="00E32317" w:rsidRPr="00702FE7">
            <w:rPr>
              <w:rStyle w:val="SubtleEmphasis"/>
            </w:rPr>
            <w:instrText xml:space="preserve">CITATION Mor15 \t  \l 1033 </w:instrText>
          </w:r>
          <w:r w:rsidR="00E32317" w:rsidRPr="00702FE7">
            <w:rPr>
              <w:rStyle w:val="SubtleEmphasis"/>
            </w:rPr>
            <w:fldChar w:fldCharType="separate"/>
          </w:r>
          <w:r w:rsidR="00317F02" w:rsidRPr="00317F02">
            <w:rPr>
              <w:noProof/>
              <w:color w:val="808080" w:themeColor="text1" w:themeTint="7F"/>
              <w:sz w:val="20"/>
              <w:szCs w:val="20"/>
            </w:rPr>
            <w:t>(Moreno-Serra &amp; Smith, 2015)</w:t>
          </w:r>
          <w:r w:rsidR="00E32317" w:rsidRPr="00702FE7">
            <w:rPr>
              <w:rStyle w:val="SubtleEmphasis"/>
            </w:rPr>
            <w:fldChar w:fldCharType="end"/>
          </w:r>
        </w:sdtContent>
      </w:sdt>
    </w:p>
    <w:p w14:paraId="327AF3A1" w14:textId="0050DF59" w:rsidR="00E32317" w:rsidRPr="00702FE7" w:rsidRDefault="00E32317" w:rsidP="00E32317">
      <w:pPr>
        <w:rPr>
          <w:rStyle w:val="SubtleEmphasis"/>
        </w:rPr>
      </w:pPr>
      <w:r w:rsidRPr="00702FE7">
        <w:rPr>
          <w:rStyle w:val="SubtleEmphasis"/>
        </w:rPr>
        <w:br/>
      </w:r>
      <w:r w:rsidRPr="00702FE7">
        <w:rPr>
          <w:noProof/>
          <w:lang w:val="en-GB" w:eastAsia="en-GB"/>
        </w:rPr>
        <w:drawing>
          <wp:inline distT="0" distB="0" distL="0" distR="0" wp14:anchorId="2FA31D22" wp14:editId="7B6E766D">
            <wp:extent cx="4933413" cy="4028880"/>
            <wp:effectExtent l="0" t="0" r="0" b="10160"/>
            <wp:docPr id="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933413" cy="4028880"/>
                    </a:xfrm>
                    <a:prstGeom prst="rect">
                      <a:avLst/>
                    </a:prstGeom>
                    <a:noFill/>
                    <a:ln>
                      <a:noFill/>
                    </a:ln>
                  </pic:spPr>
                </pic:pic>
              </a:graphicData>
            </a:graphic>
          </wp:inline>
        </w:drawing>
      </w:r>
      <w:r w:rsidR="00E01310" w:rsidRPr="00702FE7">
        <w:rPr>
          <w:rStyle w:val="SubtleEmphasis"/>
        </w:rPr>
        <w:br/>
      </w:r>
      <w:r w:rsidRPr="00702FE7">
        <w:rPr>
          <w:rStyle w:val="SubtleEmphasis"/>
        </w:rPr>
        <w:t>Table 2: Descriptive statistics with updated dataset (Time period is 1995-2008)</w:t>
      </w:r>
    </w:p>
    <w:p w14:paraId="4372437D" w14:textId="6BAE0E3E" w:rsidR="00B92070" w:rsidRPr="00702FE7" w:rsidRDefault="00E01310" w:rsidP="00BC42EA">
      <w:r w:rsidRPr="00702FE7">
        <w:t xml:space="preserve">Despite </w:t>
      </w:r>
      <w:r w:rsidR="00C15220" w:rsidRPr="00702FE7">
        <w:t>the differences the main results of the Moreno-Serra and S</w:t>
      </w:r>
      <w:r w:rsidR="00B92070" w:rsidRPr="00702FE7">
        <w:t xml:space="preserve">mith (2015) study are recreated by using the </w:t>
      </w:r>
      <w:r w:rsidR="00F745D3">
        <w:t>Stata command file</w:t>
      </w:r>
      <w:r w:rsidR="00B92070" w:rsidRPr="00702FE7">
        <w:t xml:space="preserve"> provided. The original results are shown in table A2 of the appendix, the ones estimated with the updated dataset in table A3 of the appendix. Because the estimations with the new dataset fail to find results similar to the original it is decided that </w:t>
      </w:r>
      <w:r w:rsidR="00C63AD1">
        <w:t xml:space="preserve">simply </w:t>
      </w:r>
      <w:r w:rsidR="00B92070" w:rsidRPr="00702FE7">
        <w:t>expanding the</w:t>
      </w:r>
      <w:r w:rsidR="00C63AD1">
        <w:t>ir</w:t>
      </w:r>
      <w:r w:rsidR="00B92070" w:rsidRPr="00702FE7">
        <w:t xml:space="preserve"> dataset with another 4 years </w:t>
      </w:r>
      <w:r w:rsidR="00C63AD1">
        <w:t>was not an option, for reasons explained above</w:t>
      </w:r>
      <w:r w:rsidR="00B92070" w:rsidRPr="00702FE7">
        <w:t xml:space="preserve">. Instead a careful look at the dataset </w:t>
      </w:r>
      <w:r w:rsidR="00C63AD1">
        <w:t>wa</w:t>
      </w:r>
      <w:r w:rsidR="00B92070" w:rsidRPr="00702FE7">
        <w:t>s taken to investigate where the differences originate.</w:t>
      </w:r>
    </w:p>
    <w:p w14:paraId="5A8F8A78" w14:textId="77777777" w:rsidR="00B92070" w:rsidRPr="00702FE7" w:rsidRDefault="00B92070" w:rsidP="00BC42EA"/>
    <w:p w14:paraId="12B8A4BD" w14:textId="48D47BC6" w:rsidR="00243798" w:rsidRPr="00702FE7" w:rsidRDefault="00734342" w:rsidP="00BC42EA">
      <w:r w:rsidRPr="00702FE7">
        <w:t>Investigating the data it became clear that none of the variables had remained exactly the same. However the median immunization rate, socio-economic and demographic variables differed minimally.</w:t>
      </w:r>
      <w:r w:rsidR="00A64FDE" w:rsidRPr="00702FE7">
        <w:t xml:space="preserve"> The differences</w:t>
      </w:r>
      <w:r w:rsidR="00001BD9" w:rsidRPr="00702FE7">
        <w:t xml:space="preserve"> observed</w:t>
      </w:r>
      <w:r w:rsidR="00A64FDE" w:rsidRPr="00702FE7">
        <w:t xml:space="preserve"> in GDP per capita are due to change in unit of measurement.</w:t>
      </w:r>
      <w:r w:rsidRPr="00702FE7">
        <w:t xml:space="preserve"> The </w:t>
      </w:r>
      <w:r w:rsidR="00A64FDE" w:rsidRPr="00702FE7">
        <w:t>re</w:t>
      </w:r>
      <w:r w:rsidRPr="00702FE7">
        <w:t>main</w:t>
      </w:r>
      <w:r w:rsidR="00A64FDE" w:rsidRPr="00702FE7">
        <w:t>ing</w:t>
      </w:r>
      <w:r w:rsidRPr="00702FE7">
        <w:t xml:space="preserve"> differences</w:t>
      </w:r>
      <w:r w:rsidR="00A64FDE" w:rsidRPr="00702FE7">
        <w:t xml:space="preserve"> </w:t>
      </w:r>
      <w:r w:rsidRPr="00702FE7">
        <w:t>in mortality rates and coverage indicators</w:t>
      </w:r>
      <w:r w:rsidR="00A64FDE" w:rsidRPr="00702FE7">
        <w:t xml:space="preserve"> </w:t>
      </w:r>
      <w:r w:rsidR="00C63AD1">
        <w:t>we</w:t>
      </w:r>
      <w:r w:rsidR="00A64FDE" w:rsidRPr="00702FE7">
        <w:t>re more challenging to explain</w:t>
      </w:r>
      <w:r w:rsidRPr="00702FE7">
        <w:t xml:space="preserve">. </w:t>
      </w:r>
      <w:r w:rsidR="00A64FDE" w:rsidRPr="00702FE7">
        <w:t>Part of the difference</w:t>
      </w:r>
      <w:r w:rsidRPr="00702FE7">
        <w:t xml:space="preserve"> </w:t>
      </w:r>
      <w:r w:rsidR="00A64FDE" w:rsidRPr="00702FE7">
        <w:t>might</w:t>
      </w:r>
      <w:r w:rsidRPr="00702FE7">
        <w:t xml:space="preserve"> be explained by additional data entries, which were apparently not available at time of data collection for the Moreno-Serra and Smith (2015) study. This </w:t>
      </w:r>
      <w:r w:rsidR="00A64FDE" w:rsidRPr="00702FE7">
        <w:t>is also visible in table 1 and 2 as there are more countries included in the new dataset. However even when these countries are excluded again the differences remain. Even after double-checking and confirming the sources and units of measurement of the data it remains unclear what causes the differences between the datasets.</w:t>
      </w:r>
    </w:p>
    <w:p w14:paraId="15D92354" w14:textId="026F9979" w:rsidR="008D4F30" w:rsidRPr="00702FE7" w:rsidRDefault="00831081" w:rsidP="00602A74">
      <w:pPr>
        <w:pStyle w:val="Heading4"/>
      </w:pPr>
      <w:bookmarkStart w:id="24" w:name="_Toc427006245"/>
      <w:r w:rsidRPr="00702FE7">
        <w:t>Alternative</w:t>
      </w:r>
      <w:r w:rsidR="008D4F30" w:rsidRPr="00702FE7">
        <w:t xml:space="preserve"> research</w:t>
      </w:r>
      <w:bookmarkEnd w:id="24"/>
    </w:p>
    <w:p w14:paraId="1864BED6" w14:textId="76C2BA60" w:rsidR="00BC473E" w:rsidRPr="00702FE7" w:rsidRDefault="00A64FDE" w:rsidP="00BC42EA">
      <w:r w:rsidRPr="00702FE7">
        <w:t xml:space="preserve">Because of the unexpected differences between the datasets an alternative model is estimated with the new dataset, rather than </w:t>
      </w:r>
      <w:r w:rsidR="00C63AD1">
        <w:t>the</w:t>
      </w:r>
      <w:r w:rsidR="00C63AD1" w:rsidRPr="00702FE7">
        <w:t xml:space="preserve"> </w:t>
      </w:r>
      <w:r w:rsidR="00F745D3">
        <w:t>expand</w:t>
      </w:r>
      <w:r w:rsidR="00C63AD1">
        <w:t>ed</w:t>
      </w:r>
      <w:r w:rsidRPr="00702FE7">
        <w:t xml:space="preserve"> original study</w:t>
      </w:r>
      <w:r w:rsidR="00C63AD1">
        <w:t xml:space="preserve"> data</w:t>
      </w:r>
      <w:r w:rsidRPr="00702FE7">
        <w:t xml:space="preserve">. The first step </w:t>
      </w:r>
      <w:r w:rsidR="00C63AD1">
        <w:t>was</w:t>
      </w:r>
      <w:r w:rsidRPr="00702FE7">
        <w:t xml:space="preserve"> to estimate a linear relationship between </w:t>
      </w:r>
      <w:r w:rsidR="007913F3" w:rsidRPr="00702FE7">
        <w:t xml:space="preserve">the </w:t>
      </w:r>
      <w:r w:rsidRPr="00702FE7">
        <w:t xml:space="preserve">coverage indicators </w:t>
      </w:r>
      <w:r w:rsidR="007913F3" w:rsidRPr="00702FE7">
        <w:t xml:space="preserve">and mortality rates. </w:t>
      </w:r>
      <w:r w:rsidR="00BC473E" w:rsidRPr="00702FE7">
        <w:t xml:space="preserve">In line with Moreno-Serra and Smith (2015) for </w:t>
      </w:r>
      <w:r w:rsidR="00B0034B" w:rsidRPr="00702FE7">
        <w:t xml:space="preserve">this panel dataset a </w:t>
      </w:r>
      <w:r w:rsidR="0020142E" w:rsidRPr="00702FE7">
        <w:t xml:space="preserve">least squares </w:t>
      </w:r>
      <w:r w:rsidR="00B57969" w:rsidRPr="00702FE7">
        <w:t xml:space="preserve">fixed effect </w:t>
      </w:r>
      <w:r w:rsidR="00BC473E" w:rsidRPr="00702FE7">
        <w:t>with panel robust standard errors clustered at the country</w:t>
      </w:r>
      <w:r w:rsidR="00C63AD1">
        <w:t xml:space="preserve"> level</w:t>
      </w:r>
      <w:r w:rsidR="00BC473E" w:rsidRPr="00702FE7">
        <w:t xml:space="preserve"> is used</w:t>
      </w:r>
      <w:r w:rsidR="00B57969" w:rsidRPr="00702FE7">
        <w:t xml:space="preserve"> as estimation approach</w:t>
      </w:r>
      <w:r w:rsidR="00BC473E" w:rsidRPr="00702FE7">
        <w:t>. The use of fixed effects is supported by the significance of a</w:t>
      </w:r>
      <w:r w:rsidR="0023214D" w:rsidRPr="00702FE7">
        <w:t xml:space="preserve"> H</w:t>
      </w:r>
      <w:r w:rsidR="00B0034B" w:rsidRPr="00702FE7">
        <w:t>ausman test (see appendix</w:t>
      </w:r>
      <w:r w:rsidR="00E23998" w:rsidRPr="00702FE7">
        <w:t xml:space="preserve"> table A4</w:t>
      </w:r>
      <w:r w:rsidR="0023214D" w:rsidRPr="00702FE7">
        <w:t>). The H</w:t>
      </w:r>
      <w:r w:rsidR="00B0034B" w:rsidRPr="00702FE7">
        <w:t xml:space="preserve">ausman test tests the null hypothesis of no systematic difference between the fixed and random effects model. As this test rejects the null hypothesis the fixed effects model is the most efficient estimator. </w:t>
      </w:r>
      <w:r w:rsidR="007913F3" w:rsidRPr="00702FE7">
        <w:t xml:space="preserve">In table 3 these results are presented for under-5, </w:t>
      </w:r>
      <w:r w:rsidR="00551F16" w:rsidRPr="00702FE7">
        <w:t xml:space="preserve">female and </w:t>
      </w:r>
      <w:r w:rsidR="007913F3" w:rsidRPr="00702FE7">
        <w:t>male mortality.</w:t>
      </w:r>
    </w:p>
    <w:p w14:paraId="38D4840D" w14:textId="409ED61B" w:rsidR="004A2FF4" w:rsidRPr="00702FE7" w:rsidRDefault="004A2FF4" w:rsidP="00BC42EA"/>
    <w:tbl>
      <w:tblPr>
        <w:tblStyle w:val="PlainTable21"/>
        <w:tblW w:w="0" w:type="auto"/>
        <w:tblLook w:val="04A0" w:firstRow="1" w:lastRow="0" w:firstColumn="1" w:lastColumn="0" w:noHBand="0" w:noVBand="1"/>
      </w:tblPr>
      <w:tblGrid>
        <w:gridCol w:w="2110"/>
        <w:gridCol w:w="2110"/>
        <w:gridCol w:w="2110"/>
        <w:gridCol w:w="2110"/>
      </w:tblGrid>
      <w:tr w:rsidR="00BC473E" w:rsidRPr="00702FE7" w14:paraId="540EEB31" w14:textId="77777777" w:rsidTr="0015609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10" w:type="dxa"/>
          </w:tcPr>
          <w:p w14:paraId="530BEC13" w14:textId="77777777" w:rsidR="00BC473E" w:rsidRPr="00702FE7" w:rsidRDefault="00BC473E" w:rsidP="00BC473E">
            <w:pPr>
              <w:spacing w:line="240" w:lineRule="auto"/>
              <w:jc w:val="left"/>
              <w:rPr>
                <w:rFonts w:ascii="Times New Roman" w:hAnsi="Times New Roman" w:cs="Times New Roman"/>
                <w:sz w:val="18"/>
              </w:rPr>
            </w:pPr>
          </w:p>
        </w:tc>
        <w:tc>
          <w:tcPr>
            <w:tcW w:w="2110" w:type="dxa"/>
          </w:tcPr>
          <w:p w14:paraId="0B6C70EB" w14:textId="0FF01AFC" w:rsidR="00BC473E" w:rsidRPr="00702FE7" w:rsidRDefault="00BC473E" w:rsidP="00156094">
            <w:pPr>
              <w:spacing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Under-5 mortality</w:t>
            </w:r>
          </w:p>
        </w:tc>
        <w:tc>
          <w:tcPr>
            <w:tcW w:w="2110" w:type="dxa"/>
          </w:tcPr>
          <w:p w14:paraId="5A349CF2" w14:textId="0947DE89" w:rsidR="00BC473E" w:rsidRPr="00702FE7" w:rsidRDefault="00BC473E" w:rsidP="00156094">
            <w:pPr>
              <w:spacing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Female mortality</w:t>
            </w:r>
          </w:p>
        </w:tc>
        <w:tc>
          <w:tcPr>
            <w:tcW w:w="2110" w:type="dxa"/>
          </w:tcPr>
          <w:p w14:paraId="2F75C4E2" w14:textId="1FEAA9DF" w:rsidR="00BC473E" w:rsidRPr="00702FE7" w:rsidRDefault="00BC473E" w:rsidP="00156094">
            <w:pPr>
              <w:spacing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Male mortality</w:t>
            </w:r>
          </w:p>
        </w:tc>
      </w:tr>
      <w:tr w:rsidR="00BC473E" w:rsidRPr="00702FE7" w14:paraId="5F40C20D" w14:textId="77777777" w:rsidTr="001560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10" w:type="dxa"/>
          </w:tcPr>
          <w:p w14:paraId="5B618F84" w14:textId="20B755FA" w:rsidR="00BC473E" w:rsidRPr="00702FE7" w:rsidRDefault="00BC473E" w:rsidP="00BC473E">
            <w:pPr>
              <w:spacing w:line="240" w:lineRule="auto"/>
              <w:jc w:val="left"/>
              <w:rPr>
                <w:rFonts w:ascii="Times New Roman" w:hAnsi="Times New Roman" w:cs="Times New Roman"/>
                <w:sz w:val="18"/>
              </w:rPr>
            </w:pPr>
            <w:r w:rsidRPr="00702FE7">
              <w:rPr>
                <w:rFonts w:ascii="Times New Roman" w:hAnsi="Times New Roman" w:cs="Times New Roman"/>
                <w:sz w:val="18"/>
              </w:rPr>
              <w:t>Gov</w:t>
            </w:r>
            <w:r w:rsidR="00551F16" w:rsidRPr="00702FE7">
              <w:rPr>
                <w:rFonts w:ascii="Times New Roman" w:hAnsi="Times New Roman" w:cs="Times New Roman"/>
                <w:sz w:val="18"/>
              </w:rPr>
              <w:t xml:space="preserve">ernment </w:t>
            </w:r>
            <w:r w:rsidR="00D50D31" w:rsidRPr="00702FE7">
              <w:rPr>
                <w:rFonts w:ascii="Times New Roman" w:hAnsi="Times New Roman" w:cs="Times New Roman"/>
                <w:sz w:val="18"/>
              </w:rPr>
              <w:t xml:space="preserve">health </w:t>
            </w:r>
            <w:r w:rsidR="00551F16" w:rsidRPr="00702FE7">
              <w:rPr>
                <w:rFonts w:ascii="Times New Roman" w:hAnsi="Times New Roman" w:cs="Times New Roman"/>
                <w:sz w:val="18"/>
              </w:rPr>
              <w:t>spending per capita (</w:t>
            </w:r>
            <w:r w:rsidRPr="00702FE7">
              <w:rPr>
                <w:rFonts w:ascii="Times New Roman" w:hAnsi="Times New Roman" w:cs="Times New Roman"/>
                <w:sz w:val="18"/>
              </w:rPr>
              <w:t>% of GDP)</w:t>
            </w:r>
          </w:p>
        </w:tc>
        <w:tc>
          <w:tcPr>
            <w:tcW w:w="2110" w:type="dxa"/>
          </w:tcPr>
          <w:p w14:paraId="48CB9731" w14:textId="2994B1E4" w:rsidR="00BC473E" w:rsidRPr="00702FE7" w:rsidRDefault="00BC473E" w:rsidP="00BC473E">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0.307</w:t>
            </w:r>
            <w:r w:rsidRPr="00702FE7">
              <w:rPr>
                <w:rFonts w:ascii="Times New Roman" w:hAnsi="Times New Roman" w:cs="Times New Roman"/>
                <w:sz w:val="18"/>
              </w:rPr>
              <w:br/>
              <w:t>(0.682)</w:t>
            </w:r>
          </w:p>
        </w:tc>
        <w:tc>
          <w:tcPr>
            <w:tcW w:w="2110" w:type="dxa"/>
          </w:tcPr>
          <w:p w14:paraId="59819F31" w14:textId="77777777" w:rsidR="00BC473E" w:rsidRPr="00702FE7" w:rsidRDefault="00AB18E5" w:rsidP="00BC473E">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2.468</w:t>
            </w:r>
          </w:p>
          <w:p w14:paraId="4573FD48" w14:textId="0E3CE2F9" w:rsidR="00AB18E5" w:rsidRPr="00702FE7" w:rsidRDefault="00AB18E5" w:rsidP="00BC473E">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(0.393)</w:t>
            </w:r>
          </w:p>
        </w:tc>
        <w:tc>
          <w:tcPr>
            <w:tcW w:w="2110" w:type="dxa"/>
          </w:tcPr>
          <w:p w14:paraId="5AA494FC" w14:textId="77777777" w:rsidR="00BC473E" w:rsidRPr="00702FE7" w:rsidRDefault="00AB18E5" w:rsidP="00BC473E">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2.116</w:t>
            </w:r>
          </w:p>
          <w:p w14:paraId="0DC87BC4" w14:textId="250A044E" w:rsidR="00AB18E5" w:rsidRPr="00702FE7" w:rsidRDefault="00AB18E5" w:rsidP="00AB18E5">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(0.396)</w:t>
            </w:r>
          </w:p>
        </w:tc>
      </w:tr>
      <w:tr w:rsidR="00BC473E" w:rsidRPr="00702FE7" w14:paraId="56D1397E" w14:textId="77777777" w:rsidTr="00156094">
        <w:tc>
          <w:tcPr>
            <w:cnfStyle w:val="001000000000" w:firstRow="0" w:lastRow="0" w:firstColumn="1" w:lastColumn="0" w:oddVBand="0" w:evenVBand="0" w:oddHBand="0" w:evenHBand="0" w:firstRowFirstColumn="0" w:firstRowLastColumn="0" w:lastRowFirstColumn="0" w:lastRowLastColumn="0"/>
            <w:tcW w:w="2110" w:type="dxa"/>
          </w:tcPr>
          <w:p w14:paraId="5261613C" w14:textId="7C215014" w:rsidR="00BC473E" w:rsidRPr="00702FE7" w:rsidRDefault="00BC473E" w:rsidP="00BC473E">
            <w:pPr>
              <w:spacing w:line="240" w:lineRule="auto"/>
              <w:jc w:val="left"/>
              <w:rPr>
                <w:rFonts w:ascii="Times New Roman" w:hAnsi="Times New Roman" w:cs="Times New Roman"/>
                <w:sz w:val="18"/>
              </w:rPr>
            </w:pPr>
            <w:r w:rsidRPr="00702FE7">
              <w:rPr>
                <w:rFonts w:ascii="Times New Roman" w:hAnsi="Times New Roman" w:cs="Times New Roman"/>
                <w:sz w:val="18"/>
              </w:rPr>
              <w:t xml:space="preserve">GDP per capita </w:t>
            </w:r>
          </w:p>
        </w:tc>
        <w:tc>
          <w:tcPr>
            <w:tcW w:w="2110" w:type="dxa"/>
          </w:tcPr>
          <w:p w14:paraId="7CDC25F1" w14:textId="6E0BA3A6" w:rsidR="00BC473E" w:rsidRPr="00702FE7" w:rsidRDefault="00BC473E" w:rsidP="00BC473E">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0.000</w:t>
            </w:r>
            <w:r w:rsidRPr="00702FE7">
              <w:rPr>
                <w:rFonts w:ascii="Times New Roman" w:hAnsi="Times New Roman" w:cs="Times New Roman"/>
                <w:sz w:val="18"/>
              </w:rPr>
              <w:br/>
              <w:t>(0.574)</w:t>
            </w:r>
          </w:p>
        </w:tc>
        <w:tc>
          <w:tcPr>
            <w:tcW w:w="2110" w:type="dxa"/>
          </w:tcPr>
          <w:p w14:paraId="288EDED3" w14:textId="77777777" w:rsidR="00BC473E" w:rsidRPr="00702FE7" w:rsidRDefault="00AB18E5" w:rsidP="00BC473E">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-0.000</w:t>
            </w:r>
          </w:p>
          <w:p w14:paraId="24A88504" w14:textId="05103D25" w:rsidR="00AB18E5" w:rsidRPr="00702FE7" w:rsidRDefault="00AB18E5" w:rsidP="00BC473E">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(0.636)</w:t>
            </w:r>
          </w:p>
        </w:tc>
        <w:tc>
          <w:tcPr>
            <w:tcW w:w="2110" w:type="dxa"/>
          </w:tcPr>
          <w:p w14:paraId="0C53F3B0" w14:textId="77777777" w:rsidR="00BC473E" w:rsidRPr="00702FE7" w:rsidRDefault="00AB18E5" w:rsidP="00BC473E">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-0.000</w:t>
            </w:r>
          </w:p>
          <w:p w14:paraId="7003A4AB" w14:textId="3C7F6E83" w:rsidR="00AB18E5" w:rsidRPr="00702FE7" w:rsidRDefault="00AB18E5" w:rsidP="00BC473E">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(0.436)</w:t>
            </w:r>
          </w:p>
        </w:tc>
      </w:tr>
      <w:tr w:rsidR="00BC473E" w:rsidRPr="00702FE7" w14:paraId="06706265" w14:textId="77777777" w:rsidTr="001560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10" w:type="dxa"/>
          </w:tcPr>
          <w:p w14:paraId="33977CE7" w14:textId="0BB86821" w:rsidR="00BC473E" w:rsidRPr="00702FE7" w:rsidRDefault="00BC473E" w:rsidP="00BC473E">
            <w:pPr>
              <w:spacing w:line="240" w:lineRule="auto"/>
              <w:jc w:val="left"/>
              <w:rPr>
                <w:rFonts w:ascii="Times New Roman" w:hAnsi="Times New Roman" w:cs="Times New Roman"/>
                <w:sz w:val="18"/>
              </w:rPr>
            </w:pPr>
            <w:r w:rsidRPr="00702FE7">
              <w:rPr>
                <w:rFonts w:ascii="Times New Roman" w:hAnsi="Times New Roman" w:cs="Times New Roman"/>
                <w:sz w:val="18"/>
              </w:rPr>
              <w:t>Immunization coverage</w:t>
            </w:r>
          </w:p>
        </w:tc>
        <w:tc>
          <w:tcPr>
            <w:tcW w:w="2110" w:type="dxa"/>
          </w:tcPr>
          <w:p w14:paraId="3041D239" w14:textId="77777777" w:rsidR="00BC473E" w:rsidRPr="00702FE7" w:rsidRDefault="00BC473E" w:rsidP="00BC473E">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sz w:val="18"/>
              </w:rPr>
            </w:pPr>
            <w:r w:rsidRPr="00702FE7">
              <w:rPr>
                <w:rFonts w:ascii="Times New Roman" w:hAnsi="Times New Roman" w:cs="Times New Roman"/>
                <w:i/>
                <w:sz w:val="18"/>
              </w:rPr>
              <w:t>-3.</w:t>
            </w:r>
            <w:r w:rsidR="00AB18E5" w:rsidRPr="00702FE7">
              <w:rPr>
                <w:rFonts w:ascii="Times New Roman" w:hAnsi="Times New Roman" w:cs="Times New Roman"/>
                <w:i/>
                <w:sz w:val="18"/>
              </w:rPr>
              <w:t>527</w:t>
            </w:r>
          </w:p>
          <w:p w14:paraId="559F737F" w14:textId="2CA6C64B" w:rsidR="00AB18E5" w:rsidRPr="00702FE7" w:rsidRDefault="00AB18E5" w:rsidP="00BC473E">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sz w:val="18"/>
              </w:rPr>
            </w:pPr>
            <w:r w:rsidRPr="00702FE7">
              <w:rPr>
                <w:rFonts w:ascii="Times New Roman" w:hAnsi="Times New Roman" w:cs="Times New Roman"/>
                <w:i/>
                <w:sz w:val="18"/>
              </w:rPr>
              <w:t>(0.000)</w:t>
            </w:r>
          </w:p>
        </w:tc>
        <w:tc>
          <w:tcPr>
            <w:tcW w:w="2110" w:type="dxa"/>
          </w:tcPr>
          <w:p w14:paraId="5B0659FB" w14:textId="77777777" w:rsidR="00BC473E" w:rsidRPr="00702FE7" w:rsidRDefault="00AB18E5" w:rsidP="00BC473E">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-1.374</w:t>
            </w:r>
          </w:p>
          <w:p w14:paraId="611EB736" w14:textId="08C0B3BA" w:rsidR="00AB18E5" w:rsidRPr="00702FE7" w:rsidRDefault="00AB18E5" w:rsidP="00BC473E">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(0.602)</w:t>
            </w:r>
          </w:p>
        </w:tc>
        <w:tc>
          <w:tcPr>
            <w:tcW w:w="2110" w:type="dxa"/>
          </w:tcPr>
          <w:p w14:paraId="7FBF7E17" w14:textId="77777777" w:rsidR="00BC473E" w:rsidRPr="00702FE7" w:rsidRDefault="00AB18E5" w:rsidP="00BC473E">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-2.498</w:t>
            </w:r>
          </w:p>
          <w:p w14:paraId="726777EB" w14:textId="0D70B9D7" w:rsidR="00AB18E5" w:rsidRPr="00702FE7" w:rsidRDefault="00AB18E5" w:rsidP="00BC473E">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(0.288)</w:t>
            </w:r>
          </w:p>
        </w:tc>
      </w:tr>
      <w:tr w:rsidR="00BC473E" w:rsidRPr="00702FE7" w14:paraId="0ADC5EAD" w14:textId="77777777" w:rsidTr="00156094">
        <w:tc>
          <w:tcPr>
            <w:cnfStyle w:val="001000000000" w:firstRow="0" w:lastRow="0" w:firstColumn="1" w:lastColumn="0" w:oddVBand="0" w:evenVBand="0" w:oddHBand="0" w:evenHBand="0" w:firstRowFirstColumn="0" w:firstRowLastColumn="0" w:lastRowFirstColumn="0" w:lastRowLastColumn="0"/>
            <w:tcW w:w="2110" w:type="dxa"/>
          </w:tcPr>
          <w:p w14:paraId="207B5F16" w14:textId="705524C6" w:rsidR="00BC473E" w:rsidRPr="00702FE7" w:rsidRDefault="00BC473E" w:rsidP="00BC473E">
            <w:pPr>
              <w:spacing w:line="240" w:lineRule="auto"/>
              <w:jc w:val="left"/>
              <w:rPr>
                <w:rFonts w:ascii="Times New Roman" w:hAnsi="Times New Roman" w:cs="Times New Roman"/>
                <w:sz w:val="18"/>
              </w:rPr>
            </w:pPr>
            <w:r w:rsidRPr="00702FE7">
              <w:rPr>
                <w:rFonts w:ascii="Times New Roman" w:hAnsi="Times New Roman" w:cs="Times New Roman"/>
                <w:sz w:val="18"/>
              </w:rPr>
              <w:t>Country fixed effects</w:t>
            </w:r>
          </w:p>
        </w:tc>
        <w:tc>
          <w:tcPr>
            <w:tcW w:w="2110" w:type="dxa"/>
          </w:tcPr>
          <w:p w14:paraId="37FB90C8" w14:textId="1658C056" w:rsidR="00BC473E" w:rsidRPr="00702FE7" w:rsidRDefault="00BC473E" w:rsidP="00BC473E">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Yes</w:t>
            </w:r>
          </w:p>
        </w:tc>
        <w:tc>
          <w:tcPr>
            <w:tcW w:w="2110" w:type="dxa"/>
          </w:tcPr>
          <w:p w14:paraId="48EE0E90" w14:textId="65D762A1" w:rsidR="00BC473E" w:rsidRPr="00702FE7" w:rsidRDefault="00BC473E" w:rsidP="00BC473E">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Yes</w:t>
            </w:r>
          </w:p>
        </w:tc>
        <w:tc>
          <w:tcPr>
            <w:tcW w:w="2110" w:type="dxa"/>
          </w:tcPr>
          <w:p w14:paraId="6FB19635" w14:textId="12EFADF5" w:rsidR="00BC473E" w:rsidRPr="00702FE7" w:rsidRDefault="00BC473E" w:rsidP="00BC473E">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Yes</w:t>
            </w:r>
          </w:p>
        </w:tc>
      </w:tr>
      <w:tr w:rsidR="00BC473E" w:rsidRPr="00702FE7" w14:paraId="70F55CA5" w14:textId="77777777" w:rsidTr="001560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10" w:type="dxa"/>
          </w:tcPr>
          <w:p w14:paraId="4328CA38" w14:textId="0C5FFF85" w:rsidR="00BC473E" w:rsidRPr="00702FE7" w:rsidRDefault="00BC473E" w:rsidP="00BC473E">
            <w:pPr>
              <w:spacing w:line="240" w:lineRule="auto"/>
              <w:jc w:val="left"/>
              <w:rPr>
                <w:rFonts w:ascii="Times New Roman" w:hAnsi="Times New Roman" w:cs="Times New Roman"/>
                <w:sz w:val="18"/>
              </w:rPr>
            </w:pPr>
            <w:r w:rsidRPr="00702FE7">
              <w:rPr>
                <w:rFonts w:ascii="Times New Roman" w:hAnsi="Times New Roman" w:cs="Times New Roman"/>
                <w:sz w:val="18"/>
              </w:rPr>
              <w:t>Year fixed effects</w:t>
            </w:r>
          </w:p>
        </w:tc>
        <w:tc>
          <w:tcPr>
            <w:tcW w:w="2110" w:type="dxa"/>
          </w:tcPr>
          <w:p w14:paraId="0EE2A91A" w14:textId="0FF13FF6" w:rsidR="00BC473E" w:rsidRPr="00702FE7" w:rsidRDefault="00BC473E" w:rsidP="00BC473E">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Yes</w:t>
            </w:r>
          </w:p>
        </w:tc>
        <w:tc>
          <w:tcPr>
            <w:tcW w:w="2110" w:type="dxa"/>
          </w:tcPr>
          <w:p w14:paraId="287E0D5C" w14:textId="69F9EB78" w:rsidR="00BC473E" w:rsidRPr="00702FE7" w:rsidRDefault="00BC473E" w:rsidP="00BC473E">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Yes</w:t>
            </w:r>
          </w:p>
        </w:tc>
        <w:tc>
          <w:tcPr>
            <w:tcW w:w="2110" w:type="dxa"/>
          </w:tcPr>
          <w:p w14:paraId="06D33DC5" w14:textId="79EBE695" w:rsidR="00BC473E" w:rsidRPr="00702FE7" w:rsidRDefault="00BC473E" w:rsidP="00BC473E">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Yes</w:t>
            </w:r>
          </w:p>
        </w:tc>
      </w:tr>
      <w:tr w:rsidR="00BC473E" w:rsidRPr="00702FE7" w14:paraId="6E533B33" w14:textId="77777777" w:rsidTr="00156094">
        <w:tc>
          <w:tcPr>
            <w:cnfStyle w:val="001000000000" w:firstRow="0" w:lastRow="0" w:firstColumn="1" w:lastColumn="0" w:oddVBand="0" w:evenVBand="0" w:oddHBand="0" w:evenHBand="0" w:firstRowFirstColumn="0" w:firstRowLastColumn="0" w:lastRowFirstColumn="0" w:lastRowLastColumn="0"/>
            <w:tcW w:w="2110" w:type="dxa"/>
          </w:tcPr>
          <w:p w14:paraId="7A39F90D" w14:textId="77777777" w:rsidR="00BC473E" w:rsidRPr="00702FE7" w:rsidRDefault="00BC473E" w:rsidP="00BC473E">
            <w:pPr>
              <w:spacing w:line="240" w:lineRule="auto"/>
              <w:jc w:val="left"/>
              <w:rPr>
                <w:rFonts w:ascii="Times New Roman" w:hAnsi="Times New Roman" w:cs="Times New Roman"/>
                <w:sz w:val="18"/>
              </w:rPr>
            </w:pPr>
          </w:p>
        </w:tc>
        <w:tc>
          <w:tcPr>
            <w:tcW w:w="2110" w:type="dxa"/>
          </w:tcPr>
          <w:p w14:paraId="1D146A2D" w14:textId="77777777" w:rsidR="00BC473E" w:rsidRPr="00702FE7" w:rsidRDefault="00BC473E" w:rsidP="00BC473E">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rPr>
            </w:pPr>
          </w:p>
        </w:tc>
        <w:tc>
          <w:tcPr>
            <w:tcW w:w="2110" w:type="dxa"/>
          </w:tcPr>
          <w:p w14:paraId="3339FCF7" w14:textId="77777777" w:rsidR="00BC473E" w:rsidRPr="00702FE7" w:rsidRDefault="00BC473E" w:rsidP="00BC473E">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rPr>
            </w:pPr>
          </w:p>
        </w:tc>
        <w:tc>
          <w:tcPr>
            <w:tcW w:w="2110" w:type="dxa"/>
          </w:tcPr>
          <w:p w14:paraId="52AA678C" w14:textId="77777777" w:rsidR="00BC473E" w:rsidRPr="00702FE7" w:rsidRDefault="00BC473E" w:rsidP="00BC473E">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rPr>
            </w:pPr>
          </w:p>
        </w:tc>
      </w:tr>
      <w:tr w:rsidR="00BC473E" w:rsidRPr="00702FE7" w14:paraId="75698E4A" w14:textId="77777777" w:rsidTr="001560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10" w:type="dxa"/>
          </w:tcPr>
          <w:p w14:paraId="708053BC" w14:textId="66891C2A" w:rsidR="00BC473E" w:rsidRPr="00702FE7" w:rsidRDefault="00E23998" w:rsidP="00BC473E">
            <w:pPr>
              <w:spacing w:line="240" w:lineRule="auto"/>
              <w:jc w:val="left"/>
              <w:rPr>
                <w:rFonts w:ascii="Times New Roman" w:hAnsi="Times New Roman" w:cs="Times New Roman"/>
                <w:sz w:val="18"/>
              </w:rPr>
            </w:pPr>
            <w:r w:rsidRPr="00702FE7">
              <w:rPr>
                <w:rFonts w:ascii="Times New Roman" w:hAnsi="Times New Roman" w:cs="Times New Roman"/>
                <w:sz w:val="18"/>
              </w:rPr>
              <w:t>F-</w:t>
            </w:r>
            <w:r w:rsidR="00BC473E" w:rsidRPr="00702FE7">
              <w:rPr>
                <w:rFonts w:ascii="Times New Roman" w:hAnsi="Times New Roman" w:cs="Times New Roman"/>
                <w:sz w:val="18"/>
              </w:rPr>
              <w:t>statistic</w:t>
            </w:r>
          </w:p>
        </w:tc>
        <w:tc>
          <w:tcPr>
            <w:tcW w:w="2110" w:type="dxa"/>
          </w:tcPr>
          <w:p w14:paraId="06195633" w14:textId="1511E3E5" w:rsidR="00BC473E" w:rsidRPr="00702FE7" w:rsidRDefault="00AB18E5" w:rsidP="00BC473E">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17.42</w:t>
            </w:r>
          </w:p>
        </w:tc>
        <w:tc>
          <w:tcPr>
            <w:tcW w:w="2110" w:type="dxa"/>
          </w:tcPr>
          <w:p w14:paraId="150CA298" w14:textId="63BB9579" w:rsidR="00BC473E" w:rsidRPr="00702FE7" w:rsidRDefault="00AB18E5" w:rsidP="00BC473E">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11.04</w:t>
            </w:r>
          </w:p>
        </w:tc>
        <w:tc>
          <w:tcPr>
            <w:tcW w:w="2110" w:type="dxa"/>
          </w:tcPr>
          <w:p w14:paraId="20C66050" w14:textId="389634F6" w:rsidR="00BC473E" w:rsidRPr="00702FE7" w:rsidRDefault="00AB18E5" w:rsidP="00BC473E">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14.47</w:t>
            </w:r>
          </w:p>
        </w:tc>
      </w:tr>
      <w:tr w:rsidR="00BC473E" w:rsidRPr="00702FE7" w14:paraId="6ABEA78B" w14:textId="77777777" w:rsidTr="00156094">
        <w:tc>
          <w:tcPr>
            <w:cnfStyle w:val="001000000000" w:firstRow="0" w:lastRow="0" w:firstColumn="1" w:lastColumn="0" w:oddVBand="0" w:evenVBand="0" w:oddHBand="0" w:evenHBand="0" w:firstRowFirstColumn="0" w:firstRowLastColumn="0" w:lastRowFirstColumn="0" w:lastRowLastColumn="0"/>
            <w:tcW w:w="2110" w:type="dxa"/>
          </w:tcPr>
          <w:p w14:paraId="0F22115F" w14:textId="2F2E767C" w:rsidR="00BC473E" w:rsidRPr="00702FE7" w:rsidRDefault="00BC473E" w:rsidP="00BC473E">
            <w:pPr>
              <w:spacing w:line="240" w:lineRule="auto"/>
              <w:jc w:val="left"/>
              <w:rPr>
                <w:rFonts w:ascii="Times New Roman" w:hAnsi="Times New Roman" w:cs="Times New Roman"/>
                <w:sz w:val="18"/>
              </w:rPr>
            </w:pPr>
            <w:r w:rsidRPr="00702FE7">
              <w:rPr>
                <w:rFonts w:ascii="Times New Roman" w:hAnsi="Times New Roman" w:cs="Times New Roman"/>
                <w:sz w:val="18"/>
              </w:rPr>
              <w:t>F-statistic (p-value)</w:t>
            </w:r>
          </w:p>
        </w:tc>
        <w:tc>
          <w:tcPr>
            <w:tcW w:w="2110" w:type="dxa"/>
          </w:tcPr>
          <w:p w14:paraId="29011246" w14:textId="6A6087F4" w:rsidR="00BC473E" w:rsidRPr="00702FE7" w:rsidRDefault="00AB18E5" w:rsidP="00BC473E">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0.000</w:t>
            </w:r>
          </w:p>
        </w:tc>
        <w:tc>
          <w:tcPr>
            <w:tcW w:w="2110" w:type="dxa"/>
          </w:tcPr>
          <w:p w14:paraId="2926DA14" w14:textId="2E6237EC" w:rsidR="00BC473E" w:rsidRPr="00702FE7" w:rsidRDefault="00AB18E5" w:rsidP="00BC473E">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0.000</w:t>
            </w:r>
          </w:p>
        </w:tc>
        <w:tc>
          <w:tcPr>
            <w:tcW w:w="2110" w:type="dxa"/>
          </w:tcPr>
          <w:p w14:paraId="5288F227" w14:textId="7CBDA51E" w:rsidR="00BC473E" w:rsidRPr="00702FE7" w:rsidRDefault="00AB18E5" w:rsidP="00BC473E">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0.000</w:t>
            </w:r>
          </w:p>
        </w:tc>
      </w:tr>
      <w:tr w:rsidR="00156094" w:rsidRPr="00702FE7" w14:paraId="7100F35B" w14:textId="77777777" w:rsidTr="001560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10" w:type="dxa"/>
          </w:tcPr>
          <w:p w14:paraId="3C54A9D7" w14:textId="213308A4" w:rsidR="00156094" w:rsidRPr="00702FE7" w:rsidRDefault="00156094" w:rsidP="00BC473E">
            <w:pPr>
              <w:spacing w:line="240" w:lineRule="auto"/>
              <w:jc w:val="left"/>
              <w:rPr>
                <w:rFonts w:ascii="Times New Roman" w:hAnsi="Times New Roman" w:cs="Times New Roman"/>
                <w:sz w:val="18"/>
              </w:rPr>
            </w:pPr>
            <w:r w:rsidRPr="00702FE7">
              <w:rPr>
                <w:rFonts w:ascii="Times New Roman" w:hAnsi="Times New Roman" w:cs="Times New Roman"/>
                <w:sz w:val="18"/>
              </w:rPr>
              <w:t>R-squared (overall)</w:t>
            </w:r>
          </w:p>
        </w:tc>
        <w:tc>
          <w:tcPr>
            <w:tcW w:w="2110" w:type="dxa"/>
          </w:tcPr>
          <w:p w14:paraId="17046CFB" w14:textId="3DDF3114" w:rsidR="00156094" w:rsidRPr="00702FE7" w:rsidRDefault="00156094" w:rsidP="00BC473E">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0.034</w:t>
            </w:r>
          </w:p>
        </w:tc>
        <w:tc>
          <w:tcPr>
            <w:tcW w:w="2110" w:type="dxa"/>
          </w:tcPr>
          <w:p w14:paraId="1FD5A4CA" w14:textId="366A9A44" w:rsidR="00156094" w:rsidRPr="00702FE7" w:rsidRDefault="00156094" w:rsidP="00BC473E">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0.000</w:t>
            </w:r>
          </w:p>
        </w:tc>
        <w:tc>
          <w:tcPr>
            <w:tcW w:w="2110" w:type="dxa"/>
          </w:tcPr>
          <w:p w14:paraId="621F976C" w14:textId="32ACFFEA" w:rsidR="00156094" w:rsidRPr="00702FE7" w:rsidRDefault="00156094" w:rsidP="00BC473E">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0.076</w:t>
            </w:r>
          </w:p>
        </w:tc>
      </w:tr>
      <w:tr w:rsidR="00BC473E" w:rsidRPr="00702FE7" w14:paraId="7F60FB81" w14:textId="77777777" w:rsidTr="00156094">
        <w:tc>
          <w:tcPr>
            <w:cnfStyle w:val="001000000000" w:firstRow="0" w:lastRow="0" w:firstColumn="1" w:lastColumn="0" w:oddVBand="0" w:evenVBand="0" w:oddHBand="0" w:evenHBand="0" w:firstRowFirstColumn="0" w:firstRowLastColumn="0" w:lastRowFirstColumn="0" w:lastRowLastColumn="0"/>
            <w:tcW w:w="2110" w:type="dxa"/>
          </w:tcPr>
          <w:p w14:paraId="26BA5C1A" w14:textId="469D90A7" w:rsidR="00BC473E" w:rsidRPr="00702FE7" w:rsidRDefault="00BC473E" w:rsidP="00BC473E">
            <w:pPr>
              <w:spacing w:line="240" w:lineRule="auto"/>
              <w:jc w:val="left"/>
              <w:rPr>
                <w:rFonts w:ascii="Times New Roman" w:hAnsi="Times New Roman" w:cs="Times New Roman"/>
                <w:sz w:val="18"/>
              </w:rPr>
            </w:pPr>
            <w:r w:rsidRPr="00702FE7">
              <w:rPr>
                <w:rFonts w:ascii="Times New Roman" w:hAnsi="Times New Roman" w:cs="Times New Roman"/>
                <w:sz w:val="18"/>
              </w:rPr>
              <w:t>Number of countries</w:t>
            </w:r>
          </w:p>
        </w:tc>
        <w:tc>
          <w:tcPr>
            <w:tcW w:w="2110" w:type="dxa"/>
          </w:tcPr>
          <w:p w14:paraId="566C079E" w14:textId="144C8B96" w:rsidR="00BC473E" w:rsidRPr="00702FE7" w:rsidRDefault="00AB18E5" w:rsidP="00BC473E">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162</w:t>
            </w:r>
          </w:p>
        </w:tc>
        <w:tc>
          <w:tcPr>
            <w:tcW w:w="2110" w:type="dxa"/>
          </w:tcPr>
          <w:p w14:paraId="096D1EC1" w14:textId="090820F8" w:rsidR="00BC473E" w:rsidRPr="00702FE7" w:rsidRDefault="00AB18E5" w:rsidP="00BC473E">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161</w:t>
            </w:r>
          </w:p>
        </w:tc>
        <w:tc>
          <w:tcPr>
            <w:tcW w:w="2110" w:type="dxa"/>
          </w:tcPr>
          <w:p w14:paraId="3A418A3C" w14:textId="12747DBE" w:rsidR="00BC473E" w:rsidRPr="00702FE7" w:rsidRDefault="00AB18E5" w:rsidP="00BC473E">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161</w:t>
            </w:r>
          </w:p>
        </w:tc>
      </w:tr>
      <w:tr w:rsidR="00BC473E" w:rsidRPr="00702FE7" w14:paraId="5287FEA4" w14:textId="77777777" w:rsidTr="001560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10" w:type="dxa"/>
          </w:tcPr>
          <w:p w14:paraId="08767466" w14:textId="4640CE64" w:rsidR="00BC473E" w:rsidRPr="00702FE7" w:rsidRDefault="00BC473E" w:rsidP="00BC473E">
            <w:pPr>
              <w:spacing w:line="240" w:lineRule="auto"/>
              <w:jc w:val="left"/>
              <w:rPr>
                <w:rFonts w:ascii="Times New Roman" w:hAnsi="Times New Roman" w:cs="Times New Roman"/>
                <w:sz w:val="18"/>
              </w:rPr>
            </w:pPr>
            <w:r w:rsidRPr="00702FE7">
              <w:rPr>
                <w:rFonts w:ascii="Times New Roman" w:hAnsi="Times New Roman" w:cs="Times New Roman"/>
                <w:sz w:val="18"/>
              </w:rPr>
              <w:t>Observations</w:t>
            </w:r>
          </w:p>
        </w:tc>
        <w:tc>
          <w:tcPr>
            <w:tcW w:w="2110" w:type="dxa"/>
          </w:tcPr>
          <w:p w14:paraId="435C1AC3" w14:textId="5793BB34" w:rsidR="00BC473E" w:rsidRPr="00702FE7" w:rsidRDefault="00AB18E5" w:rsidP="00BC473E">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1869</w:t>
            </w:r>
          </w:p>
        </w:tc>
        <w:tc>
          <w:tcPr>
            <w:tcW w:w="2110" w:type="dxa"/>
          </w:tcPr>
          <w:p w14:paraId="3F7B7D09" w14:textId="17E58178" w:rsidR="00BC473E" w:rsidRPr="00702FE7" w:rsidRDefault="00AB18E5" w:rsidP="00BC473E">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1785</w:t>
            </w:r>
          </w:p>
        </w:tc>
        <w:tc>
          <w:tcPr>
            <w:tcW w:w="2110" w:type="dxa"/>
          </w:tcPr>
          <w:p w14:paraId="7F78A612" w14:textId="1A088FA8" w:rsidR="00BC473E" w:rsidRPr="00702FE7" w:rsidRDefault="00AB18E5" w:rsidP="00BC473E">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1785</w:t>
            </w:r>
          </w:p>
        </w:tc>
      </w:tr>
    </w:tbl>
    <w:p w14:paraId="7EC215C2" w14:textId="39559585" w:rsidR="00A64FDE" w:rsidRPr="00702FE7" w:rsidRDefault="00AB18E5" w:rsidP="00AB18E5">
      <w:pPr>
        <w:spacing w:line="240" w:lineRule="auto"/>
        <w:rPr>
          <w:rStyle w:val="SubtleEmphasis"/>
        </w:rPr>
      </w:pPr>
      <w:r w:rsidRPr="00702FE7">
        <w:rPr>
          <w:rStyle w:val="SubtleEmphasis"/>
        </w:rPr>
        <w:t>Table 3: Linear regression model. Time period is 1995-2012. The regressions control for primary education rate, the share of population aged 0-14 years and the share of population aged over 65 years. Entries in italics indicate coefficients that are statistically significant at the 10</w:t>
      </w:r>
      <w:r w:rsidR="00E23998" w:rsidRPr="00702FE7">
        <w:rPr>
          <w:rStyle w:val="SubtleEmphasis"/>
        </w:rPr>
        <w:t>% level of confidence or below. Stata output in Appendix table A5.</w:t>
      </w:r>
    </w:p>
    <w:p w14:paraId="6EAC911D" w14:textId="77777777" w:rsidR="00AB18E5" w:rsidRPr="00702FE7" w:rsidRDefault="00AB18E5" w:rsidP="00736FE7">
      <w:pPr>
        <w:rPr>
          <w:rStyle w:val="SubtleEmphasis"/>
        </w:rPr>
      </w:pPr>
    </w:p>
    <w:p w14:paraId="6D47E9B6" w14:textId="79E72EB6" w:rsidR="00AB18E5" w:rsidRPr="00702FE7" w:rsidRDefault="005F7259" w:rsidP="00736FE7">
      <w:r w:rsidRPr="00702FE7">
        <w:t>As already discussed in the methodology the linear model is not a good fit to the data. This is co</w:t>
      </w:r>
      <w:r w:rsidR="004A2FF4" w:rsidRPr="00702FE7">
        <w:t>nfirmed by the low R-squared,</w:t>
      </w:r>
      <w:r w:rsidRPr="00702FE7">
        <w:t xml:space="preserve"> F-statistics </w:t>
      </w:r>
      <w:r w:rsidR="004A2FF4" w:rsidRPr="00702FE7">
        <w:t xml:space="preserve">and insignificance </w:t>
      </w:r>
      <w:r w:rsidRPr="00702FE7">
        <w:t xml:space="preserve">of all three regressions. Because of the poor fit of the model the estimates in table 3 are not very reliable. </w:t>
      </w:r>
      <w:r w:rsidR="00551F16" w:rsidRPr="00702FE7">
        <w:t>As suggested by previous literature a log linear model is expected to be a better fit to the data</w:t>
      </w:r>
      <w:sdt>
        <w:sdtPr>
          <w:id w:val="-250433600"/>
          <w:citation/>
        </w:sdtPr>
        <w:sdtEndPr/>
        <w:sdtContent>
          <w:r w:rsidR="00551F16" w:rsidRPr="00702FE7">
            <w:fldChar w:fldCharType="begin"/>
          </w:r>
          <w:r w:rsidR="00551F16" w:rsidRPr="00702FE7">
            <w:instrText xml:space="preserve"> CITATION Fil99 \l 1043 </w:instrText>
          </w:r>
          <w:r w:rsidR="00551F16" w:rsidRPr="00702FE7">
            <w:fldChar w:fldCharType="separate"/>
          </w:r>
          <w:r w:rsidR="00317F02">
            <w:rPr>
              <w:noProof/>
            </w:rPr>
            <w:t xml:space="preserve"> (Filmer &amp; Pritchett, 1999)</w:t>
          </w:r>
          <w:r w:rsidR="00551F16" w:rsidRPr="00702FE7">
            <w:fldChar w:fldCharType="end"/>
          </w:r>
        </w:sdtContent>
      </w:sdt>
      <w:r w:rsidR="00551F16" w:rsidRPr="00702FE7">
        <w:t>. The baseline results of the log linear model are presented in table 4 below.</w:t>
      </w:r>
    </w:p>
    <w:p w14:paraId="30138DBE" w14:textId="77777777" w:rsidR="004A2FF4" w:rsidRPr="00702FE7" w:rsidRDefault="004A2FF4" w:rsidP="005F7259"/>
    <w:tbl>
      <w:tblPr>
        <w:tblStyle w:val="PlainTable21"/>
        <w:tblW w:w="0" w:type="auto"/>
        <w:tblLook w:val="04A0" w:firstRow="1" w:lastRow="0" w:firstColumn="1" w:lastColumn="0" w:noHBand="0" w:noVBand="1"/>
      </w:tblPr>
      <w:tblGrid>
        <w:gridCol w:w="2235"/>
        <w:gridCol w:w="1985"/>
        <w:gridCol w:w="2110"/>
        <w:gridCol w:w="2110"/>
      </w:tblGrid>
      <w:tr w:rsidR="00551F16" w:rsidRPr="00702FE7" w14:paraId="5B9509A2" w14:textId="77777777" w:rsidTr="0011216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35" w:type="dxa"/>
          </w:tcPr>
          <w:p w14:paraId="1B416854" w14:textId="77777777" w:rsidR="00551F16" w:rsidRPr="00702FE7" w:rsidRDefault="00551F16" w:rsidP="00D50D31">
            <w:pPr>
              <w:spacing w:line="240" w:lineRule="auto"/>
              <w:jc w:val="left"/>
              <w:rPr>
                <w:rFonts w:ascii="Times New Roman" w:hAnsi="Times New Roman" w:cs="Times New Roman"/>
                <w:sz w:val="18"/>
              </w:rPr>
            </w:pPr>
          </w:p>
        </w:tc>
        <w:tc>
          <w:tcPr>
            <w:tcW w:w="1985" w:type="dxa"/>
          </w:tcPr>
          <w:p w14:paraId="374C1969" w14:textId="647F1CDF" w:rsidR="00551F16" w:rsidRPr="00702FE7" w:rsidRDefault="00551F16" w:rsidP="00D50D31">
            <w:pPr>
              <w:spacing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Under-5 mortality (ln)</w:t>
            </w:r>
          </w:p>
        </w:tc>
        <w:tc>
          <w:tcPr>
            <w:tcW w:w="2110" w:type="dxa"/>
          </w:tcPr>
          <w:p w14:paraId="7D77A223" w14:textId="7B8386E0" w:rsidR="00551F16" w:rsidRPr="00702FE7" w:rsidRDefault="00551F16" w:rsidP="00D50D31">
            <w:pPr>
              <w:spacing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Female mortality (ln)</w:t>
            </w:r>
          </w:p>
        </w:tc>
        <w:tc>
          <w:tcPr>
            <w:tcW w:w="2110" w:type="dxa"/>
          </w:tcPr>
          <w:p w14:paraId="7194267A" w14:textId="7FDA46D7" w:rsidR="00551F16" w:rsidRPr="00702FE7" w:rsidRDefault="00551F16" w:rsidP="00D50D31">
            <w:pPr>
              <w:spacing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Male mortality (ln)</w:t>
            </w:r>
          </w:p>
        </w:tc>
      </w:tr>
      <w:tr w:rsidR="00551F16" w:rsidRPr="00702FE7" w14:paraId="31ECA085" w14:textId="77777777" w:rsidTr="0011216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35" w:type="dxa"/>
          </w:tcPr>
          <w:p w14:paraId="7F9F7AAB" w14:textId="346A22F9" w:rsidR="00551F16" w:rsidRPr="00702FE7" w:rsidRDefault="00551F16" w:rsidP="00D50D31">
            <w:pPr>
              <w:spacing w:line="240" w:lineRule="auto"/>
              <w:jc w:val="left"/>
              <w:rPr>
                <w:rFonts w:ascii="Times New Roman" w:hAnsi="Times New Roman" w:cs="Times New Roman"/>
                <w:sz w:val="18"/>
              </w:rPr>
            </w:pPr>
            <w:r w:rsidRPr="00702FE7">
              <w:rPr>
                <w:rFonts w:ascii="Times New Roman" w:hAnsi="Times New Roman" w:cs="Times New Roman"/>
                <w:sz w:val="18"/>
              </w:rPr>
              <w:t>Government</w:t>
            </w:r>
            <w:r w:rsidR="00D50D31" w:rsidRPr="00702FE7">
              <w:rPr>
                <w:rFonts w:ascii="Times New Roman" w:hAnsi="Times New Roman" w:cs="Times New Roman"/>
                <w:sz w:val="18"/>
              </w:rPr>
              <w:t xml:space="preserve"> health</w:t>
            </w:r>
            <w:r w:rsidRPr="00702FE7">
              <w:rPr>
                <w:rFonts w:ascii="Times New Roman" w:hAnsi="Times New Roman" w:cs="Times New Roman"/>
                <w:sz w:val="18"/>
              </w:rPr>
              <w:t xml:space="preserve"> spending per capita (ln of % of GDP)</w:t>
            </w:r>
          </w:p>
        </w:tc>
        <w:tc>
          <w:tcPr>
            <w:tcW w:w="1985" w:type="dxa"/>
          </w:tcPr>
          <w:p w14:paraId="34064143" w14:textId="77777777" w:rsidR="00551F16" w:rsidRPr="00702FE7" w:rsidRDefault="00C71CE7" w:rsidP="00D50D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0.010</w:t>
            </w:r>
          </w:p>
          <w:p w14:paraId="2431E4C3" w14:textId="6F028479" w:rsidR="00C71CE7" w:rsidRPr="00702FE7" w:rsidRDefault="00C71CE7" w:rsidP="00D50D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(0.535)</w:t>
            </w:r>
          </w:p>
        </w:tc>
        <w:tc>
          <w:tcPr>
            <w:tcW w:w="2110" w:type="dxa"/>
          </w:tcPr>
          <w:p w14:paraId="2921E362" w14:textId="12FB89D8" w:rsidR="00551F16" w:rsidRPr="00702FE7" w:rsidRDefault="00C71CE7" w:rsidP="00D50D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0.024</w:t>
            </w:r>
          </w:p>
          <w:p w14:paraId="141CF893" w14:textId="7C8EE108" w:rsidR="00551F16" w:rsidRPr="00702FE7" w:rsidRDefault="00C71CE7" w:rsidP="00D50D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(0.184</w:t>
            </w:r>
            <w:r w:rsidR="00551F16" w:rsidRPr="00702FE7">
              <w:rPr>
                <w:rFonts w:ascii="Times New Roman" w:hAnsi="Times New Roman" w:cs="Times New Roman"/>
                <w:sz w:val="18"/>
              </w:rPr>
              <w:t>)</w:t>
            </w:r>
          </w:p>
        </w:tc>
        <w:tc>
          <w:tcPr>
            <w:tcW w:w="2110" w:type="dxa"/>
          </w:tcPr>
          <w:p w14:paraId="3678EE4E" w14:textId="403E50B2" w:rsidR="00551F16" w:rsidRPr="00702FE7" w:rsidRDefault="00C71CE7" w:rsidP="00D50D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sz w:val="18"/>
              </w:rPr>
            </w:pPr>
            <w:r w:rsidRPr="00702FE7">
              <w:rPr>
                <w:rFonts w:ascii="Times New Roman" w:hAnsi="Times New Roman" w:cs="Times New Roman"/>
                <w:i/>
                <w:sz w:val="18"/>
              </w:rPr>
              <w:t>0.032</w:t>
            </w:r>
          </w:p>
          <w:p w14:paraId="585AE413" w14:textId="76A1F873" w:rsidR="00551F16" w:rsidRPr="00702FE7" w:rsidRDefault="00C71CE7" w:rsidP="00D50D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i/>
                <w:sz w:val="18"/>
              </w:rPr>
              <w:t>(0.090</w:t>
            </w:r>
            <w:r w:rsidR="00551F16" w:rsidRPr="00702FE7">
              <w:rPr>
                <w:rFonts w:ascii="Times New Roman" w:hAnsi="Times New Roman" w:cs="Times New Roman"/>
                <w:i/>
                <w:sz w:val="18"/>
              </w:rPr>
              <w:t>)</w:t>
            </w:r>
          </w:p>
        </w:tc>
      </w:tr>
      <w:tr w:rsidR="00551F16" w:rsidRPr="00702FE7" w14:paraId="0845844E" w14:textId="77777777" w:rsidTr="00112166">
        <w:tc>
          <w:tcPr>
            <w:cnfStyle w:val="001000000000" w:firstRow="0" w:lastRow="0" w:firstColumn="1" w:lastColumn="0" w:oddVBand="0" w:evenVBand="0" w:oddHBand="0" w:evenHBand="0" w:firstRowFirstColumn="0" w:firstRowLastColumn="0" w:lastRowFirstColumn="0" w:lastRowLastColumn="0"/>
            <w:tcW w:w="2235" w:type="dxa"/>
          </w:tcPr>
          <w:p w14:paraId="5DD6CC35" w14:textId="6BD1A3A0" w:rsidR="00551F16" w:rsidRPr="00702FE7" w:rsidRDefault="00551F16" w:rsidP="00D50D31">
            <w:pPr>
              <w:spacing w:line="240" w:lineRule="auto"/>
              <w:jc w:val="left"/>
              <w:rPr>
                <w:rFonts w:ascii="Times New Roman" w:hAnsi="Times New Roman" w:cs="Times New Roman"/>
                <w:sz w:val="18"/>
              </w:rPr>
            </w:pPr>
            <w:r w:rsidRPr="00702FE7">
              <w:rPr>
                <w:rFonts w:ascii="Times New Roman" w:hAnsi="Times New Roman" w:cs="Times New Roman"/>
                <w:sz w:val="18"/>
              </w:rPr>
              <w:t>GDP per capita (ln)</w:t>
            </w:r>
          </w:p>
        </w:tc>
        <w:tc>
          <w:tcPr>
            <w:tcW w:w="1985" w:type="dxa"/>
          </w:tcPr>
          <w:p w14:paraId="1464E872" w14:textId="504B1F45" w:rsidR="00551F16" w:rsidRPr="00702FE7" w:rsidRDefault="00C71CE7" w:rsidP="00D50D31">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sz w:val="18"/>
              </w:rPr>
            </w:pPr>
            <w:r w:rsidRPr="00702FE7">
              <w:rPr>
                <w:rFonts w:ascii="Times New Roman" w:hAnsi="Times New Roman" w:cs="Times New Roman"/>
                <w:i/>
                <w:sz w:val="18"/>
              </w:rPr>
              <w:t>-0.167</w:t>
            </w:r>
            <w:r w:rsidRPr="00702FE7">
              <w:rPr>
                <w:rFonts w:ascii="Times New Roman" w:hAnsi="Times New Roman" w:cs="Times New Roman"/>
                <w:i/>
                <w:sz w:val="18"/>
              </w:rPr>
              <w:br/>
              <w:t>(0.007</w:t>
            </w:r>
            <w:r w:rsidR="00551F16" w:rsidRPr="00702FE7">
              <w:rPr>
                <w:rFonts w:ascii="Times New Roman" w:hAnsi="Times New Roman" w:cs="Times New Roman"/>
                <w:i/>
                <w:sz w:val="18"/>
              </w:rPr>
              <w:t>)</w:t>
            </w:r>
          </w:p>
        </w:tc>
        <w:tc>
          <w:tcPr>
            <w:tcW w:w="2110" w:type="dxa"/>
          </w:tcPr>
          <w:p w14:paraId="7E36130F" w14:textId="3302E951" w:rsidR="00551F16" w:rsidRPr="00702FE7" w:rsidRDefault="00551F16" w:rsidP="00D50D31">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w:t>
            </w:r>
            <w:r w:rsidR="00C71CE7" w:rsidRPr="00702FE7">
              <w:rPr>
                <w:rFonts w:ascii="Times New Roman" w:hAnsi="Times New Roman" w:cs="Times New Roman"/>
                <w:sz w:val="18"/>
              </w:rPr>
              <w:t>0.014</w:t>
            </w:r>
          </w:p>
          <w:p w14:paraId="7B8628BF" w14:textId="2F5AE6AA" w:rsidR="00551F16" w:rsidRPr="00702FE7" w:rsidRDefault="00C71CE7" w:rsidP="00D50D31">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(0.748</w:t>
            </w:r>
            <w:r w:rsidR="00551F16" w:rsidRPr="00702FE7">
              <w:rPr>
                <w:rFonts w:ascii="Times New Roman" w:hAnsi="Times New Roman" w:cs="Times New Roman"/>
                <w:sz w:val="18"/>
              </w:rPr>
              <w:t>)</w:t>
            </w:r>
          </w:p>
        </w:tc>
        <w:tc>
          <w:tcPr>
            <w:tcW w:w="2110" w:type="dxa"/>
          </w:tcPr>
          <w:p w14:paraId="64D622CB" w14:textId="3081B4F8" w:rsidR="00551F16" w:rsidRPr="00702FE7" w:rsidRDefault="00C71CE7" w:rsidP="00D50D31">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-0.006</w:t>
            </w:r>
          </w:p>
          <w:p w14:paraId="0601A5E2" w14:textId="5A160611" w:rsidR="00551F16" w:rsidRPr="00702FE7" w:rsidRDefault="00C71CE7" w:rsidP="00C71CE7">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(0.890</w:t>
            </w:r>
            <w:r w:rsidR="00551F16" w:rsidRPr="00702FE7">
              <w:rPr>
                <w:rFonts w:ascii="Times New Roman" w:hAnsi="Times New Roman" w:cs="Times New Roman"/>
                <w:sz w:val="18"/>
              </w:rPr>
              <w:t>)</w:t>
            </w:r>
          </w:p>
        </w:tc>
      </w:tr>
      <w:tr w:rsidR="00551F16" w:rsidRPr="00702FE7" w14:paraId="3801D2BE" w14:textId="77777777" w:rsidTr="0011216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35" w:type="dxa"/>
          </w:tcPr>
          <w:p w14:paraId="6DF15676" w14:textId="77777777" w:rsidR="00551F16" w:rsidRPr="00702FE7" w:rsidRDefault="00551F16" w:rsidP="00D50D31">
            <w:pPr>
              <w:spacing w:line="240" w:lineRule="auto"/>
              <w:jc w:val="left"/>
              <w:rPr>
                <w:rFonts w:ascii="Times New Roman" w:hAnsi="Times New Roman" w:cs="Times New Roman"/>
                <w:sz w:val="18"/>
              </w:rPr>
            </w:pPr>
            <w:r w:rsidRPr="00702FE7">
              <w:rPr>
                <w:rFonts w:ascii="Times New Roman" w:hAnsi="Times New Roman" w:cs="Times New Roman"/>
                <w:sz w:val="18"/>
              </w:rPr>
              <w:t>Immunization coverage</w:t>
            </w:r>
          </w:p>
        </w:tc>
        <w:tc>
          <w:tcPr>
            <w:tcW w:w="1985" w:type="dxa"/>
          </w:tcPr>
          <w:p w14:paraId="5E8EDA90" w14:textId="05BFBB47" w:rsidR="00551F16" w:rsidRPr="00702FE7" w:rsidRDefault="00C71CE7" w:rsidP="00D50D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0.000</w:t>
            </w:r>
          </w:p>
          <w:p w14:paraId="29639D28" w14:textId="7CBEB1A2" w:rsidR="00551F16" w:rsidRPr="00702FE7" w:rsidRDefault="00C71CE7" w:rsidP="00D50D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sz w:val="18"/>
              </w:rPr>
            </w:pPr>
            <w:r w:rsidRPr="00702FE7">
              <w:rPr>
                <w:rFonts w:ascii="Times New Roman" w:hAnsi="Times New Roman" w:cs="Times New Roman"/>
                <w:sz w:val="18"/>
              </w:rPr>
              <w:t>(0.937</w:t>
            </w:r>
            <w:r w:rsidR="00551F16" w:rsidRPr="00702FE7">
              <w:rPr>
                <w:rFonts w:ascii="Times New Roman" w:hAnsi="Times New Roman" w:cs="Times New Roman"/>
                <w:sz w:val="18"/>
              </w:rPr>
              <w:t>)</w:t>
            </w:r>
          </w:p>
        </w:tc>
        <w:tc>
          <w:tcPr>
            <w:tcW w:w="2110" w:type="dxa"/>
          </w:tcPr>
          <w:p w14:paraId="6D90CF03" w14:textId="3B7C0A8D" w:rsidR="00551F16" w:rsidRPr="00702FE7" w:rsidRDefault="00C71CE7" w:rsidP="00D50D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0.003</w:t>
            </w:r>
          </w:p>
          <w:p w14:paraId="67628ADE" w14:textId="4101AE61" w:rsidR="00551F16" w:rsidRPr="00702FE7" w:rsidRDefault="00C71CE7" w:rsidP="00D50D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(0.674</w:t>
            </w:r>
            <w:r w:rsidR="00551F16" w:rsidRPr="00702FE7">
              <w:rPr>
                <w:rFonts w:ascii="Times New Roman" w:hAnsi="Times New Roman" w:cs="Times New Roman"/>
                <w:sz w:val="18"/>
              </w:rPr>
              <w:t>)</w:t>
            </w:r>
          </w:p>
        </w:tc>
        <w:tc>
          <w:tcPr>
            <w:tcW w:w="2110" w:type="dxa"/>
          </w:tcPr>
          <w:p w14:paraId="4A764C53" w14:textId="20FEFD83" w:rsidR="00551F16" w:rsidRPr="00702FE7" w:rsidRDefault="00C71CE7" w:rsidP="00D50D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-0.003</w:t>
            </w:r>
          </w:p>
          <w:p w14:paraId="375AF8A6" w14:textId="2EEB3E08" w:rsidR="00551F16" w:rsidRPr="00702FE7" w:rsidRDefault="00C71CE7" w:rsidP="00D50D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(0.652</w:t>
            </w:r>
            <w:r w:rsidR="00551F16" w:rsidRPr="00702FE7">
              <w:rPr>
                <w:rFonts w:ascii="Times New Roman" w:hAnsi="Times New Roman" w:cs="Times New Roman"/>
                <w:sz w:val="18"/>
              </w:rPr>
              <w:t>)</w:t>
            </w:r>
          </w:p>
        </w:tc>
      </w:tr>
      <w:tr w:rsidR="00551F16" w:rsidRPr="00702FE7" w14:paraId="0AB6C483" w14:textId="77777777" w:rsidTr="00112166">
        <w:tc>
          <w:tcPr>
            <w:cnfStyle w:val="001000000000" w:firstRow="0" w:lastRow="0" w:firstColumn="1" w:lastColumn="0" w:oddVBand="0" w:evenVBand="0" w:oddHBand="0" w:evenHBand="0" w:firstRowFirstColumn="0" w:firstRowLastColumn="0" w:lastRowFirstColumn="0" w:lastRowLastColumn="0"/>
            <w:tcW w:w="2235" w:type="dxa"/>
          </w:tcPr>
          <w:p w14:paraId="38FEA614" w14:textId="77777777" w:rsidR="00551F16" w:rsidRPr="00702FE7" w:rsidRDefault="00551F16" w:rsidP="00D50D31">
            <w:pPr>
              <w:spacing w:line="240" w:lineRule="auto"/>
              <w:jc w:val="left"/>
              <w:rPr>
                <w:rFonts w:ascii="Times New Roman" w:hAnsi="Times New Roman" w:cs="Times New Roman"/>
                <w:sz w:val="18"/>
              </w:rPr>
            </w:pPr>
            <w:r w:rsidRPr="00702FE7">
              <w:rPr>
                <w:rFonts w:ascii="Times New Roman" w:hAnsi="Times New Roman" w:cs="Times New Roman"/>
                <w:sz w:val="18"/>
              </w:rPr>
              <w:t>Country fixed effects</w:t>
            </w:r>
          </w:p>
        </w:tc>
        <w:tc>
          <w:tcPr>
            <w:tcW w:w="1985" w:type="dxa"/>
          </w:tcPr>
          <w:p w14:paraId="1C362C0D" w14:textId="77777777" w:rsidR="00551F16" w:rsidRPr="00702FE7" w:rsidRDefault="00551F16" w:rsidP="00D50D31">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Yes</w:t>
            </w:r>
          </w:p>
        </w:tc>
        <w:tc>
          <w:tcPr>
            <w:tcW w:w="2110" w:type="dxa"/>
          </w:tcPr>
          <w:p w14:paraId="6544BFF1" w14:textId="77777777" w:rsidR="00551F16" w:rsidRPr="00702FE7" w:rsidRDefault="00551F16" w:rsidP="00D50D31">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Yes</w:t>
            </w:r>
          </w:p>
        </w:tc>
        <w:tc>
          <w:tcPr>
            <w:tcW w:w="2110" w:type="dxa"/>
          </w:tcPr>
          <w:p w14:paraId="19847CDC" w14:textId="77777777" w:rsidR="00551F16" w:rsidRPr="00702FE7" w:rsidRDefault="00551F16" w:rsidP="00D50D31">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Yes</w:t>
            </w:r>
          </w:p>
        </w:tc>
      </w:tr>
      <w:tr w:rsidR="00551F16" w:rsidRPr="00702FE7" w14:paraId="026E6337" w14:textId="77777777" w:rsidTr="0011216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35" w:type="dxa"/>
          </w:tcPr>
          <w:p w14:paraId="209D9F19" w14:textId="77777777" w:rsidR="00551F16" w:rsidRPr="00702FE7" w:rsidRDefault="00551F16" w:rsidP="00D50D31">
            <w:pPr>
              <w:spacing w:line="240" w:lineRule="auto"/>
              <w:jc w:val="left"/>
              <w:rPr>
                <w:rFonts w:ascii="Times New Roman" w:hAnsi="Times New Roman" w:cs="Times New Roman"/>
                <w:sz w:val="18"/>
              </w:rPr>
            </w:pPr>
            <w:r w:rsidRPr="00702FE7">
              <w:rPr>
                <w:rFonts w:ascii="Times New Roman" w:hAnsi="Times New Roman" w:cs="Times New Roman"/>
                <w:sz w:val="18"/>
              </w:rPr>
              <w:t>Year fixed effects</w:t>
            </w:r>
          </w:p>
        </w:tc>
        <w:tc>
          <w:tcPr>
            <w:tcW w:w="1985" w:type="dxa"/>
          </w:tcPr>
          <w:p w14:paraId="59ED3CD3" w14:textId="77777777" w:rsidR="00551F16" w:rsidRPr="00702FE7" w:rsidRDefault="00551F16" w:rsidP="00D50D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Yes</w:t>
            </w:r>
          </w:p>
        </w:tc>
        <w:tc>
          <w:tcPr>
            <w:tcW w:w="2110" w:type="dxa"/>
          </w:tcPr>
          <w:p w14:paraId="7D435413" w14:textId="77777777" w:rsidR="00551F16" w:rsidRPr="00702FE7" w:rsidRDefault="00551F16" w:rsidP="00D50D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Yes</w:t>
            </w:r>
          </w:p>
        </w:tc>
        <w:tc>
          <w:tcPr>
            <w:tcW w:w="2110" w:type="dxa"/>
          </w:tcPr>
          <w:p w14:paraId="1AFD4C8C" w14:textId="77777777" w:rsidR="00551F16" w:rsidRPr="00702FE7" w:rsidRDefault="00551F16" w:rsidP="00D50D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Yes</w:t>
            </w:r>
          </w:p>
        </w:tc>
      </w:tr>
      <w:tr w:rsidR="00551F16" w:rsidRPr="00702FE7" w14:paraId="1B91AFFF" w14:textId="77777777" w:rsidTr="00112166">
        <w:tc>
          <w:tcPr>
            <w:cnfStyle w:val="001000000000" w:firstRow="0" w:lastRow="0" w:firstColumn="1" w:lastColumn="0" w:oddVBand="0" w:evenVBand="0" w:oddHBand="0" w:evenHBand="0" w:firstRowFirstColumn="0" w:firstRowLastColumn="0" w:lastRowFirstColumn="0" w:lastRowLastColumn="0"/>
            <w:tcW w:w="2235" w:type="dxa"/>
          </w:tcPr>
          <w:p w14:paraId="5FE0EBFA" w14:textId="77777777" w:rsidR="00551F16" w:rsidRPr="00702FE7" w:rsidRDefault="00551F16" w:rsidP="00D50D31">
            <w:pPr>
              <w:spacing w:line="240" w:lineRule="auto"/>
              <w:jc w:val="left"/>
              <w:rPr>
                <w:rFonts w:ascii="Times New Roman" w:hAnsi="Times New Roman" w:cs="Times New Roman"/>
                <w:sz w:val="18"/>
              </w:rPr>
            </w:pPr>
          </w:p>
        </w:tc>
        <w:tc>
          <w:tcPr>
            <w:tcW w:w="1985" w:type="dxa"/>
          </w:tcPr>
          <w:p w14:paraId="52C9BC19" w14:textId="77777777" w:rsidR="00551F16" w:rsidRPr="00702FE7" w:rsidRDefault="00551F16" w:rsidP="00D50D31">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rPr>
            </w:pPr>
          </w:p>
        </w:tc>
        <w:tc>
          <w:tcPr>
            <w:tcW w:w="2110" w:type="dxa"/>
          </w:tcPr>
          <w:p w14:paraId="2041F99B" w14:textId="77777777" w:rsidR="00551F16" w:rsidRPr="00702FE7" w:rsidRDefault="00551F16" w:rsidP="00D50D31">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rPr>
            </w:pPr>
          </w:p>
        </w:tc>
        <w:tc>
          <w:tcPr>
            <w:tcW w:w="2110" w:type="dxa"/>
          </w:tcPr>
          <w:p w14:paraId="1E115FB7" w14:textId="77777777" w:rsidR="00551F16" w:rsidRPr="00702FE7" w:rsidRDefault="00551F16" w:rsidP="00D50D31">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rPr>
            </w:pPr>
          </w:p>
        </w:tc>
      </w:tr>
      <w:tr w:rsidR="00551F16" w:rsidRPr="00702FE7" w14:paraId="03E3378C" w14:textId="77777777" w:rsidTr="0011216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35" w:type="dxa"/>
          </w:tcPr>
          <w:p w14:paraId="3F198C2C" w14:textId="5DF2B72F" w:rsidR="00551F16" w:rsidRPr="00702FE7" w:rsidRDefault="00E23998" w:rsidP="00D50D31">
            <w:pPr>
              <w:spacing w:line="240" w:lineRule="auto"/>
              <w:jc w:val="left"/>
              <w:rPr>
                <w:rFonts w:ascii="Times New Roman" w:hAnsi="Times New Roman" w:cs="Times New Roman"/>
                <w:sz w:val="18"/>
              </w:rPr>
            </w:pPr>
            <w:r w:rsidRPr="00702FE7">
              <w:rPr>
                <w:rFonts w:ascii="Times New Roman" w:hAnsi="Times New Roman" w:cs="Times New Roman"/>
                <w:sz w:val="18"/>
              </w:rPr>
              <w:t>F-</w:t>
            </w:r>
            <w:r w:rsidR="00551F16" w:rsidRPr="00702FE7">
              <w:rPr>
                <w:rFonts w:ascii="Times New Roman" w:hAnsi="Times New Roman" w:cs="Times New Roman"/>
                <w:sz w:val="18"/>
              </w:rPr>
              <w:t>statistic</w:t>
            </w:r>
          </w:p>
        </w:tc>
        <w:tc>
          <w:tcPr>
            <w:tcW w:w="1985" w:type="dxa"/>
          </w:tcPr>
          <w:p w14:paraId="52235936" w14:textId="05CDBC3D" w:rsidR="00551F16" w:rsidRPr="00702FE7" w:rsidRDefault="00C71CE7" w:rsidP="00D50D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42.90</w:t>
            </w:r>
          </w:p>
        </w:tc>
        <w:tc>
          <w:tcPr>
            <w:tcW w:w="2110" w:type="dxa"/>
          </w:tcPr>
          <w:p w14:paraId="312255AB" w14:textId="1E31A94D" w:rsidR="00551F16" w:rsidRPr="00702FE7" w:rsidRDefault="00C71CE7" w:rsidP="00D50D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23.86</w:t>
            </w:r>
          </w:p>
        </w:tc>
        <w:tc>
          <w:tcPr>
            <w:tcW w:w="2110" w:type="dxa"/>
          </w:tcPr>
          <w:p w14:paraId="0D3D4DED" w14:textId="66FC1712" w:rsidR="00551F16" w:rsidRPr="00702FE7" w:rsidRDefault="00C71CE7" w:rsidP="00D50D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22.93</w:t>
            </w:r>
          </w:p>
        </w:tc>
      </w:tr>
      <w:tr w:rsidR="00551F16" w:rsidRPr="00702FE7" w14:paraId="726C2F64" w14:textId="77777777" w:rsidTr="00112166">
        <w:tc>
          <w:tcPr>
            <w:cnfStyle w:val="001000000000" w:firstRow="0" w:lastRow="0" w:firstColumn="1" w:lastColumn="0" w:oddVBand="0" w:evenVBand="0" w:oddHBand="0" w:evenHBand="0" w:firstRowFirstColumn="0" w:firstRowLastColumn="0" w:lastRowFirstColumn="0" w:lastRowLastColumn="0"/>
            <w:tcW w:w="2235" w:type="dxa"/>
          </w:tcPr>
          <w:p w14:paraId="3ED69D0C" w14:textId="77777777" w:rsidR="00551F16" w:rsidRPr="00702FE7" w:rsidRDefault="00551F16" w:rsidP="00D50D31">
            <w:pPr>
              <w:spacing w:line="240" w:lineRule="auto"/>
              <w:jc w:val="left"/>
              <w:rPr>
                <w:rFonts w:ascii="Times New Roman" w:hAnsi="Times New Roman" w:cs="Times New Roman"/>
                <w:sz w:val="18"/>
              </w:rPr>
            </w:pPr>
            <w:r w:rsidRPr="00702FE7">
              <w:rPr>
                <w:rFonts w:ascii="Times New Roman" w:hAnsi="Times New Roman" w:cs="Times New Roman"/>
                <w:sz w:val="18"/>
              </w:rPr>
              <w:t>F-statistic (p-value)</w:t>
            </w:r>
          </w:p>
        </w:tc>
        <w:tc>
          <w:tcPr>
            <w:tcW w:w="1985" w:type="dxa"/>
          </w:tcPr>
          <w:p w14:paraId="4A53AF20" w14:textId="77777777" w:rsidR="00551F16" w:rsidRPr="00702FE7" w:rsidRDefault="00551F16" w:rsidP="00D50D31">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0.000</w:t>
            </w:r>
          </w:p>
        </w:tc>
        <w:tc>
          <w:tcPr>
            <w:tcW w:w="2110" w:type="dxa"/>
          </w:tcPr>
          <w:p w14:paraId="07722955" w14:textId="77777777" w:rsidR="00551F16" w:rsidRPr="00702FE7" w:rsidRDefault="00551F16" w:rsidP="00D50D31">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0.000</w:t>
            </w:r>
          </w:p>
        </w:tc>
        <w:tc>
          <w:tcPr>
            <w:tcW w:w="2110" w:type="dxa"/>
          </w:tcPr>
          <w:p w14:paraId="41A85907" w14:textId="77777777" w:rsidR="00551F16" w:rsidRPr="00702FE7" w:rsidRDefault="00551F16" w:rsidP="00D50D31">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0.000</w:t>
            </w:r>
          </w:p>
        </w:tc>
      </w:tr>
      <w:tr w:rsidR="00551F16" w:rsidRPr="00702FE7" w14:paraId="4C75B61B" w14:textId="77777777" w:rsidTr="0011216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35" w:type="dxa"/>
          </w:tcPr>
          <w:p w14:paraId="3B6304F7" w14:textId="77777777" w:rsidR="00551F16" w:rsidRPr="00702FE7" w:rsidRDefault="00551F16" w:rsidP="00D50D31">
            <w:pPr>
              <w:spacing w:line="240" w:lineRule="auto"/>
              <w:jc w:val="left"/>
              <w:rPr>
                <w:rFonts w:ascii="Times New Roman" w:hAnsi="Times New Roman" w:cs="Times New Roman"/>
                <w:sz w:val="18"/>
              </w:rPr>
            </w:pPr>
            <w:r w:rsidRPr="00702FE7">
              <w:rPr>
                <w:rFonts w:ascii="Times New Roman" w:hAnsi="Times New Roman" w:cs="Times New Roman"/>
                <w:sz w:val="18"/>
              </w:rPr>
              <w:t>R-squared (overall)</w:t>
            </w:r>
          </w:p>
        </w:tc>
        <w:tc>
          <w:tcPr>
            <w:tcW w:w="1985" w:type="dxa"/>
          </w:tcPr>
          <w:p w14:paraId="60C25876" w14:textId="668C734C" w:rsidR="00551F16" w:rsidRPr="00702FE7" w:rsidRDefault="00C71CE7" w:rsidP="00D50D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0.806</w:t>
            </w:r>
          </w:p>
        </w:tc>
        <w:tc>
          <w:tcPr>
            <w:tcW w:w="2110" w:type="dxa"/>
          </w:tcPr>
          <w:p w14:paraId="1AC893D1" w14:textId="063AB3B9" w:rsidR="00551F16" w:rsidRPr="00702FE7" w:rsidRDefault="00C71CE7" w:rsidP="00D50D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0.573</w:t>
            </w:r>
          </w:p>
        </w:tc>
        <w:tc>
          <w:tcPr>
            <w:tcW w:w="2110" w:type="dxa"/>
          </w:tcPr>
          <w:p w14:paraId="1BDB7073" w14:textId="63328639" w:rsidR="00551F16" w:rsidRPr="00702FE7" w:rsidRDefault="00C71CE7" w:rsidP="00D50D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0.209</w:t>
            </w:r>
          </w:p>
        </w:tc>
      </w:tr>
      <w:tr w:rsidR="00551F16" w:rsidRPr="00702FE7" w14:paraId="0837D6A6" w14:textId="77777777" w:rsidTr="00112166">
        <w:tc>
          <w:tcPr>
            <w:cnfStyle w:val="001000000000" w:firstRow="0" w:lastRow="0" w:firstColumn="1" w:lastColumn="0" w:oddVBand="0" w:evenVBand="0" w:oddHBand="0" w:evenHBand="0" w:firstRowFirstColumn="0" w:firstRowLastColumn="0" w:lastRowFirstColumn="0" w:lastRowLastColumn="0"/>
            <w:tcW w:w="2235" w:type="dxa"/>
          </w:tcPr>
          <w:p w14:paraId="5AD80AD7" w14:textId="77777777" w:rsidR="00551F16" w:rsidRPr="00702FE7" w:rsidRDefault="00551F16" w:rsidP="00D50D31">
            <w:pPr>
              <w:spacing w:line="240" w:lineRule="auto"/>
              <w:jc w:val="left"/>
              <w:rPr>
                <w:rFonts w:ascii="Times New Roman" w:hAnsi="Times New Roman" w:cs="Times New Roman"/>
                <w:sz w:val="18"/>
              </w:rPr>
            </w:pPr>
            <w:r w:rsidRPr="00702FE7">
              <w:rPr>
                <w:rFonts w:ascii="Times New Roman" w:hAnsi="Times New Roman" w:cs="Times New Roman"/>
                <w:sz w:val="18"/>
              </w:rPr>
              <w:t>Number of countries</w:t>
            </w:r>
          </w:p>
        </w:tc>
        <w:tc>
          <w:tcPr>
            <w:tcW w:w="1985" w:type="dxa"/>
          </w:tcPr>
          <w:p w14:paraId="2D24BC90" w14:textId="77777777" w:rsidR="00551F16" w:rsidRPr="00702FE7" w:rsidRDefault="00551F16" w:rsidP="00D50D31">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162</w:t>
            </w:r>
          </w:p>
        </w:tc>
        <w:tc>
          <w:tcPr>
            <w:tcW w:w="2110" w:type="dxa"/>
          </w:tcPr>
          <w:p w14:paraId="7562ADB6" w14:textId="77777777" w:rsidR="00551F16" w:rsidRPr="00702FE7" w:rsidRDefault="00551F16" w:rsidP="00D50D31">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161</w:t>
            </w:r>
          </w:p>
        </w:tc>
        <w:tc>
          <w:tcPr>
            <w:tcW w:w="2110" w:type="dxa"/>
          </w:tcPr>
          <w:p w14:paraId="65AF114E" w14:textId="77777777" w:rsidR="00551F16" w:rsidRPr="00702FE7" w:rsidRDefault="00551F16" w:rsidP="00D50D31">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161</w:t>
            </w:r>
          </w:p>
        </w:tc>
      </w:tr>
      <w:tr w:rsidR="00551F16" w:rsidRPr="00702FE7" w14:paraId="18D15A5F" w14:textId="77777777" w:rsidTr="0011216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35" w:type="dxa"/>
          </w:tcPr>
          <w:p w14:paraId="613254B3" w14:textId="77777777" w:rsidR="00551F16" w:rsidRPr="00702FE7" w:rsidRDefault="00551F16" w:rsidP="00D50D31">
            <w:pPr>
              <w:spacing w:line="240" w:lineRule="auto"/>
              <w:jc w:val="left"/>
              <w:rPr>
                <w:rFonts w:ascii="Times New Roman" w:hAnsi="Times New Roman" w:cs="Times New Roman"/>
                <w:sz w:val="18"/>
              </w:rPr>
            </w:pPr>
            <w:r w:rsidRPr="00702FE7">
              <w:rPr>
                <w:rFonts w:ascii="Times New Roman" w:hAnsi="Times New Roman" w:cs="Times New Roman"/>
                <w:sz w:val="18"/>
              </w:rPr>
              <w:t>Observations</w:t>
            </w:r>
          </w:p>
        </w:tc>
        <w:tc>
          <w:tcPr>
            <w:tcW w:w="1985" w:type="dxa"/>
          </w:tcPr>
          <w:p w14:paraId="62E85248" w14:textId="77777777" w:rsidR="00551F16" w:rsidRPr="00702FE7" w:rsidRDefault="00551F16" w:rsidP="00D50D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1869</w:t>
            </w:r>
          </w:p>
        </w:tc>
        <w:tc>
          <w:tcPr>
            <w:tcW w:w="2110" w:type="dxa"/>
          </w:tcPr>
          <w:p w14:paraId="05A98CA5" w14:textId="77777777" w:rsidR="00551F16" w:rsidRPr="00702FE7" w:rsidRDefault="00551F16" w:rsidP="00D50D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1785</w:t>
            </w:r>
          </w:p>
        </w:tc>
        <w:tc>
          <w:tcPr>
            <w:tcW w:w="2110" w:type="dxa"/>
          </w:tcPr>
          <w:p w14:paraId="54854C6A" w14:textId="77777777" w:rsidR="00551F16" w:rsidRPr="00702FE7" w:rsidRDefault="00551F16" w:rsidP="00D50D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1785</w:t>
            </w:r>
          </w:p>
        </w:tc>
      </w:tr>
    </w:tbl>
    <w:p w14:paraId="3284BC83" w14:textId="3E0C1706" w:rsidR="00551F16" w:rsidRPr="00702FE7" w:rsidRDefault="008A1E77" w:rsidP="00551F16">
      <w:pPr>
        <w:spacing w:line="240" w:lineRule="auto"/>
        <w:rPr>
          <w:rStyle w:val="SubtleEmphasis"/>
        </w:rPr>
      </w:pPr>
      <w:r w:rsidRPr="00702FE7">
        <w:rPr>
          <w:rStyle w:val="SubtleEmphasis"/>
        </w:rPr>
        <w:t>Table 4</w:t>
      </w:r>
      <w:r w:rsidR="00551F16" w:rsidRPr="00702FE7">
        <w:rPr>
          <w:rStyle w:val="SubtleEmphasis"/>
        </w:rPr>
        <w:t>: L</w:t>
      </w:r>
      <w:r w:rsidR="004A2FF4" w:rsidRPr="00702FE7">
        <w:rPr>
          <w:rStyle w:val="SubtleEmphasis"/>
        </w:rPr>
        <w:t>og l</w:t>
      </w:r>
      <w:r w:rsidR="00551F16" w:rsidRPr="00702FE7">
        <w:rPr>
          <w:rStyle w:val="SubtleEmphasis"/>
        </w:rPr>
        <w:t>inear regression model. Time period is 1995-2012. The regressions control for primary education rate, the share of population aged 0-14 years and the share of population aged over 65 years. Entries in italics indicate coefficients that are statistically significant at the 10% level of confidence or below.</w:t>
      </w:r>
      <w:r w:rsidR="00E23998" w:rsidRPr="00702FE7">
        <w:rPr>
          <w:rStyle w:val="SubtleEmphasis"/>
        </w:rPr>
        <w:t xml:space="preserve"> Stata output in appendix table A6.</w:t>
      </w:r>
    </w:p>
    <w:p w14:paraId="23A11466" w14:textId="77777777" w:rsidR="004A2FF4" w:rsidRPr="00702FE7" w:rsidRDefault="004A2FF4" w:rsidP="00BC42EA"/>
    <w:p w14:paraId="70D7DE71" w14:textId="0098BBE5" w:rsidR="004A2FF4" w:rsidRPr="00702FE7" w:rsidRDefault="00E23998" w:rsidP="00E23998">
      <w:r w:rsidRPr="00702FE7">
        <w:t>Both the higher R-squared and F-statistics for all the regressions suggest a better fit of the log linear model. However still the coefficients are mostly insignificant.</w:t>
      </w:r>
      <w:r w:rsidR="00B57969" w:rsidRPr="00702FE7">
        <w:t xml:space="preserve"> A similar result of non-significance is found by several previous studies. </w:t>
      </w:r>
      <w:sdt>
        <w:sdtPr>
          <w:id w:val="118418726"/>
          <w:citation/>
        </w:sdtPr>
        <w:sdtEndPr/>
        <w:sdtContent>
          <w:r w:rsidR="00B57969" w:rsidRPr="00702FE7">
            <w:fldChar w:fldCharType="begin"/>
          </w:r>
          <w:r w:rsidR="00B57969" w:rsidRPr="00702FE7">
            <w:instrText xml:space="preserve"> CITATION Bok07 \l 1033 </w:instrText>
          </w:r>
          <w:r w:rsidR="00B57969" w:rsidRPr="00702FE7">
            <w:fldChar w:fldCharType="separate"/>
          </w:r>
          <w:r w:rsidR="00317F02">
            <w:rPr>
              <w:noProof/>
            </w:rPr>
            <w:t>(Bokhari, Gai, &amp; Gottret, 2007)</w:t>
          </w:r>
          <w:r w:rsidR="00B57969" w:rsidRPr="00702FE7">
            <w:fldChar w:fldCharType="end"/>
          </w:r>
        </w:sdtContent>
      </w:sdt>
      <w:sdt>
        <w:sdtPr>
          <w:id w:val="368807068"/>
          <w:citation/>
        </w:sdtPr>
        <w:sdtEndPr/>
        <w:sdtContent>
          <w:r w:rsidR="00B57969" w:rsidRPr="00702FE7">
            <w:fldChar w:fldCharType="begin"/>
          </w:r>
          <w:r w:rsidR="00B57969" w:rsidRPr="00702FE7">
            <w:instrText xml:space="preserve"> CITATION Fil99 \l 1033 </w:instrText>
          </w:r>
          <w:r w:rsidR="00B57969" w:rsidRPr="00702FE7">
            <w:fldChar w:fldCharType="separate"/>
          </w:r>
          <w:r w:rsidR="00317F02">
            <w:rPr>
              <w:noProof/>
            </w:rPr>
            <w:t xml:space="preserve"> (Filmer &amp; Pritchett, 1999)</w:t>
          </w:r>
          <w:r w:rsidR="00B57969" w:rsidRPr="00702FE7">
            <w:fldChar w:fldCharType="end"/>
          </w:r>
        </w:sdtContent>
      </w:sdt>
      <w:r w:rsidRPr="00702FE7">
        <w:t xml:space="preserve"> </w:t>
      </w:r>
      <w:r w:rsidR="0020142E" w:rsidRPr="00702FE7">
        <w:t xml:space="preserve">The results as shown in table 4 suggest a positive </w:t>
      </w:r>
      <w:r w:rsidR="00F3481D">
        <w:t xml:space="preserve">coefficient for </w:t>
      </w:r>
      <w:r w:rsidR="0020142E" w:rsidRPr="00702FE7">
        <w:t xml:space="preserve">the natural logarithm of health care spending per capita (as % of GDP) on all three mortality rates. This positive </w:t>
      </w:r>
      <w:r w:rsidR="00F3481D">
        <w:t>partial association</w:t>
      </w:r>
      <w:r w:rsidR="00F3481D" w:rsidRPr="00702FE7">
        <w:t xml:space="preserve"> </w:t>
      </w:r>
      <w:r w:rsidR="0020142E" w:rsidRPr="00702FE7">
        <w:t>is most likel</w:t>
      </w:r>
      <w:r w:rsidR="00B57969" w:rsidRPr="00702FE7">
        <w:t xml:space="preserve">y due to the simultaneity bias. Although </w:t>
      </w:r>
      <w:r w:rsidR="00067A62" w:rsidRPr="00702FE7">
        <w:t>a positive effect is</w:t>
      </w:r>
      <w:r w:rsidR="00B57969" w:rsidRPr="00702FE7">
        <w:t xml:space="preserve"> not to be e</w:t>
      </w:r>
      <w:r w:rsidR="00067A62" w:rsidRPr="00702FE7">
        <w:t xml:space="preserve">xpected it is not uncommon, previous literature has </w:t>
      </w:r>
      <w:r w:rsidR="00F3481D">
        <w:t>found</w:t>
      </w:r>
      <w:r w:rsidR="00F3481D" w:rsidRPr="00702FE7">
        <w:t xml:space="preserve"> </w:t>
      </w:r>
      <w:r w:rsidR="00067A62" w:rsidRPr="00702FE7">
        <w:t xml:space="preserve">the </w:t>
      </w:r>
      <w:r w:rsidR="0021324E" w:rsidRPr="00702FE7">
        <w:t>regression estimates</w:t>
      </w:r>
      <w:r w:rsidR="00067A62" w:rsidRPr="00702FE7">
        <w:t xml:space="preserve"> to become (more) negative when correcting for reverse causality</w:t>
      </w:r>
      <w:r w:rsidR="0021324E" w:rsidRPr="00702FE7">
        <w:t xml:space="preserve"> bias</w:t>
      </w:r>
      <w:r w:rsidR="00067A62" w:rsidRPr="00702FE7">
        <w:t>.</w:t>
      </w:r>
      <w:r w:rsidR="00B57969" w:rsidRPr="00702FE7">
        <w:t xml:space="preserve"> </w:t>
      </w:r>
      <w:sdt>
        <w:sdtPr>
          <w:id w:val="757412928"/>
          <w:citation/>
        </w:sdtPr>
        <w:sdtEndPr/>
        <w:sdtContent>
          <w:r w:rsidR="00B57969" w:rsidRPr="00702FE7">
            <w:fldChar w:fldCharType="begin"/>
          </w:r>
          <w:r w:rsidR="00B57969" w:rsidRPr="00702FE7">
            <w:instrText xml:space="preserve">CITATION Mor15 \t  \l 1033 </w:instrText>
          </w:r>
          <w:r w:rsidR="00B57969" w:rsidRPr="00702FE7">
            <w:fldChar w:fldCharType="separate"/>
          </w:r>
          <w:r w:rsidR="00317F02">
            <w:rPr>
              <w:noProof/>
            </w:rPr>
            <w:t>(Moreno-Serra &amp; Smith, 2015)</w:t>
          </w:r>
          <w:r w:rsidR="00B57969" w:rsidRPr="00702FE7">
            <w:fldChar w:fldCharType="end"/>
          </w:r>
        </w:sdtContent>
      </w:sdt>
    </w:p>
    <w:p w14:paraId="712743C4" w14:textId="3785FB75" w:rsidR="00BC1C25" w:rsidRPr="00702FE7" w:rsidRDefault="0004045D" w:rsidP="00602A74">
      <w:pPr>
        <w:pStyle w:val="Heading4"/>
      </w:pPr>
      <w:bookmarkStart w:id="25" w:name="_Toc427006246"/>
      <w:r>
        <w:t>Sensitivity analysis</w:t>
      </w:r>
      <w:bookmarkEnd w:id="25"/>
    </w:p>
    <w:p w14:paraId="5536591F" w14:textId="086DD192" w:rsidR="00AC4E62" w:rsidRDefault="00D12443" w:rsidP="00736FE7">
      <w:r>
        <w:t>A possible explanation for the insignificance of the estimates as found in the baseline model could the correlation between</w:t>
      </w:r>
      <w:r w:rsidR="002C1649">
        <w:t xml:space="preserve"> the natural logarithm of</w:t>
      </w:r>
      <w:r>
        <w:t xml:space="preserve"> GDP per capita and</w:t>
      </w:r>
      <w:r w:rsidR="002C1649">
        <w:t xml:space="preserve"> the natural logarithm of</w:t>
      </w:r>
      <w:r>
        <w:t xml:space="preserve"> government health care expenses per capita (as % of GDP). To control for this the model is re-estimated with </w:t>
      </w:r>
      <w:r w:rsidR="002C1649">
        <w:t xml:space="preserve">the natural logarithm of </w:t>
      </w:r>
      <w:r>
        <w:t>GDP per capita and</w:t>
      </w:r>
      <w:r w:rsidR="002C1649" w:rsidRPr="002C1649">
        <w:t xml:space="preserve"> </w:t>
      </w:r>
      <w:r w:rsidR="002C1649">
        <w:t>the natural logarithm of</w:t>
      </w:r>
      <w:r>
        <w:t xml:space="preserve"> government health care expenses per capita as coverage indicator. </w:t>
      </w:r>
      <w:r w:rsidR="002C1649">
        <w:t>Since government health expenses are now no longer measured as a fraction of GDP the correlation between the coverage indicators is assumed of less importance. However also the estimates of this model remain mostly insignificant (see appendix table A7).</w:t>
      </w:r>
    </w:p>
    <w:p w14:paraId="35FA6832" w14:textId="77777777" w:rsidR="002C1649" w:rsidRDefault="002C1649" w:rsidP="00736FE7"/>
    <w:p w14:paraId="5CE94700" w14:textId="65EA42B9" w:rsidR="00067A62" w:rsidRPr="00702FE7" w:rsidRDefault="00067A62" w:rsidP="00736FE7">
      <w:r w:rsidRPr="00702FE7">
        <w:t>Because th</w:t>
      </w:r>
      <w:r w:rsidR="0023214D" w:rsidRPr="00702FE7">
        <w:t xml:space="preserve">e baseline regression results </w:t>
      </w:r>
      <w:r w:rsidR="00D52B8A" w:rsidRPr="00702FE7">
        <w:t>themselves</w:t>
      </w:r>
      <w:r w:rsidRPr="00702FE7">
        <w:t xml:space="preserve"> do not </w:t>
      </w:r>
      <w:r w:rsidR="00F3481D">
        <w:t>provide very</w:t>
      </w:r>
      <w:r w:rsidR="00F3481D" w:rsidRPr="00702FE7">
        <w:t xml:space="preserve"> </w:t>
      </w:r>
      <w:r w:rsidR="0021324E" w:rsidRPr="00702FE7">
        <w:t xml:space="preserve">valuable insights on the </w:t>
      </w:r>
      <w:r w:rsidR="00F3481D">
        <w:t xml:space="preserve">overall </w:t>
      </w:r>
      <w:r w:rsidR="0021324E" w:rsidRPr="00702FE7">
        <w:t>relation</w:t>
      </w:r>
      <w:r w:rsidR="00F3481D">
        <w:t>ship</w:t>
      </w:r>
      <w:r w:rsidR="0021324E" w:rsidRPr="00702FE7">
        <w:t xml:space="preserve"> between health coverage indicators and mortality below some </w:t>
      </w:r>
      <w:r w:rsidR="00F3481D">
        <w:t>sensitivity</w:t>
      </w:r>
      <w:r w:rsidR="00F3481D" w:rsidRPr="00702FE7">
        <w:t xml:space="preserve"> </w:t>
      </w:r>
      <w:r w:rsidR="0021324E" w:rsidRPr="00702FE7">
        <w:t xml:space="preserve">test are executed. The aim of these tests is to observe changes when </w:t>
      </w:r>
      <w:r w:rsidR="00F3481D">
        <w:t>the same relationship is re-estimated for subsets of</w:t>
      </w:r>
      <w:r w:rsidR="00F3481D" w:rsidRPr="00702FE7">
        <w:t xml:space="preserve"> </w:t>
      </w:r>
      <w:r w:rsidR="0021324E" w:rsidRPr="00702FE7">
        <w:t>countries or time periods. Row (a) to (d) in table 5 show the same log linear model as before, however countries are excluded based on certain characteristics. Row (e) and (f) show the results of dividing the dataset into two time periods of each eight years.</w:t>
      </w:r>
    </w:p>
    <w:p w14:paraId="4A28A0A4" w14:textId="77777777" w:rsidR="0021324E" w:rsidRPr="00702FE7" w:rsidRDefault="0021324E" w:rsidP="00736FE7">
      <w:pPr>
        <w:rPr>
          <w:i/>
        </w:rPr>
      </w:pPr>
    </w:p>
    <w:p w14:paraId="3928A08D" w14:textId="77777777" w:rsidR="000060A4" w:rsidRDefault="000060A4" w:rsidP="00736FE7">
      <w:pPr>
        <w:rPr>
          <w:i/>
        </w:rPr>
      </w:pPr>
    </w:p>
    <w:p w14:paraId="4BA12F89" w14:textId="2E4ED85D" w:rsidR="00067A62" w:rsidRPr="00702FE7" w:rsidRDefault="00067A62" w:rsidP="00736FE7">
      <w:r w:rsidRPr="00702FE7">
        <w:rPr>
          <w:i/>
        </w:rPr>
        <w:t>Low- and middle-income countries</w:t>
      </w:r>
      <w:r w:rsidR="00736FE7" w:rsidRPr="00702FE7">
        <w:rPr>
          <w:i/>
        </w:rPr>
        <w:t xml:space="preserve"> (LMIC)</w:t>
      </w:r>
    </w:p>
    <w:p w14:paraId="7E069416" w14:textId="245A87B0" w:rsidR="00067A62" w:rsidRPr="00702FE7" w:rsidRDefault="00067A62" w:rsidP="00736FE7">
      <w:r w:rsidRPr="00702FE7">
        <w:t xml:space="preserve">Test (a) in table 5 shows </w:t>
      </w:r>
      <w:r w:rsidR="00736FE7" w:rsidRPr="00702FE7">
        <w:t xml:space="preserve">the log linear regression model </w:t>
      </w:r>
      <w:r w:rsidR="00736FE7" w:rsidRPr="00702FE7">
        <w:rPr>
          <w:iCs/>
        </w:rPr>
        <w:t xml:space="preserve">including only countries with GDP per capita of up to $12735. After applying this </w:t>
      </w:r>
      <w:r w:rsidR="007331B9">
        <w:rPr>
          <w:iCs/>
        </w:rPr>
        <w:t xml:space="preserve">upper </w:t>
      </w:r>
      <w:r w:rsidR="00736FE7" w:rsidRPr="00702FE7">
        <w:rPr>
          <w:iCs/>
        </w:rPr>
        <w:t xml:space="preserve">threshold the dataset </w:t>
      </w:r>
      <w:r w:rsidR="009206EF">
        <w:rPr>
          <w:iCs/>
        </w:rPr>
        <w:t>is r</w:t>
      </w:r>
      <w:r w:rsidR="007331B9">
        <w:rPr>
          <w:iCs/>
        </w:rPr>
        <w:t>estricted to</w:t>
      </w:r>
      <w:r w:rsidR="007331B9" w:rsidRPr="00702FE7">
        <w:rPr>
          <w:iCs/>
        </w:rPr>
        <w:t xml:space="preserve"> </w:t>
      </w:r>
      <w:r w:rsidR="00736FE7" w:rsidRPr="00702FE7">
        <w:rPr>
          <w:iCs/>
        </w:rPr>
        <w:t xml:space="preserve">116 </w:t>
      </w:r>
      <w:r w:rsidR="007331B9">
        <w:rPr>
          <w:iCs/>
        </w:rPr>
        <w:t xml:space="preserve">LMIC </w:t>
      </w:r>
      <w:r w:rsidR="00736FE7" w:rsidRPr="00702FE7">
        <w:rPr>
          <w:iCs/>
        </w:rPr>
        <w:t xml:space="preserve">countries </w:t>
      </w:r>
      <w:r w:rsidR="007331B9">
        <w:rPr>
          <w:iCs/>
        </w:rPr>
        <w:t xml:space="preserve">only </w:t>
      </w:r>
      <w:r w:rsidR="00736FE7" w:rsidRPr="00702FE7">
        <w:rPr>
          <w:iCs/>
        </w:rPr>
        <w:t xml:space="preserve">remaining on which the estimates are based. Compared to the base line results the </w:t>
      </w:r>
      <w:r w:rsidR="00932B6B" w:rsidRPr="00702FE7">
        <w:rPr>
          <w:iCs/>
        </w:rPr>
        <w:t>sign change in the estimate of under-5 mortality is most striking. A 10% increase of government health spending</w:t>
      </w:r>
      <w:r w:rsidR="00FC69C8" w:rsidRPr="00702FE7">
        <w:rPr>
          <w:iCs/>
        </w:rPr>
        <w:t xml:space="preserve"> per capita</w:t>
      </w:r>
      <w:r w:rsidR="00932B6B" w:rsidRPr="00702FE7">
        <w:rPr>
          <w:iCs/>
        </w:rPr>
        <w:t xml:space="preserve"> is associated with a </w:t>
      </w:r>
      <w:r w:rsidR="00932B6B" w:rsidRPr="00A448A7">
        <w:rPr>
          <w:i/>
          <w:iCs/>
        </w:rPr>
        <w:t>d</w:t>
      </w:r>
      <w:r w:rsidR="00FC69C8" w:rsidRPr="00A448A7">
        <w:rPr>
          <w:i/>
          <w:iCs/>
        </w:rPr>
        <w:t>ecrease</w:t>
      </w:r>
      <w:r w:rsidR="00FC69C8" w:rsidRPr="00702FE7">
        <w:rPr>
          <w:iCs/>
        </w:rPr>
        <w:t xml:space="preserve"> in under-5 mortality of 0.</w:t>
      </w:r>
      <w:r w:rsidR="00932B6B" w:rsidRPr="00702FE7">
        <w:rPr>
          <w:iCs/>
        </w:rPr>
        <w:t>4%</w:t>
      </w:r>
      <w:r w:rsidR="00FC69C8" w:rsidRPr="00702FE7">
        <w:rPr>
          <w:iCs/>
        </w:rPr>
        <w:t xml:space="preserve">. However this estimate is </w:t>
      </w:r>
      <w:r w:rsidR="007331B9">
        <w:rPr>
          <w:iCs/>
        </w:rPr>
        <w:t xml:space="preserve">still </w:t>
      </w:r>
      <w:r w:rsidR="00FC69C8" w:rsidRPr="00702FE7">
        <w:rPr>
          <w:iCs/>
        </w:rPr>
        <w:t xml:space="preserve">highly </w:t>
      </w:r>
      <w:r w:rsidR="00F52AEC" w:rsidRPr="00702FE7">
        <w:rPr>
          <w:iCs/>
        </w:rPr>
        <w:t>in</w:t>
      </w:r>
      <w:r w:rsidR="00FC69C8" w:rsidRPr="00702FE7">
        <w:rPr>
          <w:iCs/>
        </w:rPr>
        <w:t xml:space="preserve">significant. </w:t>
      </w:r>
      <w:r w:rsidR="00F52AEC" w:rsidRPr="00702FE7">
        <w:rPr>
          <w:iCs/>
        </w:rPr>
        <w:t xml:space="preserve">For male and female mortality this </w:t>
      </w:r>
      <w:r w:rsidR="007331B9">
        <w:rPr>
          <w:iCs/>
        </w:rPr>
        <w:t xml:space="preserve">sign reversal </w:t>
      </w:r>
      <w:r w:rsidR="00F52AEC" w:rsidRPr="00702FE7">
        <w:rPr>
          <w:iCs/>
        </w:rPr>
        <w:t xml:space="preserve">is not observed, the LMIC estimates are </w:t>
      </w:r>
      <w:r w:rsidR="007331B9">
        <w:rPr>
          <w:iCs/>
        </w:rPr>
        <w:t xml:space="preserve">even </w:t>
      </w:r>
      <w:r w:rsidR="00F52AEC" w:rsidRPr="00897059">
        <w:rPr>
          <w:i/>
          <w:iCs/>
        </w:rPr>
        <w:t>more</w:t>
      </w:r>
      <w:r w:rsidR="00F52AEC" w:rsidRPr="00702FE7">
        <w:rPr>
          <w:iCs/>
        </w:rPr>
        <w:t xml:space="preserve"> positive th</w:t>
      </w:r>
      <w:r w:rsidR="007331B9">
        <w:rPr>
          <w:iCs/>
        </w:rPr>
        <w:t>a</w:t>
      </w:r>
      <w:r w:rsidR="00F52AEC" w:rsidRPr="00702FE7">
        <w:rPr>
          <w:iCs/>
        </w:rPr>
        <w:t>n the baseline estimates. This</w:t>
      </w:r>
      <w:r w:rsidR="00897059">
        <w:rPr>
          <w:iCs/>
        </w:rPr>
        <w:t xml:space="preserve"> would suggest that higher</w:t>
      </w:r>
      <w:r w:rsidR="00F52AEC" w:rsidRPr="00702FE7">
        <w:rPr>
          <w:iCs/>
        </w:rPr>
        <w:t xml:space="preserve"> government health spending per capita is associated with </w:t>
      </w:r>
      <w:r w:rsidR="00F52AEC" w:rsidRPr="00897059">
        <w:rPr>
          <w:i/>
          <w:iCs/>
        </w:rPr>
        <w:t>higher</w:t>
      </w:r>
      <w:r w:rsidR="00F52AEC" w:rsidRPr="00702FE7">
        <w:rPr>
          <w:iCs/>
        </w:rPr>
        <w:t xml:space="preserve"> male and female mortality in LMIC compared to the full sample. </w:t>
      </w:r>
      <w:r w:rsidR="00FF7344" w:rsidRPr="00702FE7">
        <w:rPr>
          <w:iCs/>
        </w:rPr>
        <w:t xml:space="preserve">When it comes to GDP per capita the association is more negative than the baseline model for all three mortality outcomes. Already in the full sample baseline results higher GDP per capita is associated with lower mortality rates, for the LMIC sub sample this negative association is even larger. An increase of 10% in GDP per capita in a LMIC is associated with a significant (on a 10% level) reduction of 1.8% in under-5 mortality. </w:t>
      </w:r>
      <w:r w:rsidR="0023214D" w:rsidRPr="00702FE7">
        <w:rPr>
          <w:iCs/>
        </w:rPr>
        <w:t>The more beneficial effect of the coverage indicators for un</w:t>
      </w:r>
      <w:r w:rsidR="00D83FAC" w:rsidRPr="00702FE7">
        <w:rPr>
          <w:iCs/>
        </w:rPr>
        <w:t>der-5 mortality of the LMIC sub</w:t>
      </w:r>
      <w:r w:rsidR="0023214D" w:rsidRPr="00702FE7">
        <w:rPr>
          <w:iCs/>
        </w:rPr>
        <w:t xml:space="preserve">sample is in line with previous literature. Also the weaker link with the other mortality outcomes in this setting is observed before. </w:t>
      </w:r>
      <w:sdt>
        <w:sdtPr>
          <w:rPr>
            <w:iCs/>
          </w:rPr>
          <w:id w:val="-1220286343"/>
          <w:citation/>
        </w:sdtPr>
        <w:sdtEndPr/>
        <w:sdtContent>
          <w:r w:rsidR="0023214D" w:rsidRPr="00702FE7">
            <w:rPr>
              <w:iCs/>
            </w:rPr>
            <w:fldChar w:fldCharType="begin"/>
          </w:r>
          <w:r w:rsidR="0023214D" w:rsidRPr="00702FE7">
            <w:rPr>
              <w:iCs/>
            </w:rPr>
            <w:instrText xml:space="preserve">CITATION Mor15 \t  \l 1033 </w:instrText>
          </w:r>
          <w:r w:rsidR="0023214D" w:rsidRPr="00702FE7">
            <w:rPr>
              <w:iCs/>
            </w:rPr>
            <w:fldChar w:fldCharType="separate"/>
          </w:r>
          <w:r w:rsidR="00317F02">
            <w:rPr>
              <w:noProof/>
            </w:rPr>
            <w:t>(Moreno-Serra &amp; Smith, 2015)</w:t>
          </w:r>
          <w:r w:rsidR="0023214D" w:rsidRPr="00702FE7">
            <w:rPr>
              <w:iCs/>
            </w:rPr>
            <w:fldChar w:fldCharType="end"/>
          </w:r>
        </w:sdtContent>
      </w:sdt>
    </w:p>
    <w:p w14:paraId="028695F2" w14:textId="77777777" w:rsidR="0021324E" w:rsidRPr="00702FE7" w:rsidRDefault="0021324E" w:rsidP="00736FE7"/>
    <w:p w14:paraId="00330F8D" w14:textId="41E85543" w:rsidR="0021324E" w:rsidRPr="00702FE7" w:rsidRDefault="0021324E" w:rsidP="00736FE7">
      <w:pPr>
        <w:rPr>
          <w:i/>
        </w:rPr>
      </w:pPr>
      <w:r w:rsidRPr="00702FE7">
        <w:rPr>
          <w:i/>
        </w:rPr>
        <w:t>Population size</w:t>
      </w:r>
    </w:p>
    <w:p w14:paraId="091BCF4B" w14:textId="39F4CDB4" w:rsidR="0021324E" w:rsidRPr="00702FE7" w:rsidRDefault="00777168" w:rsidP="00736FE7">
      <w:r w:rsidRPr="00702FE7">
        <w:t xml:space="preserve">The next test, row (b) in table 5 excludes all countries with less than 1 million inhabitants. This leaves a sample of 133 countries with a population of over 1 million. Exclusion </w:t>
      </w:r>
      <w:r w:rsidR="00832CDE" w:rsidRPr="00702FE7">
        <w:t xml:space="preserve">of the smaller countries does not alter the </w:t>
      </w:r>
      <w:r w:rsidR="009C5B37" w:rsidRPr="00702FE7">
        <w:t xml:space="preserve">estimates very much. </w:t>
      </w:r>
      <w:r w:rsidR="00D83FAC" w:rsidRPr="00702FE7">
        <w:t xml:space="preserve">The negative effect of GDP per capita has decreased in magnitude for all mortality outcomes. This is most likely caused by the characteristics of the smaller countries that are excluded. Looking at </w:t>
      </w:r>
      <w:r w:rsidR="00897059" w:rsidRPr="00702FE7">
        <w:t>summ</w:t>
      </w:r>
      <w:r w:rsidR="00897059">
        <w:t>a</w:t>
      </w:r>
      <w:r w:rsidR="00897059" w:rsidRPr="00702FE7">
        <w:t>r</w:t>
      </w:r>
      <w:r w:rsidR="00897059">
        <w:t>y</w:t>
      </w:r>
      <w:r w:rsidR="00D83FAC" w:rsidRPr="00702FE7">
        <w:t xml:space="preserve"> statistics</w:t>
      </w:r>
      <w:r w:rsidR="002C1649">
        <w:t xml:space="preserve"> (see appendix table A8</w:t>
      </w:r>
      <w:r w:rsidR="001B62EA" w:rsidRPr="00702FE7">
        <w:t>)</w:t>
      </w:r>
      <w:r w:rsidR="00D83FAC" w:rsidRPr="00702FE7">
        <w:t xml:space="preserve"> of the full sample compared with the excluded countries it becomes clear that the mortality rates </w:t>
      </w:r>
      <w:r w:rsidR="009209CA" w:rsidRPr="00702FE7">
        <w:t>have a</w:t>
      </w:r>
      <w:r w:rsidR="00D83FAC" w:rsidRPr="00702FE7">
        <w:t xml:space="preserve"> lower</w:t>
      </w:r>
      <w:r w:rsidR="009209CA" w:rsidRPr="00702FE7">
        <w:t xml:space="preserve"> mean</w:t>
      </w:r>
      <w:r w:rsidR="00A42B69" w:rsidRPr="00702FE7">
        <w:t xml:space="preserve"> in those small countries. Combined with </w:t>
      </w:r>
      <w:r w:rsidR="00D83FAC" w:rsidRPr="00702FE7">
        <w:t xml:space="preserve">their </w:t>
      </w:r>
      <w:r w:rsidR="009209CA" w:rsidRPr="00702FE7">
        <w:t xml:space="preserve">mean </w:t>
      </w:r>
      <w:r w:rsidR="00D83FAC" w:rsidRPr="00702FE7">
        <w:t xml:space="preserve">GDP per capita and </w:t>
      </w:r>
      <w:r w:rsidR="00A42B69" w:rsidRPr="00702FE7">
        <w:t xml:space="preserve">mean </w:t>
      </w:r>
      <w:r w:rsidR="00D83FAC" w:rsidRPr="00702FE7">
        <w:t>government heal</w:t>
      </w:r>
      <w:r w:rsidR="00A42B69" w:rsidRPr="00702FE7">
        <w:t>th spending per capita being</w:t>
      </w:r>
      <w:r w:rsidR="00D83FAC" w:rsidRPr="00702FE7">
        <w:t xml:space="preserve"> </w:t>
      </w:r>
      <w:r w:rsidR="00A42B69" w:rsidRPr="00702FE7">
        <w:t xml:space="preserve">higher than in the full sample it explains the decrease of the effect of GDP per capita. </w:t>
      </w:r>
    </w:p>
    <w:p w14:paraId="6D190B19" w14:textId="77777777" w:rsidR="00A42B69" w:rsidRPr="00702FE7" w:rsidRDefault="00A42B69" w:rsidP="00736FE7"/>
    <w:p w14:paraId="1F79A983" w14:textId="1968C695" w:rsidR="0021324E" w:rsidRPr="00702FE7" w:rsidRDefault="0021324E" w:rsidP="00736FE7">
      <w:pPr>
        <w:rPr>
          <w:i/>
        </w:rPr>
      </w:pPr>
      <w:r w:rsidRPr="00702FE7">
        <w:rPr>
          <w:i/>
        </w:rPr>
        <w:t>Governance</w:t>
      </w:r>
    </w:p>
    <w:p w14:paraId="13AF9026" w14:textId="0F00610B" w:rsidR="00001BD9" w:rsidRDefault="00416184" w:rsidP="00736FE7">
      <w:r w:rsidRPr="00702FE7">
        <w:t>To investigate the influence of governance on the estimates the data sample is divided up into countries with a negative governance score and countries with a positive score. The log linear model is re-estimated with 75 countries that have high governance (row(c)</w:t>
      </w:r>
      <w:r w:rsidR="006E7A70" w:rsidRPr="00702FE7">
        <w:t>, table 5</w:t>
      </w:r>
      <w:r w:rsidRPr="00702FE7">
        <w:t>) and 101 countries with low governance (</w:t>
      </w:r>
      <w:r w:rsidR="00D52B8A">
        <w:t>row</w:t>
      </w:r>
      <w:r w:rsidR="00D52B8A" w:rsidRPr="00702FE7">
        <w:t>(</w:t>
      </w:r>
      <w:r w:rsidRPr="00702FE7">
        <w:t>d)</w:t>
      </w:r>
      <w:r w:rsidR="006E7A70" w:rsidRPr="00702FE7">
        <w:t>, table 5</w:t>
      </w:r>
      <w:r w:rsidRPr="00702FE7">
        <w:t xml:space="preserve">). For all three mortality rates a sign </w:t>
      </w:r>
      <w:r w:rsidR="008A644E">
        <w:t>reversal</w:t>
      </w:r>
      <w:r w:rsidR="008A644E" w:rsidRPr="00702FE7">
        <w:t xml:space="preserve"> </w:t>
      </w:r>
      <w:r w:rsidRPr="00702FE7">
        <w:t xml:space="preserve">is observed in the government health spending per capita. Although the estimates are still highly insignificant it does give some confirmation of the claim that governance is important for government health spending to be effective in lowering mortality rates. </w:t>
      </w:r>
      <w:sdt>
        <w:sdtPr>
          <w:id w:val="633220484"/>
          <w:citation/>
        </w:sdtPr>
        <w:sdtEndPr/>
        <w:sdtContent>
          <w:r w:rsidRPr="00702FE7">
            <w:fldChar w:fldCharType="begin"/>
          </w:r>
          <w:r w:rsidRPr="00702FE7">
            <w:instrText xml:space="preserve"> CITATION Fil99 \l 1033 </w:instrText>
          </w:r>
          <w:r w:rsidRPr="00702FE7">
            <w:fldChar w:fldCharType="separate"/>
          </w:r>
          <w:r w:rsidR="00317F02">
            <w:rPr>
              <w:noProof/>
            </w:rPr>
            <w:t>(Filmer &amp; Pritchett, 1999)</w:t>
          </w:r>
          <w:r w:rsidRPr="00702FE7">
            <w:fldChar w:fldCharType="end"/>
          </w:r>
        </w:sdtContent>
      </w:sdt>
      <w:r w:rsidRPr="00702FE7">
        <w:t xml:space="preserve"> For GDP per capita the opposite is observed </w:t>
      </w:r>
      <w:r w:rsidR="006E7A70" w:rsidRPr="00702FE7">
        <w:t xml:space="preserve">however this is most likely due to high correlation (0.64) between GDP per capita and governance. As also can be seen in the summary statistics in </w:t>
      </w:r>
      <w:r w:rsidR="002C1649">
        <w:t>appendix table A8</w:t>
      </w:r>
      <w:r w:rsidR="006E7A70" w:rsidRPr="00702FE7">
        <w:t xml:space="preserve">. Because of this the GDP per capita estimates when controlled for governance are biased. </w:t>
      </w:r>
    </w:p>
    <w:p w14:paraId="5BB64503" w14:textId="77777777" w:rsidR="00D52B8A" w:rsidRPr="00702FE7" w:rsidRDefault="00D52B8A" w:rsidP="00736FE7"/>
    <w:tbl>
      <w:tblPr>
        <w:tblStyle w:val="PlainTable21"/>
        <w:tblW w:w="0" w:type="auto"/>
        <w:tblLook w:val="04A0" w:firstRow="1" w:lastRow="0" w:firstColumn="1" w:lastColumn="0" w:noHBand="0" w:noVBand="1"/>
      </w:tblPr>
      <w:tblGrid>
        <w:gridCol w:w="2235"/>
        <w:gridCol w:w="1985"/>
        <w:gridCol w:w="2110"/>
        <w:gridCol w:w="2110"/>
      </w:tblGrid>
      <w:tr w:rsidR="008A1E77" w:rsidRPr="00702FE7" w14:paraId="4065021D" w14:textId="77777777" w:rsidTr="0011216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35" w:type="dxa"/>
          </w:tcPr>
          <w:p w14:paraId="7EE6A752" w14:textId="77777777" w:rsidR="008A1E77" w:rsidRPr="00702FE7" w:rsidRDefault="008A1E77" w:rsidP="00D50D31">
            <w:pPr>
              <w:spacing w:line="240" w:lineRule="auto"/>
              <w:jc w:val="left"/>
              <w:rPr>
                <w:rFonts w:ascii="Times New Roman" w:hAnsi="Times New Roman" w:cs="Times New Roman"/>
                <w:sz w:val="18"/>
              </w:rPr>
            </w:pPr>
          </w:p>
        </w:tc>
        <w:tc>
          <w:tcPr>
            <w:tcW w:w="1985" w:type="dxa"/>
          </w:tcPr>
          <w:p w14:paraId="71ADECD2" w14:textId="77777777" w:rsidR="008A1E77" w:rsidRPr="00702FE7" w:rsidRDefault="008A1E77" w:rsidP="00D50D31">
            <w:pPr>
              <w:spacing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Under-5 mortality (ln)</w:t>
            </w:r>
          </w:p>
        </w:tc>
        <w:tc>
          <w:tcPr>
            <w:tcW w:w="2110" w:type="dxa"/>
          </w:tcPr>
          <w:p w14:paraId="38633431" w14:textId="77777777" w:rsidR="008A1E77" w:rsidRPr="00702FE7" w:rsidRDefault="008A1E77" w:rsidP="00D50D31">
            <w:pPr>
              <w:spacing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Female mortality (ln)</w:t>
            </w:r>
          </w:p>
        </w:tc>
        <w:tc>
          <w:tcPr>
            <w:tcW w:w="2110" w:type="dxa"/>
          </w:tcPr>
          <w:p w14:paraId="50D61809" w14:textId="77777777" w:rsidR="008A1E77" w:rsidRPr="00702FE7" w:rsidRDefault="008A1E77" w:rsidP="00D50D31">
            <w:pPr>
              <w:spacing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Male mortality (ln)</w:t>
            </w:r>
          </w:p>
        </w:tc>
      </w:tr>
      <w:tr w:rsidR="008A1E77" w:rsidRPr="00702FE7" w14:paraId="729E755F" w14:textId="77777777" w:rsidTr="0011216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35" w:type="dxa"/>
          </w:tcPr>
          <w:p w14:paraId="7E0EDB23" w14:textId="66CC8B6A" w:rsidR="008A1E77" w:rsidRPr="00702FE7" w:rsidRDefault="008A1E77" w:rsidP="00D50D31">
            <w:pPr>
              <w:spacing w:line="240" w:lineRule="auto"/>
              <w:jc w:val="left"/>
              <w:rPr>
                <w:rFonts w:ascii="Times New Roman" w:hAnsi="Times New Roman" w:cs="Times New Roman"/>
                <w:sz w:val="18"/>
              </w:rPr>
            </w:pPr>
            <w:r w:rsidRPr="00702FE7">
              <w:rPr>
                <w:rFonts w:ascii="Times New Roman" w:hAnsi="Times New Roman" w:cs="Times New Roman"/>
                <w:sz w:val="18"/>
              </w:rPr>
              <w:t>Government</w:t>
            </w:r>
            <w:r w:rsidR="00D50D31" w:rsidRPr="00702FE7">
              <w:rPr>
                <w:rFonts w:ascii="Times New Roman" w:hAnsi="Times New Roman" w:cs="Times New Roman"/>
                <w:sz w:val="18"/>
              </w:rPr>
              <w:t xml:space="preserve"> health</w:t>
            </w:r>
            <w:r w:rsidRPr="00702FE7">
              <w:rPr>
                <w:rFonts w:ascii="Times New Roman" w:hAnsi="Times New Roman" w:cs="Times New Roman"/>
                <w:sz w:val="18"/>
              </w:rPr>
              <w:t xml:space="preserve"> spending per capita (ln of % of GDP)</w:t>
            </w:r>
          </w:p>
        </w:tc>
        <w:tc>
          <w:tcPr>
            <w:tcW w:w="1985" w:type="dxa"/>
          </w:tcPr>
          <w:p w14:paraId="7C6BE165" w14:textId="03D36E64" w:rsidR="008A1E77" w:rsidRPr="00702FE7" w:rsidRDefault="008A1E77" w:rsidP="00D50D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rPr>
            </w:pPr>
          </w:p>
        </w:tc>
        <w:tc>
          <w:tcPr>
            <w:tcW w:w="2110" w:type="dxa"/>
          </w:tcPr>
          <w:p w14:paraId="531C6A5A" w14:textId="3557C954" w:rsidR="008A1E77" w:rsidRPr="00702FE7" w:rsidRDefault="008A1E77" w:rsidP="00D50D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rPr>
            </w:pPr>
          </w:p>
        </w:tc>
        <w:tc>
          <w:tcPr>
            <w:tcW w:w="2110" w:type="dxa"/>
          </w:tcPr>
          <w:p w14:paraId="311E4DE1" w14:textId="10F22A91" w:rsidR="008A1E77" w:rsidRPr="00702FE7" w:rsidRDefault="008A1E77" w:rsidP="00D50D31">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rPr>
            </w:pPr>
          </w:p>
        </w:tc>
      </w:tr>
      <w:tr w:rsidR="008A1E77" w:rsidRPr="00702FE7" w14:paraId="78865E65" w14:textId="77777777" w:rsidTr="00112166">
        <w:tc>
          <w:tcPr>
            <w:cnfStyle w:val="001000000000" w:firstRow="0" w:lastRow="0" w:firstColumn="1" w:lastColumn="0" w:oddVBand="0" w:evenVBand="0" w:oddHBand="0" w:evenHBand="0" w:firstRowFirstColumn="0" w:firstRowLastColumn="0" w:lastRowFirstColumn="0" w:lastRowLastColumn="0"/>
            <w:tcW w:w="2235" w:type="dxa"/>
          </w:tcPr>
          <w:p w14:paraId="7BC946BF" w14:textId="55E0424D" w:rsidR="008A1E77" w:rsidRPr="00702FE7" w:rsidRDefault="008A1E77" w:rsidP="008A1E77">
            <w:pPr>
              <w:spacing w:line="240" w:lineRule="auto"/>
              <w:jc w:val="left"/>
              <w:rPr>
                <w:rFonts w:ascii="Times New Roman" w:hAnsi="Times New Roman" w:cs="Times New Roman"/>
                <w:sz w:val="18"/>
              </w:rPr>
            </w:pPr>
            <w:r w:rsidRPr="00702FE7">
              <w:rPr>
                <w:rFonts w:ascii="Times New Roman" w:hAnsi="Times New Roman" w:cs="Times New Roman"/>
                <w:sz w:val="18"/>
              </w:rPr>
              <w:t>Baseline</w:t>
            </w:r>
          </w:p>
        </w:tc>
        <w:tc>
          <w:tcPr>
            <w:tcW w:w="1985" w:type="dxa"/>
          </w:tcPr>
          <w:p w14:paraId="33793864" w14:textId="77777777" w:rsidR="008A1E77" w:rsidRPr="00702FE7" w:rsidRDefault="008A1E77" w:rsidP="008A1E77">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0.010</w:t>
            </w:r>
          </w:p>
          <w:p w14:paraId="73ABF4DC" w14:textId="4C751657" w:rsidR="008A1E77" w:rsidRPr="00702FE7" w:rsidRDefault="008A1E77" w:rsidP="008A1E77">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(0.535)</w:t>
            </w:r>
          </w:p>
        </w:tc>
        <w:tc>
          <w:tcPr>
            <w:tcW w:w="2110" w:type="dxa"/>
          </w:tcPr>
          <w:p w14:paraId="42E6E26B" w14:textId="77777777" w:rsidR="008A1E77" w:rsidRPr="00702FE7" w:rsidRDefault="008A1E77" w:rsidP="008A1E77">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0.024</w:t>
            </w:r>
          </w:p>
          <w:p w14:paraId="26DD9648" w14:textId="2E890268" w:rsidR="008A1E77" w:rsidRPr="00702FE7" w:rsidRDefault="008A1E77" w:rsidP="008A1E77">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(0.184)</w:t>
            </w:r>
          </w:p>
        </w:tc>
        <w:tc>
          <w:tcPr>
            <w:tcW w:w="2110" w:type="dxa"/>
          </w:tcPr>
          <w:p w14:paraId="592E19F6" w14:textId="77777777" w:rsidR="008A1E77" w:rsidRPr="00702FE7" w:rsidRDefault="008A1E77" w:rsidP="008A1E77">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sz w:val="18"/>
              </w:rPr>
            </w:pPr>
            <w:r w:rsidRPr="00702FE7">
              <w:rPr>
                <w:rFonts w:ascii="Times New Roman" w:hAnsi="Times New Roman" w:cs="Times New Roman"/>
                <w:i/>
                <w:sz w:val="18"/>
              </w:rPr>
              <w:t>0.032</w:t>
            </w:r>
          </w:p>
          <w:p w14:paraId="1DDB1376" w14:textId="58A6C576" w:rsidR="008A1E77" w:rsidRPr="00702FE7" w:rsidRDefault="008A1E77" w:rsidP="008A1E77">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sz w:val="18"/>
              </w:rPr>
            </w:pPr>
            <w:r w:rsidRPr="00702FE7">
              <w:rPr>
                <w:rFonts w:ascii="Times New Roman" w:hAnsi="Times New Roman" w:cs="Times New Roman"/>
                <w:i/>
                <w:sz w:val="18"/>
              </w:rPr>
              <w:t>(0.090)</w:t>
            </w:r>
          </w:p>
        </w:tc>
      </w:tr>
      <w:tr w:rsidR="008A1E77" w:rsidRPr="00702FE7" w14:paraId="27827959" w14:textId="77777777" w:rsidTr="0011216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35" w:type="dxa"/>
          </w:tcPr>
          <w:p w14:paraId="6AD0C60D" w14:textId="65AF384E" w:rsidR="008A1E77" w:rsidRPr="00702FE7" w:rsidRDefault="00112166" w:rsidP="008A1E77">
            <w:pPr>
              <w:spacing w:line="240" w:lineRule="auto"/>
              <w:jc w:val="left"/>
              <w:rPr>
                <w:rFonts w:ascii="Times New Roman" w:hAnsi="Times New Roman" w:cs="Times New Roman"/>
                <w:b w:val="0"/>
                <w:i/>
                <w:sz w:val="18"/>
              </w:rPr>
            </w:pPr>
            <w:r w:rsidRPr="00702FE7">
              <w:rPr>
                <w:rFonts w:ascii="Times New Roman" w:hAnsi="Times New Roman" w:cs="Times New Roman"/>
                <w:b w:val="0"/>
                <w:i/>
                <w:sz w:val="18"/>
              </w:rPr>
              <w:t xml:space="preserve">(a) </w:t>
            </w:r>
            <w:r w:rsidR="008A1E77" w:rsidRPr="00702FE7">
              <w:rPr>
                <w:rFonts w:ascii="Times New Roman" w:hAnsi="Times New Roman" w:cs="Times New Roman"/>
                <w:b w:val="0"/>
                <w:i/>
                <w:sz w:val="18"/>
              </w:rPr>
              <w:t>LMIC</w:t>
            </w:r>
          </w:p>
        </w:tc>
        <w:tc>
          <w:tcPr>
            <w:tcW w:w="1985" w:type="dxa"/>
          </w:tcPr>
          <w:p w14:paraId="11F0F218" w14:textId="77777777" w:rsidR="008A1E77" w:rsidRPr="00702FE7" w:rsidRDefault="00793035" w:rsidP="008A1E77">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-0.004</w:t>
            </w:r>
          </w:p>
          <w:p w14:paraId="664ACBF1" w14:textId="6544C99F" w:rsidR="00793035" w:rsidRPr="00702FE7" w:rsidRDefault="00793035" w:rsidP="008A1E77">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(0.800)</w:t>
            </w:r>
          </w:p>
        </w:tc>
        <w:tc>
          <w:tcPr>
            <w:tcW w:w="2110" w:type="dxa"/>
          </w:tcPr>
          <w:p w14:paraId="19E82035" w14:textId="77777777" w:rsidR="008A1E77" w:rsidRPr="00702FE7" w:rsidRDefault="00793035" w:rsidP="008A1E77">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sz w:val="18"/>
              </w:rPr>
            </w:pPr>
            <w:r w:rsidRPr="00702FE7">
              <w:rPr>
                <w:rFonts w:ascii="Times New Roman" w:hAnsi="Times New Roman" w:cs="Times New Roman"/>
                <w:i/>
                <w:sz w:val="18"/>
              </w:rPr>
              <w:t>0.028</w:t>
            </w:r>
          </w:p>
          <w:p w14:paraId="5E7EDA0E" w14:textId="1B542F6A" w:rsidR="00793035" w:rsidRPr="00702FE7" w:rsidRDefault="00793035" w:rsidP="008A1E77">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i/>
                <w:sz w:val="18"/>
              </w:rPr>
              <w:t>(0.095)</w:t>
            </w:r>
          </w:p>
        </w:tc>
        <w:tc>
          <w:tcPr>
            <w:tcW w:w="2110" w:type="dxa"/>
          </w:tcPr>
          <w:p w14:paraId="637D55D3" w14:textId="77777777" w:rsidR="008A1E77" w:rsidRPr="00702FE7" w:rsidRDefault="00793035" w:rsidP="008A1E77">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sz w:val="18"/>
              </w:rPr>
            </w:pPr>
            <w:r w:rsidRPr="00702FE7">
              <w:rPr>
                <w:rFonts w:ascii="Times New Roman" w:hAnsi="Times New Roman" w:cs="Times New Roman"/>
                <w:i/>
                <w:sz w:val="18"/>
              </w:rPr>
              <w:t>0.032</w:t>
            </w:r>
          </w:p>
          <w:p w14:paraId="43802E71" w14:textId="2878D7D2" w:rsidR="00793035" w:rsidRPr="00702FE7" w:rsidRDefault="00793035" w:rsidP="008A1E77">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sz w:val="18"/>
              </w:rPr>
            </w:pPr>
            <w:r w:rsidRPr="00702FE7">
              <w:rPr>
                <w:rFonts w:ascii="Times New Roman" w:hAnsi="Times New Roman" w:cs="Times New Roman"/>
                <w:i/>
                <w:sz w:val="18"/>
              </w:rPr>
              <w:t>(0.052)</w:t>
            </w:r>
          </w:p>
        </w:tc>
      </w:tr>
      <w:tr w:rsidR="008A1E77" w:rsidRPr="00702FE7" w14:paraId="1CF5E8FA" w14:textId="77777777" w:rsidTr="00112166">
        <w:tc>
          <w:tcPr>
            <w:cnfStyle w:val="001000000000" w:firstRow="0" w:lastRow="0" w:firstColumn="1" w:lastColumn="0" w:oddVBand="0" w:evenVBand="0" w:oddHBand="0" w:evenHBand="0" w:firstRowFirstColumn="0" w:firstRowLastColumn="0" w:lastRowFirstColumn="0" w:lastRowLastColumn="0"/>
            <w:tcW w:w="2235" w:type="dxa"/>
          </w:tcPr>
          <w:p w14:paraId="7648A030" w14:textId="5A5275AA" w:rsidR="008A1E77" w:rsidRPr="00702FE7" w:rsidRDefault="00112166" w:rsidP="008A1E77">
            <w:pPr>
              <w:spacing w:line="240" w:lineRule="auto"/>
              <w:jc w:val="left"/>
              <w:rPr>
                <w:rFonts w:ascii="Times New Roman" w:hAnsi="Times New Roman" w:cs="Times New Roman"/>
                <w:b w:val="0"/>
                <w:i/>
                <w:sz w:val="18"/>
              </w:rPr>
            </w:pPr>
            <w:r w:rsidRPr="00702FE7">
              <w:rPr>
                <w:rFonts w:ascii="Times New Roman" w:hAnsi="Times New Roman" w:cs="Times New Roman"/>
                <w:b w:val="0"/>
                <w:i/>
                <w:sz w:val="18"/>
              </w:rPr>
              <w:t xml:space="preserve">(b) </w:t>
            </w:r>
            <w:r w:rsidR="008A1E77" w:rsidRPr="00702FE7">
              <w:rPr>
                <w:rFonts w:ascii="Times New Roman" w:hAnsi="Times New Roman" w:cs="Times New Roman"/>
                <w:b w:val="0"/>
                <w:i/>
                <w:sz w:val="18"/>
              </w:rPr>
              <w:t>Population &gt; 1 million</w:t>
            </w:r>
          </w:p>
        </w:tc>
        <w:tc>
          <w:tcPr>
            <w:tcW w:w="1985" w:type="dxa"/>
          </w:tcPr>
          <w:p w14:paraId="4681D357" w14:textId="77777777" w:rsidR="008A1E77" w:rsidRPr="00702FE7" w:rsidRDefault="00D50D31" w:rsidP="008A1E77">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0.021</w:t>
            </w:r>
          </w:p>
          <w:p w14:paraId="5B363E28" w14:textId="6A49877A" w:rsidR="00D50D31" w:rsidRPr="00702FE7" w:rsidRDefault="00D50D31" w:rsidP="008A1E77">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(0.194)</w:t>
            </w:r>
          </w:p>
        </w:tc>
        <w:tc>
          <w:tcPr>
            <w:tcW w:w="2110" w:type="dxa"/>
          </w:tcPr>
          <w:p w14:paraId="500D3CFF" w14:textId="77777777" w:rsidR="008A1E77" w:rsidRPr="00702FE7" w:rsidRDefault="00D50D31" w:rsidP="008A1E77">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0.022</w:t>
            </w:r>
          </w:p>
          <w:p w14:paraId="4AFB73F3" w14:textId="737CF458" w:rsidR="00D50D31" w:rsidRPr="00702FE7" w:rsidRDefault="00D50D31" w:rsidP="008A1E77">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(0.270)</w:t>
            </w:r>
          </w:p>
        </w:tc>
        <w:tc>
          <w:tcPr>
            <w:tcW w:w="2110" w:type="dxa"/>
          </w:tcPr>
          <w:p w14:paraId="042808C9" w14:textId="77777777" w:rsidR="008A1E77" w:rsidRPr="00702FE7" w:rsidRDefault="00D50D31" w:rsidP="008A1E77">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0.032</w:t>
            </w:r>
          </w:p>
          <w:p w14:paraId="2B9C0EF0" w14:textId="1E7568B5" w:rsidR="00D50D31" w:rsidRPr="00702FE7" w:rsidRDefault="00D50D31" w:rsidP="008A1E77">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sz w:val="18"/>
              </w:rPr>
            </w:pPr>
            <w:r w:rsidRPr="00702FE7">
              <w:rPr>
                <w:rFonts w:ascii="Times New Roman" w:hAnsi="Times New Roman" w:cs="Times New Roman"/>
                <w:sz w:val="18"/>
              </w:rPr>
              <w:t>(0.111)</w:t>
            </w:r>
          </w:p>
        </w:tc>
      </w:tr>
      <w:tr w:rsidR="008A1E77" w:rsidRPr="00702FE7" w14:paraId="73965C51" w14:textId="77777777" w:rsidTr="0011216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35" w:type="dxa"/>
          </w:tcPr>
          <w:p w14:paraId="46A14E87" w14:textId="0EE5BC4C" w:rsidR="008A1E77" w:rsidRPr="00702FE7" w:rsidRDefault="00112166" w:rsidP="008A1E77">
            <w:pPr>
              <w:spacing w:line="240" w:lineRule="auto"/>
              <w:jc w:val="left"/>
              <w:rPr>
                <w:rFonts w:ascii="Times New Roman" w:hAnsi="Times New Roman" w:cs="Times New Roman"/>
                <w:b w:val="0"/>
                <w:i/>
                <w:sz w:val="18"/>
              </w:rPr>
            </w:pPr>
            <w:r w:rsidRPr="00702FE7">
              <w:rPr>
                <w:rFonts w:ascii="Times New Roman" w:hAnsi="Times New Roman" w:cs="Times New Roman"/>
                <w:b w:val="0"/>
                <w:i/>
                <w:sz w:val="18"/>
              </w:rPr>
              <w:t xml:space="preserve">(c) </w:t>
            </w:r>
            <w:r w:rsidR="008A1E77" w:rsidRPr="00702FE7">
              <w:rPr>
                <w:rFonts w:ascii="Times New Roman" w:hAnsi="Times New Roman" w:cs="Times New Roman"/>
                <w:b w:val="0"/>
                <w:i/>
                <w:sz w:val="18"/>
              </w:rPr>
              <w:t>High governance</w:t>
            </w:r>
          </w:p>
        </w:tc>
        <w:tc>
          <w:tcPr>
            <w:tcW w:w="1985" w:type="dxa"/>
          </w:tcPr>
          <w:p w14:paraId="3A1BAE13" w14:textId="77777777" w:rsidR="008A1E77" w:rsidRPr="00702FE7" w:rsidRDefault="00BC6155" w:rsidP="008A1E77">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-0.009</w:t>
            </w:r>
          </w:p>
          <w:p w14:paraId="354E62DE" w14:textId="24D0FA54" w:rsidR="00BC6155" w:rsidRPr="00702FE7" w:rsidRDefault="00BC6155" w:rsidP="008A1E77">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(0.885)</w:t>
            </w:r>
          </w:p>
        </w:tc>
        <w:tc>
          <w:tcPr>
            <w:tcW w:w="2110" w:type="dxa"/>
          </w:tcPr>
          <w:p w14:paraId="6AB60EAA" w14:textId="77777777" w:rsidR="008A1E77" w:rsidRPr="00702FE7" w:rsidRDefault="00BC6155" w:rsidP="008A1E77">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-0.001</w:t>
            </w:r>
          </w:p>
          <w:p w14:paraId="1B339F9D" w14:textId="4F159CCF" w:rsidR="00BC6155" w:rsidRPr="00702FE7" w:rsidRDefault="00BC6155" w:rsidP="008A1E77">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(0.993)</w:t>
            </w:r>
          </w:p>
        </w:tc>
        <w:tc>
          <w:tcPr>
            <w:tcW w:w="2110" w:type="dxa"/>
          </w:tcPr>
          <w:p w14:paraId="062D5149" w14:textId="77777777" w:rsidR="008A1E77" w:rsidRPr="00702FE7" w:rsidRDefault="00BC6155" w:rsidP="008A1E77">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-0.024</w:t>
            </w:r>
          </w:p>
          <w:p w14:paraId="267F1005" w14:textId="3342CDF7" w:rsidR="00BC6155" w:rsidRPr="00702FE7" w:rsidRDefault="00BC6155" w:rsidP="008A1E77">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(0.766)</w:t>
            </w:r>
          </w:p>
        </w:tc>
      </w:tr>
      <w:tr w:rsidR="008A1E77" w:rsidRPr="00702FE7" w14:paraId="7FA8288D" w14:textId="77777777" w:rsidTr="00112166">
        <w:tc>
          <w:tcPr>
            <w:cnfStyle w:val="001000000000" w:firstRow="0" w:lastRow="0" w:firstColumn="1" w:lastColumn="0" w:oddVBand="0" w:evenVBand="0" w:oddHBand="0" w:evenHBand="0" w:firstRowFirstColumn="0" w:firstRowLastColumn="0" w:lastRowFirstColumn="0" w:lastRowLastColumn="0"/>
            <w:tcW w:w="2235" w:type="dxa"/>
          </w:tcPr>
          <w:p w14:paraId="3A8F07DF" w14:textId="139416FE" w:rsidR="008A1E77" w:rsidRPr="00702FE7" w:rsidRDefault="00112166" w:rsidP="008A1E77">
            <w:pPr>
              <w:spacing w:line="240" w:lineRule="auto"/>
              <w:jc w:val="left"/>
              <w:rPr>
                <w:rFonts w:ascii="Times New Roman" w:hAnsi="Times New Roman" w:cs="Times New Roman"/>
                <w:b w:val="0"/>
                <w:i/>
                <w:sz w:val="18"/>
              </w:rPr>
            </w:pPr>
            <w:r w:rsidRPr="00702FE7">
              <w:rPr>
                <w:rFonts w:ascii="Times New Roman" w:hAnsi="Times New Roman" w:cs="Times New Roman"/>
                <w:b w:val="0"/>
                <w:i/>
                <w:sz w:val="18"/>
              </w:rPr>
              <w:t xml:space="preserve">(d) </w:t>
            </w:r>
            <w:r w:rsidR="008A1E77" w:rsidRPr="00702FE7">
              <w:rPr>
                <w:rFonts w:ascii="Times New Roman" w:hAnsi="Times New Roman" w:cs="Times New Roman"/>
                <w:b w:val="0"/>
                <w:i/>
                <w:sz w:val="18"/>
              </w:rPr>
              <w:t xml:space="preserve">Low governance </w:t>
            </w:r>
          </w:p>
        </w:tc>
        <w:tc>
          <w:tcPr>
            <w:tcW w:w="1985" w:type="dxa"/>
          </w:tcPr>
          <w:p w14:paraId="2546AC73" w14:textId="77777777" w:rsidR="008A1E77" w:rsidRPr="00702FE7" w:rsidRDefault="00192705" w:rsidP="008A1E77">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0.012</w:t>
            </w:r>
          </w:p>
          <w:p w14:paraId="1C2DB75A" w14:textId="2EB24E37" w:rsidR="00192705" w:rsidRPr="00702FE7" w:rsidRDefault="00192705" w:rsidP="008A1E77">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(0.323)</w:t>
            </w:r>
          </w:p>
        </w:tc>
        <w:tc>
          <w:tcPr>
            <w:tcW w:w="2110" w:type="dxa"/>
          </w:tcPr>
          <w:p w14:paraId="49FA5288" w14:textId="77777777" w:rsidR="008A1E77" w:rsidRPr="00702FE7" w:rsidRDefault="00192705" w:rsidP="008A1E77">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0.022</w:t>
            </w:r>
          </w:p>
          <w:p w14:paraId="20DFBA29" w14:textId="74EE2B5A" w:rsidR="00192705" w:rsidRPr="00702FE7" w:rsidRDefault="00192705" w:rsidP="008A1E77">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(0.104)</w:t>
            </w:r>
          </w:p>
        </w:tc>
        <w:tc>
          <w:tcPr>
            <w:tcW w:w="2110" w:type="dxa"/>
          </w:tcPr>
          <w:p w14:paraId="54012885" w14:textId="77777777" w:rsidR="008A1E77" w:rsidRPr="00702FE7" w:rsidRDefault="00192705" w:rsidP="008A1E77">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sz w:val="18"/>
              </w:rPr>
            </w:pPr>
            <w:r w:rsidRPr="00702FE7">
              <w:rPr>
                <w:rFonts w:ascii="Times New Roman" w:hAnsi="Times New Roman" w:cs="Times New Roman"/>
                <w:i/>
                <w:sz w:val="18"/>
              </w:rPr>
              <w:t>0.032</w:t>
            </w:r>
          </w:p>
          <w:p w14:paraId="41F56ECB" w14:textId="10A65CE3" w:rsidR="00192705" w:rsidRPr="00702FE7" w:rsidRDefault="00192705" w:rsidP="008A1E77">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sz w:val="18"/>
              </w:rPr>
            </w:pPr>
            <w:r w:rsidRPr="00702FE7">
              <w:rPr>
                <w:rFonts w:ascii="Times New Roman" w:hAnsi="Times New Roman" w:cs="Times New Roman"/>
                <w:i/>
                <w:sz w:val="18"/>
              </w:rPr>
              <w:t>(0.037)</w:t>
            </w:r>
          </w:p>
        </w:tc>
      </w:tr>
      <w:tr w:rsidR="008A1E77" w:rsidRPr="00702FE7" w14:paraId="77729AE9" w14:textId="77777777" w:rsidTr="0011216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35" w:type="dxa"/>
          </w:tcPr>
          <w:p w14:paraId="46025410" w14:textId="4B7C5806" w:rsidR="008A1E77" w:rsidRPr="00702FE7" w:rsidRDefault="00112166" w:rsidP="008A1E77">
            <w:pPr>
              <w:spacing w:line="240" w:lineRule="auto"/>
              <w:jc w:val="left"/>
              <w:rPr>
                <w:rFonts w:ascii="Times New Roman" w:hAnsi="Times New Roman" w:cs="Times New Roman"/>
                <w:b w:val="0"/>
                <w:i/>
                <w:sz w:val="18"/>
              </w:rPr>
            </w:pPr>
            <w:r w:rsidRPr="00702FE7">
              <w:rPr>
                <w:rFonts w:ascii="Times New Roman" w:hAnsi="Times New Roman" w:cs="Times New Roman"/>
                <w:b w:val="0"/>
                <w:i/>
                <w:sz w:val="18"/>
              </w:rPr>
              <w:t xml:space="preserve">(e) </w:t>
            </w:r>
            <w:r w:rsidR="008A1E77" w:rsidRPr="00702FE7">
              <w:rPr>
                <w:rFonts w:ascii="Times New Roman" w:hAnsi="Times New Roman" w:cs="Times New Roman"/>
                <w:b w:val="0"/>
                <w:i/>
                <w:sz w:val="18"/>
              </w:rPr>
              <w:t>Years 1995-2003 only</w:t>
            </w:r>
          </w:p>
        </w:tc>
        <w:tc>
          <w:tcPr>
            <w:tcW w:w="1985" w:type="dxa"/>
          </w:tcPr>
          <w:p w14:paraId="1FDA4604" w14:textId="77777777" w:rsidR="008A1E77" w:rsidRPr="00702FE7" w:rsidRDefault="00192705" w:rsidP="008A1E77">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-0.003</w:t>
            </w:r>
          </w:p>
          <w:p w14:paraId="625FBF9B" w14:textId="50CD470A" w:rsidR="00192705" w:rsidRPr="00702FE7" w:rsidRDefault="00192705" w:rsidP="008A1E77">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(0.858)</w:t>
            </w:r>
          </w:p>
        </w:tc>
        <w:tc>
          <w:tcPr>
            <w:tcW w:w="2110" w:type="dxa"/>
          </w:tcPr>
          <w:p w14:paraId="11AC96F8" w14:textId="77777777" w:rsidR="008A1E77" w:rsidRPr="00702FE7" w:rsidRDefault="003406B8" w:rsidP="008A1E77">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0.009</w:t>
            </w:r>
          </w:p>
          <w:p w14:paraId="0E467654" w14:textId="2528622A" w:rsidR="003406B8" w:rsidRPr="00702FE7" w:rsidRDefault="003406B8" w:rsidP="008A1E77">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(0.624)</w:t>
            </w:r>
          </w:p>
        </w:tc>
        <w:tc>
          <w:tcPr>
            <w:tcW w:w="2110" w:type="dxa"/>
          </w:tcPr>
          <w:p w14:paraId="3D608974" w14:textId="77777777" w:rsidR="008A1E77" w:rsidRPr="00702FE7" w:rsidRDefault="003406B8" w:rsidP="008A1E77">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0.014</w:t>
            </w:r>
          </w:p>
          <w:p w14:paraId="40361FE6" w14:textId="3B8604CD" w:rsidR="003406B8" w:rsidRPr="00702FE7" w:rsidRDefault="003406B8" w:rsidP="008A1E77">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(0.377)</w:t>
            </w:r>
          </w:p>
        </w:tc>
      </w:tr>
      <w:tr w:rsidR="008A1E77" w:rsidRPr="00702FE7" w14:paraId="0BA7756C" w14:textId="77777777" w:rsidTr="00112166">
        <w:tc>
          <w:tcPr>
            <w:cnfStyle w:val="001000000000" w:firstRow="0" w:lastRow="0" w:firstColumn="1" w:lastColumn="0" w:oddVBand="0" w:evenVBand="0" w:oddHBand="0" w:evenHBand="0" w:firstRowFirstColumn="0" w:firstRowLastColumn="0" w:lastRowFirstColumn="0" w:lastRowLastColumn="0"/>
            <w:tcW w:w="2235" w:type="dxa"/>
          </w:tcPr>
          <w:p w14:paraId="4748A3AB" w14:textId="2CA4FEBC" w:rsidR="008A1E77" w:rsidRPr="00702FE7" w:rsidRDefault="00112166" w:rsidP="008A1E77">
            <w:pPr>
              <w:spacing w:line="240" w:lineRule="auto"/>
              <w:jc w:val="left"/>
              <w:rPr>
                <w:rFonts w:ascii="Times New Roman" w:hAnsi="Times New Roman" w:cs="Times New Roman"/>
                <w:b w:val="0"/>
                <w:i/>
                <w:sz w:val="18"/>
              </w:rPr>
            </w:pPr>
            <w:r w:rsidRPr="00702FE7">
              <w:rPr>
                <w:rFonts w:ascii="Times New Roman" w:hAnsi="Times New Roman" w:cs="Times New Roman"/>
                <w:b w:val="0"/>
                <w:i/>
                <w:sz w:val="18"/>
              </w:rPr>
              <w:t xml:space="preserve">(f) </w:t>
            </w:r>
            <w:r w:rsidR="008A1E77" w:rsidRPr="00702FE7">
              <w:rPr>
                <w:rFonts w:ascii="Times New Roman" w:hAnsi="Times New Roman" w:cs="Times New Roman"/>
                <w:b w:val="0"/>
                <w:i/>
                <w:sz w:val="18"/>
              </w:rPr>
              <w:t>Years 2004-2012 only</w:t>
            </w:r>
          </w:p>
        </w:tc>
        <w:tc>
          <w:tcPr>
            <w:tcW w:w="1985" w:type="dxa"/>
          </w:tcPr>
          <w:p w14:paraId="13BCB862" w14:textId="77777777" w:rsidR="008A1E77" w:rsidRPr="00702FE7" w:rsidRDefault="003406B8" w:rsidP="008A1E77">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0.026</w:t>
            </w:r>
          </w:p>
          <w:p w14:paraId="48BBA113" w14:textId="2B364238" w:rsidR="00192705" w:rsidRPr="00702FE7" w:rsidRDefault="003406B8" w:rsidP="008A1E77">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(0.161)</w:t>
            </w:r>
          </w:p>
        </w:tc>
        <w:tc>
          <w:tcPr>
            <w:tcW w:w="2110" w:type="dxa"/>
          </w:tcPr>
          <w:p w14:paraId="49F42209" w14:textId="77777777" w:rsidR="008A1E77" w:rsidRPr="00702FE7" w:rsidRDefault="003406B8" w:rsidP="008A1E77">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-0.007</w:t>
            </w:r>
          </w:p>
          <w:p w14:paraId="611F3A74" w14:textId="3809EC08" w:rsidR="003406B8" w:rsidRPr="00702FE7" w:rsidRDefault="003406B8" w:rsidP="008A1E77">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(0.603)</w:t>
            </w:r>
          </w:p>
        </w:tc>
        <w:tc>
          <w:tcPr>
            <w:tcW w:w="2110" w:type="dxa"/>
          </w:tcPr>
          <w:p w14:paraId="0BF3D3C5" w14:textId="77777777" w:rsidR="008A1E77" w:rsidRPr="00702FE7" w:rsidRDefault="003406B8" w:rsidP="008A1E77">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-0.009</w:t>
            </w:r>
          </w:p>
          <w:p w14:paraId="06126B35" w14:textId="12321F3A" w:rsidR="003406B8" w:rsidRPr="00702FE7" w:rsidRDefault="003406B8" w:rsidP="008A1E77">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sz w:val="18"/>
              </w:rPr>
            </w:pPr>
            <w:r w:rsidRPr="00702FE7">
              <w:rPr>
                <w:rFonts w:ascii="Times New Roman" w:hAnsi="Times New Roman" w:cs="Times New Roman"/>
                <w:sz w:val="18"/>
              </w:rPr>
              <w:t>(0.444)</w:t>
            </w:r>
          </w:p>
        </w:tc>
      </w:tr>
      <w:tr w:rsidR="00112166" w:rsidRPr="00702FE7" w14:paraId="22261A4B" w14:textId="77777777" w:rsidTr="0011216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35" w:type="dxa"/>
          </w:tcPr>
          <w:p w14:paraId="74145959" w14:textId="240FEE35" w:rsidR="00112166" w:rsidRPr="00702FE7" w:rsidRDefault="00112166" w:rsidP="008A1E77">
            <w:pPr>
              <w:spacing w:line="240" w:lineRule="auto"/>
              <w:jc w:val="left"/>
              <w:rPr>
                <w:rFonts w:ascii="Times New Roman" w:hAnsi="Times New Roman" w:cs="Times New Roman"/>
                <w:b w:val="0"/>
                <w:i/>
                <w:sz w:val="18"/>
              </w:rPr>
            </w:pPr>
          </w:p>
        </w:tc>
        <w:tc>
          <w:tcPr>
            <w:tcW w:w="1985" w:type="dxa"/>
          </w:tcPr>
          <w:p w14:paraId="4BB49162" w14:textId="77777777" w:rsidR="00112166" w:rsidRPr="00702FE7" w:rsidRDefault="00112166" w:rsidP="008A1E77">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rPr>
            </w:pPr>
          </w:p>
        </w:tc>
        <w:tc>
          <w:tcPr>
            <w:tcW w:w="2110" w:type="dxa"/>
          </w:tcPr>
          <w:p w14:paraId="693A45B9" w14:textId="77777777" w:rsidR="00112166" w:rsidRPr="00702FE7" w:rsidRDefault="00112166" w:rsidP="008A1E77">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rPr>
            </w:pPr>
          </w:p>
        </w:tc>
        <w:tc>
          <w:tcPr>
            <w:tcW w:w="2110" w:type="dxa"/>
          </w:tcPr>
          <w:p w14:paraId="7B91C456" w14:textId="77777777" w:rsidR="00112166" w:rsidRPr="00702FE7" w:rsidRDefault="00112166" w:rsidP="008A1E77">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sz w:val="18"/>
              </w:rPr>
            </w:pPr>
          </w:p>
        </w:tc>
      </w:tr>
      <w:tr w:rsidR="008A1E77" w:rsidRPr="00702FE7" w14:paraId="680DBB1A" w14:textId="77777777" w:rsidTr="00112166">
        <w:tc>
          <w:tcPr>
            <w:cnfStyle w:val="001000000000" w:firstRow="0" w:lastRow="0" w:firstColumn="1" w:lastColumn="0" w:oddVBand="0" w:evenVBand="0" w:oddHBand="0" w:evenHBand="0" w:firstRowFirstColumn="0" w:firstRowLastColumn="0" w:lastRowFirstColumn="0" w:lastRowLastColumn="0"/>
            <w:tcW w:w="2235" w:type="dxa"/>
          </w:tcPr>
          <w:p w14:paraId="4409A609" w14:textId="77777777" w:rsidR="008A1E77" w:rsidRPr="00702FE7" w:rsidRDefault="008A1E77" w:rsidP="008A1E77">
            <w:pPr>
              <w:spacing w:line="240" w:lineRule="auto"/>
              <w:jc w:val="left"/>
              <w:rPr>
                <w:rFonts w:ascii="Times New Roman" w:hAnsi="Times New Roman" w:cs="Times New Roman"/>
                <w:sz w:val="18"/>
              </w:rPr>
            </w:pPr>
            <w:r w:rsidRPr="00702FE7">
              <w:rPr>
                <w:rFonts w:ascii="Times New Roman" w:hAnsi="Times New Roman" w:cs="Times New Roman"/>
                <w:sz w:val="18"/>
              </w:rPr>
              <w:t>GDP per capita (ln)</w:t>
            </w:r>
          </w:p>
        </w:tc>
        <w:tc>
          <w:tcPr>
            <w:tcW w:w="1985" w:type="dxa"/>
          </w:tcPr>
          <w:p w14:paraId="41339018" w14:textId="2CC44585" w:rsidR="008A1E77" w:rsidRPr="00702FE7" w:rsidRDefault="008A1E77" w:rsidP="008A1E77">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sz w:val="18"/>
              </w:rPr>
            </w:pPr>
          </w:p>
        </w:tc>
        <w:tc>
          <w:tcPr>
            <w:tcW w:w="2110" w:type="dxa"/>
          </w:tcPr>
          <w:p w14:paraId="147D51FE" w14:textId="0BB152DB" w:rsidR="008A1E77" w:rsidRPr="00702FE7" w:rsidRDefault="008A1E77" w:rsidP="008A1E77">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rPr>
            </w:pPr>
          </w:p>
        </w:tc>
        <w:tc>
          <w:tcPr>
            <w:tcW w:w="2110" w:type="dxa"/>
          </w:tcPr>
          <w:p w14:paraId="137E1C3B" w14:textId="258F7612" w:rsidR="008A1E77" w:rsidRPr="00702FE7" w:rsidRDefault="008A1E77" w:rsidP="008A1E77">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rPr>
            </w:pPr>
          </w:p>
        </w:tc>
      </w:tr>
      <w:tr w:rsidR="008A1E77" w:rsidRPr="00702FE7" w14:paraId="58701BF1" w14:textId="77777777" w:rsidTr="0011216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35" w:type="dxa"/>
          </w:tcPr>
          <w:p w14:paraId="71DE78C3" w14:textId="0E8567BA" w:rsidR="008A1E77" w:rsidRPr="00702FE7" w:rsidRDefault="008A1E77" w:rsidP="008A1E77">
            <w:pPr>
              <w:spacing w:line="240" w:lineRule="auto"/>
              <w:jc w:val="left"/>
              <w:rPr>
                <w:rFonts w:ascii="Times New Roman" w:hAnsi="Times New Roman" w:cs="Times New Roman"/>
                <w:sz w:val="18"/>
              </w:rPr>
            </w:pPr>
            <w:r w:rsidRPr="00702FE7">
              <w:rPr>
                <w:rFonts w:ascii="Times New Roman" w:hAnsi="Times New Roman" w:cs="Times New Roman"/>
                <w:sz w:val="18"/>
              </w:rPr>
              <w:t>Baseline</w:t>
            </w:r>
          </w:p>
        </w:tc>
        <w:tc>
          <w:tcPr>
            <w:tcW w:w="1985" w:type="dxa"/>
          </w:tcPr>
          <w:p w14:paraId="7ECBC8A6" w14:textId="0FF98CFF" w:rsidR="008A1E77" w:rsidRPr="00702FE7" w:rsidRDefault="008A1E77" w:rsidP="008A1E77">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sz w:val="18"/>
              </w:rPr>
            </w:pPr>
            <w:r w:rsidRPr="00702FE7">
              <w:rPr>
                <w:rFonts w:ascii="Times New Roman" w:hAnsi="Times New Roman" w:cs="Times New Roman"/>
                <w:i/>
                <w:sz w:val="18"/>
              </w:rPr>
              <w:t>-0.167</w:t>
            </w:r>
            <w:r w:rsidRPr="00702FE7">
              <w:rPr>
                <w:rFonts w:ascii="Times New Roman" w:hAnsi="Times New Roman" w:cs="Times New Roman"/>
                <w:i/>
                <w:sz w:val="18"/>
              </w:rPr>
              <w:br/>
              <w:t>(0.007)</w:t>
            </w:r>
          </w:p>
        </w:tc>
        <w:tc>
          <w:tcPr>
            <w:tcW w:w="2110" w:type="dxa"/>
          </w:tcPr>
          <w:p w14:paraId="73A2C091" w14:textId="77777777" w:rsidR="008A1E77" w:rsidRPr="00702FE7" w:rsidRDefault="008A1E77" w:rsidP="008A1E77">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-0.014</w:t>
            </w:r>
          </w:p>
          <w:p w14:paraId="6ADD733A" w14:textId="45C261C7" w:rsidR="008A1E77" w:rsidRPr="00702FE7" w:rsidRDefault="008A1E77" w:rsidP="008A1E77">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(0.748)</w:t>
            </w:r>
          </w:p>
        </w:tc>
        <w:tc>
          <w:tcPr>
            <w:tcW w:w="2110" w:type="dxa"/>
          </w:tcPr>
          <w:p w14:paraId="4D2DE6BC" w14:textId="77777777" w:rsidR="008A1E77" w:rsidRPr="00702FE7" w:rsidRDefault="008A1E77" w:rsidP="008A1E77">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-0.006</w:t>
            </w:r>
          </w:p>
          <w:p w14:paraId="4C9A59B4" w14:textId="74F99329" w:rsidR="008A1E77" w:rsidRPr="00702FE7" w:rsidRDefault="008A1E77" w:rsidP="008A1E77">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(0.890)</w:t>
            </w:r>
          </w:p>
        </w:tc>
      </w:tr>
      <w:tr w:rsidR="00112166" w:rsidRPr="00702FE7" w14:paraId="7226B923" w14:textId="77777777" w:rsidTr="00112166">
        <w:tc>
          <w:tcPr>
            <w:cnfStyle w:val="001000000000" w:firstRow="0" w:lastRow="0" w:firstColumn="1" w:lastColumn="0" w:oddVBand="0" w:evenVBand="0" w:oddHBand="0" w:evenHBand="0" w:firstRowFirstColumn="0" w:firstRowLastColumn="0" w:lastRowFirstColumn="0" w:lastRowLastColumn="0"/>
            <w:tcW w:w="2235" w:type="dxa"/>
          </w:tcPr>
          <w:p w14:paraId="21CFBCD3" w14:textId="7696A262" w:rsidR="00112166" w:rsidRPr="00702FE7" w:rsidRDefault="00112166" w:rsidP="00112166">
            <w:pPr>
              <w:spacing w:line="240" w:lineRule="auto"/>
              <w:jc w:val="left"/>
              <w:rPr>
                <w:rFonts w:ascii="Times New Roman" w:hAnsi="Times New Roman" w:cs="Times New Roman"/>
                <w:sz w:val="18"/>
              </w:rPr>
            </w:pPr>
            <w:r w:rsidRPr="00702FE7">
              <w:rPr>
                <w:rFonts w:ascii="Times New Roman" w:hAnsi="Times New Roman" w:cs="Times New Roman"/>
                <w:b w:val="0"/>
                <w:i/>
                <w:sz w:val="18"/>
              </w:rPr>
              <w:t>(a) LMIC</w:t>
            </w:r>
          </w:p>
        </w:tc>
        <w:tc>
          <w:tcPr>
            <w:tcW w:w="1985" w:type="dxa"/>
          </w:tcPr>
          <w:p w14:paraId="603E3AD6" w14:textId="77777777" w:rsidR="00112166" w:rsidRPr="00702FE7" w:rsidRDefault="00793035" w:rsidP="0011216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sz w:val="18"/>
              </w:rPr>
            </w:pPr>
            <w:r w:rsidRPr="00702FE7">
              <w:rPr>
                <w:rFonts w:ascii="Times New Roman" w:hAnsi="Times New Roman" w:cs="Times New Roman"/>
                <w:i/>
                <w:sz w:val="18"/>
              </w:rPr>
              <w:t>-0.188</w:t>
            </w:r>
          </w:p>
          <w:p w14:paraId="398BC132" w14:textId="4E640719" w:rsidR="00793035" w:rsidRPr="00702FE7" w:rsidRDefault="00793035" w:rsidP="0011216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i/>
                <w:sz w:val="18"/>
              </w:rPr>
              <w:t>(0.019)</w:t>
            </w:r>
          </w:p>
        </w:tc>
        <w:tc>
          <w:tcPr>
            <w:tcW w:w="2110" w:type="dxa"/>
          </w:tcPr>
          <w:p w14:paraId="07ABBEDE" w14:textId="4704DDA1" w:rsidR="00112166" w:rsidRPr="00702FE7" w:rsidRDefault="00D50D31" w:rsidP="0011216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-0.083</w:t>
            </w:r>
          </w:p>
          <w:p w14:paraId="417F6D23" w14:textId="5FB30ECE" w:rsidR="00793035" w:rsidRPr="00702FE7" w:rsidRDefault="00793035" w:rsidP="0011216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(0.274)</w:t>
            </w:r>
          </w:p>
        </w:tc>
        <w:tc>
          <w:tcPr>
            <w:tcW w:w="2110" w:type="dxa"/>
          </w:tcPr>
          <w:p w14:paraId="3EFC5DB1" w14:textId="77777777" w:rsidR="00112166" w:rsidRPr="00702FE7" w:rsidRDefault="00793035" w:rsidP="0011216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-0.084</w:t>
            </w:r>
          </w:p>
          <w:p w14:paraId="508AA69D" w14:textId="7A8D634E" w:rsidR="00793035" w:rsidRPr="00702FE7" w:rsidRDefault="00793035" w:rsidP="0011216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(0.192)</w:t>
            </w:r>
          </w:p>
        </w:tc>
      </w:tr>
      <w:tr w:rsidR="00112166" w:rsidRPr="00702FE7" w14:paraId="7B7CF3BD" w14:textId="77777777" w:rsidTr="0011216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35" w:type="dxa"/>
          </w:tcPr>
          <w:p w14:paraId="03AC7F48" w14:textId="72A3374C" w:rsidR="00112166" w:rsidRPr="00702FE7" w:rsidRDefault="00112166" w:rsidP="00112166">
            <w:pPr>
              <w:spacing w:line="240" w:lineRule="auto"/>
              <w:jc w:val="left"/>
              <w:rPr>
                <w:rFonts w:ascii="Times New Roman" w:hAnsi="Times New Roman" w:cs="Times New Roman"/>
                <w:sz w:val="18"/>
              </w:rPr>
            </w:pPr>
            <w:r w:rsidRPr="00702FE7">
              <w:rPr>
                <w:rFonts w:ascii="Times New Roman" w:hAnsi="Times New Roman" w:cs="Times New Roman"/>
                <w:b w:val="0"/>
                <w:i/>
                <w:sz w:val="18"/>
              </w:rPr>
              <w:t>(b) Population &gt; 1 million</w:t>
            </w:r>
          </w:p>
        </w:tc>
        <w:tc>
          <w:tcPr>
            <w:tcW w:w="1985" w:type="dxa"/>
          </w:tcPr>
          <w:p w14:paraId="21DF3627" w14:textId="77777777" w:rsidR="00112166" w:rsidRPr="00702FE7" w:rsidRDefault="00D50D31" w:rsidP="0011216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sz w:val="18"/>
              </w:rPr>
            </w:pPr>
            <w:r w:rsidRPr="00702FE7">
              <w:rPr>
                <w:rFonts w:ascii="Times New Roman" w:hAnsi="Times New Roman" w:cs="Times New Roman"/>
                <w:i/>
                <w:sz w:val="18"/>
              </w:rPr>
              <w:t>-0.104</w:t>
            </w:r>
          </w:p>
          <w:p w14:paraId="0B9BAE46" w14:textId="61FEE9F1" w:rsidR="00D50D31" w:rsidRPr="00702FE7" w:rsidRDefault="00D50D31" w:rsidP="0011216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sz w:val="18"/>
              </w:rPr>
            </w:pPr>
            <w:r w:rsidRPr="00702FE7">
              <w:rPr>
                <w:rFonts w:ascii="Times New Roman" w:hAnsi="Times New Roman" w:cs="Times New Roman"/>
                <w:i/>
                <w:sz w:val="18"/>
              </w:rPr>
              <w:t>(0.041)</w:t>
            </w:r>
          </w:p>
        </w:tc>
        <w:tc>
          <w:tcPr>
            <w:tcW w:w="2110" w:type="dxa"/>
          </w:tcPr>
          <w:p w14:paraId="1BB6D0CD" w14:textId="77777777" w:rsidR="00112166" w:rsidRPr="00702FE7" w:rsidRDefault="00D50D31" w:rsidP="0011216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-0.001</w:t>
            </w:r>
          </w:p>
          <w:p w14:paraId="6E7960FC" w14:textId="597EC215" w:rsidR="00D50D31" w:rsidRPr="00702FE7" w:rsidRDefault="00D50D31" w:rsidP="0011216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(0.986)</w:t>
            </w:r>
          </w:p>
        </w:tc>
        <w:tc>
          <w:tcPr>
            <w:tcW w:w="2110" w:type="dxa"/>
          </w:tcPr>
          <w:p w14:paraId="193EAAF8" w14:textId="77777777" w:rsidR="00112166" w:rsidRPr="00702FE7" w:rsidRDefault="00D50D31" w:rsidP="0011216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0.011</w:t>
            </w:r>
          </w:p>
          <w:p w14:paraId="418A8E2C" w14:textId="4E5EDA3D" w:rsidR="00D50D31" w:rsidRPr="00702FE7" w:rsidRDefault="00D50D31" w:rsidP="0011216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(0.818)</w:t>
            </w:r>
          </w:p>
        </w:tc>
      </w:tr>
      <w:tr w:rsidR="00112166" w:rsidRPr="00702FE7" w14:paraId="739E5BD5" w14:textId="77777777" w:rsidTr="00112166">
        <w:tc>
          <w:tcPr>
            <w:cnfStyle w:val="001000000000" w:firstRow="0" w:lastRow="0" w:firstColumn="1" w:lastColumn="0" w:oddVBand="0" w:evenVBand="0" w:oddHBand="0" w:evenHBand="0" w:firstRowFirstColumn="0" w:firstRowLastColumn="0" w:lastRowFirstColumn="0" w:lastRowLastColumn="0"/>
            <w:tcW w:w="2235" w:type="dxa"/>
          </w:tcPr>
          <w:p w14:paraId="761C6594" w14:textId="14319CF3" w:rsidR="00112166" w:rsidRPr="00702FE7" w:rsidRDefault="00112166" w:rsidP="00112166">
            <w:pPr>
              <w:spacing w:line="240" w:lineRule="auto"/>
              <w:jc w:val="left"/>
              <w:rPr>
                <w:rFonts w:ascii="Times New Roman" w:hAnsi="Times New Roman" w:cs="Times New Roman"/>
                <w:sz w:val="18"/>
              </w:rPr>
            </w:pPr>
            <w:r w:rsidRPr="00702FE7">
              <w:rPr>
                <w:rFonts w:ascii="Times New Roman" w:hAnsi="Times New Roman" w:cs="Times New Roman"/>
                <w:b w:val="0"/>
                <w:i/>
                <w:sz w:val="18"/>
              </w:rPr>
              <w:t>(c) High governance</w:t>
            </w:r>
          </w:p>
        </w:tc>
        <w:tc>
          <w:tcPr>
            <w:tcW w:w="1985" w:type="dxa"/>
          </w:tcPr>
          <w:p w14:paraId="00202882" w14:textId="77777777" w:rsidR="00112166" w:rsidRPr="00702FE7" w:rsidRDefault="00BC6155" w:rsidP="0011216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-0.138</w:t>
            </w:r>
          </w:p>
          <w:p w14:paraId="3A71D17B" w14:textId="6C26210B" w:rsidR="00BC6155" w:rsidRPr="00702FE7" w:rsidRDefault="00BC6155" w:rsidP="0011216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sz w:val="18"/>
              </w:rPr>
            </w:pPr>
            <w:r w:rsidRPr="00702FE7">
              <w:rPr>
                <w:rFonts w:ascii="Times New Roman" w:hAnsi="Times New Roman" w:cs="Times New Roman"/>
                <w:sz w:val="18"/>
              </w:rPr>
              <w:t>(0.266)</w:t>
            </w:r>
          </w:p>
        </w:tc>
        <w:tc>
          <w:tcPr>
            <w:tcW w:w="2110" w:type="dxa"/>
          </w:tcPr>
          <w:p w14:paraId="0B2D93A9" w14:textId="77777777" w:rsidR="00112166" w:rsidRPr="00702FE7" w:rsidRDefault="00BC6155" w:rsidP="0011216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0.034</w:t>
            </w:r>
          </w:p>
          <w:p w14:paraId="3B7E391F" w14:textId="3454AB27" w:rsidR="00BC6155" w:rsidRPr="00702FE7" w:rsidRDefault="00BC6155" w:rsidP="0011216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(0.666)</w:t>
            </w:r>
          </w:p>
        </w:tc>
        <w:tc>
          <w:tcPr>
            <w:tcW w:w="2110" w:type="dxa"/>
          </w:tcPr>
          <w:p w14:paraId="24E43F58" w14:textId="77777777" w:rsidR="00112166" w:rsidRPr="00702FE7" w:rsidRDefault="00BC6155" w:rsidP="0011216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0.063</w:t>
            </w:r>
          </w:p>
          <w:p w14:paraId="74622124" w14:textId="48B01567" w:rsidR="00BC6155" w:rsidRPr="00702FE7" w:rsidRDefault="00BC6155" w:rsidP="0011216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(0.332)</w:t>
            </w:r>
          </w:p>
        </w:tc>
      </w:tr>
      <w:tr w:rsidR="00112166" w:rsidRPr="00702FE7" w14:paraId="2052E1E9" w14:textId="77777777" w:rsidTr="0011216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35" w:type="dxa"/>
          </w:tcPr>
          <w:p w14:paraId="0FA3473C" w14:textId="635ED8CD" w:rsidR="00112166" w:rsidRPr="00702FE7" w:rsidRDefault="00112166" w:rsidP="00112166">
            <w:pPr>
              <w:spacing w:line="240" w:lineRule="auto"/>
              <w:jc w:val="left"/>
              <w:rPr>
                <w:rFonts w:ascii="Times New Roman" w:hAnsi="Times New Roman" w:cs="Times New Roman"/>
                <w:sz w:val="18"/>
              </w:rPr>
            </w:pPr>
            <w:r w:rsidRPr="00702FE7">
              <w:rPr>
                <w:rFonts w:ascii="Times New Roman" w:hAnsi="Times New Roman" w:cs="Times New Roman"/>
                <w:b w:val="0"/>
                <w:i/>
                <w:sz w:val="18"/>
              </w:rPr>
              <w:t xml:space="preserve">(d) Low governance </w:t>
            </w:r>
          </w:p>
        </w:tc>
        <w:tc>
          <w:tcPr>
            <w:tcW w:w="1985" w:type="dxa"/>
          </w:tcPr>
          <w:p w14:paraId="096F54CC" w14:textId="77777777" w:rsidR="00112166" w:rsidRPr="00702FE7" w:rsidRDefault="00192705" w:rsidP="0011216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sz w:val="18"/>
              </w:rPr>
            </w:pPr>
            <w:r w:rsidRPr="00702FE7">
              <w:rPr>
                <w:rFonts w:ascii="Times New Roman" w:hAnsi="Times New Roman" w:cs="Times New Roman"/>
                <w:i/>
                <w:sz w:val="18"/>
              </w:rPr>
              <w:t>-0.124</w:t>
            </w:r>
          </w:p>
          <w:p w14:paraId="05F0857E" w14:textId="2C35A947" w:rsidR="00192705" w:rsidRPr="00702FE7" w:rsidRDefault="00192705" w:rsidP="0011216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sz w:val="18"/>
              </w:rPr>
            </w:pPr>
            <w:r w:rsidRPr="00702FE7">
              <w:rPr>
                <w:rFonts w:ascii="Times New Roman" w:hAnsi="Times New Roman" w:cs="Times New Roman"/>
                <w:i/>
                <w:sz w:val="18"/>
              </w:rPr>
              <w:t>(0.013)</w:t>
            </w:r>
          </w:p>
        </w:tc>
        <w:tc>
          <w:tcPr>
            <w:tcW w:w="2110" w:type="dxa"/>
          </w:tcPr>
          <w:p w14:paraId="70021274" w14:textId="77777777" w:rsidR="00112166" w:rsidRPr="00702FE7" w:rsidRDefault="00192705" w:rsidP="0011216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-0.067</w:t>
            </w:r>
          </w:p>
          <w:p w14:paraId="773DEB31" w14:textId="5E0A042E" w:rsidR="00192705" w:rsidRPr="00702FE7" w:rsidRDefault="00192705" w:rsidP="0011216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(0.220)</w:t>
            </w:r>
          </w:p>
        </w:tc>
        <w:tc>
          <w:tcPr>
            <w:tcW w:w="2110" w:type="dxa"/>
          </w:tcPr>
          <w:p w14:paraId="325672CD" w14:textId="77777777" w:rsidR="00112166" w:rsidRPr="00702FE7" w:rsidRDefault="00192705" w:rsidP="0011216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-0.063</w:t>
            </w:r>
          </w:p>
          <w:p w14:paraId="1D74AE64" w14:textId="560FECD7" w:rsidR="00192705" w:rsidRPr="00702FE7" w:rsidRDefault="00192705" w:rsidP="0011216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(0.144)</w:t>
            </w:r>
          </w:p>
        </w:tc>
      </w:tr>
      <w:tr w:rsidR="00112166" w:rsidRPr="00702FE7" w14:paraId="16B55E6F" w14:textId="77777777" w:rsidTr="00112166">
        <w:tc>
          <w:tcPr>
            <w:cnfStyle w:val="001000000000" w:firstRow="0" w:lastRow="0" w:firstColumn="1" w:lastColumn="0" w:oddVBand="0" w:evenVBand="0" w:oddHBand="0" w:evenHBand="0" w:firstRowFirstColumn="0" w:firstRowLastColumn="0" w:lastRowFirstColumn="0" w:lastRowLastColumn="0"/>
            <w:tcW w:w="2235" w:type="dxa"/>
          </w:tcPr>
          <w:p w14:paraId="3C04A0BB" w14:textId="397EF1D3" w:rsidR="00112166" w:rsidRPr="00702FE7" w:rsidRDefault="00112166" w:rsidP="00112166">
            <w:pPr>
              <w:spacing w:line="240" w:lineRule="auto"/>
              <w:jc w:val="left"/>
              <w:rPr>
                <w:rFonts w:ascii="Times New Roman" w:hAnsi="Times New Roman" w:cs="Times New Roman"/>
                <w:sz w:val="18"/>
              </w:rPr>
            </w:pPr>
            <w:r w:rsidRPr="00702FE7">
              <w:rPr>
                <w:rFonts w:ascii="Times New Roman" w:hAnsi="Times New Roman" w:cs="Times New Roman"/>
                <w:b w:val="0"/>
                <w:i/>
                <w:sz w:val="18"/>
              </w:rPr>
              <w:t>(e) Years 1995-2003 only</w:t>
            </w:r>
          </w:p>
        </w:tc>
        <w:tc>
          <w:tcPr>
            <w:tcW w:w="1985" w:type="dxa"/>
          </w:tcPr>
          <w:p w14:paraId="349914F7" w14:textId="77777777" w:rsidR="00112166" w:rsidRPr="00702FE7" w:rsidRDefault="003406B8" w:rsidP="0011216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sz w:val="18"/>
              </w:rPr>
            </w:pPr>
            <w:r w:rsidRPr="00702FE7">
              <w:rPr>
                <w:rFonts w:ascii="Times New Roman" w:hAnsi="Times New Roman" w:cs="Times New Roman"/>
                <w:i/>
                <w:sz w:val="18"/>
              </w:rPr>
              <w:t>-0.119</w:t>
            </w:r>
          </w:p>
          <w:p w14:paraId="1896F55C" w14:textId="06191C27" w:rsidR="00192705" w:rsidRPr="00702FE7" w:rsidRDefault="003406B8" w:rsidP="0011216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sz w:val="18"/>
              </w:rPr>
            </w:pPr>
            <w:r w:rsidRPr="00702FE7">
              <w:rPr>
                <w:rFonts w:ascii="Times New Roman" w:hAnsi="Times New Roman" w:cs="Times New Roman"/>
                <w:i/>
                <w:sz w:val="18"/>
              </w:rPr>
              <w:t>(0.064)</w:t>
            </w:r>
          </w:p>
        </w:tc>
        <w:tc>
          <w:tcPr>
            <w:tcW w:w="2110" w:type="dxa"/>
          </w:tcPr>
          <w:p w14:paraId="6241A2E2" w14:textId="77777777" w:rsidR="00112166" w:rsidRPr="00702FE7" w:rsidRDefault="003406B8" w:rsidP="0011216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-0.329</w:t>
            </w:r>
          </w:p>
          <w:p w14:paraId="724F9293" w14:textId="0B12A74C" w:rsidR="003406B8" w:rsidRPr="00702FE7" w:rsidRDefault="003406B8" w:rsidP="0011216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(0.547)</w:t>
            </w:r>
          </w:p>
        </w:tc>
        <w:tc>
          <w:tcPr>
            <w:tcW w:w="2110" w:type="dxa"/>
          </w:tcPr>
          <w:p w14:paraId="1F730843" w14:textId="77777777" w:rsidR="00112166" w:rsidRPr="00702FE7" w:rsidRDefault="003406B8" w:rsidP="0011216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sz w:val="18"/>
              </w:rPr>
            </w:pPr>
            <w:r w:rsidRPr="00702FE7">
              <w:rPr>
                <w:rFonts w:ascii="Times New Roman" w:hAnsi="Times New Roman" w:cs="Times New Roman"/>
                <w:i/>
                <w:sz w:val="18"/>
              </w:rPr>
              <w:t>-0.124</w:t>
            </w:r>
          </w:p>
          <w:p w14:paraId="71B70E88" w14:textId="6BA452D7" w:rsidR="003406B8" w:rsidRPr="00702FE7" w:rsidRDefault="003406B8" w:rsidP="0011216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i/>
                <w:sz w:val="18"/>
              </w:rPr>
              <w:t>(0.030)</w:t>
            </w:r>
          </w:p>
        </w:tc>
      </w:tr>
      <w:tr w:rsidR="00112166" w:rsidRPr="00702FE7" w14:paraId="4B7F6103" w14:textId="77777777" w:rsidTr="0011216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35" w:type="dxa"/>
          </w:tcPr>
          <w:p w14:paraId="6D3383CD" w14:textId="1B10B960" w:rsidR="00112166" w:rsidRPr="00702FE7" w:rsidRDefault="00112166" w:rsidP="00112166">
            <w:pPr>
              <w:spacing w:line="240" w:lineRule="auto"/>
              <w:jc w:val="left"/>
              <w:rPr>
                <w:rFonts w:ascii="Times New Roman" w:hAnsi="Times New Roman" w:cs="Times New Roman"/>
                <w:sz w:val="18"/>
              </w:rPr>
            </w:pPr>
            <w:r w:rsidRPr="00702FE7">
              <w:rPr>
                <w:rFonts w:ascii="Times New Roman" w:hAnsi="Times New Roman" w:cs="Times New Roman"/>
                <w:b w:val="0"/>
                <w:i/>
                <w:sz w:val="18"/>
              </w:rPr>
              <w:t>(f) Years 2004-2012 only</w:t>
            </w:r>
          </w:p>
        </w:tc>
        <w:tc>
          <w:tcPr>
            <w:tcW w:w="1985" w:type="dxa"/>
          </w:tcPr>
          <w:p w14:paraId="6FC62730" w14:textId="5B9733E9" w:rsidR="00112166" w:rsidRPr="00702FE7" w:rsidRDefault="003406B8" w:rsidP="0011216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sz w:val="18"/>
              </w:rPr>
            </w:pPr>
            <w:r w:rsidRPr="00702FE7">
              <w:rPr>
                <w:rFonts w:ascii="Times New Roman" w:hAnsi="Times New Roman" w:cs="Times New Roman"/>
                <w:i/>
                <w:sz w:val="18"/>
              </w:rPr>
              <w:t>-0.101</w:t>
            </w:r>
          </w:p>
          <w:p w14:paraId="6C5439F2" w14:textId="52AF5C1E" w:rsidR="00192705" w:rsidRPr="00702FE7" w:rsidRDefault="003406B8" w:rsidP="0011216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sz w:val="18"/>
              </w:rPr>
            </w:pPr>
            <w:r w:rsidRPr="00702FE7">
              <w:rPr>
                <w:rFonts w:ascii="Times New Roman" w:hAnsi="Times New Roman" w:cs="Times New Roman"/>
                <w:i/>
                <w:sz w:val="18"/>
              </w:rPr>
              <w:t>(0.089)</w:t>
            </w:r>
          </w:p>
        </w:tc>
        <w:tc>
          <w:tcPr>
            <w:tcW w:w="2110" w:type="dxa"/>
          </w:tcPr>
          <w:p w14:paraId="6C349781" w14:textId="77777777" w:rsidR="00112166" w:rsidRPr="00702FE7" w:rsidRDefault="003406B8" w:rsidP="0011216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-0.038</w:t>
            </w:r>
          </w:p>
          <w:p w14:paraId="763FD719" w14:textId="38A524AD" w:rsidR="003406B8" w:rsidRPr="00702FE7" w:rsidRDefault="003406B8" w:rsidP="0011216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(0.356)</w:t>
            </w:r>
          </w:p>
        </w:tc>
        <w:tc>
          <w:tcPr>
            <w:tcW w:w="2110" w:type="dxa"/>
          </w:tcPr>
          <w:p w14:paraId="27E4C1D9" w14:textId="77777777" w:rsidR="00112166" w:rsidRPr="00702FE7" w:rsidRDefault="003406B8" w:rsidP="0011216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0.002</w:t>
            </w:r>
          </w:p>
          <w:p w14:paraId="0A2BC05D" w14:textId="680DA56B" w:rsidR="003406B8" w:rsidRPr="00702FE7" w:rsidRDefault="003406B8" w:rsidP="0011216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(0.939)</w:t>
            </w:r>
          </w:p>
        </w:tc>
      </w:tr>
      <w:tr w:rsidR="00112166" w:rsidRPr="00702FE7" w14:paraId="5D06B734" w14:textId="77777777" w:rsidTr="00112166">
        <w:tc>
          <w:tcPr>
            <w:cnfStyle w:val="001000000000" w:firstRow="0" w:lastRow="0" w:firstColumn="1" w:lastColumn="0" w:oddVBand="0" w:evenVBand="0" w:oddHBand="0" w:evenHBand="0" w:firstRowFirstColumn="0" w:firstRowLastColumn="0" w:lastRowFirstColumn="0" w:lastRowLastColumn="0"/>
            <w:tcW w:w="2235" w:type="dxa"/>
          </w:tcPr>
          <w:p w14:paraId="1B22275C" w14:textId="0DED6A24" w:rsidR="00112166" w:rsidRPr="00702FE7" w:rsidRDefault="00112166" w:rsidP="008A1E77">
            <w:pPr>
              <w:spacing w:line="240" w:lineRule="auto"/>
              <w:jc w:val="left"/>
              <w:rPr>
                <w:rFonts w:ascii="Times New Roman" w:hAnsi="Times New Roman" w:cs="Times New Roman"/>
                <w:b w:val="0"/>
                <w:i/>
                <w:sz w:val="18"/>
              </w:rPr>
            </w:pPr>
          </w:p>
        </w:tc>
        <w:tc>
          <w:tcPr>
            <w:tcW w:w="1985" w:type="dxa"/>
          </w:tcPr>
          <w:p w14:paraId="084CBB28" w14:textId="77777777" w:rsidR="00112166" w:rsidRPr="00702FE7" w:rsidRDefault="00112166" w:rsidP="008A1E77">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sz w:val="18"/>
              </w:rPr>
            </w:pPr>
          </w:p>
        </w:tc>
        <w:tc>
          <w:tcPr>
            <w:tcW w:w="2110" w:type="dxa"/>
          </w:tcPr>
          <w:p w14:paraId="02B4B2FE" w14:textId="77777777" w:rsidR="00112166" w:rsidRPr="00702FE7" w:rsidRDefault="00112166" w:rsidP="008A1E77">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rPr>
            </w:pPr>
          </w:p>
        </w:tc>
        <w:tc>
          <w:tcPr>
            <w:tcW w:w="2110" w:type="dxa"/>
          </w:tcPr>
          <w:p w14:paraId="69437C5C" w14:textId="77777777" w:rsidR="00112166" w:rsidRPr="00702FE7" w:rsidRDefault="00112166" w:rsidP="008A1E77">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rPr>
            </w:pPr>
          </w:p>
        </w:tc>
      </w:tr>
      <w:tr w:rsidR="008A1E77" w:rsidRPr="00702FE7" w14:paraId="5BB8EC8B" w14:textId="77777777" w:rsidTr="0011216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35" w:type="dxa"/>
          </w:tcPr>
          <w:p w14:paraId="71CFD312" w14:textId="77777777" w:rsidR="008A1E77" w:rsidRPr="00702FE7" w:rsidRDefault="008A1E77" w:rsidP="008A1E77">
            <w:pPr>
              <w:spacing w:line="240" w:lineRule="auto"/>
              <w:jc w:val="left"/>
              <w:rPr>
                <w:rFonts w:ascii="Times New Roman" w:hAnsi="Times New Roman" w:cs="Times New Roman"/>
                <w:sz w:val="18"/>
              </w:rPr>
            </w:pPr>
            <w:r w:rsidRPr="00702FE7">
              <w:rPr>
                <w:rFonts w:ascii="Times New Roman" w:hAnsi="Times New Roman" w:cs="Times New Roman"/>
                <w:sz w:val="18"/>
              </w:rPr>
              <w:t>Immunization coverage</w:t>
            </w:r>
          </w:p>
        </w:tc>
        <w:tc>
          <w:tcPr>
            <w:tcW w:w="1985" w:type="dxa"/>
          </w:tcPr>
          <w:p w14:paraId="7C146194" w14:textId="6F232B26" w:rsidR="008A1E77" w:rsidRPr="00702FE7" w:rsidRDefault="008A1E77" w:rsidP="008A1E77">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sz w:val="18"/>
              </w:rPr>
            </w:pPr>
          </w:p>
        </w:tc>
        <w:tc>
          <w:tcPr>
            <w:tcW w:w="2110" w:type="dxa"/>
          </w:tcPr>
          <w:p w14:paraId="0464735E" w14:textId="7382772F" w:rsidR="008A1E77" w:rsidRPr="00702FE7" w:rsidRDefault="008A1E77" w:rsidP="008A1E77">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rPr>
            </w:pPr>
          </w:p>
        </w:tc>
        <w:tc>
          <w:tcPr>
            <w:tcW w:w="2110" w:type="dxa"/>
          </w:tcPr>
          <w:p w14:paraId="5610C095" w14:textId="74015E10" w:rsidR="008A1E77" w:rsidRPr="00702FE7" w:rsidRDefault="008A1E77" w:rsidP="008A1E77">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rPr>
            </w:pPr>
          </w:p>
        </w:tc>
      </w:tr>
      <w:tr w:rsidR="008A1E77" w:rsidRPr="00702FE7" w14:paraId="6D4B6C60" w14:textId="77777777" w:rsidTr="00112166">
        <w:tc>
          <w:tcPr>
            <w:cnfStyle w:val="001000000000" w:firstRow="0" w:lastRow="0" w:firstColumn="1" w:lastColumn="0" w:oddVBand="0" w:evenVBand="0" w:oddHBand="0" w:evenHBand="0" w:firstRowFirstColumn="0" w:firstRowLastColumn="0" w:lastRowFirstColumn="0" w:lastRowLastColumn="0"/>
            <w:tcW w:w="2235" w:type="dxa"/>
          </w:tcPr>
          <w:p w14:paraId="60577739" w14:textId="1219459B" w:rsidR="008A1E77" w:rsidRPr="00702FE7" w:rsidRDefault="008A1E77" w:rsidP="008A1E77">
            <w:pPr>
              <w:spacing w:line="240" w:lineRule="auto"/>
              <w:jc w:val="left"/>
              <w:rPr>
                <w:rFonts w:ascii="Times New Roman" w:hAnsi="Times New Roman" w:cs="Times New Roman"/>
                <w:sz w:val="18"/>
              </w:rPr>
            </w:pPr>
            <w:r w:rsidRPr="00702FE7">
              <w:rPr>
                <w:rFonts w:ascii="Times New Roman" w:hAnsi="Times New Roman" w:cs="Times New Roman"/>
                <w:sz w:val="18"/>
              </w:rPr>
              <w:t>Baseline</w:t>
            </w:r>
          </w:p>
        </w:tc>
        <w:tc>
          <w:tcPr>
            <w:tcW w:w="1985" w:type="dxa"/>
          </w:tcPr>
          <w:p w14:paraId="59916FF7" w14:textId="77777777" w:rsidR="008A1E77" w:rsidRPr="00702FE7" w:rsidRDefault="008A1E77" w:rsidP="008A1E77">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0.000</w:t>
            </w:r>
          </w:p>
          <w:p w14:paraId="1685A0AC" w14:textId="3B8138AA" w:rsidR="008A1E77" w:rsidRPr="00702FE7" w:rsidRDefault="008A1E77" w:rsidP="008A1E77">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(0.937)</w:t>
            </w:r>
          </w:p>
        </w:tc>
        <w:tc>
          <w:tcPr>
            <w:tcW w:w="2110" w:type="dxa"/>
          </w:tcPr>
          <w:p w14:paraId="676794BE" w14:textId="77777777" w:rsidR="008A1E77" w:rsidRPr="00702FE7" w:rsidRDefault="008A1E77" w:rsidP="008A1E77">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0.003</w:t>
            </w:r>
          </w:p>
          <w:p w14:paraId="1F71AD98" w14:textId="0BC225B4" w:rsidR="008A1E77" w:rsidRPr="00702FE7" w:rsidRDefault="008A1E77" w:rsidP="008A1E77">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(0.674)</w:t>
            </w:r>
          </w:p>
        </w:tc>
        <w:tc>
          <w:tcPr>
            <w:tcW w:w="2110" w:type="dxa"/>
          </w:tcPr>
          <w:p w14:paraId="322D145A" w14:textId="77777777" w:rsidR="008A1E77" w:rsidRPr="00702FE7" w:rsidRDefault="008A1E77" w:rsidP="008A1E77">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-0.003</w:t>
            </w:r>
          </w:p>
          <w:p w14:paraId="671D6227" w14:textId="06728FC0" w:rsidR="008A1E77" w:rsidRPr="00702FE7" w:rsidRDefault="008A1E77" w:rsidP="008A1E77">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(0.652)</w:t>
            </w:r>
          </w:p>
        </w:tc>
      </w:tr>
      <w:tr w:rsidR="00112166" w:rsidRPr="00702FE7" w14:paraId="38218EFE" w14:textId="77777777" w:rsidTr="0011216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35" w:type="dxa"/>
          </w:tcPr>
          <w:p w14:paraId="01898289" w14:textId="7747CC6E" w:rsidR="00112166" w:rsidRPr="00702FE7" w:rsidRDefault="00112166" w:rsidP="00112166">
            <w:pPr>
              <w:spacing w:line="240" w:lineRule="auto"/>
              <w:jc w:val="left"/>
              <w:rPr>
                <w:rFonts w:ascii="Times New Roman" w:hAnsi="Times New Roman" w:cs="Times New Roman"/>
                <w:sz w:val="18"/>
              </w:rPr>
            </w:pPr>
            <w:r w:rsidRPr="00702FE7">
              <w:rPr>
                <w:rFonts w:ascii="Times New Roman" w:hAnsi="Times New Roman" w:cs="Times New Roman"/>
                <w:b w:val="0"/>
                <w:i/>
                <w:sz w:val="18"/>
              </w:rPr>
              <w:t>(a) LMIC</w:t>
            </w:r>
          </w:p>
        </w:tc>
        <w:tc>
          <w:tcPr>
            <w:tcW w:w="1985" w:type="dxa"/>
          </w:tcPr>
          <w:p w14:paraId="6E711E60" w14:textId="77777777" w:rsidR="00112166" w:rsidRPr="00702FE7" w:rsidRDefault="00793035" w:rsidP="0011216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-0.006</w:t>
            </w:r>
          </w:p>
          <w:p w14:paraId="1361655D" w14:textId="1CE86144" w:rsidR="00793035" w:rsidRPr="00702FE7" w:rsidRDefault="00793035" w:rsidP="0011216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(0.422)</w:t>
            </w:r>
          </w:p>
        </w:tc>
        <w:tc>
          <w:tcPr>
            <w:tcW w:w="2110" w:type="dxa"/>
          </w:tcPr>
          <w:p w14:paraId="734BE3BA" w14:textId="77777777" w:rsidR="00112166" w:rsidRPr="00702FE7" w:rsidRDefault="00793035" w:rsidP="0011216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-0.000</w:t>
            </w:r>
          </w:p>
          <w:p w14:paraId="1A7A5EFB" w14:textId="734CC70E" w:rsidR="00793035" w:rsidRPr="00702FE7" w:rsidRDefault="00793035" w:rsidP="0011216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(0.990)</w:t>
            </w:r>
          </w:p>
        </w:tc>
        <w:tc>
          <w:tcPr>
            <w:tcW w:w="2110" w:type="dxa"/>
          </w:tcPr>
          <w:p w14:paraId="1D279B8D" w14:textId="77777777" w:rsidR="00112166" w:rsidRPr="00702FE7" w:rsidRDefault="00793035" w:rsidP="0011216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-0.006</w:t>
            </w:r>
          </w:p>
          <w:p w14:paraId="639A7905" w14:textId="469EAB97" w:rsidR="00793035" w:rsidRPr="00702FE7" w:rsidRDefault="00793035" w:rsidP="0011216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(0.322)</w:t>
            </w:r>
          </w:p>
        </w:tc>
      </w:tr>
      <w:tr w:rsidR="00112166" w:rsidRPr="00702FE7" w14:paraId="482291D2" w14:textId="77777777" w:rsidTr="00112166">
        <w:tc>
          <w:tcPr>
            <w:cnfStyle w:val="001000000000" w:firstRow="0" w:lastRow="0" w:firstColumn="1" w:lastColumn="0" w:oddVBand="0" w:evenVBand="0" w:oddHBand="0" w:evenHBand="0" w:firstRowFirstColumn="0" w:firstRowLastColumn="0" w:lastRowFirstColumn="0" w:lastRowLastColumn="0"/>
            <w:tcW w:w="2235" w:type="dxa"/>
          </w:tcPr>
          <w:p w14:paraId="7A778415" w14:textId="13873F93" w:rsidR="00112166" w:rsidRPr="00702FE7" w:rsidRDefault="00112166" w:rsidP="00112166">
            <w:pPr>
              <w:spacing w:line="240" w:lineRule="auto"/>
              <w:jc w:val="left"/>
              <w:rPr>
                <w:rFonts w:ascii="Times New Roman" w:hAnsi="Times New Roman" w:cs="Times New Roman"/>
                <w:sz w:val="18"/>
              </w:rPr>
            </w:pPr>
            <w:r w:rsidRPr="00702FE7">
              <w:rPr>
                <w:rFonts w:ascii="Times New Roman" w:hAnsi="Times New Roman" w:cs="Times New Roman"/>
                <w:b w:val="0"/>
                <w:i/>
                <w:sz w:val="18"/>
              </w:rPr>
              <w:t>(b) Population &gt; 1 million</w:t>
            </w:r>
          </w:p>
        </w:tc>
        <w:tc>
          <w:tcPr>
            <w:tcW w:w="1985" w:type="dxa"/>
          </w:tcPr>
          <w:p w14:paraId="0B61BDBD" w14:textId="77777777" w:rsidR="00112166" w:rsidRPr="00702FE7" w:rsidRDefault="00D50D31" w:rsidP="0011216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-0.002</w:t>
            </w:r>
          </w:p>
          <w:p w14:paraId="5613035A" w14:textId="28F03CBC" w:rsidR="00D50D31" w:rsidRPr="00702FE7" w:rsidRDefault="00D50D31" w:rsidP="0011216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(0.797)</w:t>
            </w:r>
          </w:p>
        </w:tc>
        <w:tc>
          <w:tcPr>
            <w:tcW w:w="2110" w:type="dxa"/>
          </w:tcPr>
          <w:p w14:paraId="6EE87B1D" w14:textId="77777777" w:rsidR="00112166" w:rsidRPr="00702FE7" w:rsidRDefault="00D50D31" w:rsidP="0011216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-0.002</w:t>
            </w:r>
          </w:p>
          <w:p w14:paraId="327478ED" w14:textId="71D143EE" w:rsidR="00D50D31" w:rsidRPr="00702FE7" w:rsidRDefault="00D50D31" w:rsidP="0011216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(0.797)</w:t>
            </w:r>
          </w:p>
        </w:tc>
        <w:tc>
          <w:tcPr>
            <w:tcW w:w="2110" w:type="dxa"/>
          </w:tcPr>
          <w:p w14:paraId="27E72656" w14:textId="77777777" w:rsidR="00112166" w:rsidRPr="00702FE7" w:rsidRDefault="00D50D31" w:rsidP="0011216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-0.007</w:t>
            </w:r>
          </w:p>
          <w:p w14:paraId="394FDEC9" w14:textId="174DE0FB" w:rsidR="00D50D31" w:rsidRPr="00702FE7" w:rsidRDefault="00D50D31" w:rsidP="0011216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(0.350)</w:t>
            </w:r>
          </w:p>
        </w:tc>
      </w:tr>
      <w:tr w:rsidR="00112166" w:rsidRPr="00702FE7" w14:paraId="205F86D9" w14:textId="77777777" w:rsidTr="0011216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35" w:type="dxa"/>
          </w:tcPr>
          <w:p w14:paraId="71410618" w14:textId="69B6725A" w:rsidR="00112166" w:rsidRPr="00702FE7" w:rsidRDefault="00112166" w:rsidP="00112166">
            <w:pPr>
              <w:spacing w:line="240" w:lineRule="auto"/>
              <w:jc w:val="left"/>
              <w:rPr>
                <w:rFonts w:ascii="Times New Roman" w:hAnsi="Times New Roman" w:cs="Times New Roman"/>
                <w:sz w:val="18"/>
              </w:rPr>
            </w:pPr>
            <w:r w:rsidRPr="00702FE7">
              <w:rPr>
                <w:rFonts w:ascii="Times New Roman" w:hAnsi="Times New Roman" w:cs="Times New Roman"/>
                <w:b w:val="0"/>
                <w:i/>
                <w:sz w:val="18"/>
              </w:rPr>
              <w:t>(c) High governance</w:t>
            </w:r>
          </w:p>
        </w:tc>
        <w:tc>
          <w:tcPr>
            <w:tcW w:w="1985" w:type="dxa"/>
          </w:tcPr>
          <w:p w14:paraId="0DCE97D0" w14:textId="77777777" w:rsidR="00112166" w:rsidRPr="00702FE7" w:rsidRDefault="00BC6155" w:rsidP="0011216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0.020</w:t>
            </w:r>
          </w:p>
          <w:p w14:paraId="6693BAA1" w14:textId="03D05769" w:rsidR="00BC6155" w:rsidRPr="00702FE7" w:rsidRDefault="00BC6155" w:rsidP="0011216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(0.377)</w:t>
            </w:r>
          </w:p>
        </w:tc>
        <w:tc>
          <w:tcPr>
            <w:tcW w:w="2110" w:type="dxa"/>
          </w:tcPr>
          <w:p w14:paraId="299F5962" w14:textId="77777777" w:rsidR="00BC6155" w:rsidRPr="00702FE7" w:rsidRDefault="00BC6155" w:rsidP="00BC6155">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-0.158</w:t>
            </w:r>
          </w:p>
          <w:p w14:paraId="4C6BB2B1" w14:textId="7D4CCBA4" w:rsidR="00BC6155" w:rsidRPr="00702FE7" w:rsidRDefault="00BC6155" w:rsidP="00BC6155">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(0.288)</w:t>
            </w:r>
          </w:p>
        </w:tc>
        <w:tc>
          <w:tcPr>
            <w:tcW w:w="2110" w:type="dxa"/>
          </w:tcPr>
          <w:p w14:paraId="2631DD99" w14:textId="77777777" w:rsidR="00112166" w:rsidRPr="00702FE7" w:rsidRDefault="00BC6155" w:rsidP="0011216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-0.015</w:t>
            </w:r>
          </w:p>
          <w:p w14:paraId="5AB301F9" w14:textId="132F6CA0" w:rsidR="00BC6155" w:rsidRPr="00702FE7" w:rsidRDefault="00BC6155" w:rsidP="0011216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(0.241)</w:t>
            </w:r>
          </w:p>
        </w:tc>
      </w:tr>
      <w:tr w:rsidR="00112166" w:rsidRPr="00702FE7" w14:paraId="0C6A74EE" w14:textId="77777777" w:rsidTr="00112166">
        <w:tc>
          <w:tcPr>
            <w:cnfStyle w:val="001000000000" w:firstRow="0" w:lastRow="0" w:firstColumn="1" w:lastColumn="0" w:oddVBand="0" w:evenVBand="0" w:oddHBand="0" w:evenHBand="0" w:firstRowFirstColumn="0" w:firstRowLastColumn="0" w:lastRowFirstColumn="0" w:lastRowLastColumn="0"/>
            <w:tcW w:w="2235" w:type="dxa"/>
          </w:tcPr>
          <w:p w14:paraId="0BC50110" w14:textId="620EED81" w:rsidR="00112166" w:rsidRPr="00702FE7" w:rsidRDefault="00112166" w:rsidP="00112166">
            <w:pPr>
              <w:spacing w:line="240" w:lineRule="auto"/>
              <w:jc w:val="left"/>
              <w:rPr>
                <w:rFonts w:ascii="Times New Roman" w:hAnsi="Times New Roman" w:cs="Times New Roman"/>
                <w:sz w:val="18"/>
              </w:rPr>
            </w:pPr>
            <w:r w:rsidRPr="00702FE7">
              <w:rPr>
                <w:rFonts w:ascii="Times New Roman" w:hAnsi="Times New Roman" w:cs="Times New Roman"/>
                <w:b w:val="0"/>
                <w:i/>
                <w:sz w:val="18"/>
              </w:rPr>
              <w:t xml:space="preserve">(d) Low governance </w:t>
            </w:r>
          </w:p>
        </w:tc>
        <w:tc>
          <w:tcPr>
            <w:tcW w:w="1985" w:type="dxa"/>
          </w:tcPr>
          <w:p w14:paraId="21ABCCFB" w14:textId="77777777" w:rsidR="00112166" w:rsidRPr="00702FE7" w:rsidRDefault="00192705" w:rsidP="0011216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-0.004</w:t>
            </w:r>
          </w:p>
          <w:p w14:paraId="1FC66834" w14:textId="6F7B8DAA" w:rsidR="00192705" w:rsidRPr="00702FE7" w:rsidRDefault="00192705" w:rsidP="0011216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(0.598)</w:t>
            </w:r>
          </w:p>
        </w:tc>
        <w:tc>
          <w:tcPr>
            <w:tcW w:w="2110" w:type="dxa"/>
          </w:tcPr>
          <w:p w14:paraId="414F474E" w14:textId="77777777" w:rsidR="00112166" w:rsidRPr="00702FE7" w:rsidRDefault="00192705" w:rsidP="0011216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0.002</w:t>
            </w:r>
          </w:p>
          <w:p w14:paraId="19985EDF" w14:textId="5FB8EA4B" w:rsidR="00192705" w:rsidRPr="00702FE7" w:rsidRDefault="00192705" w:rsidP="0011216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(0.719)</w:t>
            </w:r>
          </w:p>
        </w:tc>
        <w:tc>
          <w:tcPr>
            <w:tcW w:w="2110" w:type="dxa"/>
          </w:tcPr>
          <w:p w14:paraId="3BFDCEFE" w14:textId="77777777" w:rsidR="00112166" w:rsidRPr="00702FE7" w:rsidRDefault="00192705" w:rsidP="0011216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-0.005</w:t>
            </w:r>
          </w:p>
          <w:p w14:paraId="057C4B89" w14:textId="3A8EB45A" w:rsidR="00192705" w:rsidRPr="00702FE7" w:rsidRDefault="00192705" w:rsidP="0011216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(0.451)</w:t>
            </w:r>
          </w:p>
        </w:tc>
      </w:tr>
      <w:tr w:rsidR="00112166" w:rsidRPr="00702FE7" w14:paraId="6BB7AAC0" w14:textId="77777777" w:rsidTr="0011216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35" w:type="dxa"/>
          </w:tcPr>
          <w:p w14:paraId="6B147DBD" w14:textId="12FACCC7" w:rsidR="00112166" w:rsidRPr="00702FE7" w:rsidRDefault="00112166" w:rsidP="00112166">
            <w:pPr>
              <w:spacing w:line="240" w:lineRule="auto"/>
              <w:jc w:val="left"/>
              <w:rPr>
                <w:rFonts w:ascii="Times New Roman" w:hAnsi="Times New Roman" w:cs="Times New Roman"/>
                <w:sz w:val="18"/>
              </w:rPr>
            </w:pPr>
            <w:r w:rsidRPr="00702FE7">
              <w:rPr>
                <w:rFonts w:ascii="Times New Roman" w:hAnsi="Times New Roman" w:cs="Times New Roman"/>
                <w:b w:val="0"/>
                <w:i/>
                <w:sz w:val="18"/>
              </w:rPr>
              <w:t>(e) Years 1995-2003 only</w:t>
            </w:r>
          </w:p>
        </w:tc>
        <w:tc>
          <w:tcPr>
            <w:tcW w:w="1985" w:type="dxa"/>
          </w:tcPr>
          <w:p w14:paraId="71F6AE29" w14:textId="0C59B0AE" w:rsidR="00112166" w:rsidRPr="00702FE7" w:rsidRDefault="003406B8" w:rsidP="0011216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0.005</w:t>
            </w:r>
          </w:p>
          <w:p w14:paraId="0C28AD1B" w14:textId="67DBB2A3" w:rsidR="00192705" w:rsidRPr="00702FE7" w:rsidRDefault="003406B8" w:rsidP="0011216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(0.376)</w:t>
            </w:r>
          </w:p>
        </w:tc>
        <w:tc>
          <w:tcPr>
            <w:tcW w:w="2110" w:type="dxa"/>
          </w:tcPr>
          <w:p w14:paraId="195AF2F0" w14:textId="77777777" w:rsidR="00112166" w:rsidRPr="00702FE7" w:rsidRDefault="003406B8" w:rsidP="0011216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-0.003</w:t>
            </w:r>
          </w:p>
          <w:p w14:paraId="0F859896" w14:textId="5126A718" w:rsidR="003406B8" w:rsidRPr="00702FE7" w:rsidRDefault="003406B8" w:rsidP="0011216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(0.653)</w:t>
            </w:r>
          </w:p>
        </w:tc>
        <w:tc>
          <w:tcPr>
            <w:tcW w:w="2110" w:type="dxa"/>
          </w:tcPr>
          <w:p w14:paraId="1A0B0070" w14:textId="77777777" w:rsidR="00112166" w:rsidRPr="00702FE7" w:rsidRDefault="003406B8" w:rsidP="0011216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-0.002</w:t>
            </w:r>
          </w:p>
          <w:p w14:paraId="133B79AD" w14:textId="68441860" w:rsidR="003406B8" w:rsidRPr="00702FE7" w:rsidRDefault="003406B8" w:rsidP="0011216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(0.650)</w:t>
            </w:r>
          </w:p>
        </w:tc>
      </w:tr>
      <w:tr w:rsidR="00112166" w:rsidRPr="00702FE7" w14:paraId="5DCACD41" w14:textId="77777777" w:rsidTr="00112166">
        <w:tc>
          <w:tcPr>
            <w:cnfStyle w:val="001000000000" w:firstRow="0" w:lastRow="0" w:firstColumn="1" w:lastColumn="0" w:oddVBand="0" w:evenVBand="0" w:oddHBand="0" w:evenHBand="0" w:firstRowFirstColumn="0" w:firstRowLastColumn="0" w:lastRowFirstColumn="0" w:lastRowLastColumn="0"/>
            <w:tcW w:w="2235" w:type="dxa"/>
          </w:tcPr>
          <w:p w14:paraId="001E7DD7" w14:textId="331C85C1" w:rsidR="00112166" w:rsidRPr="00702FE7" w:rsidRDefault="00112166" w:rsidP="00112166">
            <w:pPr>
              <w:spacing w:line="240" w:lineRule="auto"/>
              <w:jc w:val="left"/>
              <w:rPr>
                <w:rFonts w:ascii="Times New Roman" w:hAnsi="Times New Roman" w:cs="Times New Roman"/>
                <w:sz w:val="18"/>
              </w:rPr>
            </w:pPr>
            <w:r w:rsidRPr="00702FE7">
              <w:rPr>
                <w:rFonts w:ascii="Times New Roman" w:hAnsi="Times New Roman" w:cs="Times New Roman"/>
                <w:b w:val="0"/>
                <w:i/>
                <w:sz w:val="18"/>
              </w:rPr>
              <w:t>(f) Years 2004-2012 only</w:t>
            </w:r>
          </w:p>
        </w:tc>
        <w:tc>
          <w:tcPr>
            <w:tcW w:w="1985" w:type="dxa"/>
          </w:tcPr>
          <w:p w14:paraId="1F846165" w14:textId="2C6DC903" w:rsidR="00112166" w:rsidRPr="00702FE7" w:rsidRDefault="003406B8" w:rsidP="0011216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-0.003</w:t>
            </w:r>
          </w:p>
          <w:p w14:paraId="2CCE5EC6" w14:textId="0AC530F7" w:rsidR="00192705" w:rsidRPr="00702FE7" w:rsidRDefault="003406B8" w:rsidP="0011216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(0.638)</w:t>
            </w:r>
          </w:p>
        </w:tc>
        <w:tc>
          <w:tcPr>
            <w:tcW w:w="2110" w:type="dxa"/>
          </w:tcPr>
          <w:p w14:paraId="7BE6D7B5" w14:textId="77777777" w:rsidR="00112166" w:rsidRPr="00702FE7" w:rsidRDefault="003406B8" w:rsidP="0011216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0.000</w:t>
            </w:r>
          </w:p>
          <w:p w14:paraId="04169838" w14:textId="61EE3F00" w:rsidR="003406B8" w:rsidRPr="00702FE7" w:rsidRDefault="003406B8" w:rsidP="0011216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(0.993)</w:t>
            </w:r>
          </w:p>
        </w:tc>
        <w:tc>
          <w:tcPr>
            <w:tcW w:w="2110" w:type="dxa"/>
          </w:tcPr>
          <w:p w14:paraId="1F71B684" w14:textId="77777777" w:rsidR="00112166" w:rsidRPr="00702FE7" w:rsidRDefault="003406B8" w:rsidP="0011216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-0.005</w:t>
            </w:r>
          </w:p>
          <w:p w14:paraId="71DA4660" w14:textId="367E5AE0" w:rsidR="003406B8" w:rsidRPr="00702FE7" w:rsidRDefault="003406B8" w:rsidP="0011216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rPr>
            </w:pPr>
            <w:r w:rsidRPr="00702FE7">
              <w:rPr>
                <w:rFonts w:ascii="Times New Roman" w:hAnsi="Times New Roman" w:cs="Times New Roman"/>
                <w:sz w:val="18"/>
              </w:rPr>
              <w:t>(0.296)</w:t>
            </w:r>
          </w:p>
        </w:tc>
      </w:tr>
    </w:tbl>
    <w:p w14:paraId="7E2E32DA" w14:textId="6BF18171" w:rsidR="001B62EA" w:rsidRPr="0004045D" w:rsidRDefault="008A1E77" w:rsidP="006E7A70">
      <w:pPr>
        <w:spacing w:line="240" w:lineRule="auto"/>
        <w:rPr>
          <w:b/>
          <w:bCs/>
          <w:i/>
          <w:iCs/>
          <w:color w:val="808080" w:themeColor="text1" w:themeTint="7F"/>
          <w:sz w:val="20"/>
          <w:szCs w:val="20"/>
        </w:rPr>
      </w:pPr>
      <w:r w:rsidRPr="00702FE7">
        <w:rPr>
          <w:rStyle w:val="SubtleEmphasis"/>
        </w:rPr>
        <w:t>Table 5</w:t>
      </w:r>
      <w:r w:rsidR="0004045D">
        <w:rPr>
          <w:rStyle w:val="SubtleEmphasis"/>
        </w:rPr>
        <w:t>:</w:t>
      </w:r>
      <w:r w:rsidR="0004045D" w:rsidRPr="0004045D">
        <w:t xml:space="preserve"> </w:t>
      </w:r>
      <w:r w:rsidR="0004045D" w:rsidRPr="0004045D">
        <w:rPr>
          <w:bCs/>
          <w:i/>
          <w:iCs/>
          <w:color w:val="808080" w:themeColor="text1" w:themeTint="7F"/>
          <w:sz w:val="20"/>
          <w:szCs w:val="20"/>
        </w:rPr>
        <w:t>Sensitivity analysis</w:t>
      </w:r>
      <w:r w:rsidR="0004045D">
        <w:rPr>
          <w:b/>
          <w:bCs/>
          <w:i/>
          <w:iCs/>
          <w:color w:val="808080" w:themeColor="text1" w:themeTint="7F"/>
          <w:sz w:val="20"/>
          <w:szCs w:val="20"/>
        </w:rPr>
        <w:t xml:space="preserve"> </w:t>
      </w:r>
      <w:r w:rsidR="00A31E45" w:rsidRPr="00702FE7">
        <w:rPr>
          <w:rStyle w:val="SubtleEmphasis"/>
        </w:rPr>
        <w:t>for the baseline effects of health coverage on mortality</w:t>
      </w:r>
      <w:r w:rsidRPr="00702FE7">
        <w:rPr>
          <w:rStyle w:val="SubtleEmphasis"/>
        </w:rPr>
        <w:t xml:space="preserve">. </w:t>
      </w:r>
      <w:r w:rsidR="00A31E45" w:rsidRPr="00702FE7">
        <w:rPr>
          <w:rStyle w:val="SubtleEmphasis"/>
        </w:rPr>
        <w:t>All t</w:t>
      </w:r>
      <w:r w:rsidRPr="00702FE7">
        <w:rPr>
          <w:rStyle w:val="SubtleEmphasis"/>
        </w:rPr>
        <w:t>he regressions control for primary education rate, the share of population aged 0-14 years and the share of population aged over 65 years.</w:t>
      </w:r>
      <w:r w:rsidR="00A31E45" w:rsidRPr="00702FE7">
        <w:rPr>
          <w:rStyle w:val="SubtleEmphasis"/>
        </w:rPr>
        <w:t xml:space="preserve"> Test (a) includes only countries with GDP per capita of</w:t>
      </w:r>
      <w:r w:rsidR="009C5B37" w:rsidRPr="00702FE7">
        <w:rPr>
          <w:rStyle w:val="SubtleEmphasis"/>
        </w:rPr>
        <w:t xml:space="preserve"> up to $12735. Test (b) includes only</w:t>
      </w:r>
      <w:r w:rsidR="00A31E45" w:rsidRPr="00702FE7">
        <w:rPr>
          <w:rStyle w:val="SubtleEmphasis"/>
        </w:rPr>
        <w:t xml:space="preserve"> countries with a po</w:t>
      </w:r>
      <w:r w:rsidR="009C5B37" w:rsidRPr="00702FE7">
        <w:rPr>
          <w:rStyle w:val="SubtleEmphasis"/>
        </w:rPr>
        <w:t>pulation of more</w:t>
      </w:r>
      <w:r w:rsidR="00A31E45" w:rsidRPr="00702FE7">
        <w:rPr>
          <w:rStyle w:val="SubtleEmphasis"/>
        </w:rPr>
        <w:t xml:space="preserve"> than 1 million inhabitants. Test (c) includes only countries with a positive average governance score. Test (d) includes only countries with a negative average governance score. Test (e) includes only the observations over the years 1995 up to and including 2003. Test (f) includes only the observations over the years 2004 up to and including 2012. </w:t>
      </w:r>
      <w:r w:rsidRPr="00702FE7">
        <w:rPr>
          <w:rStyle w:val="SubtleEmphasis"/>
        </w:rPr>
        <w:t>Entries in italics indicate coefficients that are statistically significant at the 10</w:t>
      </w:r>
      <w:r w:rsidR="006E7A70" w:rsidRPr="00702FE7">
        <w:rPr>
          <w:rStyle w:val="SubtleEmphasis"/>
        </w:rPr>
        <w:t>% level of confidence or below.</w:t>
      </w:r>
    </w:p>
    <w:p w14:paraId="7A50F77A" w14:textId="77777777" w:rsidR="00D52B8A" w:rsidRDefault="00D52B8A" w:rsidP="001B62EA">
      <w:pPr>
        <w:rPr>
          <w:i/>
        </w:rPr>
      </w:pPr>
    </w:p>
    <w:p w14:paraId="54E26928" w14:textId="66A04F60" w:rsidR="001B62EA" w:rsidRPr="00702FE7" w:rsidRDefault="006E7A70" w:rsidP="001B62EA">
      <w:pPr>
        <w:rPr>
          <w:i/>
        </w:rPr>
      </w:pPr>
      <w:r w:rsidRPr="00702FE7">
        <w:rPr>
          <w:i/>
        </w:rPr>
        <w:t>T</w:t>
      </w:r>
      <w:r w:rsidR="001B62EA" w:rsidRPr="00702FE7">
        <w:rPr>
          <w:i/>
        </w:rPr>
        <w:t>ime Periods</w:t>
      </w:r>
    </w:p>
    <w:p w14:paraId="1D21514D" w14:textId="18DBBF48" w:rsidR="008D4F30" w:rsidRPr="00702FE7" w:rsidRDefault="006E7A70" w:rsidP="001B62EA">
      <w:r w:rsidRPr="00702FE7">
        <w:t>The last test, rows (e) and (f)</w:t>
      </w:r>
      <w:r w:rsidR="0084322D" w:rsidRPr="00702FE7">
        <w:t xml:space="preserve"> in table 5</w:t>
      </w:r>
      <w:r w:rsidRPr="00702FE7">
        <w:t xml:space="preserve"> provide the estimates of the log linear model over the first and last eight years separately. Over the time period of 1995-2003 data on 146 countries is available. For the period 2</w:t>
      </w:r>
      <w:r w:rsidR="005D2539" w:rsidRPr="00702FE7">
        <w:t>004-2012 the sample size is 153 countries.</w:t>
      </w:r>
      <w:r w:rsidR="005C6E65" w:rsidRPr="00702FE7">
        <w:t xml:space="preserve"> This was done to test the assumption </w:t>
      </w:r>
      <w:r w:rsidR="0047132C" w:rsidRPr="00702FE7">
        <w:t xml:space="preserve">of a concave relationship between </w:t>
      </w:r>
      <w:r w:rsidR="005C6E65" w:rsidRPr="00702FE7">
        <w:t xml:space="preserve">GDP </w:t>
      </w:r>
      <w:r w:rsidR="0047132C" w:rsidRPr="00702FE7">
        <w:t>and</w:t>
      </w:r>
      <w:r w:rsidR="005C6E65" w:rsidRPr="00702FE7">
        <w:t xml:space="preserve"> </w:t>
      </w:r>
      <w:r w:rsidR="0047132C" w:rsidRPr="00702FE7">
        <w:t xml:space="preserve">life expectancy as explained in the theoretical framework. </w:t>
      </w:r>
      <w:sdt>
        <w:sdtPr>
          <w:id w:val="-811098174"/>
          <w:citation/>
        </w:sdtPr>
        <w:sdtEndPr/>
        <w:sdtContent>
          <w:r w:rsidR="0047132C" w:rsidRPr="00702FE7">
            <w:fldChar w:fldCharType="begin"/>
          </w:r>
          <w:r w:rsidR="0047132C" w:rsidRPr="00702FE7">
            <w:instrText xml:space="preserve"> CITATION Pre75 \l 1033 </w:instrText>
          </w:r>
          <w:r w:rsidR="0047132C" w:rsidRPr="00702FE7">
            <w:fldChar w:fldCharType="separate"/>
          </w:r>
          <w:r w:rsidR="00317F02">
            <w:rPr>
              <w:noProof/>
            </w:rPr>
            <w:t>(Preston, 1975)</w:t>
          </w:r>
          <w:r w:rsidR="0047132C" w:rsidRPr="00702FE7">
            <w:fldChar w:fldCharType="end"/>
          </w:r>
        </w:sdtContent>
      </w:sdt>
      <w:r w:rsidR="0047132C" w:rsidRPr="00702FE7">
        <w:t xml:space="preserve"> If this assumption was to hold the negative effect of GDP per capita on mortality rates is expected to be larger in the first eight years than in the later. This because the countries are expected to make economic progress over the years, meaning they move upwards to the more horizontal part of the Preston curve. </w:t>
      </w:r>
      <w:r w:rsidR="0084322D" w:rsidRPr="00702FE7">
        <w:t>This indeed seem to be the case when looking at the results, the effect of GDP per capita was larger in the time period 1995-2003 than in 2004-2012. For under-5 mortality the difference is small, however for male and female mortality the differences are of substantial magnitude. In the time period 1995-2003 a 10% increase in GDP per capita is associated with a 3.29% decrease in male mortality. This association diminished to a decrease of 0.38% in the time period 2004-2012. This is a decrease of the association by more than eight times. For female mortality 1.24% reduction in mortality was associated with a 10% increase in GDP in the years 1995-2003. This effect changed sign in the next time period into a 0.02% increase of female mortality associated with again a 10% increase in GDP. Although these estimates are mostly insignificant it does give an indication that the assumption of a concave relationship with diminishing returns between GDP and mortality holds.</w:t>
      </w:r>
      <w:r w:rsidR="008D4F30" w:rsidRPr="00702FE7">
        <w:br w:type="page"/>
      </w:r>
    </w:p>
    <w:p w14:paraId="304EBBD8" w14:textId="5C3916E2" w:rsidR="008D4F30" w:rsidRPr="00702FE7" w:rsidRDefault="008D4F30" w:rsidP="0054107E">
      <w:pPr>
        <w:pStyle w:val="Heading1"/>
      </w:pPr>
      <w:bookmarkStart w:id="26" w:name="_Toc427006247"/>
      <w:r w:rsidRPr="00702FE7">
        <w:t>Conclusion</w:t>
      </w:r>
      <w:bookmarkEnd w:id="26"/>
    </w:p>
    <w:p w14:paraId="06E09FD8" w14:textId="73B52EC5" w:rsidR="0054107E" w:rsidRPr="00702FE7" w:rsidRDefault="0054107E" w:rsidP="0054107E">
      <w:r w:rsidRPr="00702FE7">
        <w:t>The first part of this research attempted to recreate and expand the study by Moreno-Serra and Smith (2015) with an additional eight years of data. Because of unexpected differences in rec</w:t>
      </w:r>
      <w:r w:rsidR="00C7656F" w:rsidRPr="00702FE7">
        <w:t>reating the original dataset this part of the research wasn’t executed. Instead the data was investigated to see where the differences originated. Despite the failed attempt of recreating this study it does lead some interesting conclusion. The main conclusion that can be drawn from this experiment is that it is very challenging to re</w:t>
      </w:r>
      <w:r w:rsidR="00897059">
        <w:t>plicate</w:t>
      </w:r>
      <w:r w:rsidR="00C7656F" w:rsidRPr="00702FE7">
        <w:t xml:space="preserve"> a study when open sources are used. Although this study (to the best of my knowledge) has used exactly the same data sources as the original study it did not succeed in recreating the same or similar results. Possible </w:t>
      </w:r>
      <w:r w:rsidR="00C754BC" w:rsidRPr="00702FE7">
        <w:t>causes</w:t>
      </w:r>
      <w:r w:rsidR="00C7656F" w:rsidRPr="00702FE7">
        <w:t xml:space="preserve"> for this </w:t>
      </w:r>
      <w:r w:rsidR="00C754BC" w:rsidRPr="00702FE7">
        <w:t>can be</w:t>
      </w:r>
      <w:r w:rsidR="00C7656F" w:rsidRPr="00702FE7">
        <w:t xml:space="preserve"> retroactive changes in the available data or changes in for example unit of measurement. </w:t>
      </w:r>
      <w:r w:rsidR="00C754BC" w:rsidRPr="00702FE7">
        <w:t>To be more certain about the cause of these differences contact with the original authors Moreno-Serra and Smith is required, however this was not feasible due to time issues.</w:t>
      </w:r>
    </w:p>
    <w:p w14:paraId="578FB115" w14:textId="77777777" w:rsidR="002B66A7" w:rsidRPr="00702FE7" w:rsidRDefault="002B66A7" w:rsidP="0054107E"/>
    <w:p w14:paraId="3E895CA7" w14:textId="641D212F" w:rsidR="002B66A7" w:rsidRPr="0004045D" w:rsidRDefault="002B66A7" w:rsidP="0054107E">
      <w:pPr>
        <w:rPr>
          <w:b/>
          <w:bCs/>
          <w:i/>
          <w:iCs/>
        </w:rPr>
      </w:pPr>
      <w:r w:rsidRPr="00702FE7">
        <w:t xml:space="preserve">The second part of this research estimated a model resembling the study by Filmer and Pritchett (1999). This model fails to overcome the reverse causality bias leading to (mostly imprecise) associations rather than causal effects. </w:t>
      </w:r>
      <w:r w:rsidR="000524DC" w:rsidRPr="00702FE7">
        <w:t>In line with previous empirical studies that did not correct for the positive effect of mortality on government health spending this study also found a seemingly positive association of health spending on mortality.</w:t>
      </w:r>
      <w:sdt>
        <w:sdtPr>
          <w:id w:val="1952503221"/>
          <w:citation/>
        </w:sdtPr>
        <w:sdtEndPr/>
        <w:sdtContent>
          <w:r w:rsidR="000524DC" w:rsidRPr="00702FE7">
            <w:fldChar w:fldCharType="begin"/>
          </w:r>
          <w:r w:rsidR="000524DC" w:rsidRPr="00702FE7">
            <w:instrText xml:space="preserve"> CITATION Fil99 \l 1033 </w:instrText>
          </w:r>
          <w:r w:rsidR="000524DC" w:rsidRPr="00702FE7">
            <w:fldChar w:fldCharType="separate"/>
          </w:r>
          <w:r w:rsidR="00317F02">
            <w:rPr>
              <w:noProof/>
            </w:rPr>
            <w:t xml:space="preserve"> (Filmer &amp; Pritchett, 1999)</w:t>
          </w:r>
          <w:r w:rsidR="000524DC" w:rsidRPr="00702FE7">
            <w:fldChar w:fldCharType="end"/>
          </w:r>
        </w:sdtContent>
      </w:sdt>
      <w:sdt>
        <w:sdtPr>
          <w:id w:val="1713071206"/>
          <w:citation/>
        </w:sdtPr>
        <w:sdtEndPr/>
        <w:sdtContent>
          <w:r w:rsidR="000524DC" w:rsidRPr="00702FE7">
            <w:fldChar w:fldCharType="begin"/>
          </w:r>
          <w:r w:rsidR="000524DC" w:rsidRPr="00702FE7">
            <w:instrText xml:space="preserve"> CITATION Mus96 \l 1033 </w:instrText>
          </w:r>
          <w:r w:rsidR="000524DC" w:rsidRPr="00702FE7">
            <w:fldChar w:fldCharType="separate"/>
          </w:r>
          <w:r w:rsidR="00317F02">
            <w:rPr>
              <w:noProof/>
            </w:rPr>
            <w:t xml:space="preserve"> (Musgrove, 1996)</w:t>
          </w:r>
          <w:r w:rsidR="000524DC" w:rsidRPr="00702FE7">
            <w:fldChar w:fldCharType="end"/>
          </w:r>
        </w:sdtContent>
      </w:sdt>
      <w:r w:rsidR="000524DC" w:rsidRPr="00702FE7">
        <w:t xml:space="preserve"> Implying that additional government health spending leads to higher mortality rates. However empirical studies that have succeeded in correcting for the reverse causality bias show the opposite effect. </w:t>
      </w:r>
      <w:sdt>
        <w:sdtPr>
          <w:id w:val="258419751"/>
          <w:citation/>
        </w:sdtPr>
        <w:sdtEndPr/>
        <w:sdtContent>
          <w:r w:rsidR="000524DC" w:rsidRPr="00702FE7">
            <w:fldChar w:fldCharType="begin"/>
          </w:r>
          <w:r w:rsidR="000524DC" w:rsidRPr="00702FE7">
            <w:instrText xml:space="preserve">CITATION Mor15 \t  \l 1033 </w:instrText>
          </w:r>
          <w:r w:rsidR="000524DC" w:rsidRPr="00702FE7">
            <w:fldChar w:fldCharType="separate"/>
          </w:r>
          <w:r w:rsidR="00317F02">
            <w:rPr>
              <w:noProof/>
            </w:rPr>
            <w:t>(Moreno-Serra &amp; Smith, 2015)</w:t>
          </w:r>
          <w:r w:rsidR="000524DC" w:rsidRPr="00702FE7">
            <w:fldChar w:fldCharType="end"/>
          </w:r>
        </w:sdtContent>
      </w:sdt>
      <w:r w:rsidR="000524DC" w:rsidRPr="00702FE7">
        <w:t xml:space="preserve"> </w:t>
      </w:r>
      <w:r w:rsidRPr="00702FE7">
        <w:t xml:space="preserve">Because of this it is not possible to draw reliable conclusions upon the baseline estimates, however the </w:t>
      </w:r>
      <w:r w:rsidR="0004045D" w:rsidRPr="0004045D">
        <w:rPr>
          <w:bCs/>
          <w:iCs/>
        </w:rPr>
        <w:t>sensitivity analysis</w:t>
      </w:r>
      <w:r w:rsidRPr="00702FE7">
        <w:t xml:space="preserve"> do </w:t>
      </w:r>
      <w:r w:rsidR="00897059">
        <w:t>add</w:t>
      </w:r>
      <w:r w:rsidRPr="00702FE7">
        <w:t xml:space="preserve"> some valuable insights. </w:t>
      </w:r>
    </w:p>
    <w:p w14:paraId="351E0F6F" w14:textId="77777777" w:rsidR="000524DC" w:rsidRPr="00702FE7" w:rsidRDefault="000524DC" w:rsidP="0054107E"/>
    <w:p w14:paraId="3F3062BC" w14:textId="10127627" w:rsidR="000060A4" w:rsidRDefault="00AC56A4" w:rsidP="0054107E">
      <w:r w:rsidRPr="00702FE7">
        <w:t xml:space="preserve">The </w:t>
      </w:r>
      <w:r w:rsidR="00675B33" w:rsidRPr="00702FE7">
        <w:t>first test was</w:t>
      </w:r>
      <w:r w:rsidR="000060A4">
        <w:t xml:space="preserve"> aimed to overcome possible correlation between the coverage indicators. However changing government per capita health expenditures as a fraction of GDP to their absolute numbers did not result in more significant estimates.</w:t>
      </w:r>
    </w:p>
    <w:p w14:paraId="1179D498" w14:textId="051FBA47" w:rsidR="000524DC" w:rsidRPr="00702FE7" w:rsidRDefault="000060A4" w:rsidP="0054107E">
      <w:r>
        <w:t>Secondly</w:t>
      </w:r>
      <w:r w:rsidR="00675B33" w:rsidRPr="00702FE7">
        <w:t xml:space="preserve"> to investigate</w:t>
      </w:r>
      <w:r w:rsidR="00AC56A4" w:rsidRPr="00702FE7">
        <w:t xml:space="preserve"> the hypothesis that additional government health spending is more beneficial i</w:t>
      </w:r>
      <w:r w:rsidR="00675B33" w:rsidRPr="00702FE7">
        <w:t>n low- and middle- income</w:t>
      </w:r>
      <w:r w:rsidR="00AC56A4" w:rsidRPr="00702FE7">
        <w:t xml:space="preserve"> countries</w:t>
      </w:r>
      <w:r w:rsidR="00675B33" w:rsidRPr="00702FE7">
        <w:t xml:space="preserve">. </w:t>
      </w:r>
      <w:r w:rsidR="000524DC" w:rsidRPr="00702FE7">
        <w:t>Re-estimating the model for low</w:t>
      </w:r>
      <w:r w:rsidR="00675B33" w:rsidRPr="00702FE7">
        <w:t>-</w:t>
      </w:r>
      <w:r w:rsidR="000524DC" w:rsidRPr="00702FE7">
        <w:t xml:space="preserve"> and middle</w:t>
      </w:r>
      <w:r w:rsidR="00675B33" w:rsidRPr="00702FE7">
        <w:t>-</w:t>
      </w:r>
      <w:r w:rsidR="000524DC" w:rsidRPr="00702FE7">
        <w:t xml:space="preserve"> income countries</w:t>
      </w:r>
      <w:r w:rsidR="00675B33" w:rsidRPr="00702FE7">
        <w:t xml:space="preserve"> indeed</w:t>
      </w:r>
      <w:r w:rsidR="00AC56A4" w:rsidRPr="00702FE7">
        <w:t xml:space="preserve"> resulted in more negative association of GDP per capita on mortality rates for all three categories. Besides for under-5 mortality a sign change was observed in the effect of government health spending. Although this evidence is not significant it does suggest a more beneficial effect of the coverage indicators</w:t>
      </w:r>
      <w:r w:rsidR="00675B33" w:rsidRPr="00702FE7">
        <w:t xml:space="preserve"> on</w:t>
      </w:r>
      <w:r w:rsidR="00AC56A4" w:rsidRPr="00702FE7">
        <w:t xml:space="preserve"> mortality</w:t>
      </w:r>
      <w:r w:rsidR="00675B33" w:rsidRPr="00702FE7">
        <w:t xml:space="preserve"> compared to the full sample.</w:t>
      </w:r>
    </w:p>
    <w:p w14:paraId="45F8CEEA" w14:textId="77777777" w:rsidR="00675B33" w:rsidRPr="00702FE7" w:rsidRDefault="00675B33" w:rsidP="0054107E"/>
    <w:p w14:paraId="7526C21E" w14:textId="1F8646F6" w:rsidR="00675B33" w:rsidRPr="00702FE7" w:rsidRDefault="002634B6" w:rsidP="0054107E">
      <w:r w:rsidRPr="00702FE7">
        <w:t xml:space="preserve">The </w:t>
      </w:r>
      <w:r w:rsidR="000060A4">
        <w:t>third</w:t>
      </w:r>
      <w:r w:rsidRPr="00702FE7">
        <w:t xml:space="preserve"> hypothesis concerns the dependence of the beneficial effect of government health spending on the level of governance. Multiple previous studies claim that government health spending is more beneficial when the level of governance in a country is higher. </w:t>
      </w:r>
      <w:sdt>
        <w:sdtPr>
          <w:id w:val="1188093885"/>
          <w:citation/>
        </w:sdtPr>
        <w:sdtEndPr/>
        <w:sdtContent>
          <w:r w:rsidRPr="00702FE7">
            <w:fldChar w:fldCharType="begin"/>
          </w:r>
          <w:r w:rsidRPr="00702FE7">
            <w:instrText xml:space="preserve"> CITATION Fil99 \l 1033 </w:instrText>
          </w:r>
          <w:r w:rsidRPr="00702FE7">
            <w:fldChar w:fldCharType="separate"/>
          </w:r>
          <w:r w:rsidR="00317F02">
            <w:rPr>
              <w:noProof/>
            </w:rPr>
            <w:t>(Filmer &amp; Pritchett, 1999)</w:t>
          </w:r>
          <w:r w:rsidRPr="00702FE7">
            <w:fldChar w:fldCharType="end"/>
          </w:r>
        </w:sdtContent>
      </w:sdt>
      <w:sdt>
        <w:sdtPr>
          <w:id w:val="1629971762"/>
          <w:citation/>
        </w:sdtPr>
        <w:sdtEndPr/>
        <w:sdtContent>
          <w:r w:rsidRPr="00702FE7">
            <w:fldChar w:fldCharType="begin"/>
          </w:r>
          <w:r w:rsidRPr="00702FE7">
            <w:instrText xml:space="preserve"> CITATION Wag04 \l 1033 </w:instrText>
          </w:r>
          <w:r w:rsidRPr="00702FE7">
            <w:fldChar w:fldCharType="separate"/>
          </w:r>
          <w:r w:rsidR="00317F02">
            <w:rPr>
              <w:noProof/>
            </w:rPr>
            <w:t xml:space="preserve"> (Wagstaff &amp; Claeson, 2004)</w:t>
          </w:r>
          <w:r w:rsidRPr="00702FE7">
            <w:fldChar w:fldCharType="end"/>
          </w:r>
        </w:sdtContent>
      </w:sdt>
      <w:r w:rsidRPr="00702FE7">
        <w:t xml:space="preserve"> To test this two separate models were estimated dividing the sample in high and low governance countries. From these results it can be concluded that indeed the level of governa</w:t>
      </w:r>
      <w:r w:rsidR="00E97319" w:rsidRPr="00702FE7">
        <w:t>nce influence the estimates. For all three mortality rates a positive effect of government health spending is observed in the countries with low governance. For the countries with high governance a sign change is observed meaning that government health</w:t>
      </w:r>
      <w:r w:rsidR="00A5232F" w:rsidRPr="00702FE7">
        <w:t xml:space="preserve"> spending succeeds in lowering the mortality rates. Because of the reverse causality issue it cannot be concluded that government health spending is not beneficial for low governance countries. But it can be concluded that it is more beneficial in countries with high governance. </w:t>
      </w:r>
    </w:p>
    <w:p w14:paraId="122C54BB" w14:textId="77777777" w:rsidR="00A5232F" w:rsidRPr="00702FE7" w:rsidRDefault="00A5232F" w:rsidP="0054107E"/>
    <w:p w14:paraId="49BB4EDE" w14:textId="63DD9EE5" w:rsidR="00A5232F" w:rsidRPr="00702FE7" w:rsidRDefault="00A5232F" w:rsidP="0054107E">
      <w:r w:rsidRPr="00702FE7">
        <w:t>Lastly a test was performed to investigate how difference time periods changed the baseline results. The model was re-estimated again, first over the years 1995-2003 only and after for the years 2004-2012. This was done to test the hypothesis t</w:t>
      </w:r>
      <w:r w:rsidR="00300352" w:rsidRPr="00702FE7">
        <w:t>hat</w:t>
      </w:r>
      <w:r w:rsidRPr="00702FE7">
        <w:t xml:space="preserve"> the effect of government health spen</w:t>
      </w:r>
      <w:r w:rsidR="00300352" w:rsidRPr="00702FE7">
        <w:t xml:space="preserve">ding and GDP on mortality rates would be less beneficial in the later time periods because of overall economic growth. The theory is that when countries become more economically developed the returns of GDP on mortality gains decrease. </w:t>
      </w:r>
      <w:sdt>
        <w:sdtPr>
          <w:id w:val="-967113973"/>
          <w:citation/>
        </w:sdtPr>
        <w:sdtEndPr/>
        <w:sdtContent>
          <w:r w:rsidR="00300352" w:rsidRPr="00702FE7">
            <w:fldChar w:fldCharType="begin"/>
          </w:r>
          <w:r w:rsidR="00300352" w:rsidRPr="00702FE7">
            <w:instrText xml:space="preserve"> CITATION Pre75 \l 1033 </w:instrText>
          </w:r>
          <w:r w:rsidR="00300352" w:rsidRPr="00702FE7">
            <w:fldChar w:fldCharType="separate"/>
          </w:r>
          <w:r w:rsidR="00317F02">
            <w:rPr>
              <w:noProof/>
            </w:rPr>
            <w:t>(Preston, 1975)</w:t>
          </w:r>
          <w:r w:rsidR="00300352" w:rsidRPr="00702FE7">
            <w:fldChar w:fldCharType="end"/>
          </w:r>
        </w:sdtContent>
      </w:sdt>
      <w:r w:rsidR="00300352" w:rsidRPr="00702FE7">
        <w:t xml:space="preserve"> This research indeed confirms this effect as the estimates for the for first time period show a larger beneficial effect of GDP on mortality rates as in the later time period. For government health spending this effect however is less clear. </w:t>
      </w:r>
    </w:p>
    <w:p w14:paraId="29D3D4B9" w14:textId="77777777" w:rsidR="00AC56A4" w:rsidRPr="00702FE7" w:rsidRDefault="00AC56A4" w:rsidP="0054107E"/>
    <w:p w14:paraId="4065D986" w14:textId="4825997F" w:rsidR="008D4F30" w:rsidRPr="00702FE7" w:rsidRDefault="008D4F30" w:rsidP="00BC42EA"/>
    <w:p w14:paraId="734A9A68" w14:textId="77777777" w:rsidR="000060A4" w:rsidRDefault="000060A4">
      <w:pPr>
        <w:spacing w:line="240" w:lineRule="auto"/>
        <w:jc w:val="left"/>
        <w:rPr>
          <w:rFonts w:eastAsiaTheme="majorEastAsia" w:cstheme="majorBidi"/>
          <w:b/>
          <w:bCs/>
          <w:color w:val="345A8A" w:themeColor="accent1" w:themeShade="B5"/>
          <w:sz w:val="32"/>
          <w:szCs w:val="32"/>
        </w:rPr>
      </w:pPr>
      <w:bookmarkStart w:id="27" w:name="_Toc427006248"/>
      <w:r>
        <w:br w:type="page"/>
      </w:r>
    </w:p>
    <w:p w14:paraId="7EC98FFD" w14:textId="7D5CFC5E" w:rsidR="007B7268" w:rsidRPr="00702FE7" w:rsidRDefault="008D4F30" w:rsidP="00BC42EA">
      <w:pPr>
        <w:pStyle w:val="Heading1"/>
      </w:pPr>
      <w:r w:rsidRPr="00702FE7">
        <w:t>Discussion</w:t>
      </w:r>
      <w:r w:rsidR="005324EF" w:rsidRPr="00702FE7">
        <w:t xml:space="preserve"> &amp; Limitations</w:t>
      </w:r>
      <w:bookmarkEnd w:id="27"/>
      <w:r w:rsidR="005324EF" w:rsidRPr="00702FE7">
        <w:t xml:space="preserve"> </w:t>
      </w:r>
    </w:p>
    <w:p w14:paraId="528FAF94" w14:textId="4110E2DB" w:rsidR="00706330" w:rsidRDefault="00C03A2D" w:rsidP="00F745D3">
      <w:r>
        <w:t>The aim of this research was to investigate the effect of health care coverage on a nation’s health. This was done by revisiting the evidence of country level panel data in the new millennium</w:t>
      </w:r>
      <w:r w:rsidR="00C55DF3">
        <w:t>. As became clear when reviewing previous literature the main challenge in estimating the effect of coverage indicators on mortality is the reverse causality bias. Because of the positive effect of mortality rates on government health sp</w:t>
      </w:r>
      <w:r w:rsidR="00897059">
        <w:t>ending a simple OLS regression is likely to</w:t>
      </w:r>
      <w:r w:rsidR="00C55DF3">
        <w:t xml:space="preserve"> result in unreliable estimates. Overcoming this bias has proven to be a challenge, however Moreno-Serra and Smith (2015) did manage this by using an advanced econometric t</w:t>
      </w:r>
      <w:r w:rsidR="00897059">
        <w:t>echnique. This le</w:t>
      </w:r>
      <w:r w:rsidR="00C55DF3">
        <w:t xml:space="preserve">d to </w:t>
      </w:r>
      <w:r w:rsidR="00897059">
        <w:t xml:space="preserve">estimates of </w:t>
      </w:r>
      <w:r w:rsidR="00C55DF3">
        <w:t xml:space="preserve">far more beneficial effects of government health spending on mortality rates than those found before. Because of those promising results this study attempted to </w:t>
      </w:r>
      <w:r w:rsidR="00897059">
        <w:t>replicate</w:t>
      </w:r>
      <w:r w:rsidR="00C55DF3">
        <w:t xml:space="preserve"> and expand their study, to </w:t>
      </w:r>
      <w:r w:rsidR="00306871">
        <w:t>investigate how this effect had changed over more recent years. However already when recollecting data from the same sources over the same years</w:t>
      </w:r>
      <w:r w:rsidR="00897059">
        <w:t xml:space="preserve"> substantial</w:t>
      </w:r>
      <w:r w:rsidR="00306871">
        <w:t xml:space="preserve"> differences</w:t>
      </w:r>
      <w:r w:rsidR="00897059">
        <w:t xml:space="preserve"> in estimates</w:t>
      </w:r>
      <w:r w:rsidR="00306871">
        <w:t xml:space="preserve"> were observed. Very different results were found when re-estimating the model of Moreno-Se</w:t>
      </w:r>
      <w:r w:rsidR="007770A5">
        <w:t>r</w:t>
      </w:r>
      <w:r w:rsidR="00306871">
        <w:t>ra and Smith (2015) with the new data set. T</w:t>
      </w:r>
      <w:r w:rsidR="00897059">
        <w:t>his was a major drawback</w:t>
      </w:r>
      <w:r w:rsidR="00306871">
        <w:t xml:space="preserve"> for this research</w:t>
      </w:r>
      <w:r w:rsidR="00706330">
        <w:t xml:space="preserve">. Instead of expanding the research with additional years the differences had to be </w:t>
      </w:r>
      <w:r w:rsidR="00897059">
        <w:t>investigated. Unfortunately our investigation</w:t>
      </w:r>
      <w:r w:rsidR="00706330">
        <w:t xml:space="preserve"> remained inconclusive, quite a few of the variables showed large</w:t>
      </w:r>
      <w:r w:rsidR="00897059">
        <w:t xml:space="preserve"> unexplainable</w:t>
      </w:r>
      <w:r w:rsidR="00706330">
        <w:t xml:space="preserve"> differences. Some because of a change in unit of measurement however for the majority of variables it remains unclear why the data is different although the same sources are used. </w:t>
      </w:r>
    </w:p>
    <w:p w14:paraId="243E0336" w14:textId="77777777" w:rsidR="00706330" w:rsidRDefault="00706330" w:rsidP="00F745D3"/>
    <w:p w14:paraId="026F7E21" w14:textId="215EA350" w:rsidR="00707547" w:rsidRDefault="004D7CFA" w:rsidP="00F745D3">
      <w:r>
        <w:t xml:space="preserve">Because using the method of Moreno-Serra and Smith (2015) was not feasible with the new dataset an alternative model was </w:t>
      </w:r>
      <w:r w:rsidR="00897059">
        <w:t>used</w:t>
      </w:r>
      <w:r>
        <w:t xml:space="preserve"> to estimate the effect of health coverage on mortality</w:t>
      </w:r>
      <w:r w:rsidR="00897059">
        <w:t>, which</w:t>
      </w:r>
      <w:r>
        <w:t xml:space="preserve"> was econometrically not as advanced as the original. Together with the absence of a suitable instrumental variable this caused the model to be unable to overcome the reverse causality </w:t>
      </w:r>
      <w:r w:rsidR="00523357">
        <w:t>issue</w:t>
      </w:r>
      <w:r>
        <w:t xml:space="preserve">. </w:t>
      </w:r>
      <w:r w:rsidR="00523357">
        <w:t>Already in the baseline results it became clear that the estimat</w:t>
      </w:r>
      <w:r w:rsidR="00897059">
        <w:t>es appeared to be</w:t>
      </w:r>
      <w:r w:rsidR="00523357">
        <w:t xml:space="preserve"> biased. The positive coefficients suggest an increase in mortality caused by additional health care spending. This is however in line with previous empirical studies that also did not correct for the reverse causality.</w:t>
      </w:r>
      <w:r w:rsidR="00707547">
        <w:t xml:space="preserve"> Studies that do succeed in correcting for the reverse causality do find the expected negative causal effect in which additional government health spending lowers mortality rates.</w:t>
      </w:r>
      <w:sdt>
        <w:sdtPr>
          <w:id w:val="-1020938571"/>
          <w:citation/>
        </w:sdtPr>
        <w:sdtEndPr/>
        <w:sdtContent>
          <w:r w:rsidR="00707547">
            <w:fldChar w:fldCharType="begin"/>
          </w:r>
          <w:r w:rsidR="00707547">
            <w:instrText xml:space="preserve">CITATION Mor15 \t  \l 1043 </w:instrText>
          </w:r>
          <w:r w:rsidR="00707547">
            <w:fldChar w:fldCharType="separate"/>
          </w:r>
          <w:r w:rsidR="00317F02">
            <w:rPr>
              <w:noProof/>
            </w:rPr>
            <w:t xml:space="preserve"> (Moreno-Serra &amp; Smith, 2015)</w:t>
          </w:r>
          <w:r w:rsidR="00707547">
            <w:fldChar w:fldCharType="end"/>
          </w:r>
        </w:sdtContent>
      </w:sdt>
      <w:r w:rsidR="00707547">
        <w:t xml:space="preserve"> </w:t>
      </w:r>
    </w:p>
    <w:p w14:paraId="487EDDF6" w14:textId="77777777" w:rsidR="00707547" w:rsidRDefault="00707547" w:rsidP="00F745D3"/>
    <w:p w14:paraId="5D374666" w14:textId="6329F7D0" w:rsidR="007B7268" w:rsidRPr="00702FE7" w:rsidRDefault="00707547" w:rsidP="00F745D3">
      <w:r>
        <w:t>Since the baseline estimates of the alternative model were biased and mostly insignificant it became difficult to draw reliable conclusion</w:t>
      </w:r>
      <w:r w:rsidR="00897059">
        <w:t>s</w:t>
      </w:r>
      <w:r>
        <w:t>. Therefor</w:t>
      </w:r>
      <w:r w:rsidR="00897059">
        <w:t>e</w:t>
      </w:r>
      <w:r>
        <w:t xml:space="preserve"> instead of interpreting the signs and magnitude of the baseline results</w:t>
      </w:r>
      <w:r w:rsidR="00897059">
        <w:t xml:space="preserve"> we rather focused on</w:t>
      </w:r>
      <w:r>
        <w:t xml:space="preserve"> the differences between those and the </w:t>
      </w:r>
      <w:r w:rsidR="0004045D" w:rsidRPr="0004045D">
        <w:rPr>
          <w:bCs/>
          <w:iCs/>
        </w:rPr>
        <w:t>sensitivity analysis</w:t>
      </w:r>
      <w:r w:rsidR="0004045D" w:rsidRPr="00702FE7">
        <w:t xml:space="preserve"> </w:t>
      </w:r>
      <w:r>
        <w:t xml:space="preserve">was focused on. </w:t>
      </w:r>
      <w:r w:rsidR="00897059">
        <w:t>Various</w:t>
      </w:r>
      <w:r>
        <w:t xml:space="preserve"> versions of the baseline model</w:t>
      </w:r>
      <w:r w:rsidR="0039178A">
        <w:t xml:space="preserve"> were</w:t>
      </w:r>
      <w:r>
        <w:t xml:space="preserve"> </w:t>
      </w:r>
      <w:r w:rsidR="00897059">
        <w:t>used</w:t>
      </w:r>
      <w:r>
        <w:t xml:space="preserve"> to</w:t>
      </w:r>
      <w:r w:rsidR="00897059">
        <w:t xml:space="preserve"> test the various hypothese</w:t>
      </w:r>
      <w:r w:rsidR="0039178A">
        <w:t>s. The results from these test were again biased and mostly insignificant. However b</w:t>
      </w:r>
      <w:r w:rsidR="00512B7F">
        <w:t>y focusing on the differences rather than magnitudes c</w:t>
      </w:r>
      <w:r w:rsidR="0039178A">
        <w:t xml:space="preserve">ombined with the evidence from previous empirical studies most of the hypothesis can be confirmed with some degree of certainty. However hard evidence on the magnitude of the effects is </w:t>
      </w:r>
      <w:r w:rsidR="004D3F02">
        <w:t>not provided,</w:t>
      </w:r>
      <w:r w:rsidR="0039178A">
        <w:t xml:space="preserve"> </w:t>
      </w:r>
      <w:r w:rsidR="004D3F02">
        <w:t>l</w:t>
      </w:r>
      <w:r w:rsidR="0039178A">
        <w:t>imiting the reliability of the conclusions drawn in this research.</w:t>
      </w:r>
      <w:r w:rsidR="007B7268" w:rsidRPr="00702FE7">
        <w:br w:type="page"/>
      </w:r>
    </w:p>
    <w:p w14:paraId="247CD8E2" w14:textId="170D3E2F" w:rsidR="007B7268" w:rsidRPr="00702FE7" w:rsidRDefault="007B7268" w:rsidP="007B7268">
      <w:pPr>
        <w:pStyle w:val="Heading1"/>
      </w:pPr>
      <w:bookmarkStart w:id="28" w:name="_Toc427006249"/>
      <w:r w:rsidRPr="00702FE7">
        <w:t>Further Research Suggestions</w:t>
      </w:r>
      <w:bookmarkEnd w:id="28"/>
    </w:p>
    <w:p w14:paraId="74957444" w14:textId="40B2EBA4" w:rsidR="00D60D6E" w:rsidRDefault="004F4644" w:rsidP="00C55DF3">
      <w:r>
        <w:t xml:space="preserve">The failure to reproduce the original study provides an interesting start for further studies. Although this research already tried to explain the differences between the datasets it remains unclear why some variables are different. Further investigation of what has caused the differences between the original dataset and the reproduction from the same sources might explain this. </w:t>
      </w:r>
      <w:r w:rsidR="00D60D6E">
        <w:t>Even more interesting might be to investigate how robust the results provided by Moreno-Serra and Smith (2015) are. Since this study fails to find similar results questions can be raised about the robustness of the</w:t>
      </w:r>
      <w:r w:rsidR="00F61DF9">
        <w:t>ir findings</w:t>
      </w:r>
      <w:r w:rsidR="00D60D6E">
        <w:t xml:space="preserve">. Besides this also the original goal of this study to expand their research with additional years of data and observe how the effects as found have changed over the years remains an interesting field for further research. </w:t>
      </w:r>
      <w:r w:rsidR="00F61DF9">
        <w:t>But this was beyond the scope of this study.</w:t>
      </w:r>
    </w:p>
    <w:p w14:paraId="4E4DEA53" w14:textId="77777777" w:rsidR="00D60D6E" w:rsidRDefault="00D60D6E" w:rsidP="00C55DF3"/>
    <w:p w14:paraId="4EE05360" w14:textId="458E5F47" w:rsidR="00300352" w:rsidRDefault="00D60D6E" w:rsidP="00C55DF3">
      <w:r>
        <w:t xml:space="preserve">Also the alternative model provides some suggestions for further research. First off all this research together with previous literature concludes that the beneficial effect of government spending on lowering mortality rates is larger for low- and middle- income countries. </w:t>
      </w:r>
      <w:r w:rsidR="005C7161">
        <w:t xml:space="preserve">Further research on the beneficial effects of government health spending on mortality conditional on the GDP of a country might provide a cutoff point up to which additional government health spending is cost effective. This also relates to the test with the time periods as performed in this research. Since it is assumed that countries become wealthier over time the beneficial effect of government health care spending diminishes. </w:t>
      </w:r>
      <w:r w:rsidR="003606E1">
        <w:t>This implies that in the future all countries will reach a certain wealth level for which government health spending becomes less efficient. Additional research on the effects of health coverage in the future can shed light on this is</w:t>
      </w:r>
      <w:r w:rsidR="00F61DF9">
        <w:t>sue</w:t>
      </w:r>
      <w:r w:rsidR="003606E1">
        <w:t xml:space="preserve">. Main concern here is the cost benefit tradeoff, as government health spending becomes less efficient in lowering mortality rates is it still a good investment or are governments better of spending their money differently in the future. </w:t>
      </w:r>
    </w:p>
    <w:p w14:paraId="546F1405" w14:textId="77777777" w:rsidR="003606E1" w:rsidRDefault="003606E1" w:rsidP="00C55DF3"/>
    <w:p w14:paraId="445FF6AE" w14:textId="501578BF" w:rsidR="003606E1" w:rsidRPr="00702FE7" w:rsidRDefault="00C5447D" w:rsidP="00C55DF3">
      <w:r>
        <w:t xml:space="preserve">Another conclusion of this and previous research was that government health spending is more beneficial when the level of governance in a country is high. </w:t>
      </w:r>
      <w:r w:rsidR="004F3BED">
        <w:t>This insight also offers opportunities for further research. For policy makers it might be very valuable to know at what levels of governance additional government health spending becomes cost effective in lowering mortality rates. Especially in developing countries resources are scarce, spending a lot of government money on health means less money to spend on other government tasks. If this money is not well allocated because of poor governance it might be more efficient to invest in better governance first. Further research might be able to provide guidelines or even a threshold of the level of governance in a country after which health spending becomes cost effective.</w:t>
      </w:r>
    </w:p>
    <w:p w14:paraId="00AA599A" w14:textId="40FAD152" w:rsidR="008D4F30" w:rsidRPr="00702FE7" w:rsidRDefault="008D4F30" w:rsidP="007B7268">
      <w:r w:rsidRPr="00702FE7">
        <w:br w:type="page"/>
      </w:r>
    </w:p>
    <w:p w14:paraId="4001D28E" w14:textId="77777777" w:rsidR="0025138F" w:rsidRPr="00702FE7" w:rsidRDefault="0025138F" w:rsidP="00BC42EA"/>
    <w:bookmarkStart w:id="29" w:name="_Toc427006250" w:displacedByCustomXml="next"/>
    <w:sdt>
      <w:sdtPr>
        <w:rPr>
          <w:rFonts w:eastAsiaTheme="minorEastAsia" w:cstheme="minorBidi"/>
          <w:b w:val="0"/>
          <w:bCs w:val="0"/>
          <w:color w:val="auto"/>
          <w:sz w:val="24"/>
          <w:szCs w:val="24"/>
        </w:rPr>
        <w:id w:val="66775583"/>
        <w:docPartObj>
          <w:docPartGallery w:val="Bibliographies"/>
          <w:docPartUnique/>
        </w:docPartObj>
      </w:sdtPr>
      <w:sdtEndPr/>
      <w:sdtContent>
        <w:p w14:paraId="294AB690" w14:textId="21A63775" w:rsidR="0017388E" w:rsidRPr="00702FE7" w:rsidRDefault="0017388E" w:rsidP="00512B7F">
          <w:pPr>
            <w:pStyle w:val="Heading1"/>
            <w:jc w:val="left"/>
          </w:pPr>
          <w:r w:rsidRPr="00702FE7">
            <w:t>Bibliography</w:t>
          </w:r>
          <w:bookmarkEnd w:id="29"/>
          <w:r w:rsidR="0025138F" w:rsidRPr="00702FE7">
            <w:tab/>
          </w:r>
        </w:p>
        <w:sdt>
          <w:sdtPr>
            <w:id w:val="111145805"/>
            <w:bibliography/>
          </w:sdtPr>
          <w:sdtEndPr/>
          <w:sdtContent>
            <w:p w14:paraId="2F328254" w14:textId="77777777" w:rsidR="00512B7F" w:rsidRDefault="0017388E" w:rsidP="00512B7F">
              <w:pPr>
                <w:pStyle w:val="Bibliography"/>
                <w:ind w:left="720" w:hanging="720"/>
                <w:jc w:val="left"/>
                <w:rPr>
                  <w:noProof/>
                </w:rPr>
              </w:pPr>
              <w:r w:rsidRPr="00702FE7">
                <w:fldChar w:fldCharType="begin"/>
              </w:r>
              <w:r w:rsidRPr="00702FE7">
                <w:instrText xml:space="preserve"> BIBLIOGRAPHY </w:instrText>
              </w:r>
              <w:r w:rsidRPr="00702FE7">
                <w:fldChar w:fldCharType="separate"/>
              </w:r>
              <w:r w:rsidR="00512B7F">
                <w:rPr>
                  <w:noProof/>
                </w:rPr>
                <w:t xml:space="preserve">Bloom, D., &amp; Canning, D. (2007). Commentary: The Preston Curve 30 years on: Still Sparking Fires. </w:t>
              </w:r>
              <w:r w:rsidR="00512B7F">
                <w:rPr>
                  <w:i/>
                  <w:iCs/>
                  <w:noProof/>
                </w:rPr>
                <w:t>International Journal of Epidemology</w:t>
              </w:r>
              <w:r w:rsidR="00512B7F">
                <w:rPr>
                  <w:noProof/>
                </w:rPr>
                <w:t>, 498-499.</w:t>
              </w:r>
            </w:p>
            <w:p w14:paraId="3FBE953A" w14:textId="77777777" w:rsidR="00512B7F" w:rsidRDefault="00512B7F" w:rsidP="00512B7F">
              <w:pPr>
                <w:pStyle w:val="Bibliography"/>
                <w:ind w:left="720" w:hanging="720"/>
                <w:jc w:val="left"/>
                <w:rPr>
                  <w:noProof/>
                </w:rPr>
              </w:pPr>
              <w:r>
                <w:rPr>
                  <w:noProof/>
                </w:rPr>
                <w:t xml:space="preserve">Bokhari, F., Gai, Y., &amp; Gottret, P. (2007). Government Health Expenditures and Health Outcomes. </w:t>
              </w:r>
              <w:r>
                <w:rPr>
                  <w:i/>
                  <w:iCs/>
                  <w:noProof/>
                </w:rPr>
                <w:t xml:space="preserve">Health Economics </w:t>
              </w:r>
              <w:r>
                <w:rPr>
                  <w:noProof/>
                </w:rPr>
                <w:t>(16), 257 - 273.</w:t>
              </w:r>
            </w:p>
            <w:p w14:paraId="0D6F9B34" w14:textId="77777777" w:rsidR="00512B7F" w:rsidRDefault="00512B7F" w:rsidP="00512B7F">
              <w:pPr>
                <w:pStyle w:val="Bibliography"/>
                <w:ind w:left="720" w:hanging="720"/>
                <w:jc w:val="left"/>
                <w:rPr>
                  <w:noProof/>
                </w:rPr>
              </w:pPr>
              <w:r>
                <w:rPr>
                  <w:noProof/>
                </w:rPr>
                <w:t xml:space="preserve">Brückner, M. (2011). On The Simultaneity Problem In The Aid And Growth Debate . </w:t>
              </w:r>
              <w:r>
                <w:rPr>
                  <w:i/>
                  <w:iCs/>
                  <w:noProof/>
                </w:rPr>
                <w:t xml:space="preserve">Journal of Applied Econometrics </w:t>
              </w:r>
              <w:r>
                <w:rPr>
                  <w:noProof/>
                </w:rPr>
                <w:t>(28), 126 - 150.</w:t>
              </w:r>
            </w:p>
            <w:p w14:paraId="0DA1D829" w14:textId="77777777" w:rsidR="00512B7F" w:rsidRDefault="00512B7F" w:rsidP="00512B7F">
              <w:pPr>
                <w:pStyle w:val="Bibliography"/>
                <w:ind w:left="720" w:hanging="720"/>
                <w:jc w:val="left"/>
                <w:rPr>
                  <w:noProof/>
                </w:rPr>
              </w:pPr>
              <w:r>
                <w:rPr>
                  <w:noProof/>
                </w:rPr>
                <w:t xml:space="preserve">Card, D., Dobkin, C., &amp; Maestas, N. (2005, May). Outcomes, The Impact of Health Insurance Status on Treatment Intensity and Health. </w:t>
              </w:r>
              <w:r>
                <w:rPr>
                  <w:i/>
                  <w:iCs/>
                  <w:noProof/>
                </w:rPr>
                <w:t>RAND Labor and Population working paper series</w:t>
              </w:r>
              <w:r>
                <w:rPr>
                  <w:noProof/>
                </w:rPr>
                <w:t>.</w:t>
              </w:r>
            </w:p>
            <w:p w14:paraId="14EE4E33" w14:textId="77777777" w:rsidR="00512B7F" w:rsidRDefault="00512B7F" w:rsidP="00512B7F">
              <w:pPr>
                <w:pStyle w:val="Bibliography"/>
                <w:ind w:left="720" w:hanging="720"/>
                <w:jc w:val="left"/>
                <w:rPr>
                  <w:noProof/>
                </w:rPr>
              </w:pPr>
              <w:r>
                <w:rPr>
                  <w:noProof/>
                </w:rPr>
                <w:t xml:space="preserve">Deaton, A. (2003). Health, Inequality, and Economic Development. </w:t>
              </w:r>
              <w:r>
                <w:rPr>
                  <w:i/>
                  <w:iCs/>
                  <w:noProof/>
                </w:rPr>
                <w:t xml:space="preserve">Journal of Economic Literature </w:t>
              </w:r>
              <w:r>
                <w:rPr>
                  <w:noProof/>
                </w:rPr>
                <w:t>, 113-158.</w:t>
              </w:r>
            </w:p>
            <w:p w14:paraId="153AC1F0" w14:textId="77777777" w:rsidR="00512B7F" w:rsidRDefault="00512B7F" w:rsidP="00512B7F">
              <w:pPr>
                <w:pStyle w:val="Bibliography"/>
                <w:ind w:left="720" w:hanging="720"/>
                <w:jc w:val="left"/>
                <w:rPr>
                  <w:noProof/>
                </w:rPr>
              </w:pPr>
              <w:r>
                <w:rPr>
                  <w:noProof/>
                </w:rPr>
                <w:t xml:space="preserve">Filmer, D., &amp; Pritchett, L. (1999). The impact of public spending on health: does money matter? </w:t>
              </w:r>
              <w:r>
                <w:rPr>
                  <w:i/>
                  <w:iCs/>
                  <w:noProof/>
                </w:rPr>
                <w:t>Social Science and Medicine</w:t>
              </w:r>
              <w:r>
                <w:rPr>
                  <w:noProof/>
                </w:rPr>
                <w:t>(49), 1309 - 1323 .</w:t>
              </w:r>
            </w:p>
            <w:p w14:paraId="0A2ECBA3" w14:textId="77777777" w:rsidR="00512B7F" w:rsidRDefault="00512B7F" w:rsidP="00512B7F">
              <w:pPr>
                <w:pStyle w:val="Bibliography"/>
                <w:ind w:left="720" w:hanging="720"/>
                <w:jc w:val="left"/>
                <w:rPr>
                  <w:noProof/>
                </w:rPr>
              </w:pPr>
              <w:r>
                <w:rPr>
                  <w:noProof/>
                </w:rPr>
                <w:t xml:space="preserve">Institute for Health Metrics and Evaluation. (2013). </w:t>
              </w:r>
              <w:r>
                <w:rPr>
                  <w:i/>
                  <w:iCs/>
                  <w:noProof/>
                </w:rPr>
                <w:t>The Global Burden of Disease Study 2013</w:t>
              </w:r>
              <w:r>
                <w:rPr>
                  <w:noProof/>
                </w:rPr>
                <w:t>. Retrieved 2015, from http://ghdx.healthdata.org/</w:t>
              </w:r>
            </w:p>
            <w:p w14:paraId="4046EF93" w14:textId="77777777" w:rsidR="00512B7F" w:rsidRDefault="00512B7F" w:rsidP="00512B7F">
              <w:pPr>
                <w:pStyle w:val="Bibliography"/>
                <w:ind w:left="720" w:hanging="720"/>
                <w:jc w:val="left"/>
                <w:rPr>
                  <w:noProof/>
                </w:rPr>
              </w:pPr>
              <w:r>
                <w:rPr>
                  <w:noProof/>
                </w:rPr>
                <w:t xml:space="preserve">Moreno-Serra, R., &amp; Smith, P. C. (2012). Does progress towards universal health coverage improve population health? </w:t>
              </w:r>
              <w:r>
                <w:rPr>
                  <w:i/>
                  <w:iCs/>
                  <w:noProof/>
                </w:rPr>
                <w:t>The Lancet, 380</w:t>
              </w:r>
              <w:r>
                <w:rPr>
                  <w:noProof/>
                </w:rPr>
                <w:t>, 917–23.</w:t>
              </w:r>
            </w:p>
            <w:p w14:paraId="7C61BF8D" w14:textId="77777777" w:rsidR="00512B7F" w:rsidRDefault="00512B7F" w:rsidP="00512B7F">
              <w:pPr>
                <w:pStyle w:val="Bibliography"/>
                <w:ind w:left="720" w:hanging="720"/>
                <w:jc w:val="left"/>
                <w:rPr>
                  <w:noProof/>
                </w:rPr>
              </w:pPr>
              <w:r>
                <w:rPr>
                  <w:noProof/>
                </w:rPr>
                <w:t xml:space="preserve">Moreno-Serra, R., &amp; Smith, P. C. (2015). Broader health coverage is good for the nation’s health: evidence from country level panel data. </w:t>
              </w:r>
              <w:r>
                <w:rPr>
                  <w:i/>
                  <w:iCs/>
                  <w:noProof/>
                </w:rPr>
                <w:t>Journal of the Royal Statistical Society, 178</w:t>
              </w:r>
              <w:r>
                <w:rPr>
                  <w:noProof/>
                </w:rPr>
                <w:t>(1), 101-124.</w:t>
              </w:r>
            </w:p>
            <w:p w14:paraId="4CFE8CAB" w14:textId="77777777" w:rsidR="00512B7F" w:rsidRDefault="00512B7F" w:rsidP="00512B7F">
              <w:pPr>
                <w:pStyle w:val="Bibliography"/>
                <w:ind w:left="720" w:hanging="720"/>
                <w:jc w:val="left"/>
                <w:rPr>
                  <w:noProof/>
                </w:rPr>
              </w:pPr>
              <w:r>
                <w:rPr>
                  <w:noProof/>
                </w:rPr>
                <w:t xml:space="preserve">Musgrove. (1996). </w:t>
              </w:r>
              <w:r>
                <w:rPr>
                  <w:i/>
                  <w:iCs/>
                  <w:noProof/>
                </w:rPr>
                <w:t>Public and Private Roles in Health: Theory and Financing Patterns.</w:t>
              </w:r>
              <w:r>
                <w:rPr>
                  <w:noProof/>
                </w:rPr>
                <w:t xml:space="preserve"> World Bank. Washington D.C.: World Bank.</w:t>
              </w:r>
            </w:p>
            <w:p w14:paraId="5C674D1E" w14:textId="77777777" w:rsidR="00512B7F" w:rsidRDefault="00512B7F" w:rsidP="00512B7F">
              <w:pPr>
                <w:pStyle w:val="Bibliography"/>
                <w:ind w:left="720" w:hanging="720"/>
                <w:jc w:val="left"/>
                <w:rPr>
                  <w:noProof/>
                </w:rPr>
              </w:pPr>
              <w:r>
                <w:rPr>
                  <w:noProof/>
                </w:rPr>
                <w:t xml:space="preserve">Preston, S. H. (1975, July). The Changing Relation between Mortality and Level of Economic Development. </w:t>
              </w:r>
              <w:r>
                <w:rPr>
                  <w:i/>
                  <w:iCs/>
                  <w:noProof/>
                </w:rPr>
                <w:t>Population Studies, 29</w:t>
              </w:r>
              <w:r>
                <w:rPr>
                  <w:noProof/>
                </w:rPr>
                <w:t>(2), 231-248.</w:t>
              </w:r>
            </w:p>
            <w:p w14:paraId="02065F4E" w14:textId="77777777" w:rsidR="00512B7F" w:rsidRDefault="00512B7F" w:rsidP="00512B7F">
              <w:pPr>
                <w:pStyle w:val="Bibliography"/>
                <w:ind w:left="720" w:hanging="720"/>
                <w:jc w:val="left"/>
                <w:rPr>
                  <w:noProof/>
                </w:rPr>
              </w:pPr>
              <w:r>
                <w:rPr>
                  <w:noProof/>
                </w:rPr>
                <w:t xml:space="preserve">Rajukmar, A. S., &amp; Swaroop, V. (2007). Public spending and outcomes: Does governance matter? </w:t>
              </w:r>
              <w:r>
                <w:rPr>
                  <w:i/>
                  <w:iCs/>
                  <w:noProof/>
                </w:rPr>
                <w:t>Journal of Development Economics</w:t>
              </w:r>
              <w:r>
                <w:rPr>
                  <w:noProof/>
                </w:rPr>
                <w:t>, 96-111.</w:t>
              </w:r>
            </w:p>
            <w:p w14:paraId="4982D9EC" w14:textId="77777777" w:rsidR="00512B7F" w:rsidRDefault="00512B7F" w:rsidP="00512B7F">
              <w:pPr>
                <w:pStyle w:val="Bibliography"/>
                <w:ind w:left="720" w:hanging="720"/>
                <w:jc w:val="left"/>
                <w:rPr>
                  <w:noProof/>
                </w:rPr>
              </w:pPr>
              <w:r>
                <w:rPr>
                  <w:noProof/>
                </w:rPr>
                <w:t>Reidpath, &amp; Allotey. (2003). Infant mortality rate as an indicator of population health . (57), 344 - 346.</w:t>
              </w:r>
            </w:p>
            <w:p w14:paraId="3BEF217B" w14:textId="77777777" w:rsidR="00512B7F" w:rsidRDefault="00512B7F" w:rsidP="00512B7F">
              <w:pPr>
                <w:pStyle w:val="Bibliography"/>
                <w:ind w:left="720" w:hanging="720"/>
                <w:jc w:val="left"/>
                <w:rPr>
                  <w:noProof/>
                </w:rPr>
              </w:pPr>
              <w:r>
                <w:rPr>
                  <w:noProof/>
                </w:rPr>
                <w:t xml:space="preserve">The World Bank Group. (2014). </w:t>
              </w:r>
              <w:r>
                <w:rPr>
                  <w:i/>
                  <w:iCs/>
                  <w:noProof/>
                </w:rPr>
                <w:t>Worldwide Governance Indicators</w:t>
              </w:r>
              <w:r>
                <w:rPr>
                  <w:noProof/>
                </w:rPr>
                <w:t>. Retrieved 07 2015, from http://info.worldbank.org/governance/wgi/</w:t>
              </w:r>
            </w:p>
            <w:p w14:paraId="5FE447FE" w14:textId="77777777" w:rsidR="00512B7F" w:rsidRDefault="00512B7F" w:rsidP="00512B7F">
              <w:pPr>
                <w:pStyle w:val="Bibliography"/>
                <w:ind w:left="720" w:hanging="720"/>
                <w:jc w:val="left"/>
                <w:rPr>
                  <w:noProof/>
                </w:rPr>
              </w:pPr>
              <w:r>
                <w:rPr>
                  <w:noProof/>
                </w:rPr>
                <w:t xml:space="preserve">Unicef. (2014). </w:t>
              </w:r>
              <w:r>
                <w:rPr>
                  <w:i/>
                  <w:iCs/>
                  <w:noProof/>
                </w:rPr>
                <w:t>Committing to Child Survival: A Promise Renewed.</w:t>
              </w:r>
              <w:r>
                <w:rPr>
                  <w:noProof/>
                </w:rPr>
                <w:t xml:space="preserve"> </w:t>
              </w:r>
            </w:p>
            <w:p w14:paraId="53AAD315" w14:textId="77777777" w:rsidR="00512B7F" w:rsidRDefault="00512B7F" w:rsidP="00512B7F">
              <w:pPr>
                <w:pStyle w:val="Bibliography"/>
                <w:ind w:left="720" w:hanging="720"/>
                <w:jc w:val="left"/>
                <w:rPr>
                  <w:noProof/>
                </w:rPr>
              </w:pPr>
              <w:r>
                <w:rPr>
                  <w:noProof/>
                </w:rPr>
                <w:t xml:space="preserve">United Nations. (2012). </w:t>
              </w:r>
              <w:r>
                <w:rPr>
                  <w:i/>
                  <w:iCs/>
                  <w:noProof/>
                </w:rPr>
                <w:t>The Further We Want, UN General Assembly Resolution.</w:t>
              </w:r>
              <w:r>
                <w:rPr>
                  <w:noProof/>
                </w:rPr>
                <w:t xml:space="preserve"> Rio the Janairo: United Nations.</w:t>
              </w:r>
            </w:p>
            <w:p w14:paraId="5B70B77A" w14:textId="77777777" w:rsidR="00512B7F" w:rsidRDefault="00512B7F" w:rsidP="00512B7F">
              <w:pPr>
                <w:pStyle w:val="Bibliography"/>
                <w:ind w:left="720" w:hanging="720"/>
                <w:jc w:val="left"/>
                <w:rPr>
                  <w:noProof/>
                </w:rPr>
              </w:pPr>
              <w:r>
                <w:rPr>
                  <w:noProof/>
                </w:rPr>
                <w:t xml:space="preserve">van Baal, P., Parida, O., Brouwer, W., Nusselder, W., &amp; Mackenbach, J. (2013). </w:t>
              </w:r>
              <w:r>
                <w:rPr>
                  <w:i/>
                  <w:iCs/>
                  <w:noProof/>
                </w:rPr>
                <w:t>The influence of health care spending on life expectancy.</w:t>
              </w:r>
              <w:r>
                <w:rPr>
                  <w:noProof/>
                </w:rPr>
                <w:t xml:space="preserve"> Tilburg: Netspar.</w:t>
              </w:r>
            </w:p>
            <w:p w14:paraId="0E3B9DE9" w14:textId="77777777" w:rsidR="00512B7F" w:rsidRDefault="00512B7F" w:rsidP="00512B7F">
              <w:pPr>
                <w:pStyle w:val="Bibliography"/>
                <w:ind w:left="720" w:hanging="720"/>
                <w:jc w:val="left"/>
                <w:rPr>
                  <w:noProof/>
                </w:rPr>
              </w:pPr>
              <w:r>
                <w:rPr>
                  <w:noProof/>
                </w:rPr>
                <w:t xml:space="preserve">Wagstaff, A., &amp; Claeson, M. (2004). </w:t>
              </w:r>
              <w:r>
                <w:rPr>
                  <w:i/>
                  <w:iCs/>
                  <w:noProof/>
                </w:rPr>
                <w:t>The Millennium Development Goals for Health: Rising to the Challenges.</w:t>
              </w:r>
              <w:r>
                <w:rPr>
                  <w:noProof/>
                </w:rPr>
                <w:t xml:space="preserve"> Washington: The World Bank.</w:t>
              </w:r>
            </w:p>
            <w:p w14:paraId="2025BE46" w14:textId="77777777" w:rsidR="00512B7F" w:rsidRDefault="00512B7F" w:rsidP="00512B7F">
              <w:pPr>
                <w:pStyle w:val="Bibliography"/>
                <w:ind w:left="720" w:hanging="720"/>
                <w:jc w:val="left"/>
                <w:rPr>
                  <w:noProof/>
                </w:rPr>
              </w:pPr>
              <w:r>
                <w:rPr>
                  <w:noProof/>
                </w:rPr>
                <w:t xml:space="preserve">WHO, Worldbank Group. (2014). </w:t>
              </w:r>
              <w:r>
                <w:rPr>
                  <w:i/>
                  <w:iCs/>
                  <w:noProof/>
                </w:rPr>
                <w:t>Monitoring progress towards universal health coverage at country and global levels.</w:t>
              </w:r>
              <w:r>
                <w:rPr>
                  <w:noProof/>
                </w:rPr>
                <w:t xml:space="preserve"> Geneva : WHO Press.</w:t>
              </w:r>
            </w:p>
            <w:p w14:paraId="630159F8" w14:textId="77777777" w:rsidR="00512B7F" w:rsidRDefault="00512B7F" w:rsidP="00512B7F">
              <w:pPr>
                <w:pStyle w:val="Bibliography"/>
                <w:ind w:left="720" w:hanging="720"/>
                <w:jc w:val="left"/>
                <w:rPr>
                  <w:noProof/>
                </w:rPr>
              </w:pPr>
              <w:r>
                <w:rPr>
                  <w:noProof/>
                </w:rPr>
                <w:t xml:space="preserve">World Bank. (2015). </w:t>
              </w:r>
              <w:r>
                <w:rPr>
                  <w:i/>
                  <w:iCs/>
                  <w:noProof/>
                </w:rPr>
                <w:t>World Development Indicators</w:t>
              </w:r>
              <w:r>
                <w:rPr>
                  <w:noProof/>
                </w:rPr>
                <w:t>. Retrieved from http://data.worldbank.org/data-catalog/world-development-indicators</w:t>
              </w:r>
            </w:p>
            <w:p w14:paraId="45E5776E" w14:textId="77777777" w:rsidR="00512B7F" w:rsidRDefault="00512B7F" w:rsidP="00512B7F">
              <w:pPr>
                <w:pStyle w:val="Bibliography"/>
                <w:ind w:left="720" w:hanging="720"/>
                <w:jc w:val="left"/>
                <w:rPr>
                  <w:noProof/>
                </w:rPr>
              </w:pPr>
              <w:r>
                <w:rPr>
                  <w:noProof/>
                </w:rPr>
                <w:t xml:space="preserve">World Health Organization. (2014, December). </w:t>
              </w:r>
              <w:r>
                <w:rPr>
                  <w:i/>
                  <w:iCs/>
                  <w:noProof/>
                </w:rPr>
                <w:t>What is universal health coverage?</w:t>
              </w:r>
              <w:r>
                <w:rPr>
                  <w:noProof/>
                </w:rPr>
                <w:t xml:space="preserve"> Retrieved from http://www.who.int/features/qa/universal_health_coverage/en/</w:t>
              </w:r>
            </w:p>
            <w:p w14:paraId="0F2385DD" w14:textId="77777777" w:rsidR="00512B7F" w:rsidRDefault="00512B7F" w:rsidP="00512B7F">
              <w:pPr>
                <w:pStyle w:val="Bibliography"/>
                <w:ind w:left="720" w:hanging="720"/>
                <w:jc w:val="left"/>
                <w:rPr>
                  <w:noProof/>
                </w:rPr>
              </w:pPr>
              <w:r>
                <w:rPr>
                  <w:noProof/>
                </w:rPr>
                <w:t xml:space="preserve">World Health Organization. (2015). </w:t>
              </w:r>
              <w:r>
                <w:rPr>
                  <w:i/>
                  <w:iCs/>
                  <w:noProof/>
                </w:rPr>
                <w:t>Global Health Observatory</w:t>
              </w:r>
              <w:r>
                <w:rPr>
                  <w:noProof/>
                </w:rPr>
                <w:t>. Retrieved 2015, from http://www.who.int/gho/database/en/</w:t>
              </w:r>
            </w:p>
            <w:p w14:paraId="164BAFF1" w14:textId="5D5F7919" w:rsidR="0019312C" w:rsidRPr="00702FE7" w:rsidRDefault="0017388E" w:rsidP="00512B7F">
              <w:pPr>
                <w:jc w:val="left"/>
              </w:pPr>
              <w:r w:rsidRPr="00702FE7">
                <w:rPr>
                  <w:b/>
                  <w:bCs/>
                  <w:noProof/>
                </w:rPr>
                <w:fldChar w:fldCharType="end"/>
              </w:r>
            </w:p>
          </w:sdtContent>
        </w:sdt>
      </w:sdtContent>
    </w:sdt>
    <w:p w14:paraId="290BEC0F" w14:textId="496BCAA6" w:rsidR="00831081" w:rsidRPr="00702FE7" w:rsidRDefault="00831081">
      <w:pPr>
        <w:spacing w:line="240" w:lineRule="auto"/>
        <w:jc w:val="left"/>
        <w:rPr>
          <w:rFonts w:eastAsiaTheme="majorEastAsia" w:cstheme="majorBidi"/>
          <w:b/>
          <w:bCs/>
          <w:color w:val="345A8A" w:themeColor="accent1" w:themeShade="B5"/>
          <w:sz w:val="32"/>
          <w:szCs w:val="32"/>
        </w:rPr>
      </w:pPr>
      <w:r w:rsidRPr="00702FE7">
        <w:br w:type="page"/>
      </w:r>
    </w:p>
    <w:p w14:paraId="474A1BEB" w14:textId="77777777" w:rsidR="00831081" w:rsidRPr="00702FE7" w:rsidRDefault="00831081" w:rsidP="00BC42EA">
      <w:pPr>
        <w:pStyle w:val="Heading1"/>
      </w:pPr>
    </w:p>
    <w:p w14:paraId="4B23CA45" w14:textId="60AF7E7B" w:rsidR="00321BD0" w:rsidRPr="00702FE7" w:rsidRDefault="0019312C" w:rsidP="00BC42EA">
      <w:pPr>
        <w:pStyle w:val="Heading1"/>
      </w:pPr>
      <w:bookmarkStart w:id="30" w:name="_Toc427006251"/>
      <w:r w:rsidRPr="00702FE7">
        <w:t>Appendix</w:t>
      </w:r>
      <w:bookmarkEnd w:id="30"/>
    </w:p>
    <w:p w14:paraId="371391C8" w14:textId="0A0EC444" w:rsidR="0019312C" w:rsidRPr="00702FE7" w:rsidRDefault="00831081" w:rsidP="00BC42EA">
      <w:r w:rsidRPr="00702FE7">
        <w:rPr>
          <w:b/>
          <w:noProof/>
          <w:lang w:val="en-GB" w:eastAsia="en-GB"/>
        </w:rPr>
        <w:drawing>
          <wp:anchor distT="0" distB="0" distL="114300" distR="114300" simplePos="0" relativeHeight="251651072" behindDoc="0" locked="0" layoutInCell="1" allowOverlap="1" wp14:anchorId="7908F193" wp14:editId="78EF8120">
            <wp:simplePos x="0" y="0"/>
            <wp:positionH relativeFrom="column">
              <wp:posOffset>-228600</wp:posOffset>
            </wp:positionH>
            <wp:positionV relativeFrom="paragraph">
              <wp:posOffset>822960</wp:posOffset>
            </wp:positionV>
            <wp:extent cx="6083300" cy="2286000"/>
            <wp:effectExtent l="0" t="0" r="12700" b="0"/>
            <wp:wrapTopAndBottom/>
            <wp:docPr id="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083300" cy="2286000"/>
                    </a:xfrm>
                    <a:prstGeom prst="rect">
                      <a:avLst/>
                    </a:prstGeom>
                    <a:noFill/>
                    <a:ln>
                      <a:noFill/>
                    </a:ln>
                  </pic:spPr>
                </pic:pic>
              </a:graphicData>
            </a:graphic>
            <wp14:sizeRelH relativeFrom="page">
              <wp14:pctWidth>0</wp14:pctWidth>
            </wp14:sizeRelH>
            <wp14:sizeRelV relativeFrom="page">
              <wp14:pctHeight>0</wp14:pctHeight>
            </wp14:sizeRelV>
          </wp:anchor>
        </w:drawing>
      </w:r>
      <w:r w:rsidR="00046142" w:rsidRPr="00702FE7">
        <w:rPr>
          <w:b/>
        </w:rPr>
        <w:t>Table</w:t>
      </w:r>
      <w:r w:rsidRPr="00702FE7">
        <w:rPr>
          <w:b/>
        </w:rPr>
        <w:t xml:space="preserve"> A</w:t>
      </w:r>
      <w:r w:rsidR="00046142" w:rsidRPr="00702FE7">
        <w:rPr>
          <w:b/>
        </w:rPr>
        <w:t>1</w:t>
      </w:r>
      <w:r w:rsidRPr="00702FE7">
        <w:rPr>
          <w:b/>
        </w:rPr>
        <w:t>:</w:t>
      </w:r>
      <w:r w:rsidRPr="00702FE7">
        <w:t xml:space="preserve"> Overview of variables used in “</w:t>
      </w:r>
      <w:r w:rsidRPr="00702FE7">
        <w:rPr>
          <w:bCs/>
          <w:i/>
        </w:rPr>
        <w:t>Broader health coverage is good for the nation’s health: evidence from country level panel data</w:t>
      </w:r>
      <w:r w:rsidRPr="00702FE7">
        <w:rPr>
          <w:bCs/>
        </w:rPr>
        <w:t>”</w:t>
      </w:r>
      <w:r w:rsidRPr="00702FE7">
        <w:t xml:space="preserve"> by Moreno-Serra and Smith (2015).</w:t>
      </w:r>
      <w:r w:rsidRPr="00702FE7">
        <w:rPr>
          <w:noProof/>
        </w:rPr>
        <w:t xml:space="preserve"> </w:t>
      </w:r>
    </w:p>
    <w:p w14:paraId="46B7DB82" w14:textId="77777777" w:rsidR="0049389E" w:rsidRPr="00702FE7" w:rsidRDefault="0049389E" w:rsidP="00BC42EA">
      <w:pPr>
        <w:rPr>
          <w:b/>
        </w:rPr>
      </w:pPr>
    </w:p>
    <w:p w14:paraId="687C7FA9" w14:textId="557EFEF5" w:rsidR="0049389E" w:rsidRPr="00702FE7" w:rsidRDefault="00046142" w:rsidP="00BC42EA">
      <w:r w:rsidRPr="00702FE7">
        <w:rPr>
          <w:b/>
        </w:rPr>
        <w:t>Table A2</w:t>
      </w:r>
      <w:r w:rsidR="00831081" w:rsidRPr="00702FE7">
        <w:rPr>
          <w:b/>
        </w:rPr>
        <w:t>:</w:t>
      </w:r>
      <w:r w:rsidR="00E01310" w:rsidRPr="00702FE7">
        <w:t xml:space="preserve"> </w:t>
      </w:r>
      <w:r w:rsidR="0049389E" w:rsidRPr="00702FE7">
        <w:t xml:space="preserve">Original </w:t>
      </w:r>
      <w:r w:rsidR="00E01310" w:rsidRPr="00702FE7">
        <w:t xml:space="preserve">regression </w:t>
      </w:r>
      <w:r w:rsidR="0049389E" w:rsidRPr="00702FE7">
        <w:t>results</w:t>
      </w:r>
      <w:r w:rsidR="0049389E" w:rsidRPr="00702FE7">
        <w:rPr>
          <w:i/>
        </w:rPr>
        <w:t xml:space="preserve"> </w:t>
      </w:r>
      <w:sdt>
        <w:sdtPr>
          <w:rPr>
            <w:i/>
          </w:rPr>
          <w:id w:val="1852825370"/>
          <w:citation/>
        </w:sdtPr>
        <w:sdtEndPr/>
        <w:sdtContent>
          <w:r w:rsidR="0049389E" w:rsidRPr="00702FE7">
            <w:rPr>
              <w:i/>
            </w:rPr>
            <w:fldChar w:fldCharType="begin"/>
          </w:r>
          <w:r w:rsidR="0049389E" w:rsidRPr="00702FE7">
            <w:rPr>
              <w:i/>
            </w:rPr>
            <w:instrText xml:space="preserve">CITATION Mor15 \t  \l 1033 </w:instrText>
          </w:r>
          <w:r w:rsidR="0049389E" w:rsidRPr="00702FE7">
            <w:rPr>
              <w:i/>
            </w:rPr>
            <w:fldChar w:fldCharType="separate"/>
          </w:r>
          <w:r w:rsidR="00317F02">
            <w:rPr>
              <w:noProof/>
            </w:rPr>
            <w:t>(Moreno-Serra &amp; Smith, 2015)</w:t>
          </w:r>
          <w:r w:rsidR="0049389E" w:rsidRPr="00702FE7">
            <w:rPr>
              <w:i/>
            </w:rPr>
            <w:fldChar w:fldCharType="end"/>
          </w:r>
        </w:sdtContent>
      </w:sdt>
      <w:r w:rsidR="0049389E" w:rsidRPr="00702FE7">
        <w:t>:</w:t>
      </w:r>
    </w:p>
    <w:p w14:paraId="2EDB3D14" w14:textId="53A47BFD" w:rsidR="0049389E" w:rsidRPr="00702FE7" w:rsidRDefault="0049389E" w:rsidP="00BC42EA">
      <w:pPr>
        <w:rPr>
          <w:i/>
        </w:rPr>
      </w:pPr>
      <w:r w:rsidRPr="00702FE7">
        <w:rPr>
          <w:i/>
          <w:noProof/>
          <w:lang w:val="en-GB" w:eastAsia="en-GB"/>
        </w:rPr>
        <w:drawing>
          <wp:inline distT="0" distB="0" distL="0" distR="0" wp14:anchorId="3C85073F" wp14:editId="173997F9">
            <wp:extent cx="4459963" cy="3922413"/>
            <wp:effectExtent l="0" t="0" r="10795" b="0"/>
            <wp:docPr id="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461925" cy="3924138"/>
                    </a:xfrm>
                    <a:prstGeom prst="rect">
                      <a:avLst/>
                    </a:prstGeom>
                    <a:noFill/>
                    <a:ln>
                      <a:noFill/>
                    </a:ln>
                  </pic:spPr>
                </pic:pic>
              </a:graphicData>
            </a:graphic>
          </wp:inline>
        </w:drawing>
      </w:r>
    </w:p>
    <w:p w14:paraId="4AB424E1" w14:textId="758698CE" w:rsidR="0049389E" w:rsidRPr="00702FE7" w:rsidRDefault="00E01310" w:rsidP="00BC42EA">
      <w:pPr>
        <w:rPr>
          <w:b/>
        </w:rPr>
      </w:pPr>
      <w:r w:rsidRPr="00702FE7">
        <w:rPr>
          <w:b/>
        </w:rPr>
        <w:t xml:space="preserve">Table A3: </w:t>
      </w:r>
      <w:r w:rsidR="0049389E" w:rsidRPr="00702FE7">
        <w:t>Updated dataset</w:t>
      </w:r>
      <w:r w:rsidRPr="00702FE7">
        <w:t xml:space="preserve"> regression</w:t>
      </w:r>
      <w:r w:rsidR="0049389E" w:rsidRPr="00702FE7">
        <w:t xml:space="preserve"> results:</w:t>
      </w:r>
    </w:p>
    <w:p w14:paraId="4369F8B0" w14:textId="3AAB6831" w:rsidR="0049389E" w:rsidRPr="00702FE7" w:rsidRDefault="00891BE4" w:rsidP="00BC42EA">
      <w:pPr>
        <w:rPr>
          <w:b/>
        </w:rPr>
      </w:pPr>
      <w:r w:rsidRPr="00702FE7">
        <w:rPr>
          <w:b/>
          <w:noProof/>
          <w:lang w:val="en-GB" w:eastAsia="en-GB"/>
        </w:rPr>
        <w:drawing>
          <wp:inline distT="0" distB="0" distL="0" distR="0" wp14:anchorId="4D77DBFB" wp14:editId="1787DBF0">
            <wp:extent cx="5270500" cy="4754313"/>
            <wp:effectExtent l="0" t="0" r="0" b="0"/>
            <wp:docPr id="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270500" cy="4754313"/>
                    </a:xfrm>
                    <a:prstGeom prst="rect">
                      <a:avLst/>
                    </a:prstGeom>
                    <a:noFill/>
                    <a:ln>
                      <a:noFill/>
                    </a:ln>
                  </pic:spPr>
                </pic:pic>
              </a:graphicData>
            </a:graphic>
          </wp:inline>
        </w:drawing>
      </w:r>
    </w:p>
    <w:p w14:paraId="36EC48CB" w14:textId="77777777" w:rsidR="00FA27D8" w:rsidRDefault="00FA27D8">
      <w:pPr>
        <w:spacing w:line="240" w:lineRule="auto"/>
        <w:jc w:val="left"/>
        <w:rPr>
          <w:b/>
        </w:rPr>
      </w:pPr>
      <w:r>
        <w:rPr>
          <w:b/>
        </w:rPr>
        <w:br w:type="page"/>
      </w:r>
    </w:p>
    <w:p w14:paraId="7EB59BB9" w14:textId="3E434CF6" w:rsidR="00FA27D8" w:rsidRDefault="00891BE4" w:rsidP="00BC42EA">
      <w:r w:rsidRPr="00702FE7">
        <w:rPr>
          <w:b/>
        </w:rPr>
        <w:t xml:space="preserve">Table A4: </w:t>
      </w:r>
      <w:r w:rsidRPr="00702FE7">
        <w:t>Hausman Test for systematic differences random effects and fixed effects model.</w:t>
      </w:r>
    </w:p>
    <w:p w14:paraId="6395D03E" w14:textId="3983148B" w:rsidR="00891BE4" w:rsidRPr="00702FE7" w:rsidRDefault="00891BE4" w:rsidP="00BC42EA">
      <w:r w:rsidRPr="00702FE7">
        <w:rPr>
          <w:noProof/>
          <w:lang w:val="en-GB" w:eastAsia="en-GB"/>
        </w:rPr>
        <w:drawing>
          <wp:inline distT="0" distB="0" distL="0" distR="0" wp14:anchorId="6474C156" wp14:editId="520D4DAB">
            <wp:extent cx="3888463" cy="4705803"/>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6">
                      <a:extLst>
                        <a:ext uri="{28A0092B-C50C-407E-A947-70E740481C1C}">
                          <a14:useLocalDpi xmlns:a14="http://schemas.microsoft.com/office/drawing/2010/main" val="0"/>
                        </a:ext>
                      </a:extLst>
                    </a:blip>
                    <a:srcRect r="39871"/>
                    <a:stretch/>
                  </pic:blipFill>
                  <pic:spPr bwMode="auto">
                    <a:xfrm>
                      <a:off x="0" y="0"/>
                      <a:ext cx="3889386" cy="4706920"/>
                    </a:xfrm>
                    <a:prstGeom prst="rect">
                      <a:avLst/>
                    </a:prstGeom>
                    <a:noFill/>
                    <a:ln>
                      <a:noFill/>
                    </a:ln>
                    <a:extLst>
                      <a:ext uri="{53640926-AAD7-44D8-BBD7-CCE9431645EC}">
                        <a14:shadowObscured xmlns:a14="http://schemas.microsoft.com/office/drawing/2010/main"/>
                      </a:ext>
                    </a:extLst>
                  </pic:spPr>
                </pic:pic>
              </a:graphicData>
            </a:graphic>
          </wp:inline>
        </w:drawing>
      </w:r>
    </w:p>
    <w:p w14:paraId="4BA7C988" w14:textId="77777777" w:rsidR="00891BE4" w:rsidRPr="00702FE7" w:rsidRDefault="00891BE4" w:rsidP="00BC42EA"/>
    <w:p w14:paraId="60A417F8" w14:textId="12386C7F" w:rsidR="00891BE4" w:rsidRPr="00702FE7" w:rsidRDefault="00891BE4">
      <w:pPr>
        <w:spacing w:line="240" w:lineRule="auto"/>
        <w:jc w:val="left"/>
        <w:rPr>
          <w:b/>
        </w:rPr>
      </w:pPr>
      <w:r w:rsidRPr="00702FE7">
        <w:rPr>
          <w:b/>
        </w:rPr>
        <w:br w:type="page"/>
      </w:r>
    </w:p>
    <w:p w14:paraId="19A71117" w14:textId="7DA595A6" w:rsidR="00891BE4" w:rsidRPr="00702FE7" w:rsidRDefault="00891BE4" w:rsidP="00BC42EA">
      <w:pPr>
        <w:rPr>
          <w:b/>
        </w:rPr>
      </w:pPr>
    </w:p>
    <w:p w14:paraId="27A9E082" w14:textId="3F8D2F55" w:rsidR="00891BE4" w:rsidRPr="00702FE7" w:rsidRDefault="00891BE4" w:rsidP="00891BE4">
      <w:r w:rsidRPr="00702FE7">
        <w:rPr>
          <w:b/>
        </w:rPr>
        <w:t xml:space="preserve">Table A5: </w:t>
      </w:r>
      <w:r w:rsidRPr="00702FE7">
        <w:t>Stata output linear regression.</w:t>
      </w:r>
    </w:p>
    <w:p w14:paraId="022568D2" w14:textId="42A5AF03" w:rsidR="00020C4D" w:rsidRPr="00702FE7" w:rsidRDefault="00020C4D" w:rsidP="00891BE4">
      <w:r w:rsidRPr="00702FE7">
        <w:t>Under-5 mortality:</w:t>
      </w:r>
      <w:r w:rsidRPr="00702FE7">
        <w:tab/>
      </w:r>
      <w:r w:rsidRPr="00702FE7">
        <w:tab/>
      </w:r>
      <w:r w:rsidRPr="00702FE7">
        <w:tab/>
      </w:r>
      <w:r w:rsidRPr="00702FE7">
        <w:tab/>
        <w:t>Female mortality:</w:t>
      </w:r>
    </w:p>
    <w:p w14:paraId="7EEB4C28" w14:textId="2BBFAD50" w:rsidR="00891BE4" w:rsidRPr="00702FE7" w:rsidRDefault="00FA27D8" w:rsidP="00BC42EA">
      <w:r w:rsidRPr="00702FE7">
        <w:rPr>
          <w:noProof/>
          <w:lang w:val="en-GB" w:eastAsia="en-GB"/>
        </w:rPr>
        <w:drawing>
          <wp:anchor distT="0" distB="0" distL="114300" distR="114300" simplePos="0" relativeHeight="251664384" behindDoc="1" locked="0" layoutInCell="1" allowOverlap="1" wp14:anchorId="171F710C" wp14:editId="63697DE6">
            <wp:simplePos x="0" y="0"/>
            <wp:positionH relativeFrom="column">
              <wp:posOffset>2611120</wp:posOffset>
            </wp:positionH>
            <wp:positionV relativeFrom="paragraph">
              <wp:posOffset>417195</wp:posOffset>
            </wp:positionV>
            <wp:extent cx="3229610" cy="4981575"/>
            <wp:effectExtent l="0" t="0" r="8890" b="0"/>
            <wp:wrapTight wrapText="bothSides">
              <wp:wrapPolygon edited="0">
                <wp:start x="0" y="0"/>
                <wp:lineTo x="0" y="21476"/>
                <wp:lineTo x="21532" y="21476"/>
                <wp:lineTo x="21532" y="0"/>
                <wp:lineTo x="0" y="0"/>
              </wp:wrapPolygon>
            </wp:wrapTight>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7">
                      <a:extLst>
                        <a:ext uri="{28A0092B-C50C-407E-A947-70E740481C1C}">
                          <a14:useLocalDpi xmlns:a14="http://schemas.microsoft.com/office/drawing/2010/main" val="0"/>
                        </a:ext>
                      </a:extLst>
                    </a:blip>
                    <a:srcRect r="40047"/>
                    <a:stretch/>
                  </pic:blipFill>
                  <pic:spPr bwMode="auto">
                    <a:xfrm>
                      <a:off x="0" y="0"/>
                      <a:ext cx="3229610" cy="498157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702FE7">
        <w:rPr>
          <w:noProof/>
          <w:lang w:val="en-GB" w:eastAsia="en-GB"/>
        </w:rPr>
        <w:drawing>
          <wp:anchor distT="0" distB="0" distL="114300" distR="114300" simplePos="0" relativeHeight="251652096" behindDoc="1" locked="0" layoutInCell="1" allowOverlap="1" wp14:anchorId="125FB8F8" wp14:editId="610FC628">
            <wp:simplePos x="0" y="0"/>
            <wp:positionH relativeFrom="column">
              <wp:posOffset>-657144</wp:posOffset>
            </wp:positionH>
            <wp:positionV relativeFrom="paragraph">
              <wp:posOffset>300827</wp:posOffset>
            </wp:positionV>
            <wp:extent cx="3200400" cy="5112385"/>
            <wp:effectExtent l="0" t="0" r="0" b="0"/>
            <wp:wrapTight wrapText="bothSides">
              <wp:wrapPolygon edited="0">
                <wp:start x="0" y="0"/>
                <wp:lineTo x="0" y="21490"/>
                <wp:lineTo x="21471" y="21490"/>
                <wp:lineTo x="21471"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8">
                      <a:extLst>
                        <a:ext uri="{28A0092B-C50C-407E-A947-70E740481C1C}">
                          <a14:useLocalDpi xmlns:a14="http://schemas.microsoft.com/office/drawing/2010/main" val="0"/>
                        </a:ext>
                      </a:extLst>
                    </a:blip>
                    <a:srcRect r="40907"/>
                    <a:stretch/>
                  </pic:blipFill>
                  <pic:spPr bwMode="auto">
                    <a:xfrm>
                      <a:off x="0" y="0"/>
                      <a:ext cx="3200400" cy="511238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90E8C32" w14:textId="1FB63298" w:rsidR="001B2FC3" w:rsidRPr="00702FE7" w:rsidRDefault="001B2FC3" w:rsidP="00BC42EA">
      <w:pPr>
        <w:rPr>
          <w:b/>
        </w:rPr>
      </w:pPr>
    </w:p>
    <w:p w14:paraId="4B121B16" w14:textId="280FE948" w:rsidR="00891BE4" w:rsidRPr="00702FE7" w:rsidRDefault="00891BE4" w:rsidP="00BC42EA">
      <w:pPr>
        <w:rPr>
          <w:b/>
        </w:rPr>
      </w:pPr>
    </w:p>
    <w:p w14:paraId="416D1556" w14:textId="77777777" w:rsidR="00020C4D" w:rsidRPr="00702FE7" w:rsidRDefault="00020C4D" w:rsidP="00BC42EA">
      <w:pPr>
        <w:rPr>
          <w:b/>
        </w:rPr>
      </w:pPr>
    </w:p>
    <w:p w14:paraId="275FEEC2" w14:textId="77777777" w:rsidR="00020C4D" w:rsidRPr="00702FE7" w:rsidRDefault="00020C4D" w:rsidP="00BC42EA">
      <w:pPr>
        <w:rPr>
          <w:b/>
        </w:rPr>
      </w:pPr>
    </w:p>
    <w:p w14:paraId="265761A5" w14:textId="77777777" w:rsidR="00020C4D" w:rsidRPr="00702FE7" w:rsidRDefault="00020C4D" w:rsidP="00BC42EA">
      <w:pPr>
        <w:rPr>
          <w:b/>
        </w:rPr>
      </w:pPr>
    </w:p>
    <w:p w14:paraId="0149B044" w14:textId="77777777" w:rsidR="00020C4D" w:rsidRPr="00702FE7" w:rsidRDefault="00020C4D" w:rsidP="00BC42EA">
      <w:pPr>
        <w:rPr>
          <w:b/>
        </w:rPr>
      </w:pPr>
    </w:p>
    <w:p w14:paraId="02FBD276" w14:textId="77777777" w:rsidR="00020C4D" w:rsidRPr="00702FE7" w:rsidRDefault="00020C4D" w:rsidP="00BC42EA">
      <w:pPr>
        <w:rPr>
          <w:b/>
        </w:rPr>
      </w:pPr>
    </w:p>
    <w:p w14:paraId="11C59D5D" w14:textId="77777777" w:rsidR="00020C4D" w:rsidRPr="00702FE7" w:rsidRDefault="00020C4D" w:rsidP="00BC42EA">
      <w:pPr>
        <w:rPr>
          <w:b/>
        </w:rPr>
      </w:pPr>
    </w:p>
    <w:p w14:paraId="6532A301" w14:textId="77777777" w:rsidR="00020C4D" w:rsidRPr="00702FE7" w:rsidRDefault="00020C4D" w:rsidP="00BC42EA">
      <w:pPr>
        <w:rPr>
          <w:b/>
        </w:rPr>
      </w:pPr>
    </w:p>
    <w:p w14:paraId="62A440FB" w14:textId="77777777" w:rsidR="00020C4D" w:rsidRPr="00702FE7" w:rsidRDefault="00020C4D" w:rsidP="00BC42EA">
      <w:pPr>
        <w:rPr>
          <w:b/>
        </w:rPr>
      </w:pPr>
    </w:p>
    <w:p w14:paraId="525DB6A6" w14:textId="77777777" w:rsidR="00020C4D" w:rsidRPr="00702FE7" w:rsidRDefault="00020C4D" w:rsidP="00BC42EA">
      <w:pPr>
        <w:rPr>
          <w:b/>
        </w:rPr>
      </w:pPr>
    </w:p>
    <w:p w14:paraId="10D84941" w14:textId="74B4EB3D" w:rsidR="00020C4D" w:rsidRPr="00702FE7" w:rsidRDefault="00020C4D" w:rsidP="00BC42EA">
      <w:r w:rsidRPr="00702FE7">
        <w:t>Male mortality:</w:t>
      </w:r>
    </w:p>
    <w:p w14:paraId="10A5F44F" w14:textId="29F1991A" w:rsidR="00891BE4" w:rsidRPr="00702FE7" w:rsidRDefault="00FA27D8" w:rsidP="00BC42EA">
      <w:pPr>
        <w:rPr>
          <w:b/>
        </w:rPr>
      </w:pPr>
      <w:r w:rsidRPr="00702FE7">
        <w:rPr>
          <w:noProof/>
          <w:lang w:val="en-GB" w:eastAsia="en-GB"/>
        </w:rPr>
        <w:drawing>
          <wp:inline distT="0" distB="0" distL="0" distR="0" wp14:anchorId="348B533D" wp14:editId="3531D20F">
            <wp:extent cx="3132499" cy="4974590"/>
            <wp:effectExtent l="0" t="0" r="0" b="381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9">
                      <a:extLst>
                        <a:ext uri="{28A0092B-C50C-407E-A947-70E740481C1C}">
                          <a14:useLocalDpi xmlns:a14="http://schemas.microsoft.com/office/drawing/2010/main" val="0"/>
                        </a:ext>
                      </a:extLst>
                    </a:blip>
                    <a:srcRect r="40563"/>
                    <a:stretch/>
                  </pic:blipFill>
                  <pic:spPr bwMode="auto">
                    <a:xfrm>
                      <a:off x="0" y="0"/>
                      <a:ext cx="3132612" cy="4974769"/>
                    </a:xfrm>
                    <a:prstGeom prst="rect">
                      <a:avLst/>
                    </a:prstGeom>
                    <a:noFill/>
                    <a:ln>
                      <a:noFill/>
                    </a:ln>
                    <a:extLst>
                      <a:ext uri="{53640926-AAD7-44D8-BBD7-CCE9431645EC}">
                        <a14:shadowObscured xmlns:a14="http://schemas.microsoft.com/office/drawing/2010/main"/>
                      </a:ext>
                    </a:extLst>
                  </pic:spPr>
                </pic:pic>
              </a:graphicData>
            </a:graphic>
          </wp:inline>
        </w:drawing>
      </w:r>
    </w:p>
    <w:p w14:paraId="036382F9" w14:textId="0E70FB19" w:rsidR="00020C4D" w:rsidRPr="00702FE7" w:rsidRDefault="00020C4D">
      <w:pPr>
        <w:spacing w:line="240" w:lineRule="auto"/>
        <w:jc w:val="left"/>
        <w:rPr>
          <w:b/>
        </w:rPr>
      </w:pPr>
      <w:r w:rsidRPr="00702FE7">
        <w:rPr>
          <w:b/>
        </w:rPr>
        <w:br w:type="page"/>
      </w:r>
    </w:p>
    <w:p w14:paraId="1F5D9A24" w14:textId="470FBD0F" w:rsidR="00891BE4" w:rsidRPr="00702FE7" w:rsidRDefault="00020C4D" w:rsidP="00BC42EA">
      <w:r w:rsidRPr="00702FE7">
        <w:rPr>
          <w:noProof/>
          <w:lang w:val="en-GB" w:eastAsia="en-GB"/>
        </w:rPr>
        <w:drawing>
          <wp:anchor distT="0" distB="0" distL="114300" distR="114300" simplePos="0" relativeHeight="251653120" behindDoc="0" locked="0" layoutInCell="1" allowOverlap="1" wp14:anchorId="20603F75" wp14:editId="53546802">
            <wp:simplePos x="0" y="0"/>
            <wp:positionH relativeFrom="column">
              <wp:posOffset>-228600</wp:posOffset>
            </wp:positionH>
            <wp:positionV relativeFrom="paragraph">
              <wp:posOffset>571500</wp:posOffset>
            </wp:positionV>
            <wp:extent cx="3114040" cy="4873625"/>
            <wp:effectExtent l="0" t="0" r="10160" b="3175"/>
            <wp:wrapSquare wrapText="bothSides"/>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20">
                      <a:extLst>
                        <a:ext uri="{28A0092B-C50C-407E-A947-70E740481C1C}">
                          <a14:useLocalDpi xmlns:a14="http://schemas.microsoft.com/office/drawing/2010/main" val="0"/>
                        </a:ext>
                      </a:extLst>
                    </a:blip>
                    <a:srcRect r="40907"/>
                    <a:stretch/>
                  </pic:blipFill>
                  <pic:spPr bwMode="auto">
                    <a:xfrm>
                      <a:off x="0" y="0"/>
                      <a:ext cx="3114040" cy="487362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702FE7">
        <w:rPr>
          <w:b/>
        </w:rPr>
        <w:t xml:space="preserve">Table A6: </w:t>
      </w:r>
      <w:r w:rsidRPr="00702FE7">
        <w:t>Stata output log linear model</w:t>
      </w:r>
    </w:p>
    <w:p w14:paraId="461505FA" w14:textId="005462F0" w:rsidR="00020C4D" w:rsidRPr="00702FE7" w:rsidRDefault="00020C4D" w:rsidP="00BC42EA">
      <w:r w:rsidRPr="00702FE7">
        <w:rPr>
          <w:noProof/>
          <w:lang w:val="en-GB" w:eastAsia="en-GB"/>
        </w:rPr>
        <w:drawing>
          <wp:anchor distT="0" distB="0" distL="114300" distR="114300" simplePos="0" relativeHeight="251654144" behindDoc="0" locked="0" layoutInCell="1" allowOverlap="1" wp14:anchorId="4F03443A" wp14:editId="6826F768">
            <wp:simplePos x="0" y="0"/>
            <wp:positionH relativeFrom="column">
              <wp:posOffset>2971800</wp:posOffset>
            </wp:positionH>
            <wp:positionV relativeFrom="paragraph">
              <wp:posOffset>308610</wp:posOffset>
            </wp:positionV>
            <wp:extent cx="3096260" cy="4873625"/>
            <wp:effectExtent l="0" t="0" r="2540" b="3175"/>
            <wp:wrapSquare wrapText="bothSides"/>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21">
                      <a:extLst>
                        <a:ext uri="{28A0092B-C50C-407E-A947-70E740481C1C}">
                          <a14:useLocalDpi xmlns:a14="http://schemas.microsoft.com/office/drawing/2010/main" val="0"/>
                        </a:ext>
                      </a:extLst>
                    </a:blip>
                    <a:srcRect r="41250"/>
                    <a:stretch/>
                  </pic:blipFill>
                  <pic:spPr bwMode="auto">
                    <a:xfrm>
                      <a:off x="0" y="0"/>
                      <a:ext cx="3096260" cy="4873625"/>
                    </a:xfrm>
                    <a:prstGeom prst="rect">
                      <a:avLst/>
                    </a:prstGeom>
                    <a:noFill/>
                    <a:ln>
                      <a:noFill/>
                    </a:ln>
                    <a:extLst>
                      <a:ext uri="{53640926-AAD7-44D8-BBD7-CCE9431645EC}">
                        <a14:shadowObscured xmlns:a14="http://schemas.microsoft.com/office/drawing/2010/main"/>
                      </a:ext>
                    </a:extLst>
                  </pic:spPr>
                </pic:pic>
              </a:graphicData>
            </a:graphic>
          </wp:anchor>
        </w:drawing>
      </w:r>
      <w:r w:rsidRPr="00702FE7">
        <w:t>Under-5 mortality (ln)</w:t>
      </w:r>
      <w:r w:rsidRPr="00702FE7">
        <w:tab/>
      </w:r>
      <w:r w:rsidRPr="00702FE7">
        <w:tab/>
      </w:r>
      <w:r w:rsidRPr="00702FE7">
        <w:tab/>
      </w:r>
      <w:r w:rsidRPr="00702FE7">
        <w:tab/>
        <w:t>Female mortality (ln)</w:t>
      </w:r>
    </w:p>
    <w:p w14:paraId="06A6A79D" w14:textId="7583743C" w:rsidR="00020C4D" w:rsidRPr="00702FE7" w:rsidRDefault="00020C4D">
      <w:pPr>
        <w:spacing w:line="240" w:lineRule="auto"/>
        <w:jc w:val="left"/>
      </w:pPr>
      <w:r w:rsidRPr="00702FE7">
        <w:br w:type="page"/>
      </w:r>
    </w:p>
    <w:p w14:paraId="4F0F1350" w14:textId="1064C519" w:rsidR="00020C4D" w:rsidRPr="00702FE7" w:rsidRDefault="00020C4D" w:rsidP="00BC42EA">
      <w:r w:rsidRPr="00702FE7">
        <w:t>Male mortality (ln)</w:t>
      </w:r>
    </w:p>
    <w:p w14:paraId="40644A48" w14:textId="215A1F74" w:rsidR="00020C4D" w:rsidRPr="00702FE7" w:rsidRDefault="00020C4D" w:rsidP="00BC42EA">
      <w:r w:rsidRPr="00702FE7">
        <w:rPr>
          <w:noProof/>
          <w:lang w:val="en-GB" w:eastAsia="en-GB"/>
        </w:rPr>
        <w:drawing>
          <wp:inline distT="0" distB="0" distL="0" distR="0" wp14:anchorId="19756F06" wp14:editId="39EE3316">
            <wp:extent cx="3123445" cy="4974590"/>
            <wp:effectExtent l="0" t="0" r="1270" b="381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22">
                      <a:extLst>
                        <a:ext uri="{28A0092B-C50C-407E-A947-70E740481C1C}">
                          <a14:useLocalDpi xmlns:a14="http://schemas.microsoft.com/office/drawing/2010/main" val="0"/>
                        </a:ext>
                      </a:extLst>
                    </a:blip>
                    <a:srcRect r="40735"/>
                    <a:stretch/>
                  </pic:blipFill>
                  <pic:spPr bwMode="auto">
                    <a:xfrm>
                      <a:off x="0" y="0"/>
                      <a:ext cx="3123557" cy="4974769"/>
                    </a:xfrm>
                    <a:prstGeom prst="rect">
                      <a:avLst/>
                    </a:prstGeom>
                    <a:noFill/>
                    <a:ln>
                      <a:noFill/>
                    </a:ln>
                    <a:extLst>
                      <a:ext uri="{53640926-AAD7-44D8-BBD7-CCE9431645EC}">
                        <a14:shadowObscured xmlns:a14="http://schemas.microsoft.com/office/drawing/2010/main"/>
                      </a:ext>
                    </a:extLst>
                  </pic:spPr>
                </pic:pic>
              </a:graphicData>
            </a:graphic>
          </wp:inline>
        </w:drawing>
      </w:r>
    </w:p>
    <w:p w14:paraId="04C33282" w14:textId="77777777" w:rsidR="00AB666F" w:rsidRPr="00702FE7" w:rsidRDefault="00AB666F" w:rsidP="00BC42EA"/>
    <w:p w14:paraId="72609D04" w14:textId="77777777" w:rsidR="002C1649" w:rsidRDefault="002C1649">
      <w:pPr>
        <w:spacing w:line="240" w:lineRule="auto"/>
        <w:jc w:val="left"/>
        <w:rPr>
          <w:b/>
        </w:rPr>
      </w:pPr>
      <w:r>
        <w:rPr>
          <w:b/>
        </w:rPr>
        <w:br w:type="page"/>
      </w:r>
    </w:p>
    <w:p w14:paraId="696E8A71" w14:textId="472F085C" w:rsidR="002C1649" w:rsidRDefault="001B62EA" w:rsidP="00BC42EA">
      <w:r w:rsidRPr="00702FE7">
        <w:rPr>
          <w:b/>
        </w:rPr>
        <w:t>Table A7</w:t>
      </w:r>
      <w:r w:rsidR="00D83FAC" w:rsidRPr="00702FE7">
        <w:rPr>
          <w:b/>
        </w:rPr>
        <w:t xml:space="preserve">: </w:t>
      </w:r>
      <w:r w:rsidR="002C1649">
        <w:t>Stata output log linear model with the natural logarithm of government health care expenditures per capita as coverage indicator.</w:t>
      </w:r>
    </w:p>
    <w:p w14:paraId="7F749C5C" w14:textId="35D23E7B" w:rsidR="002C1649" w:rsidRPr="002C1649" w:rsidRDefault="00512B7F" w:rsidP="00BC42EA">
      <w:r>
        <w:rPr>
          <w:noProof/>
          <w:lang w:val="en-GB" w:eastAsia="en-GB"/>
        </w:rPr>
        <w:drawing>
          <wp:anchor distT="0" distB="0" distL="114300" distR="114300" simplePos="0" relativeHeight="251659776" behindDoc="0" locked="0" layoutInCell="1" allowOverlap="1" wp14:anchorId="566E9AE9" wp14:editId="022AB8D3">
            <wp:simplePos x="0" y="0"/>
            <wp:positionH relativeFrom="column">
              <wp:posOffset>-184785</wp:posOffset>
            </wp:positionH>
            <wp:positionV relativeFrom="paragraph">
              <wp:posOffset>300406</wp:posOffset>
            </wp:positionV>
            <wp:extent cx="2994025" cy="3957320"/>
            <wp:effectExtent l="0" t="0" r="0" b="5080"/>
            <wp:wrapSquare wrapText="bothSides"/>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994025" cy="39573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702FE7">
        <w:t>Under-5 mortality (ln)</w:t>
      </w:r>
      <w:r w:rsidRPr="00702FE7">
        <w:tab/>
      </w:r>
      <w:r w:rsidRPr="00702FE7">
        <w:tab/>
      </w:r>
      <w:r w:rsidRPr="00702FE7">
        <w:tab/>
      </w:r>
      <w:r w:rsidRPr="00702FE7">
        <w:tab/>
        <w:t>Female mortality (ln)</w:t>
      </w:r>
    </w:p>
    <w:p w14:paraId="00B94E8C" w14:textId="77777777" w:rsidR="00512B7F" w:rsidRDefault="00512B7F">
      <w:pPr>
        <w:spacing w:line="240" w:lineRule="auto"/>
        <w:jc w:val="left"/>
        <w:rPr>
          <w:b/>
        </w:rPr>
      </w:pPr>
      <w:r>
        <w:rPr>
          <w:noProof/>
          <w:lang w:val="en-GB" w:eastAsia="en-GB"/>
        </w:rPr>
        <w:drawing>
          <wp:inline distT="0" distB="0" distL="0" distR="0" wp14:anchorId="04245205" wp14:editId="3C01245C">
            <wp:extent cx="3085381" cy="3993896"/>
            <wp:effectExtent l="0" t="0" r="1270" b="698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093484" cy="4004386"/>
                    </a:xfrm>
                    <a:prstGeom prst="rect">
                      <a:avLst/>
                    </a:prstGeom>
                    <a:noFill/>
                    <a:ln>
                      <a:noFill/>
                    </a:ln>
                  </pic:spPr>
                </pic:pic>
              </a:graphicData>
            </a:graphic>
          </wp:inline>
        </w:drawing>
      </w:r>
    </w:p>
    <w:p w14:paraId="09307CF8" w14:textId="77777777" w:rsidR="00512B7F" w:rsidRDefault="00512B7F">
      <w:pPr>
        <w:spacing w:line="240" w:lineRule="auto"/>
        <w:jc w:val="left"/>
      </w:pPr>
    </w:p>
    <w:p w14:paraId="091B439A" w14:textId="77777777" w:rsidR="00512B7F" w:rsidRDefault="00512B7F">
      <w:pPr>
        <w:spacing w:line="240" w:lineRule="auto"/>
        <w:jc w:val="left"/>
      </w:pPr>
      <w:r>
        <w:br w:type="page"/>
      </w:r>
    </w:p>
    <w:p w14:paraId="1EB31E80" w14:textId="3EC7913A" w:rsidR="00512B7F" w:rsidRDefault="00512B7F">
      <w:pPr>
        <w:spacing w:line="240" w:lineRule="auto"/>
        <w:jc w:val="left"/>
      </w:pPr>
      <w:r>
        <w:t>Male mortality (ln)</w:t>
      </w:r>
    </w:p>
    <w:p w14:paraId="669584CC" w14:textId="77777777" w:rsidR="00512B7F" w:rsidRDefault="00512B7F" w:rsidP="00512B7F">
      <w:pPr>
        <w:spacing w:line="240" w:lineRule="auto"/>
        <w:jc w:val="left"/>
        <w:rPr>
          <w:b/>
          <w:lang w:val="nl-NL"/>
        </w:rPr>
      </w:pPr>
      <w:r>
        <w:rPr>
          <w:noProof/>
          <w:lang w:val="en-GB" w:eastAsia="en-GB"/>
        </w:rPr>
        <w:drawing>
          <wp:inline distT="0" distB="0" distL="0" distR="0" wp14:anchorId="28306B91" wp14:editId="12DCAFA0">
            <wp:extent cx="4072452" cy="5271618"/>
            <wp:effectExtent l="0" t="0" r="4445" b="571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075107" cy="5275054"/>
                    </a:xfrm>
                    <a:prstGeom prst="rect">
                      <a:avLst/>
                    </a:prstGeom>
                    <a:noFill/>
                    <a:ln>
                      <a:noFill/>
                    </a:ln>
                  </pic:spPr>
                </pic:pic>
              </a:graphicData>
            </a:graphic>
          </wp:inline>
        </w:drawing>
      </w:r>
    </w:p>
    <w:p w14:paraId="59CF3F83" w14:textId="77777777" w:rsidR="00512B7F" w:rsidRDefault="00512B7F" w:rsidP="00512B7F">
      <w:pPr>
        <w:spacing w:line="240" w:lineRule="auto"/>
        <w:jc w:val="left"/>
        <w:rPr>
          <w:b/>
          <w:lang w:val="nl-NL"/>
        </w:rPr>
      </w:pPr>
    </w:p>
    <w:p w14:paraId="4F754CDD" w14:textId="11147B6A" w:rsidR="00AB666F" w:rsidRPr="00512B7F" w:rsidRDefault="002C1649" w:rsidP="00512B7F">
      <w:pPr>
        <w:jc w:val="left"/>
        <w:rPr>
          <w:b/>
        </w:rPr>
      </w:pPr>
      <w:r w:rsidRPr="002C1649">
        <w:rPr>
          <w:b/>
        </w:rPr>
        <w:t>Table A8:</w:t>
      </w:r>
      <w:r>
        <w:t xml:space="preserve"> </w:t>
      </w:r>
      <w:r w:rsidR="00D83FAC" w:rsidRPr="00702FE7">
        <w:t xml:space="preserve">Summary statistics </w:t>
      </w:r>
      <w:r w:rsidR="009209CA" w:rsidRPr="00702FE7">
        <w:t>of mortality rates, GDP per capita and government health spending per capita (as % of GDP)</w:t>
      </w:r>
    </w:p>
    <w:p w14:paraId="58FF67CD" w14:textId="514B935C" w:rsidR="009209CA" w:rsidRPr="00702FE7" w:rsidRDefault="009209CA" w:rsidP="00512B7F">
      <w:r w:rsidRPr="00702FE7">
        <w:t>Full sample:</w:t>
      </w:r>
    </w:p>
    <w:p w14:paraId="4E647ED7" w14:textId="1A85CE12" w:rsidR="009209CA" w:rsidRPr="00702FE7" w:rsidRDefault="00FA27D8" w:rsidP="00BC42EA">
      <w:r w:rsidRPr="00702FE7">
        <w:rPr>
          <w:noProof/>
          <w:lang w:val="en-GB" w:eastAsia="en-GB"/>
        </w:rPr>
        <w:drawing>
          <wp:anchor distT="0" distB="0" distL="114300" distR="114300" simplePos="0" relativeHeight="251656192" behindDoc="0" locked="0" layoutInCell="1" allowOverlap="1" wp14:anchorId="326ADB93" wp14:editId="374A3B35">
            <wp:simplePos x="0" y="0"/>
            <wp:positionH relativeFrom="column">
              <wp:posOffset>-281913</wp:posOffset>
            </wp:positionH>
            <wp:positionV relativeFrom="paragraph">
              <wp:posOffset>273685</wp:posOffset>
            </wp:positionV>
            <wp:extent cx="3096260" cy="1656715"/>
            <wp:effectExtent l="0" t="0" r="2540" b="0"/>
            <wp:wrapSquare wrapText="bothSides"/>
            <wp:docPr id="1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6">
                      <a:extLst>
                        <a:ext uri="{28A0092B-C50C-407E-A947-70E740481C1C}">
                          <a14:useLocalDpi xmlns:a14="http://schemas.microsoft.com/office/drawing/2010/main" val="0"/>
                        </a:ext>
                      </a:extLst>
                    </a:blip>
                    <a:srcRect r="41240"/>
                    <a:stretch/>
                  </pic:blipFill>
                  <pic:spPr bwMode="auto">
                    <a:xfrm>
                      <a:off x="0" y="0"/>
                      <a:ext cx="3096260" cy="165671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ED97D83" w14:textId="5B4FABFC" w:rsidR="009209CA" w:rsidRPr="00702FE7" w:rsidRDefault="00FA27D8" w:rsidP="00BC42EA">
      <w:r w:rsidRPr="00702FE7">
        <w:rPr>
          <w:noProof/>
          <w:lang w:val="en-GB" w:eastAsia="en-GB"/>
        </w:rPr>
        <w:drawing>
          <wp:anchor distT="0" distB="0" distL="114300" distR="114300" simplePos="0" relativeHeight="251655168" behindDoc="0" locked="0" layoutInCell="1" allowOverlap="1" wp14:anchorId="673D4613" wp14:editId="35CE2EEE">
            <wp:simplePos x="0" y="0"/>
            <wp:positionH relativeFrom="column">
              <wp:posOffset>2961099</wp:posOffset>
            </wp:positionH>
            <wp:positionV relativeFrom="paragraph">
              <wp:posOffset>321472</wp:posOffset>
            </wp:positionV>
            <wp:extent cx="3141345" cy="1139190"/>
            <wp:effectExtent l="0" t="0" r="8255" b="3810"/>
            <wp:wrapSquare wrapText="bothSides"/>
            <wp:docPr id="1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27">
                      <a:extLst>
                        <a:ext uri="{28A0092B-C50C-407E-A947-70E740481C1C}">
                          <a14:useLocalDpi xmlns:a14="http://schemas.microsoft.com/office/drawing/2010/main" val="0"/>
                        </a:ext>
                      </a:extLst>
                    </a:blip>
                    <a:srcRect r="40375"/>
                    <a:stretch/>
                  </pic:blipFill>
                  <pic:spPr bwMode="auto">
                    <a:xfrm>
                      <a:off x="0" y="0"/>
                      <a:ext cx="3141345" cy="113919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8B0CC9A" w14:textId="0DF02D07" w:rsidR="009209CA" w:rsidRPr="00702FE7" w:rsidRDefault="009209CA" w:rsidP="00BC42EA"/>
    <w:p w14:paraId="294B10B6" w14:textId="421EB927" w:rsidR="009209CA" w:rsidRPr="00702FE7" w:rsidRDefault="009209CA" w:rsidP="00BC42EA"/>
    <w:p w14:paraId="041C89A8" w14:textId="6B97927D" w:rsidR="009209CA" w:rsidRPr="00702FE7" w:rsidRDefault="009209CA" w:rsidP="00BC42EA">
      <w:r w:rsidRPr="00702FE7">
        <w:t>Subsample population &lt; 1 million:</w:t>
      </w:r>
    </w:p>
    <w:p w14:paraId="1271AB4D" w14:textId="697B7915" w:rsidR="009209CA" w:rsidRPr="00702FE7" w:rsidRDefault="00FA27D8" w:rsidP="00BC42EA">
      <w:r w:rsidRPr="00702FE7">
        <w:rPr>
          <w:noProof/>
          <w:lang w:val="en-GB" w:eastAsia="en-GB"/>
        </w:rPr>
        <w:drawing>
          <wp:anchor distT="0" distB="0" distL="114300" distR="114300" simplePos="0" relativeHeight="251659264" behindDoc="0" locked="0" layoutInCell="1" allowOverlap="1" wp14:anchorId="1DB987FC" wp14:editId="41EB2FA9">
            <wp:simplePos x="0" y="0"/>
            <wp:positionH relativeFrom="column">
              <wp:posOffset>2792244</wp:posOffset>
            </wp:positionH>
            <wp:positionV relativeFrom="paragraph">
              <wp:posOffset>354817</wp:posOffset>
            </wp:positionV>
            <wp:extent cx="3105150" cy="1139190"/>
            <wp:effectExtent l="0" t="0" r="0" b="3810"/>
            <wp:wrapSquare wrapText="bothSides"/>
            <wp:docPr id="1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28">
                      <a:extLst>
                        <a:ext uri="{28A0092B-C50C-407E-A947-70E740481C1C}">
                          <a14:useLocalDpi xmlns:a14="http://schemas.microsoft.com/office/drawing/2010/main" val="0"/>
                        </a:ext>
                      </a:extLst>
                    </a:blip>
                    <a:srcRect r="41062"/>
                    <a:stretch/>
                  </pic:blipFill>
                  <pic:spPr bwMode="auto">
                    <a:xfrm>
                      <a:off x="0" y="0"/>
                      <a:ext cx="3105150" cy="113919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9209CA" w:rsidRPr="00702FE7">
        <w:rPr>
          <w:noProof/>
          <w:lang w:val="en-GB" w:eastAsia="en-GB"/>
        </w:rPr>
        <w:drawing>
          <wp:anchor distT="0" distB="0" distL="114300" distR="114300" simplePos="0" relativeHeight="251657216" behindDoc="0" locked="0" layoutInCell="1" allowOverlap="1" wp14:anchorId="7368F209" wp14:editId="76904001">
            <wp:simplePos x="0" y="0"/>
            <wp:positionH relativeFrom="column">
              <wp:posOffset>-457200</wp:posOffset>
            </wp:positionH>
            <wp:positionV relativeFrom="paragraph">
              <wp:posOffset>80010</wp:posOffset>
            </wp:positionV>
            <wp:extent cx="3105150" cy="1555750"/>
            <wp:effectExtent l="0" t="0" r="0" b="0"/>
            <wp:wrapSquare wrapText="bothSides"/>
            <wp:docPr id="1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29">
                      <a:extLst>
                        <a:ext uri="{28A0092B-C50C-407E-A947-70E740481C1C}">
                          <a14:useLocalDpi xmlns:a14="http://schemas.microsoft.com/office/drawing/2010/main" val="0"/>
                        </a:ext>
                      </a:extLst>
                    </a:blip>
                    <a:srcRect r="41077"/>
                    <a:stretch/>
                  </pic:blipFill>
                  <pic:spPr bwMode="auto">
                    <a:xfrm>
                      <a:off x="0" y="0"/>
                      <a:ext cx="3105150" cy="155575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DC55D32" w14:textId="37DE62A7" w:rsidR="009209CA" w:rsidRPr="00702FE7" w:rsidRDefault="009209CA" w:rsidP="00BC42EA"/>
    <w:p w14:paraId="7A68AB59" w14:textId="77777777" w:rsidR="009209CA" w:rsidRPr="00702FE7" w:rsidRDefault="009209CA" w:rsidP="00BC42EA"/>
    <w:p w14:paraId="6F2FA71A" w14:textId="2430C5BA" w:rsidR="009209CA" w:rsidRPr="00702FE7" w:rsidRDefault="009209CA" w:rsidP="00BC42EA">
      <w:r w:rsidRPr="00702FE7">
        <w:t>Subsample high governance:</w:t>
      </w:r>
    </w:p>
    <w:p w14:paraId="05EF5F32" w14:textId="629E6BE6" w:rsidR="009209CA" w:rsidRPr="00702FE7" w:rsidRDefault="00A42B69" w:rsidP="00BC42EA">
      <w:r w:rsidRPr="00702FE7">
        <w:rPr>
          <w:noProof/>
          <w:lang w:val="en-GB" w:eastAsia="en-GB"/>
        </w:rPr>
        <w:drawing>
          <wp:anchor distT="0" distB="0" distL="114300" distR="114300" simplePos="0" relativeHeight="251660288" behindDoc="0" locked="0" layoutInCell="1" allowOverlap="1" wp14:anchorId="6DCADE32" wp14:editId="16F46FDC">
            <wp:simplePos x="0" y="0"/>
            <wp:positionH relativeFrom="column">
              <wp:posOffset>-571500</wp:posOffset>
            </wp:positionH>
            <wp:positionV relativeFrom="paragraph">
              <wp:posOffset>11430</wp:posOffset>
            </wp:positionV>
            <wp:extent cx="3086735" cy="1656715"/>
            <wp:effectExtent l="0" t="0" r="12065" b="0"/>
            <wp:wrapSquare wrapText="bothSides"/>
            <wp:docPr id="19"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30">
                      <a:extLst>
                        <a:ext uri="{28A0092B-C50C-407E-A947-70E740481C1C}">
                          <a14:useLocalDpi xmlns:a14="http://schemas.microsoft.com/office/drawing/2010/main" val="0"/>
                        </a:ext>
                      </a:extLst>
                    </a:blip>
                    <a:srcRect r="41412"/>
                    <a:stretch/>
                  </pic:blipFill>
                  <pic:spPr bwMode="auto">
                    <a:xfrm>
                      <a:off x="0" y="0"/>
                      <a:ext cx="3086735" cy="165671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4CBA6C1" w14:textId="729E3A22" w:rsidR="00A42B69" w:rsidRPr="00702FE7" w:rsidRDefault="00FA27D8" w:rsidP="00BC42EA">
      <w:r w:rsidRPr="00702FE7">
        <w:rPr>
          <w:noProof/>
          <w:lang w:val="en-GB" w:eastAsia="en-GB"/>
        </w:rPr>
        <w:drawing>
          <wp:anchor distT="0" distB="0" distL="114300" distR="114300" simplePos="0" relativeHeight="251661312" behindDoc="0" locked="0" layoutInCell="1" allowOverlap="1" wp14:anchorId="536F7C5D" wp14:editId="3A740A63">
            <wp:simplePos x="0" y="0"/>
            <wp:positionH relativeFrom="column">
              <wp:posOffset>2711045</wp:posOffset>
            </wp:positionH>
            <wp:positionV relativeFrom="paragraph">
              <wp:posOffset>205740</wp:posOffset>
            </wp:positionV>
            <wp:extent cx="3077845" cy="1139190"/>
            <wp:effectExtent l="0" t="0" r="0" b="3810"/>
            <wp:wrapSquare wrapText="bothSides"/>
            <wp:docPr id="22"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rotWithShape="1">
                    <a:blip r:embed="rId31">
                      <a:extLst>
                        <a:ext uri="{28A0092B-C50C-407E-A947-70E740481C1C}">
                          <a14:useLocalDpi xmlns:a14="http://schemas.microsoft.com/office/drawing/2010/main" val="0"/>
                        </a:ext>
                      </a:extLst>
                    </a:blip>
                    <a:srcRect l="-1" r="41481"/>
                    <a:stretch/>
                  </pic:blipFill>
                  <pic:spPr bwMode="auto">
                    <a:xfrm>
                      <a:off x="0" y="0"/>
                      <a:ext cx="3077845" cy="113919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706D107" w14:textId="77777777" w:rsidR="00A42B69" w:rsidRPr="00702FE7" w:rsidRDefault="00A42B69" w:rsidP="00BC42EA"/>
    <w:p w14:paraId="2B8DBAF5" w14:textId="77777777" w:rsidR="00A42B69" w:rsidRPr="00702FE7" w:rsidRDefault="00A42B69" w:rsidP="00BC42EA"/>
    <w:p w14:paraId="0A8660D6" w14:textId="73ADED05" w:rsidR="009209CA" w:rsidRPr="00702FE7" w:rsidRDefault="009209CA" w:rsidP="00BC42EA">
      <w:r w:rsidRPr="00702FE7">
        <w:t>Subsample low governance:</w:t>
      </w:r>
    </w:p>
    <w:p w14:paraId="547F1388" w14:textId="6A9B569A" w:rsidR="009209CA" w:rsidRPr="00702FE7" w:rsidRDefault="00A42B69" w:rsidP="00BC42EA">
      <w:r w:rsidRPr="00702FE7">
        <w:rPr>
          <w:noProof/>
          <w:lang w:val="en-GB" w:eastAsia="en-GB"/>
        </w:rPr>
        <w:drawing>
          <wp:anchor distT="0" distB="0" distL="114300" distR="114300" simplePos="0" relativeHeight="251663360" behindDoc="0" locked="0" layoutInCell="1" allowOverlap="1" wp14:anchorId="030F5587" wp14:editId="10BF4C0A">
            <wp:simplePos x="0" y="0"/>
            <wp:positionH relativeFrom="column">
              <wp:posOffset>2628900</wp:posOffset>
            </wp:positionH>
            <wp:positionV relativeFrom="paragraph">
              <wp:posOffset>434340</wp:posOffset>
            </wp:positionV>
            <wp:extent cx="3141345" cy="1139190"/>
            <wp:effectExtent l="0" t="0" r="8255" b="3810"/>
            <wp:wrapSquare wrapText="bothSides"/>
            <wp:docPr id="23"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32">
                      <a:extLst>
                        <a:ext uri="{28A0092B-C50C-407E-A947-70E740481C1C}">
                          <a14:useLocalDpi xmlns:a14="http://schemas.microsoft.com/office/drawing/2010/main" val="0"/>
                        </a:ext>
                      </a:extLst>
                    </a:blip>
                    <a:srcRect r="40375"/>
                    <a:stretch/>
                  </pic:blipFill>
                  <pic:spPr bwMode="auto">
                    <a:xfrm>
                      <a:off x="0" y="0"/>
                      <a:ext cx="3141345" cy="113919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9209CA" w:rsidRPr="00702FE7">
        <w:rPr>
          <w:noProof/>
          <w:lang w:val="en-GB" w:eastAsia="en-GB"/>
        </w:rPr>
        <w:drawing>
          <wp:anchor distT="0" distB="0" distL="114300" distR="114300" simplePos="0" relativeHeight="251662336" behindDoc="0" locked="0" layoutInCell="1" allowOverlap="1" wp14:anchorId="743FA221" wp14:editId="15D4C778">
            <wp:simplePos x="0" y="0"/>
            <wp:positionH relativeFrom="column">
              <wp:posOffset>-685800</wp:posOffset>
            </wp:positionH>
            <wp:positionV relativeFrom="paragraph">
              <wp:posOffset>91440</wp:posOffset>
            </wp:positionV>
            <wp:extent cx="3141345" cy="1555750"/>
            <wp:effectExtent l="0" t="0" r="8255" b="0"/>
            <wp:wrapSquare wrapText="bothSides"/>
            <wp:docPr id="20"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33">
                      <a:extLst>
                        <a:ext uri="{28A0092B-C50C-407E-A947-70E740481C1C}">
                          <a14:useLocalDpi xmlns:a14="http://schemas.microsoft.com/office/drawing/2010/main" val="0"/>
                        </a:ext>
                      </a:extLst>
                    </a:blip>
                    <a:srcRect r="40390"/>
                    <a:stretch/>
                  </pic:blipFill>
                  <pic:spPr bwMode="auto">
                    <a:xfrm>
                      <a:off x="0" y="0"/>
                      <a:ext cx="3141345" cy="155575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D19BDA5" w14:textId="77777777" w:rsidR="00A42B69" w:rsidRPr="00702FE7" w:rsidRDefault="00A42B69" w:rsidP="00BC42EA"/>
    <w:p w14:paraId="6F8D3210" w14:textId="77777777" w:rsidR="00A42B69" w:rsidRPr="00702FE7" w:rsidRDefault="00A42B69" w:rsidP="00BC42EA"/>
    <w:p w14:paraId="16C688D3" w14:textId="77777777" w:rsidR="00A42B69" w:rsidRPr="00702FE7" w:rsidRDefault="00A42B69" w:rsidP="00BC42EA"/>
    <w:sectPr w:rsidR="00A42B69" w:rsidRPr="00702FE7" w:rsidSect="00BC1C25">
      <w:footerReference w:type="even" r:id="rId34"/>
      <w:footerReference w:type="default" r:id="rId35"/>
      <w:pgSz w:w="11900" w:h="16840"/>
      <w:pgMar w:top="1440" w:right="1800" w:bottom="1440" w:left="1800"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D07A4FD" w14:textId="77777777" w:rsidR="00C9588D" w:rsidRDefault="00C9588D" w:rsidP="00BC42EA">
      <w:r>
        <w:separator/>
      </w:r>
    </w:p>
    <w:p w14:paraId="59518168" w14:textId="77777777" w:rsidR="00C9588D" w:rsidRDefault="00C9588D"/>
  </w:endnote>
  <w:endnote w:type="continuationSeparator" w:id="0">
    <w:p w14:paraId="3DAC0DB4" w14:textId="77777777" w:rsidR="00C9588D" w:rsidRDefault="00C9588D" w:rsidP="00BC42EA">
      <w:r>
        <w:continuationSeparator/>
      </w:r>
    </w:p>
    <w:p w14:paraId="0C968CFB" w14:textId="77777777" w:rsidR="00C9588D" w:rsidRDefault="00C9588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Lucida Grande">
    <w:altName w:val="Times New Roman"/>
    <w:charset w:val="00"/>
    <w:family w:val="auto"/>
    <w:pitch w:val="variable"/>
    <w:sig w:usb0="00000000" w:usb1="5000A1FF" w:usb2="00000000" w:usb3="00000000" w:csb0="000001B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7707455" w14:textId="77777777" w:rsidR="00465169" w:rsidRDefault="00465169" w:rsidP="00BC42EA">
    <w:pPr>
      <w:pStyle w:val="Footer"/>
      <w:rPr>
        <w:rStyle w:val="PageNumber"/>
      </w:rPr>
    </w:pPr>
    <w:r>
      <w:rPr>
        <w:rStyle w:val="PageNumber"/>
      </w:rPr>
      <w:fldChar w:fldCharType="begin"/>
    </w:r>
    <w:r>
      <w:rPr>
        <w:rStyle w:val="PageNumber"/>
      </w:rPr>
      <w:instrText xml:space="preserve">PAGE  </w:instrText>
    </w:r>
    <w:r>
      <w:rPr>
        <w:rStyle w:val="PageNumber"/>
      </w:rPr>
      <w:fldChar w:fldCharType="end"/>
    </w:r>
  </w:p>
  <w:p w14:paraId="0577291A" w14:textId="77777777" w:rsidR="00465169" w:rsidRDefault="00465169" w:rsidP="00BC42EA">
    <w:pPr>
      <w:pStyle w:val="Footer"/>
    </w:pPr>
  </w:p>
  <w:p w14:paraId="5C03D1B0" w14:textId="77777777" w:rsidR="00465169" w:rsidRDefault="00465169"/>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11BF741" w14:textId="77777777" w:rsidR="00465169" w:rsidRDefault="00465169" w:rsidP="00BC42EA">
    <w:pPr>
      <w:pStyle w:val="Footer"/>
      <w:rPr>
        <w:rStyle w:val="PageNumber"/>
      </w:rPr>
    </w:pPr>
    <w:r>
      <w:rPr>
        <w:rStyle w:val="PageNumber"/>
      </w:rPr>
      <w:fldChar w:fldCharType="begin"/>
    </w:r>
    <w:r>
      <w:rPr>
        <w:rStyle w:val="PageNumber"/>
      </w:rPr>
      <w:instrText xml:space="preserve">PAGE  </w:instrText>
    </w:r>
    <w:r>
      <w:rPr>
        <w:rStyle w:val="PageNumber"/>
      </w:rPr>
      <w:fldChar w:fldCharType="separate"/>
    </w:r>
    <w:r w:rsidR="009872C9">
      <w:rPr>
        <w:rStyle w:val="PageNumber"/>
        <w:noProof/>
      </w:rPr>
      <w:t>4</w:t>
    </w:r>
    <w:r>
      <w:rPr>
        <w:rStyle w:val="PageNumber"/>
      </w:rPr>
      <w:fldChar w:fldCharType="end"/>
    </w:r>
  </w:p>
  <w:p w14:paraId="3CBEDEFF" w14:textId="77777777" w:rsidR="00465169" w:rsidRDefault="0046516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16EA412" w14:textId="77777777" w:rsidR="00C9588D" w:rsidRDefault="00C9588D" w:rsidP="00BC42EA">
      <w:r>
        <w:separator/>
      </w:r>
    </w:p>
    <w:p w14:paraId="6C99203A" w14:textId="77777777" w:rsidR="00C9588D" w:rsidRDefault="00C9588D"/>
  </w:footnote>
  <w:footnote w:type="continuationSeparator" w:id="0">
    <w:p w14:paraId="57C8C240" w14:textId="77777777" w:rsidR="00C9588D" w:rsidRDefault="00C9588D" w:rsidP="00BC42EA">
      <w:r>
        <w:continuationSeparator/>
      </w:r>
    </w:p>
    <w:p w14:paraId="4BD10517" w14:textId="77777777" w:rsidR="00C9588D" w:rsidRDefault="00C9588D"/>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C9E66E7"/>
    <w:multiLevelType w:val="multilevel"/>
    <w:tmpl w:val="0D9EACC2"/>
    <w:lvl w:ilvl="0">
      <w:start w:val="1"/>
      <w:numFmt w:val="decimal"/>
      <w:lvlText w:val="%1."/>
      <w:lvlJc w:val="left"/>
      <w:pPr>
        <w:tabs>
          <w:tab w:val="num" w:pos="360"/>
        </w:tabs>
        <w:ind w:left="360" w:hanging="360"/>
      </w:p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 w15:restartNumberingAfterBreak="0">
    <w:nsid w:val="6E9B0635"/>
    <w:multiLevelType w:val="hybridMultilevel"/>
    <w:tmpl w:val="C2D03340"/>
    <w:lvl w:ilvl="0" w:tplc="CCC8BC42">
      <w:start w:val="8"/>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revisionView w:inkAnnotations="0"/>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1116"/>
    <w:rsid w:val="00001758"/>
    <w:rsid w:val="00001BD9"/>
    <w:rsid w:val="00002D1D"/>
    <w:rsid w:val="00005459"/>
    <w:rsid w:val="000060A4"/>
    <w:rsid w:val="00007AC7"/>
    <w:rsid w:val="00020C4D"/>
    <w:rsid w:val="000273ED"/>
    <w:rsid w:val="00034F9B"/>
    <w:rsid w:val="00035519"/>
    <w:rsid w:val="0004045D"/>
    <w:rsid w:val="00046142"/>
    <w:rsid w:val="00050F67"/>
    <w:rsid w:val="000524DC"/>
    <w:rsid w:val="00066F0C"/>
    <w:rsid w:val="00067A62"/>
    <w:rsid w:val="00074A72"/>
    <w:rsid w:val="00084A58"/>
    <w:rsid w:val="0008770D"/>
    <w:rsid w:val="00093539"/>
    <w:rsid w:val="00093C3C"/>
    <w:rsid w:val="000950E4"/>
    <w:rsid w:val="00097221"/>
    <w:rsid w:val="000A6E00"/>
    <w:rsid w:val="000B699E"/>
    <w:rsid w:val="000E0852"/>
    <w:rsid w:val="001005DF"/>
    <w:rsid w:val="00107A3B"/>
    <w:rsid w:val="00112166"/>
    <w:rsid w:val="00117835"/>
    <w:rsid w:val="00156094"/>
    <w:rsid w:val="00157C95"/>
    <w:rsid w:val="0016441E"/>
    <w:rsid w:val="0017388E"/>
    <w:rsid w:val="00173AAB"/>
    <w:rsid w:val="0017793C"/>
    <w:rsid w:val="00180D2E"/>
    <w:rsid w:val="00192705"/>
    <w:rsid w:val="0019272A"/>
    <w:rsid w:val="0019312C"/>
    <w:rsid w:val="001A182D"/>
    <w:rsid w:val="001B2FC3"/>
    <w:rsid w:val="001B50B5"/>
    <w:rsid w:val="001B62EA"/>
    <w:rsid w:val="001B7581"/>
    <w:rsid w:val="001D7AFA"/>
    <w:rsid w:val="001E6B60"/>
    <w:rsid w:val="001E7C25"/>
    <w:rsid w:val="002008C9"/>
    <w:rsid w:val="0020142E"/>
    <w:rsid w:val="002043B5"/>
    <w:rsid w:val="00207018"/>
    <w:rsid w:val="0021324E"/>
    <w:rsid w:val="00216BD3"/>
    <w:rsid w:val="00226029"/>
    <w:rsid w:val="0023214D"/>
    <w:rsid w:val="00240D9A"/>
    <w:rsid w:val="00243798"/>
    <w:rsid w:val="0025138F"/>
    <w:rsid w:val="00257A13"/>
    <w:rsid w:val="002634B6"/>
    <w:rsid w:val="00265A95"/>
    <w:rsid w:val="00290A92"/>
    <w:rsid w:val="00296E4B"/>
    <w:rsid w:val="002A4380"/>
    <w:rsid w:val="002B66A7"/>
    <w:rsid w:val="002C1649"/>
    <w:rsid w:val="002D2E6D"/>
    <w:rsid w:val="002D6654"/>
    <w:rsid w:val="002E2A3D"/>
    <w:rsid w:val="002E4017"/>
    <w:rsid w:val="002E5383"/>
    <w:rsid w:val="002F1DF2"/>
    <w:rsid w:val="00300352"/>
    <w:rsid w:val="00306871"/>
    <w:rsid w:val="00317F02"/>
    <w:rsid w:val="00321BD0"/>
    <w:rsid w:val="003406B8"/>
    <w:rsid w:val="00345A08"/>
    <w:rsid w:val="003606E1"/>
    <w:rsid w:val="00360A9F"/>
    <w:rsid w:val="00382825"/>
    <w:rsid w:val="0039178A"/>
    <w:rsid w:val="003E5F6F"/>
    <w:rsid w:val="0040093F"/>
    <w:rsid w:val="00416184"/>
    <w:rsid w:val="00417C61"/>
    <w:rsid w:val="0042107E"/>
    <w:rsid w:val="0043495D"/>
    <w:rsid w:val="004537D1"/>
    <w:rsid w:val="00454A1C"/>
    <w:rsid w:val="004638DC"/>
    <w:rsid w:val="00465169"/>
    <w:rsid w:val="00465780"/>
    <w:rsid w:val="0046744F"/>
    <w:rsid w:val="0047132C"/>
    <w:rsid w:val="00481273"/>
    <w:rsid w:val="00482C88"/>
    <w:rsid w:val="004877F2"/>
    <w:rsid w:val="004879E5"/>
    <w:rsid w:val="0049389E"/>
    <w:rsid w:val="004A2FF4"/>
    <w:rsid w:val="004B010B"/>
    <w:rsid w:val="004B0883"/>
    <w:rsid w:val="004C1116"/>
    <w:rsid w:val="004D3EE7"/>
    <w:rsid w:val="004D3F02"/>
    <w:rsid w:val="004D7927"/>
    <w:rsid w:val="004D7CFA"/>
    <w:rsid w:val="004F3BED"/>
    <w:rsid w:val="004F4644"/>
    <w:rsid w:val="00512B7F"/>
    <w:rsid w:val="00522273"/>
    <w:rsid w:val="00522A41"/>
    <w:rsid w:val="00523357"/>
    <w:rsid w:val="005324EF"/>
    <w:rsid w:val="00537E42"/>
    <w:rsid w:val="0054107E"/>
    <w:rsid w:val="00547EE3"/>
    <w:rsid w:val="00551F16"/>
    <w:rsid w:val="00553BFB"/>
    <w:rsid w:val="005573B9"/>
    <w:rsid w:val="00560A42"/>
    <w:rsid w:val="00564A96"/>
    <w:rsid w:val="00571DFF"/>
    <w:rsid w:val="005721AC"/>
    <w:rsid w:val="00573633"/>
    <w:rsid w:val="005C6E65"/>
    <w:rsid w:val="005C7161"/>
    <w:rsid w:val="005D0068"/>
    <w:rsid w:val="005D00D0"/>
    <w:rsid w:val="005D2539"/>
    <w:rsid w:val="005E2687"/>
    <w:rsid w:val="005F49CC"/>
    <w:rsid w:val="005F7259"/>
    <w:rsid w:val="00602A74"/>
    <w:rsid w:val="0063076F"/>
    <w:rsid w:val="00632123"/>
    <w:rsid w:val="00634F76"/>
    <w:rsid w:val="00646BE8"/>
    <w:rsid w:val="006475EA"/>
    <w:rsid w:val="0065483F"/>
    <w:rsid w:val="006700D5"/>
    <w:rsid w:val="00673DC9"/>
    <w:rsid w:val="00675B33"/>
    <w:rsid w:val="006969FA"/>
    <w:rsid w:val="006A3F45"/>
    <w:rsid w:val="006B0F4A"/>
    <w:rsid w:val="006C2A6E"/>
    <w:rsid w:val="006D6796"/>
    <w:rsid w:val="006E7A70"/>
    <w:rsid w:val="00702FE7"/>
    <w:rsid w:val="00706330"/>
    <w:rsid w:val="00707547"/>
    <w:rsid w:val="00714B78"/>
    <w:rsid w:val="00730FFB"/>
    <w:rsid w:val="007331B9"/>
    <w:rsid w:val="00734342"/>
    <w:rsid w:val="00734B1A"/>
    <w:rsid w:val="00736960"/>
    <w:rsid w:val="00736FE7"/>
    <w:rsid w:val="0075504E"/>
    <w:rsid w:val="007610F6"/>
    <w:rsid w:val="007641AC"/>
    <w:rsid w:val="007770A5"/>
    <w:rsid w:val="00777168"/>
    <w:rsid w:val="007913F3"/>
    <w:rsid w:val="00793035"/>
    <w:rsid w:val="007B7268"/>
    <w:rsid w:val="007C1310"/>
    <w:rsid w:val="007C4980"/>
    <w:rsid w:val="007E060D"/>
    <w:rsid w:val="007E094A"/>
    <w:rsid w:val="007E310C"/>
    <w:rsid w:val="007F3642"/>
    <w:rsid w:val="0080447E"/>
    <w:rsid w:val="00831081"/>
    <w:rsid w:val="008314FB"/>
    <w:rsid w:val="00832CDE"/>
    <w:rsid w:val="00840FB0"/>
    <w:rsid w:val="0084322D"/>
    <w:rsid w:val="00864467"/>
    <w:rsid w:val="00865763"/>
    <w:rsid w:val="00865BB5"/>
    <w:rsid w:val="00870680"/>
    <w:rsid w:val="00871150"/>
    <w:rsid w:val="008914C3"/>
    <w:rsid w:val="00891BE4"/>
    <w:rsid w:val="008946CE"/>
    <w:rsid w:val="00897059"/>
    <w:rsid w:val="008A1E77"/>
    <w:rsid w:val="008A25BC"/>
    <w:rsid w:val="008A644E"/>
    <w:rsid w:val="008B2887"/>
    <w:rsid w:val="008C21D4"/>
    <w:rsid w:val="008D4F30"/>
    <w:rsid w:val="008E22EC"/>
    <w:rsid w:val="008E6D5C"/>
    <w:rsid w:val="009206EF"/>
    <w:rsid w:val="009209CA"/>
    <w:rsid w:val="009234D3"/>
    <w:rsid w:val="00931510"/>
    <w:rsid w:val="00932B6B"/>
    <w:rsid w:val="00936131"/>
    <w:rsid w:val="009376BF"/>
    <w:rsid w:val="0094065E"/>
    <w:rsid w:val="009456B0"/>
    <w:rsid w:val="009503D1"/>
    <w:rsid w:val="0097392D"/>
    <w:rsid w:val="00974D27"/>
    <w:rsid w:val="00982B0D"/>
    <w:rsid w:val="00984C44"/>
    <w:rsid w:val="009872C9"/>
    <w:rsid w:val="009911CC"/>
    <w:rsid w:val="009B000D"/>
    <w:rsid w:val="009C3320"/>
    <w:rsid w:val="009C5B37"/>
    <w:rsid w:val="009D46F8"/>
    <w:rsid w:val="009E02C3"/>
    <w:rsid w:val="00A0035A"/>
    <w:rsid w:val="00A17AD7"/>
    <w:rsid w:val="00A31E45"/>
    <w:rsid w:val="00A42B69"/>
    <w:rsid w:val="00A448A7"/>
    <w:rsid w:val="00A5232F"/>
    <w:rsid w:val="00A56CC8"/>
    <w:rsid w:val="00A64FDE"/>
    <w:rsid w:val="00A66348"/>
    <w:rsid w:val="00A716E7"/>
    <w:rsid w:val="00A74E63"/>
    <w:rsid w:val="00A87DEB"/>
    <w:rsid w:val="00AA3735"/>
    <w:rsid w:val="00AB18E5"/>
    <w:rsid w:val="00AB666F"/>
    <w:rsid w:val="00AC4A8B"/>
    <w:rsid w:val="00AC4E62"/>
    <w:rsid w:val="00AC56A4"/>
    <w:rsid w:val="00AD2461"/>
    <w:rsid w:val="00AF41AB"/>
    <w:rsid w:val="00B0034B"/>
    <w:rsid w:val="00B12FF7"/>
    <w:rsid w:val="00B326A7"/>
    <w:rsid w:val="00B3311F"/>
    <w:rsid w:val="00B3639C"/>
    <w:rsid w:val="00B57969"/>
    <w:rsid w:val="00B92070"/>
    <w:rsid w:val="00BB2268"/>
    <w:rsid w:val="00BC1C25"/>
    <w:rsid w:val="00BC42EA"/>
    <w:rsid w:val="00BC473E"/>
    <w:rsid w:val="00BC6155"/>
    <w:rsid w:val="00C0052F"/>
    <w:rsid w:val="00C01529"/>
    <w:rsid w:val="00C03A2D"/>
    <w:rsid w:val="00C15220"/>
    <w:rsid w:val="00C224D1"/>
    <w:rsid w:val="00C3754A"/>
    <w:rsid w:val="00C451AD"/>
    <w:rsid w:val="00C4593E"/>
    <w:rsid w:val="00C5447D"/>
    <w:rsid w:val="00C55DF3"/>
    <w:rsid w:val="00C63AD1"/>
    <w:rsid w:val="00C71CE7"/>
    <w:rsid w:val="00C72EF6"/>
    <w:rsid w:val="00C754BC"/>
    <w:rsid w:val="00C7656F"/>
    <w:rsid w:val="00C77656"/>
    <w:rsid w:val="00C77C70"/>
    <w:rsid w:val="00C90FA8"/>
    <w:rsid w:val="00C9588D"/>
    <w:rsid w:val="00CB7DC1"/>
    <w:rsid w:val="00CB7DD3"/>
    <w:rsid w:val="00CC3C7B"/>
    <w:rsid w:val="00CE3159"/>
    <w:rsid w:val="00CF7F30"/>
    <w:rsid w:val="00D001D7"/>
    <w:rsid w:val="00D12443"/>
    <w:rsid w:val="00D27D9C"/>
    <w:rsid w:val="00D33BE5"/>
    <w:rsid w:val="00D50D31"/>
    <w:rsid w:val="00D52B8A"/>
    <w:rsid w:val="00D60D6E"/>
    <w:rsid w:val="00D734C1"/>
    <w:rsid w:val="00D74B93"/>
    <w:rsid w:val="00D83FAC"/>
    <w:rsid w:val="00D852C1"/>
    <w:rsid w:val="00D905B1"/>
    <w:rsid w:val="00D90AA8"/>
    <w:rsid w:val="00D96607"/>
    <w:rsid w:val="00DA62E9"/>
    <w:rsid w:val="00DB6C38"/>
    <w:rsid w:val="00DC6793"/>
    <w:rsid w:val="00DE3931"/>
    <w:rsid w:val="00DF0898"/>
    <w:rsid w:val="00DF624C"/>
    <w:rsid w:val="00E01310"/>
    <w:rsid w:val="00E13E13"/>
    <w:rsid w:val="00E1430D"/>
    <w:rsid w:val="00E23998"/>
    <w:rsid w:val="00E24311"/>
    <w:rsid w:val="00E32317"/>
    <w:rsid w:val="00E34428"/>
    <w:rsid w:val="00E745FB"/>
    <w:rsid w:val="00E97319"/>
    <w:rsid w:val="00EC10D9"/>
    <w:rsid w:val="00EC15C0"/>
    <w:rsid w:val="00EC1F9B"/>
    <w:rsid w:val="00ED6510"/>
    <w:rsid w:val="00EE1B37"/>
    <w:rsid w:val="00F03146"/>
    <w:rsid w:val="00F14AA4"/>
    <w:rsid w:val="00F25FC6"/>
    <w:rsid w:val="00F31AC8"/>
    <w:rsid w:val="00F3481D"/>
    <w:rsid w:val="00F409B3"/>
    <w:rsid w:val="00F51AC3"/>
    <w:rsid w:val="00F52AEC"/>
    <w:rsid w:val="00F61DF9"/>
    <w:rsid w:val="00F66F13"/>
    <w:rsid w:val="00F745D3"/>
    <w:rsid w:val="00F940CC"/>
    <w:rsid w:val="00F96179"/>
    <w:rsid w:val="00FA27D8"/>
    <w:rsid w:val="00FC69C8"/>
    <w:rsid w:val="00FF7344"/>
  </w:rsids>
  <m:mathPr>
    <m:mathFont m:val="Cambria Math"/>
    <m:brkBin m:val="before"/>
    <m:brkBinSub m:val="--"/>
    <m:smallFrac m:val="0"/>
    <m:dispDef/>
    <m:lMargin m:val="0"/>
    <m:rMargin m:val="0"/>
    <m:defJc m:val="centerGroup"/>
    <m:wrapIndent m:val="1440"/>
    <m:intLim m:val="subSup"/>
    <m:naryLim m:val="undOvr"/>
  </m:mathPr>
  <w:themeFontLang w:val="nl-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4257304"/>
  <w14:defaultImageDpi w14:val="300"/>
  <w15:docId w15:val="{763877BE-802C-4697-9A2F-05CEADED35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nl-NL"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C42EA"/>
    <w:pPr>
      <w:spacing w:line="360" w:lineRule="auto"/>
      <w:jc w:val="both"/>
    </w:pPr>
    <w:rPr>
      <w:rFonts w:ascii="Arial" w:hAnsi="Arial"/>
      <w:lang w:val="en-US"/>
    </w:rPr>
  </w:style>
  <w:style w:type="paragraph" w:styleId="Heading1">
    <w:name w:val="heading 1"/>
    <w:basedOn w:val="Normal"/>
    <w:next w:val="Normal"/>
    <w:link w:val="Heading1Char"/>
    <w:uiPriority w:val="9"/>
    <w:qFormat/>
    <w:rsid w:val="004C1116"/>
    <w:pPr>
      <w:keepNext/>
      <w:keepLines/>
      <w:spacing w:before="480"/>
      <w:outlineLvl w:val="0"/>
    </w:pPr>
    <w:rPr>
      <w:rFonts w:eastAsiaTheme="majorEastAsia"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8D4F30"/>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BC1C25"/>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BC1C25"/>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4C1116"/>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4C1116"/>
    <w:rPr>
      <w:rFonts w:asciiTheme="majorHAnsi" w:eastAsiaTheme="majorEastAsia" w:hAnsiTheme="majorHAnsi" w:cstheme="majorBidi"/>
      <w:color w:val="17365D" w:themeColor="text2" w:themeShade="BF"/>
      <w:spacing w:val="5"/>
      <w:kern w:val="28"/>
      <w:sz w:val="52"/>
      <w:szCs w:val="52"/>
      <w:lang w:val="en-GB"/>
    </w:rPr>
  </w:style>
  <w:style w:type="paragraph" w:styleId="Subtitle">
    <w:name w:val="Subtitle"/>
    <w:basedOn w:val="Normal"/>
    <w:next w:val="Normal"/>
    <w:link w:val="SubtitleChar"/>
    <w:uiPriority w:val="11"/>
    <w:qFormat/>
    <w:rsid w:val="004C1116"/>
    <w:pPr>
      <w:numPr>
        <w:ilvl w:val="1"/>
      </w:numPr>
    </w:pPr>
    <w:rPr>
      <w:rFonts w:asciiTheme="majorHAnsi" w:eastAsiaTheme="majorEastAsia" w:hAnsiTheme="majorHAnsi" w:cstheme="majorBidi"/>
      <w:i/>
      <w:iCs/>
      <w:color w:val="4F81BD" w:themeColor="accent1"/>
      <w:spacing w:val="15"/>
    </w:rPr>
  </w:style>
  <w:style w:type="character" w:customStyle="1" w:styleId="SubtitleChar">
    <w:name w:val="Subtitle Char"/>
    <w:basedOn w:val="DefaultParagraphFont"/>
    <w:link w:val="Subtitle"/>
    <w:uiPriority w:val="11"/>
    <w:rsid w:val="004C1116"/>
    <w:rPr>
      <w:rFonts w:asciiTheme="majorHAnsi" w:eastAsiaTheme="majorEastAsia" w:hAnsiTheme="majorHAnsi" w:cstheme="majorBidi"/>
      <w:i/>
      <w:iCs/>
      <w:color w:val="4F81BD" w:themeColor="accent1"/>
      <w:spacing w:val="15"/>
      <w:lang w:val="en-GB"/>
    </w:rPr>
  </w:style>
  <w:style w:type="character" w:customStyle="1" w:styleId="Heading1Char">
    <w:name w:val="Heading 1 Char"/>
    <w:basedOn w:val="DefaultParagraphFont"/>
    <w:link w:val="Heading1"/>
    <w:uiPriority w:val="9"/>
    <w:rsid w:val="004C1116"/>
    <w:rPr>
      <w:rFonts w:ascii="Arial" w:eastAsiaTheme="majorEastAsia" w:hAnsi="Arial" w:cstheme="majorBidi"/>
      <w:b/>
      <w:bCs/>
      <w:color w:val="345A8A" w:themeColor="accent1" w:themeShade="B5"/>
      <w:sz w:val="32"/>
      <w:szCs w:val="32"/>
      <w:lang w:val="en-GB"/>
    </w:rPr>
  </w:style>
  <w:style w:type="paragraph" w:styleId="BalloonText">
    <w:name w:val="Balloon Text"/>
    <w:basedOn w:val="Normal"/>
    <w:link w:val="BalloonTextChar"/>
    <w:uiPriority w:val="99"/>
    <w:semiHidden/>
    <w:unhideWhenUsed/>
    <w:rsid w:val="00173AAB"/>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73AAB"/>
    <w:rPr>
      <w:rFonts w:ascii="Lucida Grande" w:hAnsi="Lucida Grande" w:cs="Lucida Grande"/>
      <w:sz w:val="18"/>
      <w:szCs w:val="18"/>
      <w:lang w:val="en-GB"/>
    </w:rPr>
  </w:style>
  <w:style w:type="paragraph" w:styleId="ListParagraph">
    <w:name w:val="List Paragraph"/>
    <w:basedOn w:val="Normal"/>
    <w:uiPriority w:val="34"/>
    <w:qFormat/>
    <w:rsid w:val="007C4980"/>
    <w:pPr>
      <w:ind w:left="720"/>
      <w:contextualSpacing/>
    </w:pPr>
  </w:style>
  <w:style w:type="paragraph" w:styleId="Bibliography">
    <w:name w:val="Bibliography"/>
    <w:basedOn w:val="Normal"/>
    <w:next w:val="Normal"/>
    <w:uiPriority w:val="37"/>
    <w:unhideWhenUsed/>
    <w:rsid w:val="0017388E"/>
  </w:style>
  <w:style w:type="character" w:styleId="SubtleEmphasis">
    <w:name w:val="Subtle Emphasis"/>
    <w:aliases w:val="Legenda"/>
    <w:basedOn w:val="DefaultParagraphFont"/>
    <w:uiPriority w:val="19"/>
    <w:qFormat/>
    <w:rsid w:val="001A182D"/>
    <w:rPr>
      <w:i/>
      <w:iCs/>
      <w:color w:val="808080" w:themeColor="text1" w:themeTint="7F"/>
      <w:sz w:val="20"/>
      <w:szCs w:val="20"/>
    </w:rPr>
  </w:style>
  <w:style w:type="paragraph" w:styleId="TOCHeading">
    <w:name w:val="TOC Heading"/>
    <w:basedOn w:val="Heading1"/>
    <w:next w:val="Normal"/>
    <w:uiPriority w:val="39"/>
    <w:unhideWhenUsed/>
    <w:qFormat/>
    <w:rsid w:val="002F1DF2"/>
    <w:pPr>
      <w:spacing w:line="276" w:lineRule="auto"/>
      <w:jc w:val="left"/>
      <w:outlineLvl w:val="9"/>
    </w:pPr>
    <w:rPr>
      <w:rFonts w:asciiTheme="majorHAnsi" w:hAnsiTheme="majorHAnsi"/>
      <w:color w:val="365F91" w:themeColor="accent1" w:themeShade="BF"/>
      <w:sz w:val="28"/>
      <w:szCs w:val="28"/>
    </w:rPr>
  </w:style>
  <w:style w:type="paragraph" w:styleId="TOC1">
    <w:name w:val="toc 1"/>
    <w:basedOn w:val="Normal"/>
    <w:next w:val="Normal"/>
    <w:autoRedefine/>
    <w:uiPriority w:val="39"/>
    <w:unhideWhenUsed/>
    <w:rsid w:val="002F1DF2"/>
    <w:pPr>
      <w:spacing w:before="120"/>
      <w:jc w:val="left"/>
    </w:pPr>
    <w:rPr>
      <w:rFonts w:asciiTheme="minorHAnsi" w:hAnsiTheme="minorHAnsi"/>
      <w:b/>
      <w:sz w:val="22"/>
      <w:szCs w:val="22"/>
    </w:rPr>
  </w:style>
  <w:style w:type="paragraph" w:styleId="TOC2">
    <w:name w:val="toc 2"/>
    <w:basedOn w:val="Normal"/>
    <w:next w:val="Normal"/>
    <w:autoRedefine/>
    <w:uiPriority w:val="39"/>
    <w:unhideWhenUsed/>
    <w:rsid w:val="002F1DF2"/>
    <w:pPr>
      <w:ind w:left="240"/>
      <w:jc w:val="left"/>
    </w:pPr>
    <w:rPr>
      <w:rFonts w:asciiTheme="minorHAnsi" w:hAnsiTheme="minorHAnsi"/>
      <w:i/>
      <w:sz w:val="22"/>
      <w:szCs w:val="22"/>
    </w:rPr>
  </w:style>
  <w:style w:type="paragraph" w:styleId="TOC3">
    <w:name w:val="toc 3"/>
    <w:basedOn w:val="Normal"/>
    <w:next w:val="Normal"/>
    <w:autoRedefine/>
    <w:uiPriority w:val="39"/>
    <w:unhideWhenUsed/>
    <w:rsid w:val="002F1DF2"/>
    <w:pPr>
      <w:ind w:left="480"/>
      <w:jc w:val="left"/>
    </w:pPr>
    <w:rPr>
      <w:rFonts w:asciiTheme="minorHAnsi" w:hAnsiTheme="minorHAnsi"/>
      <w:sz w:val="22"/>
      <w:szCs w:val="22"/>
    </w:rPr>
  </w:style>
  <w:style w:type="paragraph" w:styleId="TOC4">
    <w:name w:val="toc 4"/>
    <w:basedOn w:val="Normal"/>
    <w:next w:val="Normal"/>
    <w:autoRedefine/>
    <w:uiPriority w:val="39"/>
    <w:unhideWhenUsed/>
    <w:rsid w:val="00001758"/>
    <w:pPr>
      <w:tabs>
        <w:tab w:val="right" w:leader="dot" w:pos="8290"/>
      </w:tabs>
      <w:spacing w:line="240" w:lineRule="auto"/>
      <w:ind w:left="720"/>
      <w:jc w:val="left"/>
    </w:pPr>
    <w:rPr>
      <w:rFonts w:asciiTheme="minorHAnsi" w:hAnsiTheme="minorHAnsi"/>
      <w:sz w:val="20"/>
      <w:szCs w:val="20"/>
    </w:rPr>
  </w:style>
  <w:style w:type="paragraph" w:styleId="TOC5">
    <w:name w:val="toc 5"/>
    <w:basedOn w:val="Normal"/>
    <w:next w:val="Normal"/>
    <w:autoRedefine/>
    <w:uiPriority w:val="39"/>
    <w:unhideWhenUsed/>
    <w:rsid w:val="002F1DF2"/>
    <w:pPr>
      <w:ind w:left="960"/>
      <w:jc w:val="left"/>
    </w:pPr>
    <w:rPr>
      <w:rFonts w:asciiTheme="minorHAnsi" w:hAnsiTheme="minorHAnsi"/>
      <w:sz w:val="20"/>
      <w:szCs w:val="20"/>
    </w:rPr>
  </w:style>
  <w:style w:type="paragraph" w:styleId="TOC6">
    <w:name w:val="toc 6"/>
    <w:basedOn w:val="Normal"/>
    <w:next w:val="Normal"/>
    <w:autoRedefine/>
    <w:uiPriority w:val="39"/>
    <w:unhideWhenUsed/>
    <w:rsid w:val="002F1DF2"/>
    <w:pPr>
      <w:ind w:left="1200"/>
      <w:jc w:val="left"/>
    </w:pPr>
    <w:rPr>
      <w:rFonts w:asciiTheme="minorHAnsi" w:hAnsiTheme="minorHAnsi"/>
      <w:sz w:val="20"/>
      <w:szCs w:val="20"/>
    </w:rPr>
  </w:style>
  <w:style w:type="paragraph" w:styleId="TOC7">
    <w:name w:val="toc 7"/>
    <w:basedOn w:val="Normal"/>
    <w:next w:val="Normal"/>
    <w:autoRedefine/>
    <w:uiPriority w:val="39"/>
    <w:unhideWhenUsed/>
    <w:rsid w:val="002F1DF2"/>
    <w:pPr>
      <w:ind w:left="1440"/>
      <w:jc w:val="left"/>
    </w:pPr>
    <w:rPr>
      <w:rFonts w:asciiTheme="minorHAnsi" w:hAnsiTheme="minorHAnsi"/>
      <w:sz w:val="20"/>
      <w:szCs w:val="20"/>
    </w:rPr>
  </w:style>
  <w:style w:type="paragraph" w:styleId="TOC8">
    <w:name w:val="toc 8"/>
    <w:basedOn w:val="Normal"/>
    <w:next w:val="Normal"/>
    <w:autoRedefine/>
    <w:uiPriority w:val="39"/>
    <w:unhideWhenUsed/>
    <w:rsid w:val="002F1DF2"/>
    <w:pPr>
      <w:ind w:left="1680"/>
      <w:jc w:val="left"/>
    </w:pPr>
    <w:rPr>
      <w:rFonts w:asciiTheme="minorHAnsi" w:hAnsiTheme="minorHAnsi"/>
      <w:sz w:val="20"/>
      <w:szCs w:val="20"/>
    </w:rPr>
  </w:style>
  <w:style w:type="paragraph" w:styleId="TOC9">
    <w:name w:val="toc 9"/>
    <w:basedOn w:val="Normal"/>
    <w:next w:val="Normal"/>
    <w:autoRedefine/>
    <w:uiPriority w:val="39"/>
    <w:unhideWhenUsed/>
    <w:rsid w:val="002F1DF2"/>
    <w:pPr>
      <w:ind w:left="1920"/>
      <w:jc w:val="left"/>
    </w:pPr>
    <w:rPr>
      <w:rFonts w:asciiTheme="minorHAnsi" w:hAnsiTheme="minorHAnsi"/>
      <w:sz w:val="20"/>
      <w:szCs w:val="20"/>
    </w:rPr>
  </w:style>
  <w:style w:type="character" w:customStyle="1" w:styleId="Heading2Char">
    <w:name w:val="Heading 2 Char"/>
    <w:basedOn w:val="DefaultParagraphFont"/>
    <w:link w:val="Heading2"/>
    <w:uiPriority w:val="9"/>
    <w:rsid w:val="008D4F30"/>
    <w:rPr>
      <w:rFonts w:asciiTheme="majorHAnsi" w:eastAsiaTheme="majorEastAsia" w:hAnsiTheme="majorHAnsi" w:cstheme="majorBidi"/>
      <w:b/>
      <w:bCs/>
      <w:color w:val="4F81BD" w:themeColor="accent1"/>
      <w:sz w:val="26"/>
      <w:szCs w:val="26"/>
      <w:lang w:val="en-US"/>
    </w:rPr>
  </w:style>
  <w:style w:type="paragraph" w:styleId="Footer">
    <w:name w:val="footer"/>
    <w:basedOn w:val="Normal"/>
    <w:link w:val="FooterChar"/>
    <w:uiPriority w:val="99"/>
    <w:unhideWhenUsed/>
    <w:rsid w:val="00BC1C25"/>
    <w:pPr>
      <w:tabs>
        <w:tab w:val="center" w:pos="4320"/>
        <w:tab w:val="right" w:pos="8640"/>
      </w:tabs>
    </w:pPr>
  </w:style>
  <w:style w:type="character" w:customStyle="1" w:styleId="FooterChar">
    <w:name w:val="Footer Char"/>
    <w:basedOn w:val="DefaultParagraphFont"/>
    <w:link w:val="Footer"/>
    <w:uiPriority w:val="99"/>
    <w:rsid w:val="00BC1C25"/>
    <w:rPr>
      <w:rFonts w:ascii="Arial" w:hAnsi="Arial"/>
      <w:lang w:val="en-US"/>
    </w:rPr>
  </w:style>
  <w:style w:type="character" w:styleId="PageNumber">
    <w:name w:val="page number"/>
    <w:basedOn w:val="DefaultParagraphFont"/>
    <w:uiPriority w:val="99"/>
    <w:semiHidden/>
    <w:unhideWhenUsed/>
    <w:rsid w:val="00BC1C25"/>
  </w:style>
  <w:style w:type="character" w:customStyle="1" w:styleId="Heading3Char">
    <w:name w:val="Heading 3 Char"/>
    <w:basedOn w:val="DefaultParagraphFont"/>
    <w:link w:val="Heading3"/>
    <w:uiPriority w:val="9"/>
    <w:rsid w:val="00BC1C25"/>
    <w:rPr>
      <w:rFonts w:asciiTheme="majorHAnsi" w:eastAsiaTheme="majorEastAsia" w:hAnsiTheme="majorHAnsi" w:cstheme="majorBidi"/>
      <w:b/>
      <w:bCs/>
      <w:color w:val="4F81BD" w:themeColor="accent1"/>
      <w:lang w:val="en-US"/>
    </w:rPr>
  </w:style>
  <w:style w:type="character" w:customStyle="1" w:styleId="Heading4Char">
    <w:name w:val="Heading 4 Char"/>
    <w:basedOn w:val="DefaultParagraphFont"/>
    <w:link w:val="Heading4"/>
    <w:uiPriority w:val="9"/>
    <w:rsid w:val="00BC1C25"/>
    <w:rPr>
      <w:rFonts w:asciiTheme="majorHAnsi" w:eastAsiaTheme="majorEastAsia" w:hAnsiTheme="majorHAnsi" w:cstheme="majorBidi"/>
      <w:b/>
      <w:bCs/>
      <w:i/>
      <w:iCs/>
      <w:color w:val="4F81BD" w:themeColor="accent1"/>
      <w:lang w:val="en-US"/>
    </w:rPr>
  </w:style>
  <w:style w:type="paragraph" w:styleId="Header">
    <w:name w:val="header"/>
    <w:basedOn w:val="Normal"/>
    <w:link w:val="HeaderChar"/>
    <w:uiPriority w:val="99"/>
    <w:unhideWhenUsed/>
    <w:rsid w:val="00BC1C25"/>
    <w:pPr>
      <w:tabs>
        <w:tab w:val="center" w:pos="4320"/>
        <w:tab w:val="right" w:pos="8640"/>
      </w:tabs>
    </w:pPr>
  </w:style>
  <w:style w:type="character" w:customStyle="1" w:styleId="HeaderChar">
    <w:name w:val="Header Char"/>
    <w:basedOn w:val="DefaultParagraphFont"/>
    <w:link w:val="Header"/>
    <w:uiPriority w:val="99"/>
    <w:rsid w:val="00BC1C25"/>
    <w:rPr>
      <w:rFonts w:ascii="Arial" w:hAnsi="Arial"/>
      <w:lang w:val="en-US"/>
    </w:rPr>
  </w:style>
  <w:style w:type="table" w:styleId="TableGrid">
    <w:name w:val="Table Grid"/>
    <w:basedOn w:val="TableNormal"/>
    <w:uiPriority w:val="59"/>
    <w:rsid w:val="00BC473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PlainTable21">
    <w:name w:val="Plain Table 21"/>
    <w:basedOn w:val="TableNormal"/>
    <w:uiPriority w:val="99"/>
    <w:rsid w:val="00156094"/>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PlaceholderText">
    <w:name w:val="Placeholder Text"/>
    <w:basedOn w:val="DefaultParagraphFont"/>
    <w:uiPriority w:val="99"/>
    <w:semiHidden/>
    <w:rsid w:val="004F3BED"/>
    <w:rPr>
      <w:color w:val="808080"/>
    </w:rPr>
  </w:style>
  <w:style w:type="character" w:styleId="Hyperlink">
    <w:name w:val="Hyperlink"/>
    <w:basedOn w:val="DefaultParagraphFont"/>
    <w:uiPriority w:val="99"/>
    <w:unhideWhenUsed/>
    <w:rsid w:val="004877F2"/>
    <w:rPr>
      <w:color w:val="0000FF" w:themeColor="hyperlink"/>
      <w:u w:val="single"/>
    </w:rPr>
  </w:style>
  <w:style w:type="character" w:styleId="CommentReference">
    <w:name w:val="annotation reference"/>
    <w:basedOn w:val="DefaultParagraphFont"/>
    <w:uiPriority w:val="99"/>
    <w:semiHidden/>
    <w:unhideWhenUsed/>
    <w:rsid w:val="001E7C25"/>
    <w:rPr>
      <w:sz w:val="16"/>
      <w:szCs w:val="16"/>
    </w:rPr>
  </w:style>
  <w:style w:type="paragraph" w:styleId="CommentText">
    <w:name w:val="annotation text"/>
    <w:basedOn w:val="Normal"/>
    <w:link w:val="CommentTextChar"/>
    <w:uiPriority w:val="99"/>
    <w:semiHidden/>
    <w:unhideWhenUsed/>
    <w:rsid w:val="001E7C25"/>
    <w:pPr>
      <w:spacing w:line="240" w:lineRule="auto"/>
    </w:pPr>
    <w:rPr>
      <w:sz w:val="20"/>
      <w:szCs w:val="20"/>
    </w:rPr>
  </w:style>
  <w:style w:type="character" w:customStyle="1" w:styleId="CommentTextChar">
    <w:name w:val="Comment Text Char"/>
    <w:basedOn w:val="DefaultParagraphFont"/>
    <w:link w:val="CommentText"/>
    <w:uiPriority w:val="99"/>
    <w:semiHidden/>
    <w:rsid w:val="001E7C25"/>
    <w:rPr>
      <w:rFonts w:ascii="Arial" w:hAnsi="Arial"/>
      <w:sz w:val="20"/>
      <w:szCs w:val="20"/>
      <w:lang w:val="en-US"/>
    </w:rPr>
  </w:style>
  <w:style w:type="paragraph" w:styleId="CommentSubject">
    <w:name w:val="annotation subject"/>
    <w:basedOn w:val="CommentText"/>
    <w:next w:val="CommentText"/>
    <w:link w:val="CommentSubjectChar"/>
    <w:uiPriority w:val="99"/>
    <w:semiHidden/>
    <w:unhideWhenUsed/>
    <w:rsid w:val="001E7C25"/>
    <w:rPr>
      <w:b/>
      <w:bCs/>
    </w:rPr>
  </w:style>
  <w:style w:type="character" w:customStyle="1" w:styleId="CommentSubjectChar">
    <w:name w:val="Comment Subject Char"/>
    <w:basedOn w:val="CommentTextChar"/>
    <w:link w:val="CommentSubject"/>
    <w:uiPriority w:val="99"/>
    <w:semiHidden/>
    <w:rsid w:val="001E7C25"/>
    <w:rPr>
      <w:rFonts w:ascii="Arial" w:hAnsi="Arial"/>
      <w:b/>
      <w:bCs/>
      <w:sz w:val="20"/>
      <w:szCs w:val="20"/>
      <w:lang w:val="en-US"/>
    </w:rPr>
  </w:style>
  <w:style w:type="paragraph" w:styleId="Revision">
    <w:name w:val="Revision"/>
    <w:hidden/>
    <w:uiPriority w:val="99"/>
    <w:semiHidden/>
    <w:rsid w:val="00A448A7"/>
    <w:rPr>
      <w:rFonts w:ascii="Arial" w:hAnsi="Arial"/>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100002">
      <w:bodyDiv w:val="1"/>
      <w:marLeft w:val="0"/>
      <w:marRight w:val="0"/>
      <w:marTop w:val="0"/>
      <w:marBottom w:val="0"/>
      <w:divBdr>
        <w:top w:val="none" w:sz="0" w:space="0" w:color="auto"/>
        <w:left w:val="none" w:sz="0" w:space="0" w:color="auto"/>
        <w:bottom w:val="none" w:sz="0" w:space="0" w:color="auto"/>
        <w:right w:val="none" w:sz="0" w:space="0" w:color="auto"/>
      </w:divBdr>
    </w:div>
    <w:div w:id="10836287">
      <w:bodyDiv w:val="1"/>
      <w:marLeft w:val="0"/>
      <w:marRight w:val="0"/>
      <w:marTop w:val="0"/>
      <w:marBottom w:val="0"/>
      <w:divBdr>
        <w:top w:val="none" w:sz="0" w:space="0" w:color="auto"/>
        <w:left w:val="none" w:sz="0" w:space="0" w:color="auto"/>
        <w:bottom w:val="none" w:sz="0" w:space="0" w:color="auto"/>
        <w:right w:val="none" w:sz="0" w:space="0" w:color="auto"/>
      </w:divBdr>
    </w:div>
    <w:div w:id="27803633">
      <w:bodyDiv w:val="1"/>
      <w:marLeft w:val="0"/>
      <w:marRight w:val="0"/>
      <w:marTop w:val="0"/>
      <w:marBottom w:val="0"/>
      <w:divBdr>
        <w:top w:val="none" w:sz="0" w:space="0" w:color="auto"/>
        <w:left w:val="none" w:sz="0" w:space="0" w:color="auto"/>
        <w:bottom w:val="none" w:sz="0" w:space="0" w:color="auto"/>
        <w:right w:val="none" w:sz="0" w:space="0" w:color="auto"/>
      </w:divBdr>
    </w:div>
    <w:div w:id="30032499">
      <w:bodyDiv w:val="1"/>
      <w:marLeft w:val="0"/>
      <w:marRight w:val="0"/>
      <w:marTop w:val="0"/>
      <w:marBottom w:val="0"/>
      <w:divBdr>
        <w:top w:val="none" w:sz="0" w:space="0" w:color="auto"/>
        <w:left w:val="none" w:sz="0" w:space="0" w:color="auto"/>
        <w:bottom w:val="none" w:sz="0" w:space="0" w:color="auto"/>
        <w:right w:val="none" w:sz="0" w:space="0" w:color="auto"/>
      </w:divBdr>
    </w:div>
    <w:div w:id="42140400">
      <w:bodyDiv w:val="1"/>
      <w:marLeft w:val="0"/>
      <w:marRight w:val="0"/>
      <w:marTop w:val="0"/>
      <w:marBottom w:val="0"/>
      <w:divBdr>
        <w:top w:val="none" w:sz="0" w:space="0" w:color="auto"/>
        <w:left w:val="none" w:sz="0" w:space="0" w:color="auto"/>
        <w:bottom w:val="none" w:sz="0" w:space="0" w:color="auto"/>
        <w:right w:val="none" w:sz="0" w:space="0" w:color="auto"/>
      </w:divBdr>
    </w:div>
    <w:div w:id="60062051">
      <w:bodyDiv w:val="1"/>
      <w:marLeft w:val="0"/>
      <w:marRight w:val="0"/>
      <w:marTop w:val="0"/>
      <w:marBottom w:val="0"/>
      <w:divBdr>
        <w:top w:val="none" w:sz="0" w:space="0" w:color="auto"/>
        <w:left w:val="none" w:sz="0" w:space="0" w:color="auto"/>
        <w:bottom w:val="none" w:sz="0" w:space="0" w:color="auto"/>
        <w:right w:val="none" w:sz="0" w:space="0" w:color="auto"/>
      </w:divBdr>
    </w:div>
    <w:div w:id="65961281">
      <w:bodyDiv w:val="1"/>
      <w:marLeft w:val="0"/>
      <w:marRight w:val="0"/>
      <w:marTop w:val="0"/>
      <w:marBottom w:val="0"/>
      <w:divBdr>
        <w:top w:val="none" w:sz="0" w:space="0" w:color="auto"/>
        <w:left w:val="none" w:sz="0" w:space="0" w:color="auto"/>
        <w:bottom w:val="none" w:sz="0" w:space="0" w:color="auto"/>
        <w:right w:val="none" w:sz="0" w:space="0" w:color="auto"/>
      </w:divBdr>
    </w:div>
    <w:div w:id="73206490">
      <w:bodyDiv w:val="1"/>
      <w:marLeft w:val="0"/>
      <w:marRight w:val="0"/>
      <w:marTop w:val="0"/>
      <w:marBottom w:val="0"/>
      <w:divBdr>
        <w:top w:val="none" w:sz="0" w:space="0" w:color="auto"/>
        <w:left w:val="none" w:sz="0" w:space="0" w:color="auto"/>
        <w:bottom w:val="none" w:sz="0" w:space="0" w:color="auto"/>
        <w:right w:val="none" w:sz="0" w:space="0" w:color="auto"/>
      </w:divBdr>
    </w:div>
    <w:div w:id="85611900">
      <w:bodyDiv w:val="1"/>
      <w:marLeft w:val="0"/>
      <w:marRight w:val="0"/>
      <w:marTop w:val="0"/>
      <w:marBottom w:val="0"/>
      <w:divBdr>
        <w:top w:val="none" w:sz="0" w:space="0" w:color="auto"/>
        <w:left w:val="none" w:sz="0" w:space="0" w:color="auto"/>
        <w:bottom w:val="none" w:sz="0" w:space="0" w:color="auto"/>
        <w:right w:val="none" w:sz="0" w:space="0" w:color="auto"/>
      </w:divBdr>
    </w:div>
    <w:div w:id="89086273">
      <w:bodyDiv w:val="1"/>
      <w:marLeft w:val="0"/>
      <w:marRight w:val="0"/>
      <w:marTop w:val="0"/>
      <w:marBottom w:val="0"/>
      <w:divBdr>
        <w:top w:val="none" w:sz="0" w:space="0" w:color="auto"/>
        <w:left w:val="none" w:sz="0" w:space="0" w:color="auto"/>
        <w:bottom w:val="none" w:sz="0" w:space="0" w:color="auto"/>
        <w:right w:val="none" w:sz="0" w:space="0" w:color="auto"/>
      </w:divBdr>
    </w:div>
    <w:div w:id="99111393">
      <w:bodyDiv w:val="1"/>
      <w:marLeft w:val="0"/>
      <w:marRight w:val="0"/>
      <w:marTop w:val="0"/>
      <w:marBottom w:val="0"/>
      <w:divBdr>
        <w:top w:val="none" w:sz="0" w:space="0" w:color="auto"/>
        <w:left w:val="none" w:sz="0" w:space="0" w:color="auto"/>
        <w:bottom w:val="none" w:sz="0" w:space="0" w:color="auto"/>
        <w:right w:val="none" w:sz="0" w:space="0" w:color="auto"/>
      </w:divBdr>
    </w:div>
    <w:div w:id="109132691">
      <w:bodyDiv w:val="1"/>
      <w:marLeft w:val="0"/>
      <w:marRight w:val="0"/>
      <w:marTop w:val="0"/>
      <w:marBottom w:val="0"/>
      <w:divBdr>
        <w:top w:val="none" w:sz="0" w:space="0" w:color="auto"/>
        <w:left w:val="none" w:sz="0" w:space="0" w:color="auto"/>
        <w:bottom w:val="none" w:sz="0" w:space="0" w:color="auto"/>
        <w:right w:val="none" w:sz="0" w:space="0" w:color="auto"/>
      </w:divBdr>
    </w:div>
    <w:div w:id="127866785">
      <w:bodyDiv w:val="1"/>
      <w:marLeft w:val="0"/>
      <w:marRight w:val="0"/>
      <w:marTop w:val="0"/>
      <w:marBottom w:val="0"/>
      <w:divBdr>
        <w:top w:val="none" w:sz="0" w:space="0" w:color="auto"/>
        <w:left w:val="none" w:sz="0" w:space="0" w:color="auto"/>
        <w:bottom w:val="none" w:sz="0" w:space="0" w:color="auto"/>
        <w:right w:val="none" w:sz="0" w:space="0" w:color="auto"/>
      </w:divBdr>
    </w:div>
    <w:div w:id="144857468">
      <w:bodyDiv w:val="1"/>
      <w:marLeft w:val="0"/>
      <w:marRight w:val="0"/>
      <w:marTop w:val="0"/>
      <w:marBottom w:val="0"/>
      <w:divBdr>
        <w:top w:val="none" w:sz="0" w:space="0" w:color="auto"/>
        <w:left w:val="none" w:sz="0" w:space="0" w:color="auto"/>
        <w:bottom w:val="none" w:sz="0" w:space="0" w:color="auto"/>
        <w:right w:val="none" w:sz="0" w:space="0" w:color="auto"/>
      </w:divBdr>
    </w:div>
    <w:div w:id="155385935">
      <w:bodyDiv w:val="1"/>
      <w:marLeft w:val="0"/>
      <w:marRight w:val="0"/>
      <w:marTop w:val="0"/>
      <w:marBottom w:val="0"/>
      <w:divBdr>
        <w:top w:val="none" w:sz="0" w:space="0" w:color="auto"/>
        <w:left w:val="none" w:sz="0" w:space="0" w:color="auto"/>
        <w:bottom w:val="none" w:sz="0" w:space="0" w:color="auto"/>
        <w:right w:val="none" w:sz="0" w:space="0" w:color="auto"/>
      </w:divBdr>
    </w:div>
    <w:div w:id="156531221">
      <w:bodyDiv w:val="1"/>
      <w:marLeft w:val="0"/>
      <w:marRight w:val="0"/>
      <w:marTop w:val="0"/>
      <w:marBottom w:val="0"/>
      <w:divBdr>
        <w:top w:val="none" w:sz="0" w:space="0" w:color="auto"/>
        <w:left w:val="none" w:sz="0" w:space="0" w:color="auto"/>
        <w:bottom w:val="none" w:sz="0" w:space="0" w:color="auto"/>
        <w:right w:val="none" w:sz="0" w:space="0" w:color="auto"/>
      </w:divBdr>
    </w:div>
    <w:div w:id="160631830">
      <w:bodyDiv w:val="1"/>
      <w:marLeft w:val="0"/>
      <w:marRight w:val="0"/>
      <w:marTop w:val="0"/>
      <w:marBottom w:val="0"/>
      <w:divBdr>
        <w:top w:val="none" w:sz="0" w:space="0" w:color="auto"/>
        <w:left w:val="none" w:sz="0" w:space="0" w:color="auto"/>
        <w:bottom w:val="none" w:sz="0" w:space="0" w:color="auto"/>
        <w:right w:val="none" w:sz="0" w:space="0" w:color="auto"/>
      </w:divBdr>
    </w:div>
    <w:div w:id="172886738">
      <w:bodyDiv w:val="1"/>
      <w:marLeft w:val="0"/>
      <w:marRight w:val="0"/>
      <w:marTop w:val="0"/>
      <w:marBottom w:val="0"/>
      <w:divBdr>
        <w:top w:val="none" w:sz="0" w:space="0" w:color="auto"/>
        <w:left w:val="none" w:sz="0" w:space="0" w:color="auto"/>
        <w:bottom w:val="none" w:sz="0" w:space="0" w:color="auto"/>
        <w:right w:val="none" w:sz="0" w:space="0" w:color="auto"/>
      </w:divBdr>
    </w:div>
    <w:div w:id="178351939">
      <w:bodyDiv w:val="1"/>
      <w:marLeft w:val="0"/>
      <w:marRight w:val="0"/>
      <w:marTop w:val="0"/>
      <w:marBottom w:val="0"/>
      <w:divBdr>
        <w:top w:val="none" w:sz="0" w:space="0" w:color="auto"/>
        <w:left w:val="none" w:sz="0" w:space="0" w:color="auto"/>
        <w:bottom w:val="none" w:sz="0" w:space="0" w:color="auto"/>
        <w:right w:val="none" w:sz="0" w:space="0" w:color="auto"/>
      </w:divBdr>
    </w:div>
    <w:div w:id="208539205">
      <w:bodyDiv w:val="1"/>
      <w:marLeft w:val="0"/>
      <w:marRight w:val="0"/>
      <w:marTop w:val="0"/>
      <w:marBottom w:val="0"/>
      <w:divBdr>
        <w:top w:val="none" w:sz="0" w:space="0" w:color="auto"/>
        <w:left w:val="none" w:sz="0" w:space="0" w:color="auto"/>
        <w:bottom w:val="none" w:sz="0" w:space="0" w:color="auto"/>
        <w:right w:val="none" w:sz="0" w:space="0" w:color="auto"/>
      </w:divBdr>
    </w:div>
    <w:div w:id="209610405">
      <w:bodyDiv w:val="1"/>
      <w:marLeft w:val="0"/>
      <w:marRight w:val="0"/>
      <w:marTop w:val="0"/>
      <w:marBottom w:val="0"/>
      <w:divBdr>
        <w:top w:val="none" w:sz="0" w:space="0" w:color="auto"/>
        <w:left w:val="none" w:sz="0" w:space="0" w:color="auto"/>
        <w:bottom w:val="none" w:sz="0" w:space="0" w:color="auto"/>
        <w:right w:val="none" w:sz="0" w:space="0" w:color="auto"/>
      </w:divBdr>
    </w:div>
    <w:div w:id="224141918">
      <w:bodyDiv w:val="1"/>
      <w:marLeft w:val="0"/>
      <w:marRight w:val="0"/>
      <w:marTop w:val="0"/>
      <w:marBottom w:val="0"/>
      <w:divBdr>
        <w:top w:val="none" w:sz="0" w:space="0" w:color="auto"/>
        <w:left w:val="none" w:sz="0" w:space="0" w:color="auto"/>
        <w:bottom w:val="none" w:sz="0" w:space="0" w:color="auto"/>
        <w:right w:val="none" w:sz="0" w:space="0" w:color="auto"/>
      </w:divBdr>
    </w:div>
    <w:div w:id="227106876">
      <w:bodyDiv w:val="1"/>
      <w:marLeft w:val="0"/>
      <w:marRight w:val="0"/>
      <w:marTop w:val="0"/>
      <w:marBottom w:val="0"/>
      <w:divBdr>
        <w:top w:val="none" w:sz="0" w:space="0" w:color="auto"/>
        <w:left w:val="none" w:sz="0" w:space="0" w:color="auto"/>
        <w:bottom w:val="none" w:sz="0" w:space="0" w:color="auto"/>
        <w:right w:val="none" w:sz="0" w:space="0" w:color="auto"/>
      </w:divBdr>
    </w:div>
    <w:div w:id="228225995">
      <w:bodyDiv w:val="1"/>
      <w:marLeft w:val="0"/>
      <w:marRight w:val="0"/>
      <w:marTop w:val="0"/>
      <w:marBottom w:val="0"/>
      <w:divBdr>
        <w:top w:val="none" w:sz="0" w:space="0" w:color="auto"/>
        <w:left w:val="none" w:sz="0" w:space="0" w:color="auto"/>
        <w:bottom w:val="none" w:sz="0" w:space="0" w:color="auto"/>
        <w:right w:val="none" w:sz="0" w:space="0" w:color="auto"/>
      </w:divBdr>
    </w:div>
    <w:div w:id="235752239">
      <w:bodyDiv w:val="1"/>
      <w:marLeft w:val="0"/>
      <w:marRight w:val="0"/>
      <w:marTop w:val="0"/>
      <w:marBottom w:val="0"/>
      <w:divBdr>
        <w:top w:val="none" w:sz="0" w:space="0" w:color="auto"/>
        <w:left w:val="none" w:sz="0" w:space="0" w:color="auto"/>
        <w:bottom w:val="none" w:sz="0" w:space="0" w:color="auto"/>
        <w:right w:val="none" w:sz="0" w:space="0" w:color="auto"/>
      </w:divBdr>
    </w:div>
    <w:div w:id="252859456">
      <w:bodyDiv w:val="1"/>
      <w:marLeft w:val="0"/>
      <w:marRight w:val="0"/>
      <w:marTop w:val="0"/>
      <w:marBottom w:val="0"/>
      <w:divBdr>
        <w:top w:val="none" w:sz="0" w:space="0" w:color="auto"/>
        <w:left w:val="none" w:sz="0" w:space="0" w:color="auto"/>
        <w:bottom w:val="none" w:sz="0" w:space="0" w:color="auto"/>
        <w:right w:val="none" w:sz="0" w:space="0" w:color="auto"/>
      </w:divBdr>
    </w:div>
    <w:div w:id="258874566">
      <w:bodyDiv w:val="1"/>
      <w:marLeft w:val="0"/>
      <w:marRight w:val="0"/>
      <w:marTop w:val="0"/>
      <w:marBottom w:val="0"/>
      <w:divBdr>
        <w:top w:val="none" w:sz="0" w:space="0" w:color="auto"/>
        <w:left w:val="none" w:sz="0" w:space="0" w:color="auto"/>
        <w:bottom w:val="none" w:sz="0" w:space="0" w:color="auto"/>
        <w:right w:val="none" w:sz="0" w:space="0" w:color="auto"/>
      </w:divBdr>
    </w:div>
    <w:div w:id="260846026">
      <w:bodyDiv w:val="1"/>
      <w:marLeft w:val="0"/>
      <w:marRight w:val="0"/>
      <w:marTop w:val="0"/>
      <w:marBottom w:val="0"/>
      <w:divBdr>
        <w:top w:val="none" w:sz="0" w:space="0" w:color="auto"/>
        <w:left w:val="none" w:sz="0" w:space="0" w:color="auto"/>
        <w:bottom w:val="none" w:sz="0" w:space="0" w:color="auto"/>
        <w:right w:val="none" w:sz="0" w:space="0" w:color="auto"/>
      </w:divBdr>
    </w:div>
    <w:div w:id="264770853">
      <w:bodyDiv w:val="1"/>
      <w:marLeft w:val="0"/>
      <w:marRight w:val="0"/>
      <w:marTop w:val="0"/>
      <w:marBottom w:val="0"/>
      <w:divBdr>
        <w:top w:val="none" w:sz="0" w:space="0" w:color="auto"/>
        <w:left w:val="none" w:sz="0" w:space="0" w:color="auto"/>
        <w:bottom w:val="none" w:sz="0" w:space="0" w:color="auto"/>
        <w:right w:val="none" w:sz="0" w:space="0" w:color="auto"/>
      </w:divBdr>
    </w:div>
    <w:div w:id="273055110">
      <w:bodyDiv w:val="1"/>
      <w:marLeft w:val="0"/>
      <w:marRight w:val="0"/>
      <w:marTop w:val="0"/>
      <w:marBottom w:val="0"/>
      <w:divBdr>
        <w:top w:val="none" w:sz="0" w:space="0" w:color="auto"/>
        <w:left w:val="none" w:sz="0" w:space="0" w:color="auto"/>
        <w:bottom w:val="none" w:sz="0" w:space="0" w:color="auto"/>
        <w:right w:val="none" w:sz="0" w:space="0" w:color="auto"/>
      </w:divBdr>
    </w:div>
    <w:div w:id="284893027">
      <w:bodyDiv w:val="1"/>
      <w:marLeft w:val="0"/>
      <w:marRight w:val="0"/>
      <w:marTop w:val="0"/>
      <w:marBottom w:val="0"/>
      <w:divBdr>
        <w:top w:val="none" w:sz="0" w:space="0" w:color="auto"/>
        <w:left w:val="none" w:sz="0" w:space="0" w:color="auto"/>
        <w:bottom w:val="none" w:sz="0" w:space="0" w:color="auto"/>
        <w:right w:val="none" w:sz="0" w:space="0" w:color="auto"/>
      </w:divBdr>
    </w:div>
    <w:div w:id="289016431">
      <w:bodyDiv w:val="1"/>
      <w:marLeft w:val="0"/>
      <w:marRight w:val="0"/>
      <w:marTop w:val="0"/>
      <w:marBottom w:val="0"/>
      <w:divBdr>
        <w:top w:val="none" w:sz="0" w:space="0" w:color="auto"/>
        <w:left w:val="none" w:sz="0" w:space="0" w:color="auto"/>
        <w:bottom w:val="none" w:sz="0" w:space="0" w:color="auto"/>
        <w:right w:val="none" w:sz="0" w:space="0" w:color="auto"/>
      </w:divBdr>
    </w:div>
    <w:div w:id="292177751">
      <w:bodyDiv w:val="1"/>
      <w:marLeft w:val="0"/>
      <w:marRight w:val="0"/>
      <w:marTop w:val="0"/>
      <w:marBottom w:val="0"/>
      <w:divBdr>
        <w:top w:val="none" w:sz="0" w:space="0" w:color="auto"/>
        <w:left w:val="none" w:sz="0" w:space="0" w:color="auto"/>
        <w:bottom w:val="none" w:sz="0" w:space="0" w:color="auto"/>
        <w:right w:val="none" w:sz="0" w:space="0" w:color="auto"/>
      </w:divBdr>
    </w:div>
    <w:div w:id="317996077">
      <w:bodyDiv w:val="1"/>
      <w:marLeft w:val="0"/>
      <w:marRight w:val="0"/>
      <w:marTop w:val="0"/>
      <w:marBottom w:val="0"/>
      <w:divBdr>
        <w:top w:val="none" w:sz="0" w:space="0" w:color="auto"/>
        <w:left w:val="none" w:sz="0" w:space="0" w:color="auto"/>
        <w:bottom w:val="none" w:sz="0" w:space="0" w:color="auto"/>
        <w:right w:val="none" w:sz="0" w:space="0" w:color="auto"/>
      </w:divBdr>
    </w:div>
    <w:div w:id="318848824">
      <w:bodyDiv w:val="1"/>
      <w:marLeft w:val="0"/>
      <w:marRight w:val="0"/>
      <w:marTop w:val="0"/>
      <w:marBottom w:val="0"/>
      <w:divBdr>
        <w:top w:val="none" w:sz="0" w:space="0" w:color="auto"/>
        <w:left w:val="none" w:sz="0" w:space="0" w:color="auto"/>
        <w:bottom w:val="none" w:sz="0" w:space="0" w:color="auto"/>
        <w:right w:val="none" w:sz="0" w:space="0" w:color="auto"/>
      </w:divBdr>
    </w:div>
    <w:div w:id="344864280">
      <w:bodyDiv w:val="1"/>
      <w:marLeft w:val="0"/>
      <w:marRight w:val="0"/>
      <w:marTop w:val="0"/>
      <w:marBottom w:val="0"/>
      <w:divBdr>
        <w:top w:val="none" w:sz="0" w:space="0" w:color="auto"/>
        <w:left w:val="none" w:sz="0" w:space="0" w:color="auto"/>
        <w:bottom w:val="none" w:sz="0" w:space="0" w:color="auto"/>
        <w:right w:val="none" w:sz="0" w:space="0" w:color="auto"/>
      </w:divBdr>
    </w:div>
    <w:div w:id="359353316">
      <w:bodyDiv w:val="1"/>
      <w:marLeft w:val="0"/>
      <w:marRight w:val="0"/>
      <w:marTop w:val="0"/>
      <w:marBottom w:val="0"/>
      <w:divBdr>
        <w:top w:val="none" w:sz="0" w:space="0" w:color="auto"/>
        <w:left w:val="none" w:sz="0" w:space="0" w:color="auto"/>
        <w:bottom w:val="none" w:sz="0" w:space="0" w:color="auto"/>
        <w:right w:val="none" w:sz="0" w:space="0" w:color="auto"/>
      </w:divBdr>
    </w:div>
    <w:div w:id="367143126">
      <w:bodyDiv w:val="1"/>
      <w:marLeft w:val="0"/>
      <w:marRight w:val="0"/>
      <w:marTop w:val="0"/>
      <w:marBottom w:val="0"/>
      <w:divBdr>
        <w:top w:val="none" w:sz="0" w:space="0" w:color="auto"/>
        <w:left w:val="none" w:sz="0" w:space="0" w:color="auto"/>
        <w:bottom w:val="none" w:sz="0" w:space="0" w:color="auto"/>
        <w:right w:val="none" w:sz="0" w:space="0" w:color="auto"/>
      </w:divBdr>
    </w:div>
    <w:div w:id="383679403">
      <w:bodyDiv w:val="1"/>
      <w:marLeft w:val="0"/>
      <w:marRight w:val="0"/>
      <w:marTop w:val="0"/>
      <w:marBottom w:val="0"/>
      <w:divBdr>
        <w:top w:val="none" w:sz="0" w:space="0" w:color="auto"/>
        <w:left w:val="none" w:sz="0" w:space="0" w:color="auto"/>
        <w:bottom w:val="none" w:sz="0" w:space="0" w:color="auto"/>
        <w:right w:val="none" w:sz="0" w:space="0" w:color="auto"/>
      </w:divBdr>
    </w:div>
    <w:div w:id="396319144">
      <w:bodyDiv w:val="1"/>
      <w:marLeft w:val="0"/>
      <w:marRight w:val="0"/>
      <w:marTop w:val="0"/>
      <w:marBottom w:val="0"/>
      <w:divBdr>
        <w:top w:val="none" w:sz="0" w:space="0" w:color="auto"/>
        <w:left w:val="none" w:sz="0" w:space="0" w:color="auto"/>
        <w:bottom w:val="none" w:sz="0" w:space="0" w:color="auto"/>
        <w:right w:val="none" w:sz="0" w:space="0" w:color="auto"/>
      </w:divBdr>
    </w:div>
    <w:div w:id="419526049">
      <w:bodyDiv w:val="1"/>
      <w:marLeft w:val="0"/>
      <w:marRight w:val="0"/>
      <w:marTop w:val="0"/>
      <w:marBottom w:val="0"/>
      <w:divBdr>
        <w:top w:val="none" w:sz="0" w:space="0" w:color="auto"/>
        <w:left w:val="none" w:sz="0" w:space="0" w:color="auto"/>
        <w:bottom w:val="none" w:sz="0" w:space="0" w:color="auto"/>
        <w:right w:val="none" w:sz="0" w:space="0" w:color="auto"/>
      </w:divBdr>
    </w:div>
    <w:div w:id="449400233">
      <w:bodyDiv w:val="1"/>
      <w:marLeft w:val="0"/>
      <w:marRight w:val="0"/>
      <w:marTop w:val="0"/>
      <w:marBottom w:val="0"/>
      <w:divBdr>
        <w:top w:val="none" w:sz="0" w:space="0" w:color="auto"/>
        <w:left w:val="none" w:sz="0" w:space="0" w:color="auto"/>
        <w:bottom w:val="none" w:sz="0" w:space="0" w:color="auto"/>
        <w:right w:val="none" w:sz="0" w:space="0" w:color="auto"/>
      </w:divBdr>
    </w:div>
    <w:div w:id="452095315">
      <w:bodyDiv w:val="1"/>
      <w:marLeft w:val="0"/>
      <w:marRight w:val="0"/>
      <w:marTop w:val="0"/>
      <w:marBottom w:val="0"/>
      <w:divBdr>
        <w:top w:val="none" w:sz="0" w:space="0" w:color="auto"/>
        <w:left w:val="none" w:sz="0" w:space="0" w:color="auto"/>
        <w:bottom w:val="none" w:sz="0" w:space="0" w:color="auto"/>
        <w:right w:val="none" w:sz="0" w:space="0" w:color="auto"/>
      </w:divBdr>
    </w:div>
    <w:div w:id="454567827">
      <w:bodyDiv w:val="1"/>
      <w:marLeft w:val="0"/>
      <w:marRight w:val="0"/>
      <w:marTop w:val="0"/>
      <w:marBottom w:val="0"/>
      <w:divBdr>
        <w:top w:val="none" w:sz="0" w:space="0" w:color="auto"/>
        <w:left w:val="none" w:sz="0" w:space="0" w:color="auto"/>
        <w:bottom w:val="none" w:sz="0" w:space="0" w:color="auto"/>
        <w:right w:val="none" w:sz="0" w:space="0" w:color="auto"/>
      </w:divBdr>
    </w:div>
    <w:div w:id="461075052">
      <w:bodyDiv w:val="1"/>
      <w:marLeft w:val="0"/>
      <w:marRight w:val="0"/>
      <w:marTop w:val="0"/>
      <w:marBottom w:val="0"/>
      <w:divBdr>
        <w:top w:val="none" w:sz="0" w:space="0" w:color="auto"/>
        <w:left w:val="none" w:sz="0" w:space="0" w:color="auto"/>
        <w:bottom w:val="none" w:sz="0" w:space="0" w:color="auto"/>
        <w:right w:val="none" w:sz="0" w:space="0" w:color="auto"/>
      </w:divBdr>
    </w:div>
    <w:div w:id="483812804">
      <w:bodyDiv w:val="1"/>
      <w:marLeft w:val="0"/>
      <w:marRight w:val="0"/>
      <w:marTop w:val="0"/>
      <w:marBottom w:val="0"/>
      <w:divBdr>
        <w:top w:val="none" w:sz="0" w:space="0" w:color="auto"/>
        <w:left w:val="none" w:sz="0" w:space="0" w:color="auto"/>
        <w:bottom w:val="none" w:sz="0" w:space="0" w:color="auto"/>
        <w:right w:val="none" w:sz="0" w:space="0" w:color="auto"/>
      </w:divBdr>
    </w:div>
    <w:div w:id="487674710">
      <w:bodyDiv w:val="1"/>
      <w:marLeft w:val="0"/>
      <w:marRight w:val="0"/>
      <w:marTop w:val="0"/>
      <w:marBottom w:val="0"/>
      <w:divBdr>
        <w:top w:val="none" w:sz="0" w:space="0" w:color="auto"/>
        <w:left w:val="none" w:sz="0" w:space="0" w:color="auto"/>
        <w:bottom w:val="none" w:sz="0" w:space="0" w:color="auto"/>
        <w:right w:val="none" w:sz="0" w:space="0" w:color="auto"/>
      </w:divBdr>
    </w:div>
    <w:div w:id="495267261">
      <w:bodyDiv w:val="1"/>
      <w:marLeft w:val="0"/>
      <w:marRight w:val="0"/>
      <w:marTop w:val="0"/>
      <w:marBottom w:val="0"/>
      <w:divBdr>
        <w:top w:val="none" w:sz="0" w:space="0" w:color="auto"/>
        <w:left w:val="none" w:sz="0" w:space="0" w:color="auto"/>
        <w:bottom w:val="none" w:sz="0" w:space="0" w:color="auto"/>
        <w:right w:val="none" w:sz="0" w:space="0" w:color="auto"/>
      </w:divBdr>
    </w:div>
    <w:div w:id="500463514">
      <w:bodyDiv w:val="1"/>
      <w:marLeft w:val="0"/>
      <w:marRight w:val="0"/>
      <w:marTop w:val="0"/>
      <w:marBottom w:val="0"/>
      <w:divBdr>
        <w:top w:val="none" w:sz="0" w:space="0" w:color="auto"/>
        <w:left w:val="none" w:sz="0" w:space="0" w:color="auto"/>
        <w:bottom w:val="none" w:sz="0" w:space="0" w:color="auto"/>
        <w:right w:val="none" w:sz="0" w:space="0" w:color="auto"/>
      </w:divBdr>
    </w:div>
    <w:div w:id="525217882">
      <w:bodyDiv w:val="1"/>
      <w:marLeft w:val="0"/>
      <w:marRight w:val="0"/>
      <w:marTop w:val="0"/>
      <w:marBottom w:val="0"/>
      <w:divBdr>
        <w:top w:val="none" w:sz="0" w:space="0" w:color="auto"/>
        <w:left w:val="none" w:sz="0" w:space="0" w:color="auto"/>
        <w:bottom w:val="none" w:sz="0" w:space="0" w:color="auto"/>
        <w:right w:val="none" w:sz="0" w:space="0" w:color="auto"/>
      </w:divBdr>
    </w:div>
    <w:div w:id="529491562">
      <w:bodyDiv w:val="1"/>
      <w:marLeft w:val="0"/>
      <w:marRight w:val="0"/>
      <w:marTop w:val="0"/>
      <w:marBottom w:val="0"/>
      <w:divBdr>
        <w:top w:val="none" w:sz="0" w:space="0" w:color="auto"/>
        <w:left w:val="none" w:sz="0" w:space="0" w:color="auto"/>
        <w:bottom w:val="none" w:sz="0" w:space="0" w:color="auto"/>
        <w:right w:val="none" w:sz="0" w:space="0" w:color="auto"/>
      </w:divBdr>
    </w:div>
    <w:div w:id="530920611">
      <w:bodyDiv w:val="1"/>
      <w:marLeft w:val="0"/>
      <w:marRight w:val="0"/>
      <w:marTop w:val="0"/>
      <w:marBottom w:val="0"/>
      <w:divBdr>
        <w:top w:val="none" w:sz="0" w:space="0" w:color="auto"/>
        <w:left w:val="none" w:sz="0" w:space="0" w:color="auto"/>
        <w:bottom w:val="none" w:sz="0" w:space="0" w:color="auto"/>
        <w:right w:val="none" w:sz="0" w:space="0" w:color="auto"/>
      </w:divBdr>
    </w:div>
    <w:div w:id="532809881">
      <w:bodyDiv w:val="1"/>
      <w:marLeft w:val="0"/>
      <w:marRight w:val="0"/>
      <w:marTop w:val="0"/>
      <w:marBottom w:val="0"/>
      <w:divBdr>
        <w:top w:val="none" w:sz="0" w:space="0" w:color="auto"/>
        <w:left w:val="none" w:sz="0" w:space="0" w:color="auto"/>
        <w:bottom w:val="none" w:sz="0" w:space="0" w:color="auto"/>
        <w:right w:val="none" w:sz="0" w:space="0" w:color="auto"/>
      </w:divBdr>
    </w:div>
    <w:div w:id="535582412">
      <w:bodyDiv w:val="1"/>
      <w:marLeft w:val="0"/>
      <w:marRight w:val="0"/>
      <w:marTop w:val="0"/>
      <w:marBottom w:val="0"/>
      <w:divBdr>
        <w:top w:val="none" w:sz="0" w:space="0" w:color="auto"/>
        <w:left w:val="none" w:sz="0" w:space="0" w:color="auto"/>
        <w:bottom w:val="none" w:sz="0" w:space="0" w:color="auto"/>
        <w:right w:val="none" w:sz="0" w:space="0" w:color="auto"/>
      </w:divBdr>
    </w:div>
    <w:div w:id="540095134">
      <w:bodyDiv w:val="1"/>
      <w:marLeft w:val="0"/>
      <w:marRight w:val="0"/>
      <w:marTop w:val="0"/>
      <w:marBottom w:val="0"/>
      <w:divBdr>
        <w:top w:val="none" w:sz="0" w:space="0" w:color="auto"/>
        <w:left w:val="none" w:sz="0" w:space="0" w:color="auto"/>
        <w:bottom w:val="none" w:sz="0" w:space="0" w:color="auto"/>
        <w:right w:val="none" w:sz="0" w:space="0" w:color="auto"/>
      </w:divBdr>
    </w:div>
    <w:div w:id="550113133">
      <w:bodyDiv w:val="1"/>
      <w:marLeft w:val="0"/>
      <w:marRight w:val="0"/>
      <w:marTop w:val="0"/>
      <w:marBottom w:val="0"/>
      <w:divBdr>
        <w:top w:val="none" w:sz="0" w:space="0" w:color="auto"/>
        <w:left w:val="none" w:sz="0" w:space="0" w:color="auto"/>
        <w:bottom w:val="none" w:sz="0" w:space="0" w:color="auto"/>
        <w:right w:val="none" w:sz="0" w:space="0" w:color="auto"/>
      </w:divBdr>
    </w:div>
    <w:div w:id="551573130">
      <w:bodyDiv w:val="1"/>
      <w:marLeft w:val="0"/>
      <w:marRight w:val="0"/>
      <w:marTop w:val="0"/>
      <w:marBottom w:val="0"/>
      <w:divBdr>
        <w:top w:val="none" w:sz="0" w:space="0" w:color="auto"/>
        <w:left w:val="none" w:sz="0" w:space="0" w:color="auto"/>
        <w:bottom w:val="none" w:sz="0" w:space="0" w:color="auto"/>
        <w:right w:val="none" w:sz="0" w:space="0" w:color="auto"/>
      </w:divBdr>
    </w:div>
    <w:div w:id="566766229">
      <w:bodyDiv w:val="1"/>
      <w:marLeft w:val="0"/>
      <w:marRight w:val="0"/>
      <w:marTop w:val="0"/>
      <w:marBottom w:val="0"/>
      <w:divBdr>
        <w:top w:val="none" w:sz="0" w:space="0" w:color="auto"/>
        <w:left w:val="none" w:sz="0" w:space="0" w:color="auto"/>
        <w:bottom w:val="none" w:sz="0" w:space="0" w:color="auto"/>
        <w:right w:val="none" w:sz="0" w:space="0" w:color="auto"/>
      </w:divBdr>
    </w:div>
    <w:div w:id="570166016">
      <w:bodyDiv w:val="1"/>
      <w:marLeft w:val="0"/>
      <w:marRight w:val="0"/>
      <w:marTop w:val="0"/>
      <w:marBottom w:val="0"/>
      <w:divBdr>
        <w:top w:val="none" w:sz="0" w:space="0" w:color="auto"/>
        <w:left w:val="none" w:sz="0" w:space="0" w:color="auto"/>
        <w:bottom w:val="none" w:sz="0" w:space="0" w:color="auto"/>
        <w:right w:val="none" w:sz="0" w:space="0" w:color="auto"/>
      </w:divBdr>
    </w:div>
    <w:div w:id="577399647">
      <w:bodyDiv w:val="1"/>
      <w:marLeft w:val="0"/>
      <w:marRight w:val="0"/>
      <w:marTop w:val="0"/>
      <w:marBottom w:val="0"/>
      <w:divBdr>
        <w:top w:val="none" w:sz="0" w:space="0" w:color="auto"/>
        <w:left w:val="none" w:sz="0" w:space="0" w:color="auto"/>
        <w:bottom w:val="none" w:sz="0" w:space="0" w:color="auto"/>
        <w:right w:val="none" w:sz="0" w:space="0" w:color="auto"/>
      </w:divBdr>
    </w:div>
    <w:div w:id="581257054">
      <w:bodyDiv w:val="1"/>
      <w:marLeft w:val="0"/>
      <w:marRight w:val="0"/>
      <w:marTop w:val="0"/>
      <w:marBottom w:val="0"/>
      <w:divBdr>
        <w:top w:val="none" w:sz="0" w:space="0" w:color="auto"/>
        <w:left w:val="none" w:sz="0" w:space="0" w:color="auto"/>
        <w:bottom w:val="none" w:sz="0" w:space="0" w:color="auto"/>
        <w:right w:val="none" w:sz="0" w:space="0" w:color="auto"/>
      </w:divBdr>
    </w:div>
    <w:div w:id="588080421">
      <w:bodyDiv w:val="1"/>
      <w:marLeft w:val="0"/>
      <w:marRight w:val="0"/>
      <w:marTop w:val="0"/>
      <w:marBottom w:val="0"/>
      <w:divBdr>
        <w:top w:val="none" w:sz="0" w:space="0" w:color="auto"/>
        <w:left w:val="none" w:sz="0" w:space="0" w:color="auto"/>
        <w:bottom w:val="none" w:sz="0" w:space="0" w:color="auto"/>
        <w:right w:val="none" w:sz="0" w:space="0" w:color="auto"/>
      </w:divBdr>
    </w:div>
    <w:div w:id="619263992">
      <w:bodyDiv w:val="1"/>
      <w:marLeft w:val="0"/>
      <w:marRight w:val="0"/>
      <w:marTop w:val="0"/>
      <w:marBottom w:val="0"/>
      <w:divBdr>
        <w:top w:val="none" w:sz="0" w:space="0" w:color="auto"/>
        <w:left w:val="none" w:sz="0" w:space="0" w:color="auto"/>
        <w:bottom w:val="none" w:sz="0" w:space="0" w:color="auto"/>
        <w:right w:val="none" w:sz="0" w:space="0" w:color="auto"/>
      </w:divBdr>
    </w:div>
    <w:div w:id="622734110">
      <w:bodyDiv w:val="1"/>
      <w:marLeft w:val="0"/>
      <w:marRight w:val="0"/>
      <w:marTop w:val="0"/>
      <w:marBottom w:val="0"/>
      <w:divBdr>
        <w:top w:val="none" w:sz="0" w:space="0" w:color="auto"/>
        <w:left w:val="none" w:sz="0" w:space="0" w:color="auto"/>
        <w:bottom w:val="none" w:sz="0" w:space="0" w:color="auto"/>
        <w:right w:val="none" w:sz="0" w:space="0" w:color="auto"/>
      </w:divBdr>
    </w:div>
    <w:div w:id="645160083">
      <w:bodyDiv w:val="1"/>
      <w:marLeft w:val="0"/>
      <w:marRight w:val="0"/>
      <w:marTop w:val="0"/>
      <w:marBottom w:val="0"/>
      <w:divBdr>
        <w:top w:val="none" w:sz="0" w:space="0" w:color="auto"/>
        <w:left w:val="none" w:sz="0" w:space="0" w:color="auto"/>
        <w:bottom w:val="none" w:sz="0" w:space="0" w:color="auto"/>
        <w:right w:val="none" w:sz="0" w:space="0" w:color="auto"/>
      </w:divBdr>
    </w:div>
    <w:div w:id="652756437">
      <w:bodyDiv w:val="1"/>
      <w:marLeft w:val="0"/>
      <w:marRight w:val="0"/>
      <w:marTop w:val="0"/>
      <w:marBottom w:val="0"/>
      <w:divBdr>
        <w:top w:val="none" w:sz="0" w:space="0" w:color="auto"/>
        <w:left w:val="none" w:sz="0" w:space="0" w:color="auto"/>
        <w:bottom w:val="none" w:sz="0" w:space="0" w:color="auto"/>
        <w:right w:val="none" w:sz="0" w:space="0" w:color="auto"/>
      </w:divBdr>
    </w:div>
    <w:div w:id="658196149">
      <w:bodyDiv w:val="1"/>
      <w:marLeft w:val="0"/>
      <w:marRight w:val="0"/>
      <w:marTop w:val="0"/>
      <w:marBottom w:val="0"/>
      <w:divBdr>
        <w:top w:val="none" w:sz="0" w:space="0" w:color="auto"/>
        <w:left w:val="none" w:sz="0" w:space="0" w:color="auto"/>
        <w:bottom w:val="none" w:sz="0" w:space="0" w:color="auto"/>
        <w:right w:val="none" w:sz="0" w:space="0" w:color="auto"/>
      </w:divBdr>
    </w:div>
    <w:div w:id="659843539">
      <w:bodyDiv w:val="1"/>
      <w:marLeft w:val="0"/>
      <w:marRight w:val="0"/>
      <w:marTop w:val="0"/>
      <w:marBottom w:val="0"/>
      <w:divBdr>
        <w:top w:val="none" w:sz="0" w:space="0" w:color="auto"/>
        <w:left w:val="none" w:sz="0" w:space="0" w:color="auto"/>
        <w:bottom w:val="none" w:sz="0" w:space="0" w:color="auto"/>
        <w:right w:val="none" w:sz="0" w:space="0" w:color="auto"/>
      </w:divBdr>
    </w:div>
    <w:div w:id="718166407">
      <w:bodyDiv w:val="1"/>
      <w:marLeft w:val="0"/>
      <w:marRight w:val="0"/>
      <w:marTop w:val="0"/>
      <w:marBottom w:val="0"/>
      <w:divBdr>
        <w:top w:val="none" w:sz="0" w:space="0" w:color="auto"/>
        <w:left w:val="none" w:sz="0" w:space="0" w:color="auto"/>
        <w:bottom w:val="none" w:sz="0" w:space="0" w:color="auto"/>
        <w:right w:val="none" w:sz="0" w:space="0" w:color="auto"/>
      </w:divBdr>
    </w:div>
    <w:div w:id="725841513">
      <w:bodyDiv w:val="1"/>
      <w:marLeft w:val="0"/>
      <w:marRight w:val="0"/>
      <w:marTop w:val="0"/>
      <w:marBottom w:val="0"/>
      <w:divBdr>
        <w:top w:val="none" w:sz="0" w:space="0" w:color="auto"/>
        <w:left w:val="none" w:sz="0" w:space="0" w:color="auto"/>
        <w:bottom w:val="none" w:sz="0" w:space="0" w:color="auto"/>
        <w:right w:val="none" w:sz="0" w:space="0" w:color="auto"/>
      </w:divBdr>
    </w:div>
    <w:div w:id="726925996">
      <w:bodyDiv w:val="1"/>
      <w:marLeft w:val="0"/>
      <w:marRight w:val="0"/>
      <w:marTop w:val="0"/>
      <w:marBottom w:val="0"/>
      <w:divBdr>
        <w:top w:val="none" w:sz="0" w:space="0" w:color="auto"/>
        <w:left w:val="none" w:sz="0" w:space="0" w:color="auto"/>
        <w:bottom w:val="none" w:sz="0" w:space="0" w:color="auto"/>
        <w:right w:val="none" w:sz="0" w:space="0" w:color="auto"/>
      </w:divBdr>
    </w:div>
    <w:div w:id="736779416">
      <w:bodyDiv w:val="1"/>
      <w:marLeft w:val="0"/>
      <w:marRight w:val="0"/>
      <w:marTop w:val="0"/>
      <w:marBottom w:val="0"/>
      <w:divBdr>
        <w:top w:val="none" w:sz="0" w:space="0" w:color="auto"/>
        <w:left w:val="none" w:sz="0" w:space="0" w:color="auto"/>
        <w:bottom w:val="none" w:sz="0" w:space="0" w:color="auto"/>
        <w:right w:val="none" w:sz="0" w:space="0" w:color="auto"/>
      </w:divBdr>
    </w:div>
    <w:div w:id="755052500">
      <w:bodyDiv w:val="1"/>
      <w:marLeft w:val="0"/>
      <w:marRight w:val="0"/>
      <w:marTop w:val="0"/>
      <w:marBottom w:val="0"/>
      <w:divBdr>
        <w:top w:val="none" w:sz="0" w:space="0" w:color="auto"/>
        <w:left w:val="none" w:sz="0" w:space="0" w:color="auto"/>
        <w:bottom w:val="none" w:sz="0" w:space="0" w:color="auto"/>
        <w:right w:val="none" w:sz="0" w:space="0" w:color="auto"/>
      </w:divBdr>
    </w:div>
    <w:div w:id="776102163">
      <w:bodyDiv w:val="1"/>
      <w:marLeft w:val="0"/>
      <w:marRight w:val="0"/>
      <w:marTop w:val="0"/>
      <w:marBottom w:val="0"/>
      <w:divBdr>
        <w:top w:val="none" w:sz="0" w:space="0" w:color="auto"/>
        <w:left w:val="none" w:sz="0" w:space="0" w:color="auto"/>
        <w:bottom w:val="none" w:sz="0" w:space="0" w:color="auto"/>
        <w:right w:val="none" w:sz="0" w:space="0" w:color="auto"/>
      </w:divBdr>
    </w:div>
    <w:div w:id="776830367">
      <w:bodyDiv w:val="1"/>
      <w:marLeft w:val="0"/>
      <w:marRight w:val="0"/>
      <w:marTop w:val="0"/>
      <w:marBottom w:val="0"/>
      <w:divBdr>
        <w:top w:val="none" w:sz="0" w:space="0" w:color="auto"/>
        <w:left w:val="none" w:sz="0" w:space="0" w:color="auto"/>
        <w:bottom w:val="none" w:sz="0" w:space="0" w:color="auto"/>
        <w:right w:val="none" w:sz="0" w:space="0" w:color="auto"/>
      </w:divBdr>
    </w:div>
    <w:div w:id="783577448">
      <w:bodyDiv w:val="1"/>
      <w:marLeft w:val="0"/>
      <w:marRight w:val="0"/>
      <w:marTop w:val="0"/>
      <w:marBottom w:val="0"/>
      <w:divBdr>
        <w:top w:val="none" w:sz="0" w:space="0" w:color="auto"/>
        <w:left w:val="none" w:sz="0" w:space="0" w:color="auto"/>
        <w:bottom w:val="none" w:sz="0" w:space="0" w:color="auto"/>
        <w:right w:val="none" w:sz="0" w:space="0" w:color="auto"/>
      </w:divBdr>
    </w:div>
    <w:div w:id="784929628">
      <w:bodyDiv w:val="1"/>
      <w:marLeft w:val="0"/>
      <w:marRight w:val="0"/>
      <w:marTop w:val="0"/>
      <w:marBottom w:val="0"/>
      <w:divBdr>
        <w:top w:val="none" w:sz="0" w:space="0" w:color="auto"/>
        <w:left w:val="none" w:sz="0" w:space="0" w:color="auto"/>
        <w:bottom w:val="none" w:sz="0" w:space="0" w:color="auto"/>
        <w:right w:val="none" w:sz="0" w:space="0" w:color="auto"/>
      </w:divBdr>
    </w:div>
    <w:div w:id="797144482">
      <w:bodyDiv w:val="1"/>
      <w:marLeft w:val="0"/>
      <w:marRight w:val="0"/>
      <w:marTop w:val="0"/>
      <w:marBottom w:val="0"/>
      <w:divBdr>
        <w:top w:val="none" w:sz="0" w:space="0" w:color="auto"/>
        <w:left w:val="none" w:sz="0" w:space="0" w:color="auto"/>
        <w:bottom w:val="none" w:sz="0" w:space="0" w:color="auto"/>
        <w:right w:val="none" w:sz="0" w:space="0" w:color="auto"/>
      </w:divBdr>
    </w:div>
    <w:div w:id="813134924">
      <w:bodyDiv w:val="1"/>
      <w:marLeft w:val="0"/>
      <w:marRight w:val="0"/>
      <w:marTop w:val="0"/>
      <w:marBottom w:val="0"/>
      <w:divBdr>
        <w:top w:val="none" w:sz="0" w:space="0" w:color="auto"/>
        <w:left w:val="none" w:sz="0" w:space="0" w:color="auto"/>
        <w:bottom w:val="none" w:sz="0" w:space="0" w:color="auto"/>
        <w:right w:val="none" w:sz="0" w:space="0" w:color="auto"/>
      </w:divBdr>
    </w:div>
    <w:div w:id="816722748">
      <w:bodyDiv w:val="1"/>
      <w:marLeft w:val="0"/>
      <w:marRight w:val="0"/>
      <w:marTop w:val="0"/>
      <w:marBottom w:val="0"/>
      <w:divBdr>
        <w:top w:val="none" w:sz="0" w:space="0" w:color="auto"/>
        <w:left w:val="none" w:sz="0" w:space="0" w:color="auto"/>
        <w:bottom w:val="none" w:sz="0" w:space="0" w:color="auto"/>
        <w:right w:val="none" w:sz="0" w:space="0" w:color="auto"/>
      </w:divBdr>
    </w:div>
    <w:div w:id="820193560">
      <w:bodyDiv w:val="1"/>
      <w:marLeft w:val="0"/>
      <w:marRight w:val="0"/>
      <w:marTop w:val="0"/>
      <w:marBottom w:val="0"/>
      <w:divBdr>
        <w:top w:val="none" w:sz="0" w:space="0" w:color="auto"/>
        <w:left w:val="none" w:sz="0" w:space="0" w:color="auto"/>
        <w:bottom w:val="none" w:sz="0" w:space="0" w:color="auto"/>
        <w:right w:val="none" w:sz="0" w:space="0" w:color="auto"/>
      </w:divBdr>
    </w:div>
    <w:div w:id="830291632">
      <w:bodyDiv w:val="1"/>
      <w:marLeft w:val="0"/>
      <w:marRight w:val="0"/>
      <w:marTop w:val="0"/>
      <w:marBottom w:val="0"/>
      <w:divBdr>
        <w:top w:val="none" w:sz="0" w:space="0" w:color="auto"/>
        <w:left w:val="none" w:sz="0" w:space="0" w:color="auto"/>
        <w:bottom w:val="none" w:sz="0" w:space="0" w:color="auto"/>
        <w:right w:val="none" w:sz="0" w:space="0" w:color="auto"/>
      </w:divBdr>
    </w:div>
    <w:div w:id="846022388">
      <w:bodyDiv w:val="1"/>
      <w:marLeft w:val="0"/>
      <w:marRight w:val="0"/>
      <w:marTop w:val="0"/>
      <w:marBottom w:val="0"/>
      <w:divBdr>
        <w:top w:val="none" w:sz="0" w:space="0" w:color="auto"/>
        <w:left w:val="none" w:sz="0" w:space="0" w:color="auto"/>
        <w:bottom w:val="none" w:sz="0" w:space="0" w:color="auto"/>
        <w:right w:val="none" w:sz="0" w:space="0" w:color="auto"/>
      </w:divBdr>
    </w:div>
    <w:div w:id="859244291">
      <w:bodyDiv w:val="1"/>
      <w:marLeft w:val="0"/>
      <w:marRight w:val="0"/>
      <w:marTop w:val="0"/>
      <w:marBottom w:val="0"/>
      <w:divBdr>
        <w:top w:val="none" w:sz="0" w:space="0" w:color="auto"/>
        <w:left w:val="none" w:sz="0" w:space="0" w:color="auto"/>
        <w:bottom w:val="none" w:sz="0" w:space="0" w:color="auto"/>
        <w:right w:val="none" w:sz="0" w:space="0" w:color="auto"/>
      </w:divBdr>
    </w:div>
    <w:div w:id="862982706">
      <w:bodyDiv w:val="1"/>
      <w:marLeft w:val="0"/>
      <w:marRight w:val="0"/>
      <w:marTop w:val="0"/>
      <w:marBottom w:val="0"/>
      <w:divBdr>
        <w:top w:val="none" w:sz="0" w:space="0" w:color="auto"/>
        <w:left w:val="none" w:sz="0" w:space="0" w:color="auto"/>
        <w:bottom w:val="none" w:sz="0" w:space="0" w:color="auto"/>
        <w:right w:val="none" w:sz="0" w:space="0" w:color="auto"/>
      </w:divBdr>
    </w:div>
    <w:div w:id="868377584">
      <w:bodyDiv w:val="1"/>
      <w:marLeft w:val="0"/>
      <w:marRight w:val="0"/>
      <w:marTop w:val="0"/>
      <w:marBottom w:val="0"/>
      <w:divBdr>
        <w:top w:val="none" w:sz="0" w:space="0" w:color="auto"/>
        <w:left w:val="none" w:sz="0" w:space="0" w:color="auto"/>
        <w:bottom w:val="none" w:sz="0" w:space="0" w:color="auto"/>
        <w:right w:val="none" w:sz="0" w:space="0" w:color="auto"/>
      </w:divBdr>
    </w:div>
    <w:div w:id="878668736">
      <w:bodyDiv w:val="1"/>
      <w:marLeft w:val="0"/>
      <w:marRight w:val="0"/>
      <w:marTop w:val="0"/>
      <w:marBottom w:val="0"/>
      <w:divBdr>
        <w:top w:val="none" w:sz="0" w:space="0" w:color="auto"/>
        <w:left w:val="none" w:sz="0" w:space="0" w:color="auto"/>
        <w:bottom w:val="none" w:sz="0" w:space="0" w:color="auto"/>
        <w:right w:val="none" w:sz="0" w:space="0" w:color="auto"/>
      </w:divBdr>
    </w:div>
    <w:div w:id="910696659">
      <w:bodyDiv w:val="1"/>
      <w:marLeft w:val="0"/>
      <w:marRight w:val="0"/>
      <w:marTop w:val="0"/>
      <w:marBottom w:val="0"/>
      <w:divBdr>
        <w:top w:val="none" w:sz="0" w:space="0" w:color="auto"/>
        <w:left w:val="none" w:sz="0" w:space="0" w:color="auto"/>
        <w:bottom w:val="none" w:sz="0" w:space="0" w:color="auto"/>
        <w:right w:val="none" w:sz="0" w:space="0" w:color="auto"/>
      </w:divBdr>
    </w:div>
    <w:div w:id="916980604">
      <w:bodyDiv w:val="1"/>
      <w:marLeft w:val="0"/>
      <w:marRight w:val="0"/>
      <w:marTop w:val="0"/>
      <w:marBottom w:val="0"/>
      <w:divBdr>
        <w:top w:val="none" w:sz="0" w:space="0" w:color="auto"/>
        <w:left w:val="none" w:sz="0" w:space="0" w:color="auto"/>
        <w:bottom w:val="none" w:sz="0" w:space="0" w:color="auto"/>
        <w:right w:val="none" w:sz="0" w:space="0" w:color="auto"/>
      </w:divBdr>
    </w:div>
    <w:div w:id="936252678">
      <w:bodyDiv w:val="1"/>
      <w:marLeft w:val="0"/>
      <w:marRight w:val="0"/>
      <w:marTop w:val="0"/>
      <w:marBottom w:val="0"/>
      <w:divBdr>
        <w:top w:val="none" w:sz="0" w:space="0" w:color="auto"/>
        <w:left w:val="none" w:sz="0" w:space="0" w:color="auto"/>
        <w:bottom w:val="none" w:sz="0" w:space="0" w:color="auto"/>
        <w:right w:val="none" w:sz="0" w:space="0" w:color="auto"/>
      </w:divBdr>
    </w:div>
    <w:div w:id="937256799">
      <w:bodyDiv w:val="1"/>
      <w:marLeft w:val="0"/>
      <w:marRight w:val="0"/>
      <w:marTop w:val="0"/>
      <w:marBottom w:val="0"/>
      <w:divBdr>
        <w:top w:val="none" w:sz="0" w:space="0" w:color="auto"/>
        <w:left w:val="none" w:sz="0" w:space="0" w:color="auto"/>
        <w:bottom w:val="none" w:sz="0" w:space="0" w:color="auto"/>
        <w:right w:val="none" w:sz="0" w:space="0" w:color="auto"/>
      </w:divBdr>
    </w:div>
    <w:div w:id="940838619">
      <w:bodyDiv w:val="1"/>
      <w:marLeft w:val="0"/>
      <w:marRight w:val="0"/>
      <w:marTop w:val="0"/>
      <w:marBottom w:val="0"/>
      <w:divBdr>
        <w:top w:val="none" w:sz="0" w:space="0" w:color="auto"/>
        <w:left w:val="none" w:sz="0" w:space="0" w:color="auto"/>
        <w:bottom w:val="none" w:sz="0" w:space="0" w:color="auto"/>
        <w:right w:val="none" w:sz="0" w:space="0" w:color="auto"/>
      </w:divBdr>
    </w:div>
    <w:div w:id="943805097">
      <w:bodyDiv w:val="1"/>
      <w:marLeft w:val="0"/>
      <w:marRight w:val="0"/>
      <w:marTop w:val="0"/>
      <w:marBottom w:val="0"/>
      <w:divBdr>
        <w:top w:val="none" w:sz="0" w:space="0" w:color="auto"/>
        <w:left w:val="none" w:sz="0" w:space="0" w:color="auto"/>
        <w:bottom w:val="none" w:sz="0" w:space="0" w:color="auto"/>
        <w:right w:val="none" w:sz="0" w:space="0" w:color="auto"/>
      </w:divBdr>
    </w:div>
    <w:div w:id="948204107">
      <w:bodyDiv w:val="1"/>
      <w:marLeft w:val="0"/>
      <w:marRight w:val="0"/>
      <w:marTop w:val="0"/>
      <w:marBottom w:val="0"/>
      <w:divBdr>
        <w:top w:val="none" w:sz="0" w:space="0" w:color="auto"/>
        <w:left w:val="none" w:sz="0" w:space="0" w:color="auto"/>
        <w:bottom w:val="none" w:sz="0" w:space="0" w:color="auto"/>
        <w:right w:val="none" w:sz="0" w:space="0" w:color="auto"/>
      </w:divBdr>
    </w:div>
    <w:div w:id="951475775">
      <w:bodyDiv w:val="1"/>
      <w:marLeft w:val="0"/>
      <w:marRight w:val="0"/>
      <w:marTop w:val="0"/>
      <w:marBottom w:val="0"/>
      <w:divBdr>
        <w:top w:val="none" w:sz="0" w:space="0" w:color="auto"/>
        <w:left w:val="none" w:sz="0" w:space="0" w:color="auto"/>
        <w:bottom w:val="none" w:sz="0" w:space="0" w:color="auto"/>
        <w:right w:val="none" w:sz="0" w:space="0" w:color="auto"/>
      </w:divBdr>
    </w:div>
    <w:div w:id="956250869">
      <w:bodyDiv w:val="1"/>
      <w:marLeft w:val="0"/>
      <w:marRight w:val="0"/>
      <w:marTop w:val="0"/>
      <w:marBottom w:val="0"/>
      <w:divBdr>
        <w:top w:val="none" w:sz="0" w:space="0" w:color="auto"/>
        <w:left w:val="none" w:sz="0" w:space="0" w:color="auto"/>
        <w:bottom w:val="none" w:sz="0" w:space="0" w:color="auto"/>
        <w:right w:val="none" w:sz="0" w:space="0" w:color="auto"/>
      </w:divBdr>
    </w:div>
    <w:div w:id="969096760">
      <w:bodyDiv w:val="1"/>
      <w:marLeft w:val="0"/>
      <w:marRight w:val="0"/>
      <w:marTop w:val="0"/>
      <w:marBottom w:val="0"/>
      <w:divBdr>
        <w:top w:val="none" w:sz="0" w:space="0" w:color="auto"/>
        <w:left w:val="none" w:sz="0" w:space="0" w:color="auto"/>
        <w:bottom w:val="none" w:sz="0" w:space="0" w:color="auto"/>
        <w:right w:val="none" w:sz="0" w:space="0" w:color="auto"/>
      </w:divBdr>
    </w:div>
    <w:div w:id="971137634">
      <w:bodyDiv w:val="1"/>
      <w:marLeft w:val="0"/>
      <w:marRight w:val="0"/>
      <w:marTop w:val="0"/>
      <w:marBottom w:val="0"/>
      <w:divBdr>
        <w:top w:val="none" w:sz="0" w:space="0" w:color="auto"/>
        <w:left w:val="none" w:sz="0" w:space="0" w:color="auto"/>
        <w:bottom w:val="none" w:sz="0" w:space="0" w:color="auto"/>
        <w:right w:val="none" w:sz="0" w:space="0" w:color="auto"/>
      </w:divBdr>
    </w:div>
    <w:div w:id="987200086">
      <w:bodyDiv w:val="1"/>
      <w:marLeft w:val="0"/>
      <w:marRight w:val="0"/>
      <w:marTop w:val="0"/>
      <w:marBottom w:val="0"/>
      <w:divBdr>
        <w:top w:val="none" w:sz="0" w:space="0" w:color="auto"/>
        <w:left w:val="none" w:sz="0" w:space="0" w:color="auto"/>
        <w:bottom w:val="none" w:sz="0" w:space="0" w:color="auto"/>
        <w:right w:val="none" w:sz="0" w:space="0" w:color="auto"/>
      </w:divBdr>
    </w:div>
    <w:div w:id="991720465">
      <w:bodyDiv w:val="1"/>
      <w:marLeft w:val="0"/>
      <w:marRight w:val="0"/>
      <w:marTop w:val="0"/>
      <w:marBottom w:val="0"/>
      <w:divBdr>
        <w:top w:val="none" w:sz="0" w:space="0" w:color="auto"/>
        <w:left w:val="none" w:sz="0" w:space="0" w:color="auto"/>
        <w:bottom w:val="none" w:sz="0" w:space="0" w:color="auto"/>
        <w:right w:val="none" w:sz="0" w:space="0" w:color="auto"/>
      </w:divBdr>
    </w:div>
    <w:div w:id="1003125035">
      <w:bodyDiv w:val="1"/>
      <w:marLeft w:val="0"/>
      <w:marRight w:val="0"/>
      <w:marTop w:val="0"/>
      <w:marBottom w:val="0"/>
      <w:divBdr>
        <w:top w:val="none" w:sz="0" w:space="0" w:color="auto"/>
        <w:left w:val="none" w:sz="0" w:space="0" w:color="auto"/>
        <w:bottom w:val="none" w:sz="0" w:space="0" w:color="auto"/>
        <w:right w:val="none" w:sz="0" w:space="0" w:color="auto"/>
      </w:divBdr>
    </w:div>
    <w:div w:id="1011567931">
      <w:bodyDiv w:val="1"/>
      <w:marLeft w:val="0"/>
      <w:marRight w:val="0"/>
      <w:marTop w:val="0"/>
      <w:marBottom w:val="0"/>
      <w:divBdr>
        <w:top w:val="none" w:sz="0" w:space="0" w:color="auto"/>
        <w:left w:val="none" w:sz="0" w:space="0" w:color="auto"/>
        <w:bottom w:val="none" w:sz="0" w:space="0" w:color="auto"/>
        <w:right w:val="none" w:sz="0" w:space="0" w:color="auto"/>
      </w:divBdr>
    </w:div>
    <w:div w:id="1019741653">
      <w:bodyDiv w:val="1"/>
      <w:marLeft w:val="0"/>
      <w:marRight w:val="0"/>
      <w:marTop w:val="0"/>
      <w:marBottom w:val="0"/>
      <w:divBdr>
        <w:top w:val="none" w:sz="0" w:space="0" w:color="auto"/>
        <w:left w:val="none" w:sz="0" w:space="0" w:color="auto"/>
        <w:bottom w:val="none" w:sz="0" w:space="0" w:color="auto"/>
        <w:right w:val="none" w:sz="0" w:space="0" w:color="auto"/>
      </w:divBdr>
    </w:div>
    <w:div w:id="1027415407">
      <w:bodyDiv w:val="1"/>
      <w:marLeft w:val="0"/>
      <w:marRight w:val="0"/>
      <w:marTop w:val="0"/>
      <w:marBottom w:val="0"/>
      <w:divBdr>
        <w:top w:val="none" w:sz="0" w:space="0" w:color="auto"/>
        <w:left w:val="none" w:sz="0" w:space="0" w:color="auto"/>
        <w:bottom w:val="none" w:sz="0" w:space="0" w:color="auto"/>
        <w:right w:val="none" w:sz="0" w:space="0" w:color="auto"/>
      </w:divBdr>
    </w:div>
    <w:div w:id="1027871955">
      <w:bodyDiv w:val="1"/>
      <w:marLeft w:val="0"/>
      <w:marRight w:val="0"/>
      <w:marTop w:val="0"/>
      <w:marBottom w:val="0"/>
      <w:divBdr>
        <w:top w:val="none" w:sz="0" w:space="0" w:color="auto"/>
        <w:left w:val="none" w:sz="0" w:space="0" w:color="auto"/>
        <w:bottom w:val="none" w:sz="0" w:space="0" w:color="auto"/>
        <w:right w:val="none" w:sz="0" w:space="0" w:color="auto"/>
      </w:divBdr>
    </w:div>
    <w:div w:id="1034188534">
      <w:bodyDiv w:val="1"/>
      <w:marLeft w:val="0"/>
      <w:marRight w:val="0"/>
      <w:marTop w:val="0"/>
      <w:marBottom w:val="0"/>
      <w:divBdr>
        <w:top w:val="none" w:sz="0" w:space="0" w:color="auto"/>
        <w:left w:val="none" w:sz="0" w:space="0" w:color="auto"/>
        <w:bottom w:val="none" w:sz="0" w:space="0" w:color="auto"/>
        <w:right w:val="none" w:sz="0" w:space="0" w:color="auto"/>
      </w:divBdr>
    </w:div>
    <w:div w:id="1046491069">
      <w:bodyDiv w:val="1"/>
      <w:marLeft w:val="0"/>
      <w:marRight w:val="0"/>
      <w:marTop w:val="0"/>
      <w:marBottom w:val="0"/>
      <w:divBdr>
        <w:top w:val="none" w:sz="0" w:space="0" w:color="auto"/>
        <w:left w:val="none" w:sz="0" w:space="0" w:color="auto"/>
        <w:bottom w:val="none" w:sz="0" w:space="0" w:color="auto"/>
        <w:right w:val="none" w:sz="0" w:space="0" w:color="auto"/>
      </w:divBdr>
    </w:div>
    <w:div w:id="1051728539">
      <w:bodyDiv w:val="1"/>
      <w:marLeft w:val="0"/>
      <w:marRight w:val="0"/>
      <w:marTop w:val="0"/>
      <w:marBottom w:val="0"/>
      <w:divBdr>
        <w:top w:val="none" w:sz="0" w:space="0" w:color="auto"/>
        <w:left w:val="none" w:sz="0" w:space="0" w:color="auto"/>
        <w:bottom w:val="none" w:sz="0" w:space="0" w:color="auto"/>
        <w:right w:val="none" w:sz="0" w:space="0" w:color="auto"/>
      </w:divBdr>
    </w:div>
    <w:div w:id="1053845016">
      <w:bodyDiv w:val="1"/>
      <w:marLeft w:val="0"/>
      <w:marRight w:val="0"/>
      <w:marTop w:val="0"/>
      <w:marBottom w:val="0"/>
      <w:divBdr>
        <w:top w:val="none" w:sz="0" w:space="0" w:color="auto"/>
        <w:left w:val="none" w:sz="0" w:space="0" w:color="auto"/>
        <w:bottom w:val="none" w:sz="0" w:space="0" w:color="auto"/>
        <w:right w:val="none" w:sz="0" w:space="0" w:color="auto"/>
      </w:divBdr>
    </w:div>
    <w:div w:id="1062018460">
      <w:bodyDiv w:val="1"/>
      <w:marLeft w:val="0"/>
      <w:marRight w:val="0"/>
      <w:marTop w:val="0"/>
      <w:marBottom w:val="0"/>
      <w:divBdr>
        <w:top w:val="none" w:sz="0" w:space="0" w:color="auto"/>
        <w:left w:val="none" w:sz="0" w:space="0" w:color="auto"/>
        <w:bottom w:val="none" w:sz="0" w:space="0" w:color="auto"/>
        <w:right w:val="none" w:sz="0" w:space="0" w:color="auto"/>
      </w:divBdr>
    </w:div>
    <w:div w:id="1062754888">
      <w:bodyDiv w:val="1"/>
      <w:marLeft w:val="0"/>
      <w:marRight w:val="0"/>
      <w:marTop w:val="0"/>
      <w:marBottom w:val="0"/>
      <w:divBdr>
        <w:top w:val="none" w:sz="0" w:space="0" w:color="auto"/>
        <w:left w:val="none" w:sz="0" w:space="0" w:color="auto"/>
        <w:bottom w:val="none" w:sz="0" w:space="0" w:color="auto"/>
        <w:right w:val="none" w:sz="0" w:space="0" w:color="auto"/>
      </w:divBdr>
    </w:div>
    <w:div w:id="1069421738">
      <w:bodyDiv w:val="1"/>
      <w:marLeft w:val="0"/>
      <w:marRight w:val="0"/>
      <w:marTop w:val="0"/>
      <w:marBottom w:val="0"/>
      <w:divBdr>
        <w:top w:val="none" w:sz="0" w:space="0" w:color="auto"/>
        <w:left w:val="none" w:sz="0" w:space="0" w:color="auto"/>
        <w:bottom w:val="none" w:sz="0" w:space="0" w:color="auto"/>
        <w:right w:val="none" w:sz="0" w:space="0" w:color="auto"/>
      </w:divBdr>
    </w:div>
    <w:div w:id="1070494065">
      <w:bodyDiv w:val="1"/>
      <w:marLeft w:val="0"/>
      <w:marRight w:val="0"/>
      <w:marTop w:val="0"/>
      <w:marBottom w:val="0"/>
      <w:divBdr>
        <w:top w:val="none" w:sz="0" w:space="0" w:color="auto"/>
        <w:left w:val="none" w:sz="0" w:space="0" w:color="auto"/>
        <w:bottom w:val="none" w:sz="0" w:space="0" w:color="auto"/>
        <w:right w:val="none" w:sz="0" w:space="0" w:color="auto"/>
      </w:divBdr>
    </w:div>
    <w:div w:id="1071543315">
      <w:bodyDiv w:val="1"/>
      <w:marLeft w:val="0"/>
      <w:marRight w:val="0"/>
      <w:marTop w:val="0"/>
      <w:marBottom w:val="0"/>
      <w:divBdr>
        <w:top w:val="none" w:sz="0" w:space="0" w:color="auto"/>
        <w:left w:val="none" w:sz="0" w:space="0" w:color="auto"/>
        <w:bottom w:val="none" w:sz="0" w:space="0" w:color="auto"/>
        <w:right w:val="none" w:sz="0" w:space="0" w:color="auto"/>
      </w:divBdr>
    </w:div>
    <w:div w:id="1074820823">
      <w:bodyDiv w:val="1"/>
      <w:marLeft w:val="0"/>
      <w:marRight w:val="0"/>
      <w:marTop w:val="0"/>
      <w:marBottom w:val="0"/>
      <w:divBdr>
        <w:top w:val="none" w:sz="0" w:space="0" w:color="auto"/>
        <w:left w:val="none" w:sz="0" w:space="0" w:color="auto"/>
        <w:bottom w:val="none" w:sz="0" w:space="0" w:color="auto"/>
        <w:right w:val="none" w:sz="0" w:space="0" w:color="auto"/>
      </w:divBdr>
    </w:div>
    <w:div w:id="1094671691">
      <w:bodyDiv w:val="1"/>
      <w:marLeft w:val="0"/>
      <w:marRight w:val="0"/>
      <w:marTop w:val="0"/>
      <w:marBottom w:val="0"/>
      <w:divBdr>
        <w:top w:val="none" w:sz="0" w:space="0" w:color="auto"/>
        <w:left w:val="none" w:sz="0" w:space="0" w:color="auto"/>
        <w:bottom w:val="none" w:sz="0" w:space="0" w:color="auto"/>
        <w:right w:val="none" w:sz="0" w:space="0" w:color="auto"/>
      </w:divBdr>
    </w:div>
    <w:div w:id="1105152406">
      <w:bodyDiv w:val="1"/>
      <w:marLeft w:val="0"/>
      <w:marRight w:val="0"/>
      <w:marTop w:val="0"/>
      <w:marBottom w:val="0"/>
      <w:divBdr>
        <w:top w:val="none" w:sz="0" w:space="0" w:color="auto"/>
        <w:left w:val="none" w:sz="0" w:space="0" w:color="auto"/>
        <w:bottom w:val="none" w:sz="0" w:space="0" w:color="auto"/>
        <w:right w:val="none" w:sz="0" w:space="0" w:color="auto"/>
      </w:divBdr>
    </w:div>
    <w:div w:id="1107695707">
      <w:bodyDiv w:val="1"/>
      <w:marLeft w:val="0"/>
      <w:marRight w:val="0"/>
      <w:marTop w:val="0"/>
      <w:marBottom w:val="0"/>
      <w:divBdr>
        <w:top w:val="none" w:sz="0" w:space="0" w:color="auto"/>
        <w:left w:val="none" w:sz="0" w:space="0" w:color="auto"/>
        <w:bottom w:val="none" w:sz="0" w:space="0" w:color="auto"/>
        <w:right w:val="none" w:sz="0" w:space="0" w:color="auto"/>
      </w:divBdr>
    </w:div>
    <w:div w:id="1115095511">
      <w:bodyDiv w:val="1"/>
      <w:marLeft w:val="0"/>
      <w:marRight w:val="0"/>
      <w:marTop w:val="0"/>
      <w:marBottom w:val="0"/>
      <w:divBdr>
        <w:top w:val="none" w:sz="0" w:space="0" w:color="auto"/>
        <w:left w:val="none" w:sz="0" w:space="0" w:color="auto"/>
        <w:bottom w:val="none" w:sz="0" w:space="0" w:color="auto"/>
        <w:right w:val="none" w:sz="0" w:space="0" w:color="auto"/>
      </w:divBdr>
    </w:div>
    <w:div w:id="1116174932">
      <w:bodyDiv w:val="1"/>
      <w:marLeft w:val="0"/>
      <w:marRight w:val="0"/>
      <w:marTop w:val="0"/>
      <w:marBottom w:val="0"/>
      <w:divBdr>
        <w:top w:val="none" w:sz="0" w:space="0" w:color="auto"/>
        <w:left w:val="none" w:sz="0" w:space="0" w:color="auto"/>
        <w:bottom w:val="none" w:sz="0" w:space="0" w:color="auto"/>
        <w:right w:val="none" w:sz="0" w:space="0" w:color="auto"/>
      </w:divBdr>
    </w:div>
    <w:div w:id="1130779952">
      <w:bodyDiv w:val="1"/>
      <w:marLeft w:val="0"/>
      <w:marRight w:val="0"/>
      <w:marTop w:val="0"/>
      <w:marBottom w:val="0"/>
      <w:divBdr>
        <w:top w:val="none" w:sz="0" w:space="0" w:color="auto"/>
        <w:left w:val="none" w:sz="0" w:space="0" w:color="auto"/>
        <w:bottom w:val="none" w:sz="0" w:space="0" w:color="auto"/>
        <w:right w:val="none" w:sz="0" w:space="0" w:color="auto"/>
      </w:divBdr>
    </w:div>
    <w:div w:id="1134788420">
      <w:bodyDiv w:val="1"/>
      <w:marLeft w:val="0"/>
      <w:marRight w:val="0"/>
      <w:marTop w:val="0"/>
      <w:marBottom w:val="0"/>
      <w:divBdr>
        <w:top w:val="none" w:sz="0" w:space="0" w:color="auto"/>
        <w:left w:val="none" w:sz="0" w:space="0" w:color="auto"/>
        <w:bottom w:val="none" w:sz="0" w:space="0" w:color="auto"/>
        <w:right w:val="none" w:sz="0" w:space="0" w:color="auto"/>
      </w:divBdr>
    </w:div>
    <w:div w:id="1139113378">
      <w:bodyDiv w:val="1"/>
      <w:marLeft w:val="0"/>
      <w:marRight w:val="0"/>
      <w:marTop w:val="0"/>
      <w:marBottom w:val="0"/>
      <w:divBdr>
        <w:top w:val="none" w:sz="0" w:space="0" w:color="auto"/>
        <w:left w:val="none" w:sz="0" w:space="0" w:color="auto"/>
        <w:bottom w:val="none" w:sz="0" w:space="0" w:color="auto"/>
        <w:right w:val="none" w:sz="0" w:space="0" w:color="auto"/>
      </w:divBdr>
    </w:div>
    <w:div w:id="1140998554">
      <w:bodyDiv w:val="1"/>
      <w:marLeft w:val="0"/>
      <w:marRight w:val="0"/>
      <w:marTop w:val="0"/>
      <w:marBottom w:val="0"/>
      <w:divBdr>
        <w:top w:val="none" w:sz="0" w:space="0" w:color="auto"/>
        <w:left w:val="none" w:sz="0" w:space="0" w:color="auto"/>
        <w:bottom w:val="none" w:sz="0" w:space="0" w:color="auto"/>
        <w:right w:val="none" w:sz="0" w:space="0" w:color="auto"/>
      </w:divBdr>
    </w:div>
    <w:div w:id="1190877521">
      <w:bodyDiv w:val="1"/>
      <w:marLeft w:val="0"/>
      <w:marRight w:val="0"/>
      <w:marTop w:val="0"/>
      <w:marBottom w:val="0"/>
      <w:divBdr>
        <w:top w:val="none" w:sz="0" w:space="0" w:color="auto"/>
        <w:left w:val="none" w:sz="0" w:space="0" w:color="auto"/>
        <w:bottom w:val="none" w:sz="0" w:space="0" w:color="auto"/>
        <w:right w:val="none" w:sz="0" w:space="0" w:color="auto"/>
      </w:divBdr>
    </w:div>
    <w:div w:id="1196193177">
      <w:bodyDiv w:val="1"/>
      <w:marLeft w:val="0"/>
      <w:marRight w:val="0"/>
      <w:marTop w:val="0"/>
      <w:marBottom w:val="0"/>
      <w:divBdr>
        <w:top w:val="none" w:sz="0" w:space="0" w:color="auto"/>
        <w:left w:val="none" w:sz="0" w:space="0" w:color="auto"/>
        <w:bottom w:val="none" w:sz="0" w:space="0" w:color="auto"/>
        <w:right w:val="none" w:sz="0" w:space="0" w:color="auto"/>
      </w:divBdr>
    </w:div>
    <w:div w:id="1208297708">
      <w:bodyDiv w:val="1"/>
      <w:marLeft w:val="0"/>
      <w:marRight w:val="0"/>
      <w:marTop w:val="0"/>
      <w:marBottom w:val="0"/>
      <w:divBdr>
        <w:top w:val="none" w:sz="0" w:space="0" w:color="auto"/>
        <w:left w:val="none" w:sz="0" w:space="0" w:color="auto"/>
        <w:bottom w:val="none" w:sz="0" w:space="0" w:color="auto"/>
        <w:right w:val="none" w:sz="0" w:space="0" w:color="auto"/>
      </w:divBdr>
    </w:div>
    <w:div w:id="1233850789">
      <w:bodyDiv w:val="1"/>
      <w:marLeft w:val="0"/>
      <w:marRight w:val="0"/>
      <w:marTop w:val="0"/>
      <w:marBottom w:val="0"/>
      <w:divBdr>
        <w:top w:val="none" w:sz="0" w:space="0" w:color="auto"/>
        <w:left w:val="none" w:sz="0" w:space="0" w:color="auto"/>
        <w:bottom w:val="none" w:sz="0" w:space="0" w:color="auto"/>
        <w:right w:val="none" w:sz="0" w:space="0" w:color="auto"/>
      </w:divBdr>
    </w:div>
    <w:div w:id="1241021230">
      <w:bodyDiv w:val="1"/>
      <w:marLeft w:val="0"/>
      <w:marRight w:val="0"/>
      <w:marTop w:val="0"/>
      <w:marBottom w:val="0"/>
      <w:divBdr>
        <w:top w:val="none" w:sz="0" w:space="0" w:color="auto"/>
        <w:left w:val="none" w:sz="0" w:space="0" w:color="auto"/>
        <w:bottom w:val="none" w:sz="0" w:space="0" w:color="auto"/>
        <w:right w:val="none" w:sz="0" w:space="0" w:color="auto"/>
      </w:divBdr>
    </w:div>
    <w:div w:id="1247417404">
      <w:bodyDiv w:val="1"/>
      <w:marLeft w:val="0"/>
      <w:marRight w:val="0"/>
      <w:marTop w:val="0"/>
      <w:marBottom w:val="0"/>
      <w:divBdr>
        <w:top w:val="none" w:sz="0" w:space="0" w:color="auto"/>
        <w:left w:val="none" w:sz="0" w:space="0" w:color="auto"/>
        <w:bottom w:val="none" w:sz="0" w:space="0" w:color="auto"/>
        <w:right w:val="none" w:sz="0" w:space="0" w:color="auto"/>
      </w:divBdr>
    </w:div>
    <w:div w:id="1257666848">
      <w:bodyDiv w:val="1"/>
      <w:marLeft w:val="0"/>
      <w:marRight w:val="0"/>
      <w:marTop w:val="0"/>
      <w:marBottom w:val="0"/>
      <w:divBdr>
        <w:top w:val="none" w:sz="0" w:space="0" w:color="auto"/>
        <w:left w:val="none" w:sz="0" w:space="0" w:color="auto"/>
        <w:bottom w:val="none" w:sz="0" w:space="0" w:color="auto"/>
        <w:right w:val="none" w:sz="0" w:space="0" w:color="auto"/>
      </w:divBdr>
    </w:div>
    <w:div w:id="1269385295">
      <w:bodyDiv w:val="1"/>
      <w:marLeft w:val="0"/>
      <w:marRight w:val="0"/>
      <w:marTop w:val="0"/>
      <w:marBottom w:val="0"/>
      <w:divBdr>
        <w:top w:val="none" w:sz="0" w:space="0" w:color="auto"/>
        <w:left w:val="none" w:sz="0" w:space="0" w:color="auto"/>
        <w:bottom w:val="none" w:sz="0" w:space="0" w:color="auto"/>
        <w:right w:val="none" w:sz="0" w:space="0" w:color="auto"/>
      </w:divBdr>
    </w:div>
    <w:div w:id="1274020849">
      <w:bodyDiv w:val="1"/>
      <w:marLeft w:val="0"/>
      <w:marRight w:val="0"/>
      <w:marTop w:val="0"/>
      <w:marBottom w:val="0"/>
      <w:divBdr>
        <w:top w:val="none" w:sz="0" w:space="0" w:color="auto"/>
        <w:left w:val="none" w:sz="0" w:space="0" w:color="auto"/>
        <w:bottom w:val="none" w:sz="0" w:space="0" w:color="auto"/>
        <w:right w:val="none" w:sz="0" w:space="0" w:color="auto"/>
      </w:divBdr>
    </w:div>
    <w:div w:id="1280448596">
      <w:bodyDiv w:val="1"/>
      <w:marLeft w:val="0"/>
      <w:marRight w:val="0"/>
      <w:marTop w:val="0"/>
      <w:marBottom w:val="0"/>
      <w:divBdr>
        <w:top w:val="none" w:sz="0" w:space="0" w:color="auto"/>
        <w:left w:val="none" w:sz="0" w:space="0" w:color="auto"/>
        <w:bottom w:val="none" w:sz="0" w:space="0" w:color="auto"/>
        <w:right w:val="none" w:sz="0" w:space="0" w:color="auto"/>
      </w:divBdr>
    </w:div>
    <w:div w:id="1291941332">
      <w:bodyDiv w:val="1"/>
      <w:marLeft w:val="0"/>
      <w:marRight w:val="0"/>
      <w:marTop w:val="0"/>
      <w:marBottom w:val="0"/>
      <w:divBdr>
        <w:top w:val="none" w:sz="0" w:space="0" w:color="auto"/>
        <w:left w:val="none" w:sz="0" w:space="0" w:color="auto"/>
        <w:bottom w:val="none" w:sz="0" w:space="0" w:color="auto"/>
        <w:right w:val="none" w:sz="0" w:space="0" w:color="auto"/>
      </w:divBdr>
    </w:div>
    <w:div w:id="1304849837">
      <w:bodyDiv w:val="1"/>
      <w:marLeft w:val="0"/>
      <w:marRight w:val="0"/>
      <w:marTop w:val="0"/>
      <w:marBottom w:val="0"/>
      <w:divBdr>
        <w:top w:val="none" w:sz="0" w:space="0" w:color="auto"/>
        <w:left w:val="none" w:sz="0" w:space="0" w:color="auto"/>
        <w:bottom w:val="none" w:sz="0" w:space="0" w:color="auto"/>
        <w:right w:val="none" w:sz="0" w:space="0" w:color="auto"/>
      </w:divBdr>
    </w:div>
    <w:div w:id="1320302011">
      <w:bodyDiv w:val="1"/>
      <w:marLeft w:val="0"/>
      <w:marRight w:val="0"/>
      <w:marTop w:val="0"/>
      <w:marBottom w:val="0"/>
      <w:divBdr>
        <w:top w:val="none" w:sz="0" w:space="0" w:color="auto"/>
        <w:left w:val="none" w:sz="0" w:space="0" w:color="auto"/>
        <w:bottom w:val="none" w:sz="0" w:space="0" w:color="auto"/>
        <w:right w:val="none" w:sz="0" w:space="0" w:color="auto"/>
      </w:divBdr>
    </w:div>
    <w:div w:id="1320841806">
      <w:bodyDiv w:val="1"/>
      <w:marLeft w:val="0"/>
      <w:marRight w:val="0"/>
      <w:marTop w:val="0"/>
      <w:marBottom w:val="0"/>
      <w:divBdr>
        <w:top w:val="none" w:sz="0" w:space="0" w:color="auto"/>
        <w:left w:val="none" w:sz="0" w:space="0" w:color="auto"/>
        <w:bottom w:val="none" w:sz="0" w:space="0" w:color="auto"/>
        <w:right w:val="none" w:sz="0" w:space="0" w:color="auto"/>
      </w:divBdr>
    </w:div>
    <w:div w:id="1339773391">
      <w:bodyDiv w:val="1"/>
      <w:marLeft w:val="0"/>
      <w:marRight w:val="0"/>
      <w:marTop w:val="0"/>
      <w:marBottom w:val="0"/>
      <w:divBdr>
        <w:top w:val="none" w:sz="0" w:space="0" w:color="auto"/>
        <w:left w:val="none" w:sz="0" w:space="0" w:color="auto"/>
        <w:bottom w:val="none" w:sz="0" w:space="0" w:color="auto"/>
        <w:right w:val="none" w:sz="0" w:space="0" w:color="auto"/>
      </w:divBdr>
    </w:div>
    <w:div w:id="1347899059">
      <w:bodyDiv w:val="1"/>
      <w:marLeft w:val="0"/>
      <w:marRight w:val="0"/>
      <w:marTop w:val="0"/>
      <w:marBottom w:val="0"/>
      <w:divBdr>
        <w:top w:val="none" w:sz="0" w:space="0" w:color="auto"/>
        <w:left w:val="none" w:sz="0" w:space="0" w:color="auto"/>
        <w:bottom w:val="none" w:sz="0" w:space="0" w:color="auto"/>
        <w:right w:val="none" w:sz="0" w:space="0" w:color="auto"/>
      </w:divBdr>
    </w:div>
    <w:div w:id="1350907220">
      <w:bodyDiv w:val="1"/>
      <w:marLeft w:val="0"/>
      <w:marRight w:val="0"/>
      <w:marTop w:val="0"/>
      <w:marBottom w:val="0"/>
      <w:divBdr>
        <w:top w:val="none" w:sz="0" w:space="0" w:color="auto"/>
        <w:left w:val="none" w:sz="0" w:space="0" w:color="auto"/>
        <w:bottom w:val="none" w:sz="0" w:space="0" w:color="auto"/>
        <w:right w:val="none" w:sz="0" w:space="0" w:color="auto"/>
      </w:divBdr>
    </w:div>
    <w:div w:id="1357268223">
      <w:bodyDiv w:val="1"/>
      <w:marLeft w:val="0"/>
      <w:marRight w:val="0"/>
      <w:marTop w:val="0"/>
      <w:marBottom w:val="0"/>
      <w:divBdr>
        <w:top w:val="none" w:sz="0" w:space="0" w:color="auto"/>
        <w:left w:val="none" w:sz="0" w:space="0" w:color="auto"/>
        <w:bottom w:val="none" w:sz="0" w:space="0" w:color="auto"/>
        <w:right w:val="none" w:sz="0" w:space="0" w:color="auto"/>
      </w:divBdr>
      <w:divsChild>
        <w:div w:id="580021488">
          <w:marLeft w:val="0"/>
          <w:marRight w:val="0"/>
          <w:marTop w:val="0"/>
          <w:marBottom w:val="0"/>
          <w:divBdr>
            <w:top w:val="none" w:sz="0" w:space="0" w:color="auto"/>
            <w:left w:val="none" w:sz="0" w:space="0" w:color="auto"/>
            <w:bottom w:val="none" w:sz="0" w:space="0" w:color="auto"/>
            <w:right w:val="none" w:sz="0" w:space="0" w:color="auto"/>
          </w:divBdr>
          <w:divsChild>
            <w:div w:id="629898607">
              <w:marLeft w:val="0"/>
              <w:marRight w:val="0"/>
              <w:marTop w:val="0"/>
              <w:marBottom w:val="0"/>
              <w:divBdr>
                <w:top w:val="none" w:sz="0" w:space="0" w:color="auto"/>
                <w:left w:val="none" w:sz="0" w:space="0" w:color="auto"/>
                <w:bottom w:val="none" w:sz="0" w:space="0" w:color="auto"/>
                <w:right w:val="none" w:sz="0" w:space="0" w:color="auto"/>
              </w:divBdr>
              <w:divsChild>
                <w:div w:id="1318848647">
                  <w:marLeft w:val="0"/>
                  <w:marRight w:val="0"/>
                  <w:marTop w:val="0"/>
                  <w:marBottom w:val="0"/>
                  <w:divBdr>
                    <w:top w:val="none" w:sz="0" w:space="0" w:color="auto"/>
                    <w:left w:val="none" w:sz="0" w:space="0" w:color="auto"/>
                    <w:bottom w:val="none" w:sz="0" w:space="0" w:color="auto"/>
                    <w:right w:val="none" w:sz="0" w:space="0" w:color="auto"/>
                  </w:divBdr>
                </w:div>
              </w:divsChild>
            </w:div>
            <w:div w:id="2129424574">
              <w:marLeft w:val="0"/>
              <w:marRight w:val="0"/>
              <w:marTop w:val="0"/>
              <w:marBottom w:val="0"/>
              <w:divBdr>
                <w:top w:val="none" w:sz="0" w:space="0" w:color="auto"/>
                <w:left w:val="none" w:sz="0" w:space="0" w:color="auto"/>
                <w:bottom w:val="none" w:sz="0" w:space="0" w:color="auto"/>
                <w:right w:val="none" w:sz="0" w:space="0" w:color="auto"/>
              </w:divBdr>
              <w:divsChild>
                <w:div w:id="1009798666">
                  <w:marLeft w:val="0"/>
                  <w:marRight w:val="0"/>
                  <w:marTop w:val="0"/>
                  <w:marBottom w:val="0"/>
                  <w:divBdr>
                    <w:top w:val="none" w:sz="0" w:space="0" w:color="auto"/>
                    <w:left w:val="none" w:sz="0" w:space="0" w:color="auto"/>
                    <w:bottom w:val="none" w:sz="0" w:space="0" w:color="auto"/>
                    <w:right w:val="none" w:sz="0" w:space="0" w:color="auto"/>
                  </w:divBdr>
                </w:div>
              </w:divsChild>
            </w:div>
            <w:div w:id="589629274">
              <w:marLeft w:val="0"/>
              <w:marRight w:val="0"/>
              <w:marTop w:val="0"/>
              <w:marBottom w:val="0"/>
              <w:divBdr>
                <w:top w:val="none" w:sz="0" w:space="0" w:color="auto"/>
                <w:left w:val="none" w:sz="0" w:space="0" w:color="auto"/>
                <w:bottom w:val="none" w:sz="0" w:space="0" w:color="auto"/>
                <w:right w:val="none" w:sz="0" w:space="0" w:color="auto"/>
              </w:divBdr>
              <w:divsChild>
                <w:div w:id="1616521990">
                  <w:marLeft w:val="0"/>
                  <w:marRight w:val="0"/>
                  <w:marTop w:val="0"/>
                  <w:marBottom w:val="0"/>
                  <w:divBdr>
                    <w:top w:val="none" w:sz="0" w:space="0" w:color="auto"/>
                    <w:left w:val="none" w:sz="0" w:space="0" w:color="auto"/>
                    <w:bottom w:val="none" w:sz="0" w:space="0" w:color="auto"/>
                    <w:right w:val="none" w:sz="0" w:space="0" w:color="auto"/>
                  </w:divBdr>
                </w:div>
              </w:divsChild>
            </w:div>
            <w:div w:id="1133258615">
              <w:marLeft w:val="0"/>
              <w:marRight w:val="0"/>
              <w:marTop w:val="0"/>
              <w:marBottom w:val="0"/>
              <w:divBdr>
                <w:top w:val="none" w:sz="0" w:space="0" w:color="auto"/>
                <w:left w:val="none" w:sz="0" w:space="0" w:color="auto"/>
                <w:bottom w:val="none" w:sz="0" w:space="0" w:color="auto"/>
                <w:right w:val="none" w:sz="0" w:space="0" w:color="auto"/>
              </w:divBdr>
              <w:divsChild>
                <w:div w:id="268969270">
                  <w:marLeft w:val="0"/>
                  <w:marRight w:val="0"/>
                  <w:marTop w:val="0"/>
                  <w:marBottom w:val="0"/>
                  <w:divBdr>
                    <w:top w:val="none" w:sz="0" w:space="0" w:color="auto"/>
                    <w:left w:val="none" w:sz="0" w:space="0" w:color="auto"/>
                    <w:bottom w:val="none" w:sz="0" w:space="0" w:color="auto"/>
                    <w:right w:val="none" w:sz="0" w:space="0" w:color="auto"/>
                  </w:divBdr>
                </w:div>
                <w:div w:id="376466602">
                  <w:marLeft w:val="0"/>
                  <w:marRight w:val="0"/>
                  <w:marTop w:val="0"/>
                  <w:marBottom w:val="0"/>
                  <w:divBdr>
                    <w:top w:val="none" w:sz="0" w:space="0" w:color="auto"/>
                    <w:left w:val="none" w:sz="0" w:space="0" w:color="auto"/>
                    <w:bottom w:val="none" w:sz="0" w:space="0" w:color="auto"/>
                    <w:right w:val="none" w:sz="0" w:space="0" w:color="auto"/>
                  </w:divBdr>
                </w:div>
                <w:div w:id="1318652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5076438">
      <w:bodyDiv w:val="1"/>
      <w:marLeft w:val="0"/>
      <w:marRight w:val="0"/>
      <w:marTop w:val="0"/>
      <w:marBottom w:val="0"/>
      <w:divBdr>
        <w:top w:val="none" w:sz="0" w:space="0" w:color="auto"/>
        <w:left w:val="none" w:sz="0" w:space="0" w:color="auto"/>
        <w:bottom w:val="none" w:sz="0" w:space="0" w:color="auto"/>
        <w:right w:val="none" w:sz="0" w:space="0" w:color="auto"/>
      </w:divBdr>
    </w:div>
    <w:div w:id="1375622397">
      <w:bodyDiv w:val="1"/>
      <w:marLeft w:val="0"/>
      <w:marRight w:val="0"/>
      <w:marTop w:val="0"/>
      <w:marBottom w:val="0"/>
      <w:divBdr>
        <w:top w:val="none" w:sz="0" w:space="0" w:color="auto"/>
        <w:left w:val="none" w:sz="0" w:space="0" w:color="auto"/>
        <w:bottom w:val="none" w:sz="0" w:space="0" w:color="auto"/>
        <w:right w:val="none" w:sz="0" w:space="0" w:color="auto"/>
      </w:divBdr>
    </w:div>
    <w:div w:id="1380015929">
      <w:bodyDiv w:val="1"/>
      <w:marLeft w:val="0"/>
      <w:marRight w:val="0"/>
      <w:marTop w:val="0"/>
      <w:marBottom w:val="0"/>
      <w:divBdr>
        <w:top w:val="none" w:sz="0" w:space="0" w:color="auto"/>
        <w:left w:val="none" w:sz="0" w:space="0" w:color="auto"/>
        <w:bottom w:val="none" w:sz="0" w:space="0" w:color="auto"/>
        <w:right w:val="none" w:sz="0" w:space="0" w:color="auto"/>
      </w:divBdr>
    </w:div>
    <w:div w:id="1381130966">
      <w:bodyDiv w:val="1"/>
      <w:marLeft w:val="0"/>
      <w:marRight w:val="0"/>
      <w:marTop w:val="0"/>
      <w:marBottom w:val="0"/>
      <w:divBdr>
        <w:top w:val="none" w:sz="0" w:space="0" w:color="auto"/>
        <w:left w:val="none" w:sz="0" w:space="0" w:color="auto"/>
        <w:bottom w:val="none" w:sz="0" w:space="0" w:color="auto"/>
        <w:right w:val="none" w:sz="0" w:space="0" w:color="auto"/>
      </w:divBdr>
    </w:div>
    <w:div w:id="1384669334">
      <w:bodyDiv w:val="1"/>
      <w:marLeft w:val="0"/>
      <w:marRight w:val="0"/>
      <w:marTop w:val="0"/>
      <w:marBottom w:val="0"/>
      <w:divBdr>
        <w:top w:val="none" w:sz="0" w:space="0" w:color="auto"/>
        <w:left w:val="none" w:sz="0" w:space="0" w:color="auto"/>
        <w:bottom w:val="none" w:sz="0" w:space="0" w:color="auto"/>
        <w:right w:val="none" w:sz="0" w:space="0" w:color="auto"/>
      </w:divBdr>
    </w:div>
    <w:div w:id="1389843360">
      <w:bodyDiv w:val="1"/>
      <w:marLeft w:val="0"/>
      <w:marRight w:val="0"/>
      <w:marTop w:val="0"/>
      <w:marBottom w:val="0"/>
      <w:divBdr>
        <w:top w:val="none" w:sz="0" w:space="0" w:color="auto"/>
        <w:left w:val="none" w:sz="0" w:space="0" w:color="auto"/>
        <w:bottom w:val="none" w:sz="0" w:space="0" w:color="auto"/>
        <w:right w:val="none" w:sz="0" w:space="0" w:color="auto"/>
      </w:divBdr>
    </w:div>
    <w:div w:id="1393040785">
      <w:bodyDiv w:val="1"/>
      <w:marLeft w:val="0"/>
      <w:marRight w:val="0"/>
      <w:marTop w:val="0"/>
      <w:marBottom w:val="0"/>
      <w:divBdr>
        <w:top w:val="none" w:sz="0" w:space="0" w:color="auto"/>
        <w:left w:val="none" w:sz="0" w:space="0" w:color="auto"/>
        <w:bottom w:val="none" w:sz="0" w:space="0" w:color="auto"/>
        <w:right w:val="none" w:sz="0" w:space="0" w:color="auto"/>
      </w:divBdr>
    </w:div>
    <w:div w:id="1400861954">
      <w:bodyDiv w:val="1"/>
      <w:marLeft w:val="0"/>
      <w:marRight w:val="0"/>
      <w:marTop w:val="0"/>
      <w:marBottom w:val="0"/>
      <w:divBdr>
        <w:top w:val="none" w:sz="0" w:space="0" w:color="auto"/>
        <w:left w:val="none" w:sz="0" w:space="0" w:color="auto"/>
        <w:bottom w:val="none" w:sz="0" w:space="0" w:color="auto"/>
        <w:right w:val="none" w:sz="0" w:space="0" w:color="auto"/>
      </w:divBdr>
    </w:div>
    <w:div w:id="1402095507">
      <w:bodyDiv w:val="1"/>
      <w:marLeft w:val="0"/>
      <w:marRight w:val="0"/>
      <w:marTop w:val="0"/>
      <w:marBottom w:val="0"/>
      <w:divBdr>
        <w:top w:val="none" w:sz="0" w:space="0" w:color="auto"/>
        <w:left w:val="none" w:sz="0" w:space="0" w:color="auto"/>
        <w:bottom w:val="none" w:sz="0" w:space="0" w:color="auto"/>
        <w:right w:val="none" w:sz="0" w:space="0" w:color="auto"/>
      </w:divBdr>
    </w:div>
    <w:div w:id="1403915720">
      <w:bodyDiv w:val="1"/>
      <w:marLeft w:val="0"/>
      <w:marRight w:val="0"/>
      <w:marTop w:val="0"/>
      <w:marBottom w:val="0"/>
      <w:divBdr>
        <w:top w:val="none" w:sz="0" w:space="0" w:color="auto"/>
        <w:left w:val="none" w:sz="0" w:space="0" w:color="auto"/>
        <w:bottom w:val="none" w:sz="0" w:space="0" w:color="auto"/>
        <w:right w:val="none" w:sz="0" w:space="0" w:color="auto"/>
      </w:divBdr>
    </w:div>
    <w:div w:id="1416124217">
      <w:bodyDiv w:val="1"/>
      <w:marLeft w:val="0"/>
      <w:marRight w:val="0"/>
      <w:marTop w:val="0"/>
      <w:marBottom w:val="0"/>
      <w:divBdr>
        <w:top w:val="none" w:sz="0" w:space="0" w:color="auto"/>
        <w:left w:val="none" w:sz="0" w:space="0" w:color="auto"/>
        <w:bottom w:val="none" w:sz="0" w:space="0" w:color="auto"/>
        <w:right w:val="none" w:sz="0" w:space="0" w:color="auto"/>
      </w:divBdr>
    </w:div>
    <w:div w:id="1426145827">
      <w:bodyDiv w:val="1"/>
      <w:marLeft w:val="0"/>
      <w:marRight w:val="0"/>
      <w:marTop w:val="0"/>
      <w:marBottom w:val="0"/>
      <w:divBdr>
        <w:top w:val="none" w:sz="0" w:space="0" w:color="auto"/>
        <w:left w:val="none" w:sz="0" w:space="0" w:color="auto"/>
        <w:bottom w:val="none" w:sz="0" w:space="0" w:color="auto"/>
        <w:right w:val="none" w:sz="0" w:space="0" w:color="auto"/>
      </w:divBdr>
    </w:div>
    <w:div w:id="1427843856">
      <w:bodyDiv w:val="1"/>
      <w:marLeft w:val="0"/>
      <w:marRight w:val="0"/>
      <w:marTop w:val="0"/>
      <w:marBottom w:val="0"/>
      <w:divBdr>
        <w:top w:val="none" w:sz="0" w:space="0" w:color="auto"/>
        <w:left w:val="none" w:sz="0" w:space="0" w:color="auto"/>
        <w:bottom w:val="none" w:sz="0" w:space="0" w:color="auto"/>
        <w:right w:val="none" w:sz="0" w:space="0" w:color="auto"/>
      </w:divBdr>
    </w:div>
    <w:div w:id="1439718888">
      <w:bodyDiv w:val="1"/>
      <w:marLeft w:val="0"/>
      <w:marRight w:val="0"/>
      <w:marTop w:val="0"/>
      <w:marBottom w:val="0"/>
      <w:divBdr>
        <w:top w:val="none" w:sz="0" w:space="0" w:color="auto"/>
        <w:left w:val="none" w:sz="0" w:space="0" w:color="auto"/>
        <w:bottom w:val="none" w:sz="0" w:space="0" w:color="auto"/>
        <w:right w:val="none" w:sz="0" w:space="0" w:color="auto"/>
      </w:divBdr>
    </w:div>
    <w:div w:id="1451975125">
      <w:bodyDiv w:val="1"/>
      <w:marLeft w:val="0"/>
      <w:marRight w:val="0"/>
      <w:marTop w:val="0"/>
      <w:marBottom w:val="0"/>
      <w:divBdr>
        <w:top w:val="none" w:sz="0" w:space="0" w:color="auto"/>
        <w:left w:val="none" w:sz="0" w:space="0" w:color="auto"/>
        <w:bottom w:val="none" w:sz="0" w:space="0" w:color="auto"/>
        <w:right w:val="none" w:sz="0" w:space="0" w:color="auto"/>
      </w:divBdr>
    </w:div>
    <w:div w:id="1467116240">
      <w:bodyDiv w:val="1"/>
      <w:marLeft w:val="0"/>
      <w:marRight w:val="0"/>
      <w:marTop w:val="0"/>
      <w:marBottom w:val="0"/>
      <w:divBdr>
        <w:top w:val="none" w:sz="0" w:space="0" w:color="auto"/>
        <w:left w:val="none" w:sz="0" w:space="0" w:color="auto"/>
        <w:bottom w:val="none" w:sz="0" w:space="0" w:color="auto"/>
        <w:right w:val="none" w:sz="0" w:space="0" w:color="auto"/>
      </w:divBdr>
    </w:div>
    <w:div w:id="1471441663">
      <w:bodyDiv w:val="1"/>
      <w:marLeft w:val="0"/>
      <w:marRight w:val="0"/>
      <w:marTop w:val="0"/>
      <w:marBottom w:val="0"/>
      <w:divBdr>
        <w:top w:val="none" w:sz="0" w:space="0" w:color="auto"/>
        <w:left w:val="none" w:sz="0" w:space="0" w:color="auto"/>
        <w:bottom w:val="none" w:sz="0" w:space="0" w:color="auto"/>
        <w:right w:val="none" w:sz="0" w:space="0" w:color="auto"/>
      </w:divBdr>
    </w:div>
    <w:div w:id="1473250815">
      <w:bodyDiv w:val="1"/>
      <w:marLeft w:val="0"/>
      <w:marRight w:val="0"/>
      <w:marTop w:val="0"/>
      <w:marBottom w:val="0"/>
      <w:divBdr>
        <w:top w:val="none" w:sz="0" w:space="0" w:color="auto"/>
        <w:left w:val="none" w:sz="0" w:space="0" w:color="auto"/>
        <w:bottom w:val="none" w:sz="0" w:space="0" w:color="auto"/>
        <w:right w:val="none" w:sz="0" w:space="0" w:color="auto"/>
      </w:divBdr>
    </w:div>
    <w:div w:id="1474176143">
      <w:bodyDiv w:val="1"/>
      <w:marLeft w:val="0"/>
      <w:marRight w:val="0"/>
      <w:marTop w:val="0"/>
      <w:marBottom w:val="0"/>
      <w:divBdr>
        <w:top w:val="none" w:sz="0" w:space="0" w:color="auto"/>
        <w:left w:val="none" w:sz="0" w:space="0" w:color="auto"/>
        <w:bottom w:val="none" w:sz="0" w:space="0" w:color="auto"/>
        <w:right w:val="none" w:sz="0" w:space="0" w:color="auto"/>
      </w:divBdr>
    </w:div>
    <w:div w:id="1485467364">
      <w:bodyDiv w:val="1"/>
      <w:marLeft w:val="0"/>
      <w:marRight w:val="0"/>
      <w:marTop w:val="0"/>
      <w:marBottom w:val="0"/>
      <w:divBdr>
        <w:top w:val="none" w:sz="0" w:space="0" w:color="auto"/>
        <w:left w:val="none" w:sz="0" w:space="0" w:color="auto"/>
        <w:bottom w:val="none" w:sz="0" w:space="0" w:color="auto"/>
        <w:right w:val="none" w:sz="0" w:space="0" w:color="auto"/>
      </w:divBdr>
    </w:div>
    <w:div w:id="1490368070">
      <w:bodyDiv w:val="1"/>
      <w:marLeft w:val="0"/>
      <w:marRight w:val="0"/>
      <w:marTop w:val="0"/>
      <w:marBottom w:val="0"/>
      <w:divBdr>
        <w:top w:val="none" w:sz="0" w:space="0" w:color="auto"/>
        <w:left w:val="none" w:sz="0" w:space="0" w:color="auto"/>
        <w:bottom w:val="none" w:sz="0" w:space="0" w:color="auto"/>
        <w:right w:val="none" w:sz="0" w:space="0" w:color="auto"/>
      </w:divBdr>
    </w:div>
    <w:div w:id="1490486415">
      <w:bodyDiv w:val="1"/>
      <w:marLeft w:val="0"/>
      <w:marRight w:val="0"/>
      <w:marTop w:val="0"/>
      <w:marBottom w:val="0"/>
      <w:divBdr>
        <w:top w:val="none" w:sz="0" w:space="0" w:color="auto"/>
        <w:left w:val="none" w:sz="0" w:space="0" w:color="auto"/>
        <w:bottom w:val="none" w:sz="0" w:space="0" w:color="auto"/>
        <w:right w:val="none" w:sz="0" w:space="0" w:color="auto"/>
      </w:divBdr>
    </w:div>
    <w:div w:id="1491940778">
      <w:bodyDiv w:val="1"/>
      <w:marLeft w:val="0"/>
      <w:marRight w:val="0"/>
      <w:marTop w:val="0"/>
      <w:marBottom w:val="0"/>
      <w:divBdr>
        <w:top w:val="none" w:sz="0" w:space="0" w:color="auto"/>
        <w:left w:val="none" w:sz="0" w:space="0" w:color="auto"/>
        <w:bottom w:val="none" w:sz="0" w:space="0" w:color="auto"/>
        <w:right w:val="none" w:sz="0" w:space="0" w:color="auto"/>
      </w:divBdr>
    </w:div>
    <w:div w:id="1502350035">
      <w:bodyDiv w:val="1"/>
      <w:marLeft w:val="0"/>
      <w:marRight w:val="0"/>
      <w:marTop w:val="0"/>
      <w:marBottom w:val="0"/>
      <w:divBdr>
        <w:top w:val="none" w:sz="0" w:space="0" w:color="auto"/>
        <w:left w:val="none" w:sz="0" w:space="0" w:color="auto"/>
        <w:bottom w:val="none" w:sz="0" w:space="0" w:color="auto"/>
        <w:right w:val="none" w:sz="0" w:space="0" w:color="auto"/>
      </w:divBdr>
    </w:div>
    <w:div w:id="1503080296">
      <w:bodyDiv w:val="1"/>
      <w:marLeft w:val="0"/>
      <w:marRight w:val="0"/>
      <w:marTop w:val="0"/>
      <w:marBottom w:val="0"/>
      <w:divBdr>
        <w:top w:val="none" w:sz="0" w:space="0" w:color="auto"/>
        <w:left w:val="none" w:sz="0" w:space="0" w:color="auto"/>
        <w:bottom w:val="none" w:sz="0" w:space="0" w:color="auto"/>
        <w:right w:val="none" w:sz="0" w:space="0" w:color="auto"/>
      </w:divBdr>
    </w:div>
    <w:div w:id="1504469802">
      <w:bodyDiv w:val="1"/>
      <w:marLeft w:val="0"/>
      <w:marRight w:val="0"/>
      <w:marTop w:val="0"/>
      <w:marBottom w:val="0"/>
      <w:divBdr>
        <w:top w:val="none" w:sz="0" w:space="0" w:color="auto"/>
        <w:left w:val="none" w:sz="0" w:space="0" w:color="auto"/>
        <w:bottom w:val="none" w:sz="0" w:space="0" w:color="auto"/>
        <w:right w:val="none" w:sz="0" w:space="0" w:color="auto"/>
      </w:divBdr>
    </w:div>
    <w:div w:id="1508328682">
      <w:bodyDiv w:val="1"/>
      <w:marLeft w:val="0"/>
      <w:marRight w:val="0"/>
      <w:marTop w:val="0"/>
      <w:marBottom w:val="0"/>
      <w:divBdr>
        <w:top w:val="none" w:sz="0" w:space="0" w:color="auto"/>
        <w:left w:val="none" w:sz="0" w:space="0" w:color="auto"/>
        <w:bottom w:val="none" w:sz="0" w:space="0" w:color="auto"/>
        <w:right w:val="none" w:sz="0" w:space="0" w:color="auto"/>
      </w:divBdr>
    </w:div>
    <w:div w:id="1525051319">
      <w:bodyDiv w:val="1"/>
      <w:marLeft w:val="0"/>
      <w:marRight w:val="0"/>
      <w:marTop w:val="0"/>
      <w:marBottom w:val="0"/>
      <w:divBdr>
        <w:top w:val="none" w:sz="0" w:space="0" w:color="auto"/>
        <w:left w:val="none" w:sz="0" w:space="0" w:color="auto"/>
        <w:bottom w:val="none" w:sz="0" w:space="0" w:color="auto"/>
        <w:right w:val="none" w:sz="0" w:space="0" w:color="auto"/>
      </w:divBdr>
    </w:div>
    <w:div w:id="1531067731">
      <w:bodyDiv w:val="1"/>
      <w:marLeft w:val="0"/>
      <w:marRight w:val="0"/>
      <w:marTop w:val="0"/>
      <w:marBottom w:val="0"/>
      <w:divBdr>
        <w:top w:val="none" w:sz="0" w:space="0" w:color="auto"/>
        <w:left w:val="none" w:sz="0" w:space="0" w:color="auto"/>
        <w:bottom w:val="none" w:sz="0" w:space="0" w:color="auto"/>
        <w:right w:val="none" w:sz="0" w:space="0" w:color="auto"/>
      </w:divBdr>
    </w:div>
    <w:div w:id="1544823812">
      <w:bodyDiv w:val="1"/>
      <w:marLeft w:val="0"/>
      <w:marRight w:val="0"/>
      <w:marTop w:val="0"/>
      <w:marBottom w:val="0"/>
      <w:divBdr>
        <w:top w:val="none" w:sz="0" w:space="0" w:color="auto"/>
        <w:left w:val="none" w:sz="0" w:space="0" w:color="auto"/>
        <w:bottom w:val="none" w:sz="0" w:space="0" w:color="auto"/>
        <w:right w:val="none" w:sz="0" w:space="0" w:color="auto"/>
      </w:divBdr>
    </w:div>
    <w:div w:id="1582568211">
      <w:bodyDiv w:val="1"/>
      <w:marLeft w:val="0"/>
      <w:marRight w:val="0"/>
      <w:marTop w:val="0"/>
      <w:marBottom w:val="0"/>
      <w:divBdr>
        <w:top w:val="none" w:sz="0" w:space="0" w:color="auto"/>
        <w:left w:val="none" w:sz="0" w:space="0" w:color="auto"/>
        <w:bottom w:val="none" w:sz="0" w:space="0" w:color="auto"/>
        <w:right w:val="none" w:sz="0" w:space="0" w:color="auto"/>
      </w:divBdr>
    </w:div>
    <w:div w:id="1592157368">
      <w:bodyDiv w:val="1"/>
      <w:marLeft w:val="0"/>
      <w:marRight w:val="0"/>
      <w:marTop w:val="0"/>
      <w:marBottom w:val="0"/>
      <w:divBdr>
        <w:top w:val="none" w:sz="0" w:space="0" w:color="auto"/>
        <w:left w:val="none" w:sz="0" w:space="0" w:color="auto"/>
        <w:bottom w:val="none" w:sz="0" w:space="0" w:color="auto"/>
        <w:right w:val="none" w:sz="0" w:space="0" w:color="auto"/>
      </w:divBdr>
    </w:div>
    <w:div w:id="1649240290">
      <w:bodyDiv w:val="1"/>
      <w:marLeft w:val="0"/>
      <w:marRight w:val="0"/>
      <w:marTop w:val="0"/>
      <w:marBottom w:val="0"/>
      <w:divBdr>
        <w:top w:val="none" w:sz="0" w:space="0" w:color="auto"/>
        <w:left w:val="none" w:sz="0" w:space="0" w:color="auto"/>
        <w:bottom w:val="none" w:sz="0" w:space="0" w:color="auto"/>
        <w:right w:val="none" w:sz="0" w:space="0" w:color="auto"/>
      </w:divBdr>
    </w:div>
    <w:div w:id="1652522565">
      <w:bodyDiv w:val="1"/>
      <w:marLeft w:val="0"/>
      <w:marRight w:val="0"/>
      <w:marTop w:val="0"/>
      <w:marBottom w:val="0"/>
      <w:divBdr>
        <w:top w:val="none" w:sz="0" w:space="0" w:color="auto"/>
        <w:left w:val="none" w:sz="0" w:space="0" w:color="auto"/>
        <w:bottom w:val="none" w:sz="0" w:space="0" w:color="auto"/>
        <w:right w:val="none" w:sz="0" w:space="0" w:color="auto"/>
      </w:divBdr>
    </w:div>
    <w:div w:id="1660306377">
      <w:bodyDiv w:val="1"/>
      <w:marLeft w:val="0"/>
      <w:marRight w:val="0"/>
      <w:marTop w:val="0"/>
      <w:marBottom w:val="0"/>
      <w:divBdr>
        <w:top w:val="none" w:sz="0" w:space="0" w:color="auto"/>
        <w:left w:val="none" w:sz="0" w:space="0" w:color="auto"/>
        <w:bottom w:val="none" w:sz="0" w:space="0" w:color="auto"/>
        <w:right w:val="none" w:sz="0" w:space="0" w:color="auto"/>
      </w:divBdr>
    </w:div>
    <w:div w:id="1672876820">
      <w:bodyDiv w:val="1"/>
      <w:marLeft w:val="0"/>
      <w:marRight w:val="0"/>
      <w:marTop w:val="0"/>
      <w:marBottom w:val="0"/>
      <w:divBdr>
        <w:top w:val="none" w:sz="0" w:space="0" w:color="auto"/>
        <w:left w:val="none" w:sz="0" w:space="0" w:color="auto"/>
        <w:bottom w:val="none" w:sz="0" w:space="0" w:color="auto"/>
        <w:right w:val="none" w:sz="0" w:space="0" w:color="auto"/>
      </w:divBdr>
    </w:div>
    <w:div w:id="1673948470">
      <w:bodyDiv w:val="1"/>
      <w:marLeft w:val="0"/>
      <w:marRight w:val="0"/>
      <w:marTop w:val="0"/>
      <w:marBottom w:val="0"/>
      <w:divBdr>
        <w:top w:val="none" w:sz="0" w:space="0" w:color="auto"/>
        <w:left w:val="none" w:sz="0" w:space="0" w:color="auto"/>
        <w:bottom w:val="none" w:sz="0" w:space="0" w:color="auto"/>
        <w:right w:val="none" w:sz="0" w:space="0" w:color="auto"/>
      </w:divBdr>
    </w:div>
    <w:div w:id="1684942339">
      <w:bodyDiv w:val="1"/>
      <w:marLeft w:val="0"/>
      <w:marRight w:val="0"/>
      <w:marTop w:val="0"/>
      <w:marBottom w:val="0"/>
      <w:divBdr>
        <w:top w:val="none" w:sz="0" w:space="0" w:color="auto"/>
        <w:left w:val="none" w:sz="0" w:space="0" w:color="auto"/>
        <w:bottom w:val="none" w:sz="0" w:space="0" w:color="auto"/>
        <w:right w:val="none" w:sz="0" w:space="0" w:color="auto"/>
      </w:divBdr>
    </w:div>
    <w:div w:id="1693602873">
      <w:bodyDiv w:val="1"/>
      <w:marLeft w:val="0"/>
      <w:marRight w:val="0"/>
      <w:marTop w:val="0"/>
      <w:marBottom w:val="0"/>
      <w:divBdr>
        <w:top w:val="none" w:sz="0" w:space="0" w:color="auto"/>
        <w:left w:val="none" w:sz="0" w:space="0" w:color="auto"/>
        <w:bottom w:val="none" w:sz="0" w:space="0" w:color="auto"/>
        <w:right w:val="none" w:sz="0" w:space="0" w:color="auto"/>
      </w:divBdr>
    </w:div>
    <w:div w:id="1708405815">
      <w:bodyDiv w:val="1"/>
      <w:marLeft w:val="0"/>
      <w:marRight w:val="0"/>
      <w:marTop w:val="0"/>
      <w:marBottom w:val="0"/>
      <w:divBdr>
        <w:top w:val="none" w:sz="0" w:space="0" w:color="auto"/>
        <w:left w:val="none" w:sz="0" w:space="0" w:color="auto"/>
        <w:bottom w:val="none" w:sz="0" w:space="0" w:color="auto"/>
        <w:right w:val="none" w:sz="0" w:space="0" w:color="auto"/>
      </w:divBdr>
    </w:div>
    <w:div w:id="1720471487">
      <w:bodyDiv w:val="1"/>
      <w:marLeft w:val="0"/>
      <w:marRight w:val="0"/>
      <w:marTop w:val="0"/>
      <w:marBottom w:val="0"/>
      <w:divBdr>
        <w:top w:val="none" w:sz="0" w:space="0" w:color="auto"/>
        <w:left w:val="none" w:sz="0" w:space="0" w:color="auto"/>
        <w:bottom w:val="none" w:sz="0" w:space="0" w:color="auto"/>
        <w:right w:val="none" w:sz="0" w:space="0" w:color="auto"/>
      </w:divBdr>
    </w:div>
    <w:div w:id="1741637059">
      <w:bodyDiv w:val="1"/>
      <w:marLeft w:val="0"/>
      <w:marRight w:val="0"/>
      <w:marTop w:val="0"/>
      <w:marBottom w:val="0"/>
      <w:divBdr>
        <w:top w:val="none" w:sz="0" w:space="0" w:color="auto"/>
        <w:left w:val="none" w:sz="0" w:space="0" w:color="auto"/>
        <w:bottom w:val="none" w:sz="0" w:space="0" w:color="auto"/>
        <w:right w:val="none" w:sz="0" w:space="0" w:color="auto"/>
      </w:divBdr>
    </w:div>
    <w:div w:id="1745563255">
      <w:bodyDiv w:val="1"/>
      <w:marLeft w:val="0"/>
      <w:marRight w:val="0"/>
      <w:marTop w:val="0"/>
      <w:marBottom w:val="0"/>
      <w:divBdr>
        <w:top w:val="none" w:sz="0" w:space="0" w:color="auto"/>
        <w:left w:val="none" w:sz="0" w:space="0" w:color="auto"/>
        <w:bottom w:val="none" w:sz="0" w:space="0" w:color="auto"/>
        <w:right w:val="none" w:sz="0" w:space="0" w:color="auto"/>
      </w:divBdr>
    </w:div>
    <w:div w:id="1754349358">
      <w:bodyDiv w:val="1"/>
      <w:marLeft w:val="0"/>
      <w:marRight w:val="0"/>
      <w:marTop w:val="0"/>
      <w:marBottom w:val="0"/>
      <w:divBdr>
        <w:top w:val="none" w:sz="0" w:space="0" w:color="auto"/>
        <w:left w:val="none" w:sz="0" w:space="0" w:color="auto"/>
        <w:bottom w:val="none" w:sz="0" w:space="0" w:color="auto"/>
        <w:right w:val="none" w:sz="0" w:space="0" w:color="auto"/>
      </w:divBdr>
    </w:div>
    <w:div w:id="1757314505">
      <w:bodyDiv w:val="1"/>
      <w:marLeft w:val="0"/>
      <w:marRight w:val="0"/>
      <w:marTop w:val="0"/>
      <w:marBottom w:val="0"/>
      <w:divBdr>
        <w:top w:val="none" w:sz="0" w:space="0" w:color="auto"/>
        <w:left w:val="none" w:sz="0" w:space="0" w:color="auto"/>
        <w:bottom w:val="none" w:sz="0" w:space="0" w:color="auto"/>
        <w:right w:val="none" w:sz="0" w:space="0" w:color="auto"/>
      </w:divBdr>
    </w:div>
    <w:div w:id="1763259504">
      <w:bodyDiv w:val="1"/>
      <w:marLeft w:val="0"/>
      <w:marRight w:val="0"/>
      <w:marTop w:val="0"/>
      <w:marBottom w:val="0"/>
      <w:divBdr>
        <w:top w:val="none" w:sz="0" w:space="0" w:color="auto"/>
        <w:left w:val="none" w:sz="0" w:space="0" w:color="auto"/>
        <w:bottom w:val="none" w:sz="0" w:space="0" w:color="auto"/>
        <w:right w:val="none" w:sz="0" w:space="0" w:color="auto"/>
      </w:divBdr>
    </w:div>
    <w:div w:id="1786072144">
      <w:bodyDiv w:val="1"/>
      <w:marLeft w:val="0"/>
      <w:marRight w:val="0"/>
      <w:marTop w:val="0"/>
      <w:marBottom w:val="0"/>
      <w:divBdr>
        <w:top w:val="none" w:sz="0" w:space="0" w:color="auto"/>
        <w:left w:val="none" w:sz="0" w:space="0" w:color="auto"/>
        <w:bottom w:val="none" w:sz="0" w:space="0" w:color="auto"/>
        <w:right w:val="none" w:sz="0" w:space="0" w:color="auto"/>
      </w:divBdr>
    </w:div>
    <w:div w:id="1792236732">
      <w:bodyDiv w:val="1"/>
      <w:marLeft w:val="0"/>
      <w:marRight w:val="0"/>
      <w:marTop w:val="0"/>
      <w:marBottom w:val="0"/>
      <w:divBdr>
        <w:top w:val="none" w:sz="0" w:space="0" w:color="auto"/>
        <w:left w:val="none" w:sz="0" w:space="0" w:color="auto"/>
        <w:bottom w:val="none" w:sz="0" w:space="0" w:color="auto"/>
        <w:right w:val="none" w:sz="0" w:space="0" w:color="auto"/>
      </w:divBdr>
    </w:div>
    <w:div w:id="1802921994">
      <w:bodyDiv w:val="1"/>
      <w:marLeft w:val="0"/>
      <w:marRight w:val="0"/>
      <w:marTop w:val="0"/>
      <w:marBottom w:val="0"/>
      <w:divBdr>
        <w:top w:val="none" w:sz="0" w:space="0" w:color="auto"/>
        <w:left w:val="none" w:sz="0" w:space="0" w:color="auto"/>
        <w:bottom w:val="none" w:sz="0" w:space="0" w:color="auto"/>
        <w:right w:val="none" w:sz="0" w:space="0" w:color="auto"/>
      </w:divBdr>
    </w:div>
    <w:div w:id="1819102719">
      <w:bodyDiv w:val="1"/>
      <w:marLeft w:val="0"/>
      <w:marRight w:val="0"/>
      <w:marTop w:val="0"/>
      <w:marBottom w:val="0"/>
      <w:divBdr>
        <w:top w:val="none" w:sz="0" w:space="0" w:color="auto"/>
        <w:left w:val="none" w:sz="0" w:space="0" w:color="auto"/>
        <w:bottom w:val="none" w:sz="0" w:space="0" w:color="auto"/>
        <w:right w:val="none" w:sz="0" w:space="0" w:color="auto"/>
      </w:divBdr>
    </w:div>
    <w:div w:id="1839226810">
      <w:bodyDiv w:val="1"/>
      <w:marLeft w:val="0"/>
      <w:marRight w:val="0"/>
      <w:marTop w:val="0"/>
      <w:marBottom w:val="0"/>
      <w:divBdr>
        <w:top w:val="none" w:sz="0" w:space="0" w:color="auto"/>
        <w:left w:val="none" w:sz="0" w:space="0" w:color="auto"/>
        <w:bottom w:val="none" w:sz="0" w:space="0" w:color="auto"/>
        <w:right w:val="none" w:sz="0" w:space="0" w:color="auto"/>
      </w:divBdr>
    </w:div>
    <w:div w:id="1840844834">
      <w:bodyDiv w:val="1"/>
      <w:marLeft w:val="0"/>
      <w:marRight w:val="0"/>
      <w:marTop w:val="0"/>
      <w:marBottom w:val="0"/>
      <w:divBdr>
        <w:top w:val="none" w:sz="0" w:space="0" w:color="auto"/>
        <w:left w:val="none" w:sz="0" w:space="0" w:color="auto"/>
        <w:bottom w:val="none" w:sz="0" w:space="0" w:color="auto"/>
        <w:right w:val="none" w:sz="0" w:space="0" w:color="auto"/>
      </w:divBdr>
    </w:div>
    <w:div w:id="1848867051">
      <w:bodyDiv w:val="1"/>
      <w:marLeft w:val="0"/>
      <w:marRight w:val="0"/>
      <w:marTop w:val="0"/>
      <w:marBottom w:val="0"/>
      <w:divBdr>
        <w:top w:val="none" w:sz="0" w:space="0" w:color="auto"/>
        <w:left w:val="none" w:sz="0" w:space="0" w:color="auto"/>
        <w:bottom w:val="none" w:sz="0" w:space="0" w:color="auto"/>
        <w:right w:val="none" w:sz="0" w:space="0" w:color="auto"/>
      </w:divBdr>
    </w:div>
    <w:div w:id="1849758684">
      <w:bodyDiv w:val="1"/>
      <w:marLeft w:val="0"/>
      <w:marRight w:val="0"/>
      <w:marTop w:val="0"/>
      <w:marBottom w:val="0"/>
      <w:divBdr>
        <w:top w:val="none" w:sz="0" w:space="0" w:color="auto"/>
        <w:left w:val="none" w:sz="0" w:space="0" w:color="auto"/>
        <w:bottom w:val="none" w:sz="0" w:space="0" w:color="auto"/>
        <w:right w:val="none" w:sz="0" w:space="0" w:color="auto"/>
      </w:divBdr>
    </w:div>
    <w:div w:id="1850753189">
      <w:bodyDiv w:val="1"/>
      <w:marLeft w:val="0"/>
      <w:marRight w:val="0"/>
      <w:marTop w:val="0"/>
      <w:marBottom w:val="0"/>
      <w:divBdr>
        <w:top w:val="none" w:sz="0" w:space="0" w:color="auto"/>
        <w:left w:val="none" w:sz="0" w:space="0" w:color="auto"/>
        <w:bottom w:val="none" w:sz="0" w:space="0" w:color="auto"/>
        <w:right w:val="none" w:sz="0" w:space="0" w:color="auto"/>
      </w:divBdr>
    </w:div>
    <w:div w:id="1854759222">
      <w:bodyDiv w:val="1"/>
      <w:marLeft w:val="0"/>
      <w:marRight w:val="0"/>
      <w:marTop w:val="0"/>
      <w:marBottom w:val="0"/>
      <w:divBdr>
        <w:top w:val="none" w:sz="0" w:space="0" w:color="auto"/>
        <w:left w:val="none" w:sz="0" w:space="0" w:color="auto"/>
        <w:bottom w:val="none" w:sz="0" w:space="0" w:color="auto"/>
        <w:right w:val="none" w:sz="0" w:space="0" w:color="auto"/>
      </w:divBdr>
    </w:div>
    <w:div w:id="1863128664">
      <w:bodyDiv w:val="1"/>
      <w:marLeft w:val="0"/>
      <w:marRight w:val="0"/>
      <w:marTop w:val="0"/>
      <w:marBottom w:val="0"/>
      <w:divBdr>
        <w:top w:val="none" w:sz="0" w:space="0" w:color="auto"/>
        <w:left w:val="none" w:sz="0" w:space="0" w:color="auto"/>
        <w:bottom w:val="none" w:sz="0" w:space="0" w:color="auto"/>
        <w:right w:val="none" w:sz="0" w:space="0" w:color="auto"/>
      </w:divBdr>
    </w:div>
    <w:div w:id="1866022695">
      <w:bodyDiv w:val="1"/>
      <w:marLeft w:val="0"/>
      <w:marRight w:val="0"/>
      <w:marTop w:val="0"/>
      <w:marBottom w:val="0"/>
      <w:divBdr>
        <w:top w:val="none" w:sz="0" w:space="0" w:color="auto"/>
        <w:left w:val="none" w:sz="0" w:space="0" w:color="auto"/>
        <w:bottom w:val="none" w:sz="0" w:space="0" w:color="auto"/>
        <w:right w:val="none" w:sz="0" w:space="0" w:color="auto"/>
      </w:divBdr>
    </w:div>
    <w:div w:id="1871406274">
      <w:bodyDiv w:val="1"/>
      <w:marLeft w:val="0"/>
      <w:marRight w:val="0"/>
      <w:marTop w:val="0"/>
      <w:marBottom w:val="0"/>
      <w:divBdr>
        <w:top w:val="none" w:sz="0" w:space="0" w:color="auto"/>
        <w:left w:val="none" w:sz="0" w:space="0" w:color="auto"/>
        <w:bottom w:val="none" w:sz="0" w:space="0" w:color="auto"/>
        <w:right w:val="none" w:sz="0" w:space="0" w:color="auto"/>
      </w:divBdr>
    </w:div>
    <w:div w:id="1872306166">
      <w:bodyDiv w:val="1"/>
      <w:marLeft w:val="0"/>
      <w:marRight w:val="0"/>
      <w:marTop w:val="0"/>
      <w:marBottom w:val="0"/>
      <w:divBdr>
        <w:top w:val="none" w:sz="0" w:space="0" w:color="auto"/>
        <w:left w:val="none" w:sz="0" w:space="0" w:color="auto"/>
        <w:bottom w:val="none" w:sz="0" w:space="0" w:color="auto"/>
        <w:right w:val="none" w:sz="0" w:space="0" w:color="auto"/>
      </w:divBdr>
    </w:div>
    <w:div w:id="1886479229">
      <w:bodyDiv w:val="1"/>
      <w:marLeft w:val="0"/>
      <w:marRight w:val="0"/>
      <w:marTop w:val="0"/>
      <w:marBottom w:val="0"/>
      <w:divBdr>
        <w:top w:val="none" w:sz="0" w:space="0" w:color="auto"/>
        <w:left w:val="none" w:sz="0" w:space="0" w:color="auto"/>
        <w:bottom w:val="none" w:sz="0" w:space="0" w:color="auto"/>
        <w:right w:val="none" w:sz="0" w:space="0" w:color="auto"/>
      </w:divBdr>
    </w:div>
    <w:div w:id="1910311963">
      <w:bodyDiv w:val="1"/>
      <w:marLeft w:val="0"/>
      <w:marRight w:val="0"/>
      <w:marTop w:val="0"/>
      <w:marBottom w:val="0"/>
      <w:divBdr>
        <w:top w:val="none" w:sz="0" w:space="0" w:color="auto"/>
        <w:left w:val="none" w:sz="0" w:space="0" w:color="auto"/>
        <w:bottom w:val="none" w:sz="0" w:space="0" w:color="auto"/>
        <w:right w:val="none" w:sz="0" w:space="0" w:color="auto"/>
      </w:divBdr>
    </w:div>
    <w:div w:id="1916933963">
      <w:bodyDiv w:val="1"/>
      <w:marLeft w:val="0"/>
      <w:marRight w:val="0"/>
      <w:marTop w:val="0"/>
      <w:marBottom w:val="0"/>
      <w:divBdr>
        <w:top w:val="none" w:sz="0" w:space="0" w:color="auto"/>
        <w:left w:val="none" w:sz="0" w:space="0" w:color="auto"/>
        <w:bottom w:val="none" w:sz="0" w:space="0" w:color="auto"/>
        <w:right w:val="none" w:sz="0" w:space="0" w:color="auto"/>
      </w:divBdr>
    </w:div>
    <w:div w:id="1929383144">
      <w:bodyDiv w:val="1"/>
      <w:marLeft w:val="0"/>
      <w:marRight w:val="0"/>
      <w:marTop w:val="0"/>
      <w:marBottom w:val="0"/>
      <w:divBdr>
        <w:top w:val="none" w:sz="0" w:space="0" w:color="auto"/>
        <w:left w:val="none" w:sz="0" w:space="0" w:color="auto"/>
        <w:bottom w:val="none" w:sz="0" w:space="0" w:color="auto"/>
        <w:right w:val="none" w:sz="0" w:space="0" w:color="auto"/>
      </w:divBdr>
    </w:div>
    <w:div w:id="1929999104">
      <w:bodyDiv w:val="1"/>
      <w:marLeft w:val="0"/>
      <w:marRight w:val="0"/>
      <w:marTop w:val="0"/>
      <w:marBottom w:val="0"/>
      <w:divBdr>
        <w:top w:val="none" w:sz="0" w:space="0" w:color="auto"/>
        <w:left w:val="none" w:sz="0" w:space="0" w:color="auto"/>
        <w:bottom w:val="none" w:sz="0" w:space="0" w:color="auto"/>
        <w:right w:val="none" w:sz="0" w:space="0" w:color="auto"/>
      </w:divBdr>
    </w:div>
    <w:div w:id="1952282516">
      <w:bodyDiv w:val="1"/>
      <w:marLeft w:val="0"/>
      <w:marRight w:val="0"/>
      <w:marTop w:val="0"/>
      <w:marBottom w:val="0"/>
      <w:divBdr>
        <w:top w:val="none" w:sz="0" w:space="0" w:color="auto"/>
        <w:left w:val="none" w:sz="0" w:space="0" w:color="auto"/>
        <w:bottom w:val="none" w:sz="0" w:space="0" w:color="auto"/>
        <w:right w:val="none" w:sz="0" w:space="0" w:color="auto"/>
      </w:divBdr>
    </w:div>
    <w:div w:id="1968777033">
      <w:bodyDiv w:val="1"/>
      <w:marLeft w:val="0"/>
      <w:marRight w:val="0"/>
      <w:marTop w:val="0"/>
      <w:marBottom w:val="0"/>
      <w:divBdr>
        <w:top w:val="none" w:sz="0" w:space="0" w:color="auto"/>
        <w:left w:val="none" w:sz="0" w:space="0" w:color="auto"/>
        <w:bottom w:val="none" w:sz="0" w:space="0" w:color="auto"/>
        <w:right w:val="none" w:sz="0" w:space="0" w:color="auto"/>
      </w:divBdr>
    </w:div>
    <w:div w:id="1993754805">
      <w:bodyDiv w:val="1"/>
      <w:marLeft w:val="0"/>
      <w:marRight w:val="0"/>
      <w:marTop w:val="0"/>
      <w:marBottom w:val="0"/>
      <w:divBdr>
        <w:top w:val="none" w:sz="0" w:space="0" w:color="auto"/>
        <w:left w:val="none" w:sz="0" w:space="0" w:color="auto"/>
        <w:bottom w:val="none" w:sz="0" w:space="0" w:color="auto"/>
        <w:right w:val="none" w:sz="0" w:space="0" w:color="auto"/>
      </w:divBdr>
    </w:div>
    <w:div w:id="1995722883">
      <w:bodyDiv w:val="1"/>
      <w:marLeft w:val="0"/>
      <w:marRight w:val="0"/>
      <w:marTop w:val="0"/>
      <w:marBottom w:val="0"/>
      <w:divBdr>
        <w:top w:val="none" w:sz="0" w:space="0" w:color="auto"/>
        <w:left w:val="none" w:sz="0" w:space="0" w:color="auto"/>
        <w:bottom w:val="none" w:sz="0" w:space="0" w:color="auto"/>
        <w:right w:val="none" w:sz="0" w:space="0" w:color="auto"/>
      </w:divBdr>
    </w:div>
    <w:div w:id="1997804535">
      <w:bodyDiv w:val="1"/>
      <w:marLeft w:val="0"/>
      <w:marRight w:val="0"/>
      <w:marTop w:val="0"/>
      <w:marBottom w:val="0"/>
      <w:divBdr>
        <w:top w:val="none" w:sz="0" w:space="0" w:color="auto"/>
        <w:left w:val="none" w:sz="0" w:space="0" w:color="auto"/>
        <w:bottom w:val="none" w:sz="0" w:space="0" w:color="auto"/>
        <w:right w:val="none" w:sz="0" w:space="0" w:color="auto"/>
      </w:divBdr>
    </w:div>
    <w:div w:id="2000427232">
      <w:bodyDiv w:val="1"/>
      <w:marLeft w:val="0"/>
      <w:marRight w:val="0"/>
      <w:marTop w:val="0"/>
      <w:marBottom w:val="0"/>
      <w:divBdr>
        <w:top w:val="none" w:sz="0" w:space="0" w:color="auto"/>
        <w:left w:val="none" w:sz="0" w:space="0" w:color="auto"/>
        <w:bottom w:val="none" w:sz="0" w:space="0" w:color="auto"/>
        <w:right w:val="none" w:sz="0" w:space="0" w:color="auto"/>
      </w:divBdr>
    </w:div>
    <w:div w:id="2010670493">
      <w:bodyDiv w:val="1"/>
      <w:marLeft w:val="0"/>
      <w:marRight w:val="0"/>
      <w:marTop w:val="0"/>
      <w:marBottom w:val="0"/>
      <w:divBdr>
        <w:top w:val="none" w:sz="0" w:space="0" w:color="auto"/>
        <w:left w:val="none" w:sz="0" w:space="0" w:color="auto"/>
        <w:bottom w:val="none" w:sz="0" w:space="0" w:color="auto"/>
        <w:right w:val="none" w:sz="0" w:space="0" w:color="auto"/>
      </w:divBdr>
    </w:div>
    <w:div w:id="2029213342">
      <w:bodyDiv w:val="1"/>
      <w:marLeft w:val="0"/>
      <w:marRight w:val="0"/>
      <w:marTop w:val="0"/>
      <w:marBottom w:val="0"/>
      <w:divBdr>
        <w:top w:val="none" w:sz="0" w:space="0" w:color="auto"/>
        <w:left w:val="none" w:sz="0" w:space="0" w:color="auto"/>
        <w:bottom w:val="none" w:sz="0" w:space="0" w:color="auto"/>
        <w:right w:val="none" w:sz="0" w:space="0" w:color="auto"/>
      </w:divBdr>
    </w:div>
    <w:div w:id="2030139818">
      <w:bodyDiv w:val="1"/>
      <w:marLeft w:val="0"/>
      <w:marRight w:val="0"/>
      <w:marTop w:val="0"/>
      <w:marBottom w:val="0"/>
      <w:divBdr>
        <w:top w:val="none" w:sz="0" w:space="0" w:color="auto"/>
        <w:left w:val="none" w:sz="0" w:space="0" w:color="auto"/>
        <w:bottom w:val="none" w:sz="0" w:space="0" w:color="auto"/>
        <w:right w:val="none" w:sz="0" w:space="0" w:color="auto"/>
      </w:divBdr>
    </w:div>
    <w:div w:id="2031298410">
      <w:bodyDiv w:val="1"/>
      <w:marLeft w:val="0"/>
      <w:marRight w:val="0"/>
      <w:marTop w:val="0"/>
      <w:marBottom w:val="0"/>
      <w:divBdr>
        <w:top w:val="none" w:sz="0" w:space="0" w:color="auto"/>
        <w:left w:val="none" w:sz="0" w:space="0" w:color="auto"/>
        <w:bottom w:val="none" w:sz="0" w:space="0" w:color="auto"/>
        <w:right w:val="none" w:sz="0" w:space="0" w:color="auto"/>
      </w:divBdr>
    </w:div>
    <w:div w:id="2048262566">
      <w:bodyDiv w:val="1"/>
      <w:marLeft w:val="0"/>
      <w:marRight w:val="0"/>
      <w:marTop w:val="0"/>
      <w:marBottom w:val="0"/>
      <w:divBdr>
        <w:top w:val="none" w:sz="0" w:space="0" w:color="auto"/>
        <w:left w:val="none" w:sz="0" w:space="0" w:color="auto"/>
        <w:bottom w:val="none" w:sz="0" w:space="0" w:color="auto"/>
        <w:right w:val="none" w:sz="0" w:space="0" w:color="auto"/>
      </w:divBdr>
    </w:div>
    <w:div w:id="2050184595">
      <w:bodyDiv w:val="1"/>
      <w:marLeft w:val="0"/>
      <w:marRight w:val="0"/>
      <w:marTop w:val="0"/>
      <w:marBottom w:val="0"/>
      <w:divBdr>
        <w:top w:val="none" w:sz="0" w:space="0" w:color="auto"/>
        <w:left w:val="none" w:sz="0" w:space="0" w:color="auto"/>
        <w:bottom w:val="none" w:sz="0" w:space="0" w:color="auto"/>
        <w:right w:val="none" w:sz="0" w:space="0" w:color="auto"/>
      </w:divBdr>
    </w:div>
    <w:div w:id="2052655356">
      <w:bodyDiv w:val="1"/>
      <w:marLeft w:val="0"/>
      <w:marRight w:val="0"/>
      <w:marTop w:val="0"/>
      <w:marBottom w:val="0"/>
      <w:divBdr>
        <w:top w:val="none" w:sz="0" w:space="0" w:color="auto"/>
        <w:left w:val="none" w:sz="0" w:space="0" w:color="auto"/>
        <w:bottom w:val="none" w:sz="0" w:space="0" w:color="auto"/>
        <w:right w:val="none" w:sz="0" w:space="0" w:color="auto"/>
      </w:divBdr>
    </w:div>
    <w:div w:id="2065830485">
      <w:bodyDiv w:val="1"/>
      <w:marLeft w:val="0"/>
      <w:marRight w:val="0"/>
      <w:marTop w:val="0"/>
      <w:marBottom w:val="0"/>
      <w:divBdr>
        <w:top w:val="none" w:sz="0" w:space="0" w:color="auto"/>
        <w:left w:val="none" w:sz="0" w:space="0" w:color="auto"/>
        <w:bottom w:val="none" w:sz="0" w:space="0" w:color="auto"/>
        <w:right w:val="none" w:sz="0" w:space="0" w:color="auto"/>
      </w:divBdr>
    </w:div>
    <w:div w:id="2072725939">
      <w:bodyDiv w:val="1"/>
      <w:marLeft w:val="0"/>
      <w:marRight w:val="0"/>
      <w:marTop w:val="0"/>
      <w:marBottom w:val="0"/>
      <w:divBdr>
        <w:top w:val="none" w:sz="0" w:space="0" w:color="auto"/>
        <w:left w:val="none" w:sz="0" w:space="0" w:color="auto"/>
        <w:bottom w:val="none" w:sz="0" w:space="0" w:color="auto"/>
        <w:right w:val="none" w:sz="0" w:space="0" w:color="auto"/>
      </w:divBdr>
    </w:div>
    <w:div w:id="2081440462">
      <w:bodyDiv w:val="1"/>
      <w:marLeft w:val="0"/>
      <w:marRight w:val="0"/>
      <w:marTop w:val="0"/>
      <w:marBottom w:val="0"/>
      <w:divBdr>
        <w:top w:val="none" w:sz="0" w:space="0" w:color="auto"/>
        <w:left w:val="none" w:sz="0" w:space="0" w:color="auto"/>
        <w:bottom w:val="none" w:sz="0" w:space="0" w:color="auto"/>
        <w:right w:val="none" w:sz="0" w:space="0" w:color="auto"/>
      </w:divBdr>
    </w:div>
    <w:div w:id="2087024013">
      <w:bodyDiv w:val="1"/>
      <w:marLeft w:val="0"/>
      <w:marRight w:val="0"/>
      <w:marTop w:val="0"/>
      <w:marBottom w:val="0"/>
      <w:divBdr>
        <w:top w:val="none" w:sz="0" w:space="0" w:color="auto"/>
        <w:left w:val="none" w:sz="0" w:space="0" w:color="auto"/>
        <w:bottom w:val="none" w:sz="0" w:space="0" w:color="auto"/>
        <w:right w:val="none" w:sz="0" w:space="0" w:color="auto"/>
      </w:divBdr>
    </w:div>
    <w:div w:id="2090610462">
      <w:bodyDiv w:val="1"/>
      <w:marLeft w:val="0"/>
      <w:marRight w:val="0"/>
      <w:marTop w:val="0"/>
      <w:marBottom w:val="0"/>
      <w:divBdr>
        <w:top w:val="none" w:sz="0" w:space="0" w:color="auto"/>
        <w:left w:val="none" w:sz="0" w:space="0" w:color="auto"/>
        <w:bottom w:val="none" w:sz="0" w:space="0" w:color="auto"/>
        <w:right w:val="none" w:sz="0" w:space="0" w:color="auto"/>
      </w:divBdr>
    </w:div>
    <w:div w:id="2100638188">
      <w:bodyDiv w:val="1"/>
      <w:marLeft w:val="0"/>
      <w:marRight w:val="0"/>
      <w:marTop w:val="0"/>
      <w:marBottom w:val="0"/>
      <w:divBdr>
        <w:top w:val="none" w:sz="0" w:space="0" w:color="auto"/>
        <w:left w:val="none" w:sz="0" w:space="0" w:color="auto"/>
        <w:bottom w:val="none" w:sz="0" w:space="0" w:color="auto"/>
        <w:right w:val="none" w:sz="0" w:space="0" w:color="auto"/>
      </w:divBdr>
    </w:div>
    <w:div w:id="2101177762">
      <w:bodyDiv w:val="1"/>
      <w:marLeft w:val="0"/>
      <w:marRight w:val="0"/>
      <w:marTop w:val="0"/>
      <w:marBottom w:val="0"/>
      <w:divBdr>
        <w:top w:val="none" w:sz="0" w:space="0" w:color="auto"/>
        <w:left w:val="none" w:sz="0" w:space="0" w:color="auto"/>
        <w:bottom w:val="none" w:sz="0" w:space="0" w:color="auto"/>
        <w:right w:val="none" w:sz="0" w:space="0" w:color="auto"/>
      </w:divBdr>
    </w:div>
    <w:div w:id="2105808186">
      <w:bodyDiv w:val="1"/>
      <w:marLeft w:val="0"/>
      <w:marRight w:val="0"/>
      <w:marTop w:val="0"/>
      <w:marBottom w:val="0"/>
      <w:divBdr>
        <w:top w:val="none" w:sz="0" w:space="0" w:color="auto"/>
        <w:left w:val="none" w:sz="0" w:space="0" w:color="auto"/>
        <w:bottom w:val="none" w:sz="0" w:space="0" w:color="auto"/>
        <w:right w:val="none" w:sz="0" w:space="0" w:color="auto"/>
      </w:divBdr>
    </w:div>
    <w:div w:id="214219263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emf"/><Relationship Id="rId26" Type="http://schemas.openxmlformats.org/officeDocument/2006/relationships/image" Target="media/image19.emf"/><Relationship Id="rId3" Type="http://schemas.openxmlformats.org/officeDocument/2006/relationships/styles" Target="styles.xml"/><Relationship Id="rId21" Type="http://schemas.openxmlformats.org/officeDocument/2006/relationships/image" Target="media/image14.emf"/><Relationship Id="rId34"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emf"/><Relationship Id="rId25" Type="http://schemas.openxmlformats.org/officeDocument/2006/relationships/image" Target="media/image18.emf"/><Relationship Id="rId33" Type="http://schemas.openxmlformats.org/officeDocument/2006/relationships/image" Target="media/image26.emf"/><Relationship Id="rId2" Type="http://schemas.openxmlformats.org/officeDocument/2006/relationships/numbering" Target="numbering.xml"/><Relationship Id="rId16" Type="http://schemas.openxmlformats.org/officeDocument/2006/relationships/image" Target="media/image9.emf"/><Relationship Id="rId20" Type="http://schemas.openxmlformats.org/officeDocument/2006/relationships/image" Target="media/image13.emf"/><Relationship Id="rId29" Type="http://schemas.openxmlformats.org/officeDocument/2006/relationships/image" Target="media/image22.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emf"/><Relationship Id="rId32" Type="http://schemas.openxmlformats.org/officeDocument/2006/relationships/image" Target="media/image25.emf"/><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emf"/><Relationship Id="rId28" Type="http://schemas.openxmlformats.org/officeDocument/2006/relationships/image" Target="media/image21.emf"/><Relationship Id="rId36"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image" Target="media/image12.emf"/><Relationship Id="rId31" Type="http://schemas.openxmlformats.org/officeDocument/2006/relationships/image" Target="media/image24.emf"/><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emf"/><Relationship Id="rId27" Type="http://schemas.openxmlformats.org/officeDocument/2006/relationships/image" Target="media/image20.emf"/><Relationship Id="rId30" Type="http://schemas.openxmlformats.org/officeDocument/2006/relationships/image" Target="media/image23.emf"/><Relationship Id="rId35"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Uni12</b:Tag>
    <b:SourceType>Report</b:SourceType>
    <b:Guid>{C2A8F22F-441C-6C49-816E-AF7E2186BC38}</b:Guid>
    <b:Author>
      <b:Author>
        <b:Corporate>United Nations</b:Corporate>
      </b:Author>
    </b:Author>
    <b:Title>The Further We Want,  UN General Assembly Resolution</b:Title>
    <b:City>Rio the Janairo</b:City>
    <b:CountryRegion>Brazil</b:CountryRegion>
    <b:Publisher>United Nations</b:Publisher>
    <b:Year>2012</b:Year>
    <b:Pages>138 -141</b:Pages>
    <b:RefOrder>2</b:RefOrder>
  </b:Source>
  <b:Source>
    <b:Tag>Wor14</b:Tag>
    <b:SourceType>DocumentFromInternetSite</b:SourceType>
    <b:Guid>{B5E0F3F4-F6F0-7A49-967A-70212F662EC3}</b:Guid>
    <b:Title>What is universal health coverage?</b:Title>
    <b:Year>2014</b:Year>
    <b:Author>
      <b:Author>
        <b:Corporate>World Health Organization</b:Corporate>
      </b:Author>
    </b:Author>
    <b:URL>http://www.who.int/features/qa/universal_health_coverage/en/</b:URL>
    <b:Month>December</b:Month>
    <b:RefOrder>1</b:RefOrder>
  </b:Source>
  <b:Source>
    <b:Tag>Mor15</b:Tag>
    <b:SourceType>JournalArticle</b:SourceType>
    <b:Guid>{5B2032A8-AC24-9A48-B71E-79A12C12AD2C}</b:Guid>
    <b:Title>Broader health coverage is good for the nation’s health: evidence from country level panel data</b:Title>
    <b:Year>2015</b:Year>
    <b:Author>
      <b:Author>
        <b:NameList>
          <b:Person>
            <b:Last>Moreno-Serra</b:Last>
            <b:First>Rodrigo</b:First>
          </b:Person>
          <b:Person>
            <b:Last>Smith</b:Last>
            <b:First>Peter</b:First>
            <b:Middle>C.</b:Middle>
          </b:Person>
        </b:NameList>
      </b:Author>
    </b:Author>
    <b:JournalName>Journal of the Royal Statistical Society</b:JournalName>
    <b:Publisher>John Wiley &amp; Sons Ltd</b:Publisher>
    <b:Volume>178</b:Volume>
    <b:Issue>1</b:Issue>
    <b:Pages>101-124</b:Pages>
    <b:RefOrder>6</b:RefOrder>
  </b:Source>
  <b:Source>
    <b:Tag>WHO14</b:Tag>
    <b:SourceType>Report</b:SourceType>
    <b:Guid>{0D510ADE-EFC9-4A47-B8BD-68B4FF2047C6}</b:Guid>
    <b:Title>Monitoring progress towards universal health coverage at country and global levels</b:Title>
    <b:Publisher>WHO Press</b:Publisher>
    <b:City>Geneva </b:City>
    <b:Year>2014</b:Year>
    <b:Comments>http://apps.who.int/iris/bitstream/10665/112824/1/WHO_HIS_HIA_14.1_eng.pdf?ua=1</b:Comments>
    <b:Author>
      <b:Author>
        <b:Corporate>WHO, Worldbank Group</b:Corporate>
      </b:Author>
    </b:Author>
    <b:RefOrder>3</b:RefOrder>
  </b:Source>
  <b:Source>
    <b:Tag>Car05</b:Tag>
    <b:SourceType>JournalArticle</b:SourceType>
    <b:Guid>{28E79C2A-C589-B64E-9E7C-76F3D9749C19}</b:Guid>
    <b:Author>
      <b:Author>
        <b:NameList>
          <b:Person>
            <b:Last>Card</b:Last>
            <b:First>David</b:First>
          </b:Person>
          <b:Person>
            <b:Last>Dobkin</b:Last>
            <b:First>Carlos</b:First>
          </b:Person>
          <b:Person>
            <b:Last>Maestas</b:Last>
            <b:First>Nicole</b:First>
          </b:Person>
        </b:NameList>
      </b:Author>
    </b:Author>
    <b:Title>Outcomes, The Impact of Health Insurance Status on Treatment Intensity and Health</b:Title>
    <b:Year>2005</b:Year>
    <b:Comments>http://eml.berkeley.edu/~card/papers/healthinsur.pdf</b:Comments>
    <b:JournalName> RAND Labor and Population working paper series</b:JournalName>
    <b:Month>May</b:Month>
    <b:RefOrder>4</b:RefOrder>
  </b:Source>
  <b:Source>
    <b:Tag>Uni14</b:Tag>
    <b:SourceType>Report</b:SourceType>
    <b:Guid>{C1D133B9-B02E-A043-B5D5-1B0A451F58FB}</b:Guid>
    <b:Title>Committing to Child Survival: A Promise Renewed</b:Title>
    <b:Year>2014</b:Year>
    <b:Comments>http://data.unicef.org/corecode/uploads/document6/uploaded_pdfs/corecode/APR-2014-17Oct14-web_194.pdf</b:Comments>
    <b:Author>
      <b:Author>
        <b:Corporate>Unicef</b:Corporate>
      </b:Author>
    </b:Author>
    <b:RefOrder>22</b:RefOrder>
  </b:Source>
  <b:Source>
    <b:Tag>van13</b:Tag>
    <b:SourceType>Report</b:SourceType>
    <b:Guid>{9BCF5DAF-DC5E-CB4A-9C0D-50BB58F743B9}</b:Guid>
    <b:Author>
      <b:Author>
        <b:NameList>
          <b:Person>
            <b:Last>van Baal</b:Last>
            <b:First>Pieter</b:First>
          </b:Person>
          <b:Person>
            <b:Last>Parida</b:Last>
            <b:First>Obulqasim</b:First>
          </b:Person>
          <b:Person>
            <b:Last>Brouwer</b:Last>
            <b:First>Werner</b:First>
          </b:Person>
          <b:Person>
            <b:Last>Nusselder</b:Last>
            <b:First>Wilma</b:First>
          </b:Person>
          <b:Person>
            <b:Last>Mackenbach</b:Last>
            <b:First>Johan</b:First>
          </b:Person>
        </b:NameList>
      </b:Author>
    </b:Author>
    <b:Title>The influence of health care spending on life expectancy</b:Title>
    <b:Publisher>Netspar</b:Publisher>
    <b:City>Tilburg</b:City>
    <b:Year>2013</b:Year>
    <b:Pages>52</b:Pages>
    <b:RefOrder>12</b:RefOrder>
  </b:Source>
  <b:Source>
    <b:Tag>Mor12</b:Tag>
    <b:SourceType>JournalArticle</b:SourceType>
    <b:Guid>{A323D12E-E601-3B48-B685-E9A813B0445C}</b:Guid>
    <b:Title>Does progress towards universal health coverage improve population health?</b:Title>
    <b:Year>2012</b:Year>
    <b:Pages>917–23</b:Pages>
    <b:JournalName>The Lancet</b:JournalName>
    <b:Volume>380</b:Volume>
    <b:Author>
      <b:Author>
        <b:NameList>
          <b:Person>
            <b:Last>Moreno-Serra</b:Last>
            <b:First>Rodrigo</b:First>
          </b:Person>
          <b:Person>
            <b:Last>Smith</b:Last>
            <b:First>Peter</b:First>
            <b:Middle>C</b:Middle>
          </b:Person>
        </b:NameList>
      </b:Author>
    </b:Author>
    <b:RefOrder>7</b:RefOrder>
  </b:Source>
  <b:Source>
    <b:Tag>Wag04</b:Tag>
    <b:SourceType>Book</b:SourceType>
    <b:Guid>{5F7F5EC9-D7FF-464C-AF89-DA0622091959}</b:Guid>
    <b:Author>
      <b:Author>
        <b:NameList>
          <b:Person>
            <b:Last>Wagstaff</b:Last>
            <b:First>Adam</b:First>
          </b:Person>
          <b:Person>
            <b:Last>Claeson</b:Last>
            <b:First>Mariam</b:First>
          </b:Person>
        </b:NameList>
      </b:Author>
    </b:Author>
    <b:Title>The Millennium Development Goals for Health: Rising to the Challenges</b:Title>
    <b:Publisher>The World Bank</b:Publisher>
    <b:City>Washington</b:City>
    <b:Year>2004</b:Year>
    <b:RefOrder>14</b:RefOrder>
  </b:Source>
  <b:Source>
    <b:Tag>Pre75</b:Tag>
    <b:SourceType>JournalArticle</b:SourceType>
    <b:Guid>{0C3AAE05-C3D0-3C4B-BD05-37A212F31C00}</b:Guid>
    <b:Author>
      <b:Author>
        <b:NameList>
          <b:Person>
            <b:Last>Preston</b:Last>
            <b:First>Samuel</b:First>
            <b:Middle>H.</b:Middle>
          </b:Person>
        </b:NameList>
      </b:Author>
    </b:Author>
    <b:Title>The Changing Relation between Mortality and Level of Economic Development</b:Title>
    <b:Year>1975</b:Year>
    <b:Volume>29</b:Volume>
    <b:Pages>231-248</b:Pages>
    <b:JournalName>Population Studies</b:JournalName>
    <b:Month>July</b:Month>
    <b:Issue>2</b:Issue>
    <b:RefOrder>9</b:RefOrder>
  </b:Source>
  <b:Source>
    <b:Tag>Mus96</b:Tag>
    <b:SourceType>Report</b:SourceType>
    <b:Guid>{88DA2FBF-331C-474B-9B36-C2AECD7889A9}</b:Guid>
    <b:Title>Public and Private Roles in Health: Theory and Financing Patterns</b:Title>
    <b:Publisher>World Bank</b:Publisher>
    <b:City>Washington D.C.</b:City>
    <b:Year>1996</b:Year>
    <b:Author>
      <b:Author>
        <b:NameList>
          <b:Person>
            <b:Last>Musgrove</b:Last>
          </b:Person>
        </b:NameList>
      </b:Author>
    </b:Author>
    <b:Institution>World Bank</b:Institution>
    <b:RefOrder>5</b:RefOrder>
  </b:Source>
  <b:Source>
    <b:Tag>Fil99</b:Tag>
    <b:SourceType>JournalArticle</b:SourceType>
    <b:Guid>{5E918AA4-DD64-FA4F-8AB8-A6F1AD88A496}</b:Guid>
    <b:Author>
      <b:Author>
        <b:NameList>
          <b:Person>
            <b:Last>Filmer</b:Last>
            <b:First>Deon</b:First>
          </b:Person>
          <b:Person>
            <b:Last>Pritchett</b:Last>
            <b:First>Lant</b:First>
          </b:Person>
        </b:NameList>
      </b:Author>
    </b:Author>
    <b:Title>The impact of public spending on health: does money matter?</b:Title>
    <b:Publisher>Elsevier</b:Publisher>
    <b:City>Washington D.C</b:City>
    <b:Year>1999</b:Year>
    <b:Pages>1309 - 1323  </b:Pages>
    <b:JournalName>Social Science and Medicine</b:JournalName>
    <b:Issue>49</b:Issue>
    <b:RefOrder>8</b:RefOrder>
  </b:Source>
  <b:Source>
    <b:Tag>Bok07</b:Tag>
    <b:SourceType>JournalArticle</b:SourceType>
    <b:Guid>{916374F1-4A1A-BB47-A9A1-5A8EDB1DE8D8}</b:Guid>
    <b:Author>
      <b:Author>
        <b:NameList>
          <b:Person>
            <b:Last>Bokhari</b:Last>
            <b:First>Farasat</b:First>
          </b:Person>
          <b:Person>
            <b:Last>Gai</b:Last>
            <b:First>Yunwei</b:First>
          </b:Person>
          <b:Person>
            <b:Last>Gottret</b:Last>
            <b:First>Pablo</b:First>
          </b:Person>
        </b:NameList>
      </b:Author>
    </b:Author>
    <b:Title>Government Health Expenditures and Health Outcomes</b:Title>
    <b:JournalName>Health Economics </b:JournalName>
    <b:Year>2007</b:Year>
    <b:Issue>16</b:Issue>
    <b:Pages>257 - 273</b:Pages>
    <b:RefOrder>15</b:RefOrder>
  </b:Source>
  <b:Source>
    <b:Tag>Brü11</b:Tag>
    <b:SourceType>JournalArticle</b:SourceType>
    <b:Guid>{7BF4F841-26D1-104F-B158-EA97721A2D7B}</b:Guid>
    <b:Author>
      <b:Author>
        <b:NameList>
          <b:Person>
            <b:Last>Brückner</b:Last>
            <b:First>Markus</b:First>
          </b:Person>
        </b:NameList>
      </b:Author>
    </b:Author>
    <b:Title>On The Simultaneity Problem In The Aid And Growth Debate </b:Title>
    <b:JournalName>Journal of Applied Econometrics </b:JournalName>
    <b:Year>2011</b:Year>
    <b:Issue>28</b:Issue>
    <b:Pages>126 - 150</b:Pages>
    <b:RefOrder>16</b:RefOrder>
  </b:Source>
  <b:Source>
    <b:Tag>Rei03</b:Tag>
    <b:SourceType>JournalArticle</b:SourceType>
    <b:Guid>{40BDB821-630A-8E42-BF1F-8258C4C7C7E0}</b:Guid>
    <b:Author>
      <b:Author>
        <b:NameList>
          <b:Person>
            <b:Last>Reidpath</b:Last>
          </b:Person>
          <b:Person>
            <b:Last>Allotey</b:Last>
          </b:Person>
        </b:NameList>
      </b:Author>
    </b:Author>
    <b:Title>Infant mortality rate as an indicator of population health </b:Title>
    <b:Year>2003</b:Year>
    <b:Issue>57</b:Issue>
    <b:Pages>344 - 346</b:Pages>
    <b:RefOrder>19</b:RefOrder>
  </b:Source>
  <b:Source>
    <b:Tag>Wor15</b:Tag>
    <b:SourceType>InternetSite</b:SourceType>
    <b:Guid>{A63E2CBB-3716-B844-8252-96DDD2084558}</b:Guid>
    <b:Title>World Development Indicators</b:Title>
    <b:Year>2015</b:Year>
    <b:Author>
      <b:Author>
        <b:Corporate>World Bank</b:Corporate>
      </b:Author>
    </b:Author>
    <b:URL>http://data.worldbank.org/data-catalog/world-development-indicators</b:URL>
    <b:RefOrder>17</b:RefOrder>
  </b:Source>
  <b:Source>
    <b:Tag>Ins13</b:Tag>
    <b:SourceType>InternetSite</b:SourceType>
    <b:Guid>{67226675-7BAD-BA41-A9E5-825AC5B09593}</b:Guid>
    <b:Author>
      <b:Author>
        <b:Corporate>Institute for Health Metrics and Evaluation</b:Corporate>
      </b:Author>
    </b:Author>
    <b:Title>The Global Burden of Disease Study 2013</b:Title>
    <b:URL>http://ghdx.healthdata.org/</b:URL>
    <b:Year>2013</b:Year>
    <b:YearAccessed>2015</b:YearAccessed>
    <b:RefOrder>20</b:RefOrder>
  </b:Source>
  <b:Source>
    <b:Tag>WHO15</b:Tag>
    <b:SourceType>InternetSite</b:SourceType>
    <b:Guid>{39785B10-E905-7B42-9299-A327A90CED38}</b:Guid>
    <b:Author>
      <b:Author>
        <b:Corporate>World Health Organization</b:Corporate>
      </b:Author>
    </b:Author>
    <b:Title>Global Health Observatory</b:Title>
    <b:URL>http://www.who.int/gho/database/en/</b:URL>
    <b:Year>2015</b:Year>
    <b:YearAccessed>2015</b:YearAccessed>
    <b:RefOrder>21</b:RefOrder>
  </b:Source>
  <b:Source>
    <b:Tag>The14</b:Tag>
    <b:SourceType>InternetSite</b:SourceType>
    <b:Guid>{3B756844-01C9-E44E-8FB9-7CEA176519EE}</b:Guid>
    <b:Author>
      <b:Author>
        <b:Corporate>The World Bank Group</b:Corporate>
      </b:Author>
    </b:Author>
    <b:Title>Worldwide Governance Indicators</b:Title>
    <b:URL>http://info.worldbank.org/governance/wgi/</b:URL>
    <b:Year>2014</b:Year>
    <b:YearAccessed>2015</b:YearAccessed>
    <b:MonthAccessed>07</b:MonthAccessed>
    <b:RefOrder>18</b:RefOrder>
  </b:Source>
  <b:Source>
    <b:Tag>Raj07</b:Tag>
    <b:SourceType>JournalArticle</b:SourceType>
    <b:Guid>{D251A1CA-2B10-4FBE-B6B1-488B5C7C9406}</b:Guid>
    <b:Title>Public spending and outcomes: Does governance matter?</b:Title>
    <b:Year>2007</b:Year>
    <b:Author>
      <b:Author>
        <b:NameList>
          <b:Person>
            <b:Last>Rajukmar</b:Last>
            <b:First>Andrew</b:First>
            <b:Middle>Sunil</b:Middle>
          </b:Person>
          <b:Person>
            <b:Last>Swaroop</b:Last>
            <b:First>Vinaya</b:First>
          </b:Person>
        </b:NameList>
      </b:Author>
    </b:Author>
    <b:JournalName>Journal of Development Economics</b:JournalName>
    <b:Pages>96-111</b:Pages>
    <b:RefOrder>13</b:RefOrder>
  </b:Source>
  <b:Source>
    <b:Tag>Blo07</b:Tag>
    <b:SourceType>JournalArticle</b:SourceType>
    <b:Guid>{69499686-9E73-476F-B50D-0DA43B753335}</b:Guid>
    <b:Author>
      <b:Author>
        <b:NameList>
          <b:Person>
            <b:Last>Bloom</b:Last>
            <b:First>David</b:First>
          </b:Person>
          <b:Person>
            <b:Last>Canning</b:Last>
            <b:First>David</b:First>
          </b:Person>
        </b:NameList>
      </b:Author>
    </b:Author>
    <b:Title>Commentary: The Preston Curve 30 years on: Still Sparking Fires</b:Title>
    <b:JournalName>International Journal of Epidemology</b:JournalName>
    <b:Year>2007</b:Year>
    <b:Pages>498-499</b:Pages>
    <b:RefOrder>11</b:RefOrder>
  </b:Source>
  <b:Source>
    <b:Tag>Dea03</b:Tag>
    <b:SourceType>JournalArticle</b:SourceType>
    <b:Guid>{C465B12F-96B5-4F6C-843B-A70BB1B67326}</b:Guid>
    <b:Author>
      <b:Author>
        <b:NameList>
          <b:Person>
            <b:Last>Deaton</b:Last>
            <b:First>Angus</b:First>
          </b:Person>
        </b:NameList>
      </b:Author>
    </b:Author>
    <b:Title>Health, Inequality, and Economic Development</b:Title>
    <b:JournalName>Journal of Economic Literature </b:JournalName>
    <b:Year>2003</b:Year>
    <b:Pages>113-158</b:Pages>
    <b:RefOrder>10</b:RefOrder>
  </b:Source>
</b:Sources>
</file>

<file path=customXml/itemProps1.xml><?xml version="1.0" encoding="utf-8"?>
<ds:datastoreItem xmlns:ds="http://schemas.openxmlformats.org/officeDocument/2006/customXml" ds:itemID="{043C1FD7-FEB9-441E-88A3-742919C662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81</Pages>
  <Words>10739</Words>
  <Characters>61216</Characters>
  <Application>Microsoft Office Word</Application>
  <DocSecurity>4</DocSecurity>
  <Lines>510</Lines>
  <Paragraphs>143</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Microsoft</Company>
  <LinksUpToDate>false</LinksUpToDate>
  <CharactersWithSpaces>71812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Wessel</dc:creator>
  <cp:lastModifiedBy>Nita Ramsaransing</cp:lastModifiedBy>
  <cp:revision>2</cp:revision>
  <cp:lastPrinted>2015-07-07T10:42:00Z</cp:lastPrinted>
  <dcterms:created xsi:type="dcterms:W3CDTF">2015-08-12T08:34:00Z</dcterms:created>
  <dcterms:modified xsi:type="dcterms:W3CDTF">2015-08-12T08:34:00Z</dcterms:modified>
</cp:coreProperties>
</file>