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E3E09B" w14:textId="77777777" w:rsidR="00D32BAE" w:rsidRDefault="00D32BAE" w:rsidP="006569B4">
      <w:pPr>
        <w:spacing w:line="360" w:lineRule="auto"/>
      </w:pPr>
      <w:bookmarkStart w:id="0" w:name="_GoBack"/>
      <w:bookmarkEnd w:id="0"/>
    </w:p>
    <w:p w14:paraId="492C51AE" w14:textId="77777777" w:rsidR="00D32BAE" w:rsidRDefault="00D32BAE" w:rsidP="006569B4">
      <w:pPr>
        <w:spacing w:line="360" w:lineRule="auto"/>
      </w:pPr>
    </w:p>
    <w:p w14:paraId="444662F7" w14:textId="77777777" w:rsidR="00D32BAE" w:rsidRDefault="00D32BAE" w:rsidP="006569B4">
      <w:pPr>
        <w:spacing w:line="360" w:lineRule="auto"/>
      </w:pPr>
    </w:p>
    <w:p w14:paraId="5B4F8701" w14:textId="77777777" w:rsidR="00D32BAE" w:rsidRDefault="00D32BAE" w:rsidP="006569B4">
      <w:pPr>
        <w:spacing w:line="360" w:lineRule="auto"/>
      </w:pPr>
    </w:p>
    <w:p w14:paraId="14FB1313" w14:textId="77777777" w:rsidR="00D32BAE" w:rsidRDefault="00D32BAE" w:rsidP="006569B4">
      <w:pPr>
        <w:spacing w:line="360" w:lineRule="auto"/>
      </w:pPr>
    </w:p>
    <w:p w14:paraId="7F176DFB" w14:textId="77777777" w:rsidR="00D32BAE" w:rsidRPr="00D32BAE" w:rsidRDefault="00D32BAE" w:rsidP="006569B4">
      <w:pPr>
        <w:spacing w:line="360" w:lineRule="auto"/>
        <w:rPr>
          <w:b/>
        </w:rPr>
      </w:pPr>
    </w:p>
    <w:p w14:paraId="40E32B39" w14:textId="77777777" w:rsidR="009947A3" w:rsidRPr="00D32BAE" w:rsidRDefault="00D9461B" w:rsidP="006569B4">
      <w:pPr>
        <w:spacing w:line="360" w:lineRule="auto"/>
        <w:rPr>
          <w:b/>
        </w:rPr>
      </w:pPr>
      <w:r w:rsidRPr="00D32BAE">
        <w:rPr>
          <w:b/>
        </w:rPr>
        <w:t>Bachelor scriptie</w:t>
      </w:r>
      <w:r w:rsidR="0093242B" w:rsidRPr="00D32BAE">
        <w:rPr>
          <w:b/>
        </w:rPr>
        <w:t xml:space="preserve"> Accounting.</w:t>
      </w:r>
    </w:p>
    <w:p w14:paraId="5B4875A3" w14:textId="77777777" w:rsidR="0093242B" w:rsidRPr="00FD330E" w:rsidRDefault="0093242B" w:rsidP="006569B4">
      <w:pPr>
        <w:spacing w:line="360" w:lineRule="auto"/>
        <w:rPr>
          <w:b/>
        </w:rPr>
      </w:pPr>
    </w:p>
    <w:p w14:paraId="05D5C91B" w14:textId="5DDD0A8C" w:rsidR="0093242B" w:rsidRDefault="009F29FB" w:rsidP="006569B4">
      <w:pPr>
        <w:spacing w:line="360" w:lineRule="auto"/>
        <w:rPr>
          <w:b/>
        </w:rPr>
      </w:pPr>
      <w:r>
        <w:rPr>
          <w:b/>
        </w:rPr>
        <w:t>Het</w:t>
      </w:r>
      <w:r w:rsidR="00D32BAE">
        <w:rPr>
          <w:b/>
        </w:rPr>
        <w:t xml:space="preserve"> gebruik van</w:t>
      </w:r>
      <w:r w:rsidR="0093242B" w:rsidRPr="00FD330E">
        <w:rPr>
          <w:b/>
        </w:rPr>
        <w:t xml:space="preserve"> </w:t>
      </w:r>
      <w:r w:rsidR="009C7334" w:rsidRPr="00FD330E">
        <w:rPr>
          <w:b/>
        </w:rPr>
        <w:t>alternatieve financiële prestatie-indicatoren</w:t>
      </w:r>
      <w:r w:rsidR="00D32BAE">
        <w:rPr>
          <w:b/>
        </w:rPr>
        <w:t xml:space="preserve"> door</w:t>
      </w:r>
      <w:r w:rsidR="0093242B" w:rsidRPr="00FD330E">
        <w:rPr>
          <w:b/>
        </w:rPr>
        <w:t xml:space="preserve"> </w:t>
      </w:r>
      <w:r w:rsidR="00F12EA2" w:rsidRPr="00FD330E">
        <w:rPr>
          <w:b/>
        </w:rPr>
        <w:t>beursgenoteerde ondernemingen</w:t>
      </w:r>
      <w:r w:rsidR="00ED05B0">
        <w:rPr>
          <w:b/>
        </w:rPr>
        <w:t xml:space="preserve"> in Nederland</w:t>
      </w:r>
      <w:r w:rsidR="00F12EA2" w:rsidRPr="00FD330E">
        <w:rPr>
          <w:b/>
        </w:rPr>
        <w:t>.</w:t>
      </w:r>
      <w:r w:rsidR="00026850">
        <w:rPr>
          <w:b/>
        </w:rPr>
        <w:t xml:space="preserve"> </w:t>
      </w:r>
    </w:p>
    <w:p w14:paraId="7590D0F2" w14:textId="77777777" w:rsidR="00D32BAE" w:rsidRDefault="00D32BAE" w:rsidP="006569B4">
      <w:pPr>
        <w:spacing w:line="360" w:lineRule="auto"/>
        <w:rPr>
          <w:b/>
        </w:rPr>
      </w:pPr>
    </w:p>
    <w:p w14:paraId="4FACC056" w14:textId="77777777" w:rsidR="00D32BAE" w:rsidRPr="00FD330E" w:rsidRDefault="00D32BAE" w:rsidP="006569B4">
      <w:pPr>
        <w:spacing w:line="360" w:lineRule="auto"/>
        <w:rPr>
          <w:b/>
        </w:rPr>
      </w:pPr>
    </w:p>
    <w:p w14:paraId="315B76CA" w14:textId="77777777" w:rsidR="0093242B" w:rsidRPr="00FD330E" w:rsidRDefault="0093242B" w:rsidP="006569B4">
      <w:pPr>
        <w:spacing w:line="360" w:lineRule="auto"/>
        <w:rPr>
          <w:b/>
        </w:rPr>
      </w:pPr>
    </w:p>
    <w:p w14:paraId="1CE8EB2B" w14:textId="77777777" w:rsidR="00D32BAE" w:rsidRDefault="00D32BAE" w:rsidP="006569B4">
      <w:pPr>
        <w:spacing w:line="360" w:lineRule="auto"/>
        <w:rPr>
          <w:b/>
        </w:rPr>
      </w:pPr>
    </w:p>
    <w:p w14:paraId="2E92848C" w14:textId="77777777" w:rsidR="00D32BAE" w:rsidRDefault="00D32BAE" w:rsidP="006569B4">
      <w:pPr>
        <w:spacing w:line="360" w:lineRule="auto"/>
        <w:rPr>
          <w:b/>
        </w:rPr>
      </w:pPr>
      <w:r>
        <w:rPr>
          <w:b/>
          <w:noProof/>
          <w:lang w:eastAsia="nl-NL"/>
        </w:rPr>
        <w:drawing>
          <wp:anchor distT="0" distB="0" distL="114300" distR="114300" simplePos="0" relativeHeight="251658240" behindDoc="1" locked="0" layoutInCell="1" allowOverlap="1" wp14:anchorId="5D8BDA56" wp14:editId="59440CE7">
            <wp:simplePos x="0" y="0"/>
            <wp:positionH relativeFrom="column">
              <wp:posOffset>571500</wp:posOffset>
            </wp:positionH>
            <wp:positionV relativeFrom="paragraph">
              <wp:posOffset>169545</wp:posOffset>
            </wp:positionV>
            <wp:extent cx="4057650" cy="971550"/>
            <wp:effectExtent l="0" t="0" r="6350" b="0"/>
            <wp:wrapThrough wrapText="bothSides">
              <wp:wrapPolygon edited="0">
                <wp:start x="6490" y="0"/>
                <wp:lineTo x="5544" y="2259"/>
                <wp:lineTo x="3786" y="8471"/>
                <wp:lineTo x="0" y="14118"/>
                <wp:lineTo x="0" y="19765"/>
                <wp:lineTo x="4056" y="20894"/>
                <wp:lineTo x="5679" y="20894"/>
                <wp:lineTo x="21499" y="20329"/>
                <wp:lineTo x="21499" y="16941"/>
                <wp:lineTo x="8248" y="0"/>
                <wp:lineTo x="649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9">
                      <a:clrChange>
                        <a:clrFrom>
                          <a:srgbClr val="FFFFFF"/>
                        </a:clrFrom>
                        <a:clrTo>
                          <a:srgbClr val="FFFFFF">
                            <a:alpha val="0"/>
                          </a:srgbClr>
                        </a:clrTo>
                      </a:clrChange>
                      <a:grayscl/>
                      <a:extLst>
                        <a:ext uri="{28A0092B-C50C-407E-A947-70E740481C1C}">
                          <a14:useLocalDpi xmlns:a14="http://schemas.microsoft.com/office/drawing/2010/main" val="0"/>
                        </a:ext>
                      </a:extLst>
                    </a:blip>
                    <a:srcRect/>
                    <a:stretch>
                      <a:fillRect/>
                    </a:stretch>
                  </pic:blipFill>
                  <pic:spPr bwMode="auto">
                    <a:xfrm>
                      <a:off x="0" y="0"/>
                      <a:ext cx="4057650" cy="971550"/>
                    </a:xfrm>
                    <a:prstGeom prst="rect">
                      <a:avLst/>
                    </a:prstGeom>
                    <a:noFill/>
                  </pic:spPr>
                </pic:pic>
              </a:graphicData>
            </a:graphic>
            <wp14:sizeRelH relativeFrom="page">
              <wp14:pctWidth>0</wp14:pctWidth>
            </wp14:sizeRelH>
            <wp14:sizeRelV relativeFrom="page">
              <wp14:pctHeight>0</wp14:pctHeight>
            </wp14:sizeRelV>
          </wp:anchor>
        </w:drawing>
      </w:r>
    </w:p>
    <w:p w14:paraId="45F3C3FA" w14:textId="77777777" w:rsidR="00D32BAE" w:rsidRDefault="00D32BAE" w:rsidP="006569B4">
      <w:pPr>
        <w:spacing w:line="360" w:lineRule="auto"/>
        <w:rPr>
          <w:b/>
        </w:rPr>
      </w:pPr>
    </w:p>
    <w:p w14:paraId="33B234D9" w14:textId="77777777" w:rsidR="00D32BAE" w:rsidRDefault="00D32BAE" w:rsidP="006569B4">
      <w:pPr>
        <w:spacing w:line="360" w:lineRule="auto"/>
        <w:rPr>
          <w:b/>
        </w:rPr>
      </w:pPr>
    </w:p>
    <w:p w14:paraId="56A2394E" w14:textId="77777777" w:rsidR="00D32BAE" w:rsidRDefault="00D32BAE" w:rsidP="006569B4">
      <w:pPr>
        <w:spacing w:line="360" w:lineRule="auto"/>
        <w:rPr>
          <w:b/>
        </w:rPr>
      </w:pPr>
    </w:p>
    <w:p w14:paraId="287D4253" w14:textId="77777777" w:rsidR="00D32BAE" w:rsidRDefault="00D32BAE" w:rsidP="006569B4">
      <w:pPr>
        <w:spacing w:line="360" w:lineRule="auto"/>
        <w:rPr>
          <w:b/>
        </w:rPr>
      </w:pPr>
    </w:p>
    <w:p w14:paraId="68662D96" w14:textId="77777777" w:rsidR="00D32BAE" w:rsidRDefault="00D32BAE" w:rsidP="006569B4">
      <w:pPr>
        <w:spacing w:line="360" w:lineRule="auto"/>
        <w:rPr>
          <w:b/>
        </w:rPr>
      </w:pPr>
    </w:p>
    <w:p w14:paraId="32EFBF9D" w14:textId="77777777" w:rsidR="00D32BAE" w:rsidRDefault="00D32BAE" w:rsidP="006569B4">
      <w:pPr>
        <w:spacing w:line="360" w:lineRule="auto"/>
        <w:rPr>
          <w:b/>
        </w:rPr>
      </w:pPr>
    </w:p>
    <w:p w14:paraId="3296C7FF" w14:textId="77777777" w:rsidR="00D32BAE" w:rsidRDefault="00D32BAE" w:rsidP="006569B4">
      <w:pPr>
        <w:spacing w:line="360" w:lineRule="auto"/>
        <w:rPr>
          <w:b/>
        </w:rPr>
      </w:pPr>
    </w:p>
    <w:p w14:paraId="5D8352EF" w14:textId="77777777" w:rsidR="00D32BAE" w:rsidRDefault="00D32BAE" w:rsidP="006569B4">
      <w:pPr>
        <w:spacing w:line="360" w:lineRule="auto"/>
        <w:rPr>
          <w:b/>
        </w:rPr>
      </w:pPr>
    </w:p>
    <w:p w14:paraId="0611D82C" w14:textId="77777777" w:rsidR="009F29FB" w:rsidRDefault="009F29FB" w:rsidP="006569B4">
      <w:pPr>
        <w:spacing w:line="360" w:lineRule="auto"/>
        <w:rPr>
          <w:b/>
        </w:rPr>
      </w:pPr>
    </w:p>
    <w:p w14:paraId="121177BD" w14:textId="77777777" w:rsidR="00D32BAE" w:rsidRPr="00D32BAE" w:rsidRDefault="00D32BAE" w:rsidP="006569B4">
      <w:pPr>
        <w:spacing w:line="360" w:lineRule="auto"/>
        <w:rPr>
          <w:b/>
        </w:rPr>
      </w:pPr>
      <w:r w:rsidRPr="00D32BAE">
        <w:rPr>
          <w:b/>
        </w:rPr>
        <w:t>Sjoerd Kromdijk</w:t>
      </w:r>
    </w:p>
    <w:p w14:paraId="432B4A21" w14:textId="6AE06978" w:rsidR="00D32BAE" w:rsidRDefault="00D32BAE" w:rsidP="006569B4">
      <w:pPr>
        <w:spacing w:line="360" w:lineRule="auto"/>
        <w:rPr>
          <w:b/>
        </w:rPr>
      </w:pPr>
      <w:r w:rsidRPr="00D32BAE">
        <w:rPr>
          <w:b/>
        </w:rPr>
        <w:t>Studentnummer</w:t>
      </w:r>
      <w:r w:rsidR="00573B20">
        <w:rPr>
          <w:b/>
        </w:rPr>
        <w:t>:</w:t>
      </w:r>
      <w:r w:rsidRPr="00D32BAE">
        <w:rPr>
          <w:b/>
        </w:rPr>
        <w:t xml:space="preserve"> 360586</w:t>
      </w:r>
    </w:p>
    <w:p w14:paraId="42769BB3" w14:textId="3FDDDEBC" w:rsidR="008D3FD9" w:rsidRPr="00D32BAE" w:rsidRDefault="008D3FD9" w:rsidP="006569B4">
      <w:pPr>
        <w:spacing w:line="360" w:lineRule="auto"/>
        <w:rPr>
          <w:b/>
        </w:rPr>
      </w:pPr>
      <w:r>
        <w:rPr>
          <w:b/>
        </w:rPr>
        <w:t>Begeleider: Dhr. R.H.R.M. Aernoudts</w:t>
      </w:r>
    </w:p>
    <w:p w14:paraId="6EC79DDD" w14:textId="77777777" w:rsidR="00D32BAE" w:rsidRPr="00D32BAE" w:rsidRDefault="00D32BAE" w:rsidP="006569B4">
      <w:pPr>
        <w:spacing w:line="360" w:lineRule="auto"/>
        <w:rPr>
          <w:b/>
        </w:rPr>
      </w:pPr>
      <w:r w:rsidRPr="00D32BAE">
        <w:rPr>
          <w:b/>
        </w:rPr>
        <w:t>Economie &amp; Bedrijfseconomie</w:t>
      </w:r>
    </w:p>
    <w:p w14:paraId="7B002B3B" w14:textId="77777777" w:rsidR="00D32BAE" w:rsidRDefault="00D32BAE" w:rsidP="006569B4">
      <w:pPr>
        <w:spacing w:line="360" w:lineRule="auto"/>
        <w:rPr>
          <w:b/>
        </w:rPr>
      </w:pPr>
      <w:r w:rsidRPr="00D32BAE">
        <w:rPr>
          <w:b/>
        </w:rPr>
        <w:t>Vakgebied Financial Accounting</w:t>
      </w:r>
    </w:p>
    <w:p w14:paraId="3DB6A70B" w14:textId="5AC182D9" w:rsidR="008D3FD9" w:rsidRDefault="008D3FD9" w:rsidP="006569B4">
      <w:pPr>
        <w:spacing w:line="360" w:lineRule="auto"/>
        <w:rPr>
          <w:b/>
        </w:rPr>
      </w:pPr>
      <w:r>
        <w:rPr>
          <w:b/>
        </w:rPr>
        <w:t>Datum: 2</w:t>
      </w:r>
      <w:r w:rsidR="00CE02C9">
        <w:rPr>
          <w:b/>
        </w:rPr>
        <w:t>6</w:t>
      </w:r>
      <w:r>
        <w:rPr>
          <w:b/>
        </w:rPr>
        <w:t xml:space="preserve"> juli 2015 </w:t>
      </w:r>
    </w:p>
    <w:p w14:paraId="621F1579" w14:textId="42A269B4" w:rsidR="008D3FD9" w:rsidRPr="00D32BAE" w:rsidRDefault="008D3FD9" w:rsidP="006569B4">
      <w:pPr>
        <w:spacing w:line="360" w:lineRule="auto"/>
        <w:rPr>
          <w:b/>
        </w:rPr>
      </w:pPr>
    </w:p>
    <w:p w14:paraId="52B76136" w14:textId="77777777" w:rsidR="00BA66CD" w:rsidRDefault="00BA66CD" w:rsidP="006569B4">
      <w:pPr>
        <w:spacing w:line="360" w:lineRule="auto"/>
        <w:rPr>
          <w:b/>
          <w:strike/>
        </w:rPr>
      </w:pPr>
    </w:p>
    <w:p w14:paraId="69311AC7" w14:textId="2B399C6F" w:rsidR="44C5C594" w:rsidRDefault="44C5C594" w:rsidP="00881473">
      <w:pPr>
        <w:spacing w:line="360" w:lineRule="auto"/>
      </w:pPr>
    </w:p>
    <w:p w14:paraId="154048E5" w14:textId="2B399C6F" w:rsidR="44C5C594" w:rsidRDefault="44C5C594" w:rsidP="00881473">
      <w:pPr>
        <w:spacing w:line="360" w:lineRule="auto"/>
      </w:pPr>
      <w:r>
        <w:lastRenderedPageBreak/>
        <w:t>A</w:t>
      </w:r>
      <w:r w:rsidR="2B399C6F" w:rsidRPr="00881473">
        <w:rPr>
          <w:b/>
          <w:bCs/>
        </w:rPr>
        <w:t>bstract</w:t>
      </w:r>
    </w:p>
    <w:p w14:paraId="0759F95B" w14:textId="3E3B0CDE" w:rsidR="44C5C594" w:rsidRDefault="2B399C6F" w:rsidP="6A8C7592">
      <w:pPr>
        <w:spacing w:after="160" w:line="360" w:lineRule="auto"/>
      </w:pPr>
      <w:r>
        <w:t xml:space="preserve">In dit onderzoek </w:t>
      </w:r>
      <w:r w:rsidR="31987E78">
        <w:t xml:space="preserve">is het gebruik van alternatieve indicatoren in de jaarrekeningen van </w:t>
      </w:r>
      <w:r w:rsidR="006103F4">
        <w:t xml:space="preserve">ondernemingen genoteerd aan de AEX </w:t>
      </w:r>
      <w:r w:rsidR="31987E78">
        <w:t>onderzocht. Alternatieve indicatoren zijn de indicatoren die niet voldoen aan de standaarden van de Ge</w:t>
      </w:r>
      <w:r w:rsidR="3AB2D217">
        <w:t>neral Accepted Accounting Principles (GAAP). Voor deze indicatoren bestaat nog geen wet en regelgeving wat het voor ondernemingen mogelijk maakt om de indicatoren te gebruiken om een beter</w:t>
      </w:r>
      <w:r w:rsidR="5A23A55C">
        <w:t xml:space="preserve"> beeld weer te geven van de </w:t>
      </w:r>
      <w:r w:rsidR="00544097">
        <w:t>financiële</w:t>
      </w:r>
      <w:r w:rsidR="5A23A55C">
        <w:t xml:space="preserve"> situatie van de onderneming.</w:t>
      </w:r>
      <w:r w:rsidR="4F56CD0A">
        <w:t xml:space="preserve"> Het doel van dit onderzoek is het be</w:t>
      </w:r>
      <w:r w:rsidR="6C8D4F30">
        <w:t>palen van de invloed van de alternatieve indicatoren en vaststellen of een wet en regelgeving nodig is voor deze indicatoren.</w:t>
      </w:r>
      <w:r w:rsidR="438B1374">
        <w:t xml:space="preserve"> De probleemstelling is welke Nederlandse beursgenoteerde bedrijven gebruik maken van de alternatieve indicatoren en vanuit de resultaten is gek</w:t>
      </w:r>
      <w:r w:rsidR="698CEAC8">
        <w:t>eken naar de motieven van het gebruik.</w:t>
      </w:r>
      <w:r w:rsidR="3985A2A3">
        <w:t xml:space="preserve"> Allereerst is </w:t>
      </w:r>
      <w:r w:rsidR="1107DF67">
        <w:t>bepaald hoe de regelgevende in</w:t>
      </w:r>
      <w:r w:rsidR="2ACBA40D">
        <w:t xml:space="preserve">stanties tegenover dit onderwerp staan en vervolgens is met </w:t>
      </w:r>
      <w:r w:rsidR="0EE83316">
        <w:t>behulp van het analyse programma Nvivo onderzocht welke bedrijven gebruik maken van de indicatoren. Uit deze resultaten is gebleken dat instanties als het AFM en het IASB niet negatief tegenov</w:t>
      </w:r>
      <w:r w:rsidR="43BE5F52">
        <w:t>er de alternatieve indicatoren staan maar vooral voorzichtig zijn met betrekking tot het misbruik ervan.</w:t>
      </w:r>
      <w:r w:rsidR="5BA6B97D">
        <w:t xml:space="preserve"> Uit de resultaten van Nvivo is gebleken dat bijna alle ondernemingen gebruik maken van alternatieve indicatoren in de jaarrekening.</w:t>
      </w:r>
      <w:r w:rsidR="2840AABB">
        <w:t xml:space="preserve"> De helft van de ondernemingen maakt zelf melding van dit gebruik en de andere helft vermeld de alternatieve indicatoren alsof het normale indicatoren zijn. Vanuit deze resu</w:t>
      </w:r>
      <w:r w:rsidR="44648AAD">
        <w:t>ltaten zijn de motieven voor het gebruik onderzocht. In de jaarrekeningen zijn slechts standaard motieven te vinden</w:t>
      </w:r>
      <w:r w:rsidR="4513BB58">
        <w:t>. Wel is aan de hand van de theorie bet</w:t>
      </w:r>
      <w:r w:rsidR="7468DA58">
        <w:t>reffende institutioneel isomorfisme een mogelijk motief gevonden, namelijk overname gedrag. Concluderend valt te zeggen dat door het ontbreken van de wet en regel</w:t>
      </w:r>
      <w:r w:rsidR="0E60F194">
        <w:t>geving veel onduidelijk</w:t>
      </w:r>
      <w:r w:rsidR="00573B20">
        <w:t>heid</w:t>
      </w:r>
      <w:r w:rsidR="0E60F194">
        <w:t xml:space="preserve"> bestaat in de motieven van het gebruik, terwijl wel duidelijk is geworden dat het zeer relevant is, aangezien vrijwel alle ondernemingen de alternatieve indicatoren gebru</w:t>
      </w:r>
      <w:r w:rsidR="70A3165D">
        <w:t>iken.</w:t>
      </w:r>
      <w:r w:rsidR="6A8C7592">
        <w:t xml:space="preserve"> Een wet en regelgeving zou in dit geval een hoop verduidelijken.</w:t>
      </w:r>
    </w:p>
    <w:p w14:paraId="69F717CF" w14:textId="689D000C" w:rsidR="1F428386" w:rsidRDefault="00881473" w:rsidP="00881473">
      <w:pPr>
        <w:spacing w:after="160" w:line="360" w:lineRule="auto"/>
      </w:pPr>
      <w:r>
        <w:rPr>
          <w:b/>
          <w:bCs/>
        </w:rPr>
        <w:t>Sleutelwoorden</w:t>
      </w:r>
      <w:r w:rsidR="1F428386" w:rsidRPr="00881473">
        <w:rPr>
          <w:b/>
          <w:bCs/>
        </w:rPr>
        <w:t xml:space="preserve">: </w:t>
      </w:r>
      <w:r w:rsidR="1F428386">
        <w:t>Non-</w:t>
      </w:r>
      <w:r w:rsidR="00544097">
        <w:t>GAAP</w:t>
      </w:r>
      <w:r w:rsidR="1F428386">
        <w:t xml:space="preserve">, alternatieve indicatoren, </w:t>
      </w:r>
      <w:r w:rsidR="11CCE4EB">
        <w:t xml:space="preserve">jaarrekening, </w:t>
      </w:r>
      <w:r w:rsidR="1F428386">
        <w:t xml:space="preserve">autonome groei, </w:t>
      </w:r>
      <w:r w:rsidR="00544097">
        <w:t xml:space="preserve">Nederland, beursgenoteerd, </w:t>
      </w:r>
      <w:r w:rsidR="1F428386">
        <w:t>netto schuldpositie</w:t>
      </w:r>
      <w:r w:rsidR="11CCE4EB">
        <w:t>, onde</w:t>
      </w:r>
      <w:r w:rsidR="00544097">
        <w:t>rliggend resultaat, isomorfisme</w:t>
      </w:r>
    </w:p>
    <w:sdt>
      <w:sdtPr>
        <w:rPr>
          <w:rFonts w:asciiTheme="minorHAnsi" w:eastAsiaTheme="minorEastAsia" w:hAnsiTheme="minorHAnsi" w:cstheme="minorBidi"/>
          <w:b w:val="0"/>
          <w:bCs w:val="0"/>
          <w:color w:val="auto"/>
          <w:sz w:val="24"/>
          <w:szCs w:val="24"/>
          <w:lang w:val="nl-NL"/>
        </w:rPr>
        <w:id w:val="-2069023913"/>
        <w:docPartObj>
          <w:docPartGallery w:val="Table of Contents"/>
          <w:docPartUnique/>
        </w:docPartObj>
      </w:sdtPr>
      <w:sdtEndPr>
        <w:rPr>
          <w:noProof/>
        </w:rPr>
      </w:sdtEndPr>
      <w:sdtContent>
        <w:p w14:paraId="54531E8C" w14:textId="721C4A2F" w:rsidR="00E76483" w:rsidRDefault="00E76483">
          <w:pPr>
            <w:pStyle w:val="TOCHeading"/>
          </w:pPr>
          <w:r>
            <w:t>Contents</w:t>
          </w:r>
        </w:p>
        <w:p w14:paraId="6DCB7776" w14:textId="77777777" w:rsidR="00E76483" w:rsidRDefault="00E76483">
          <w:pPr>
            <w:pStyle w:val="TOC1"/>
            <w:tabs>
              <w:tab w:val="right" w:leader="dot" w:pos="8296"/>
            </w:tabs>
            <w:rPr>
              <w:b w:val="0"/>
              <w:noProof/>
              <w:sz w:val="22"/>
              <w:szCs w:val="22"/>
              <w:lang w:eastAsia="nl-NL"/>
            </w:rPr>
          </w:pPr>
          <w:r>
            <w:fldChar w:fldCharType="begin"/>
          </w:r>
          <w:r>
            <w:instrText xml:space="preserve"> TOC \o "1-3" \h \z \u </w:instrText>
          </w:r>
          <w:r>
            <w:fldChar w:fldCharType="separate"/>
          </w:r>
          <w:hyperlink w:anchor="_Toc425524002" w:history="1">
            <w:r w:rsidRPr="00BE31F3">
              <w:rPr>
                <w:rStyle w:val="Hyperlink"/>
                <w:noProof/>
              </w:rPr>
              <w:t>Hoofdstuk 1: Introductie</w:t>
            </w:r>
            <w:r>
              <w:rPr>
                <w:noProof/>
                <w:webHidden/>
              </w:rPr>
              <w:tab/>
            </w:r>
            <w:r>
              <w:rPr>
                <w:noProof/>
                <w:webHidden/>
              </w:rPr>
              <w:fldChar w:fldCharType="begin"/>
            </w:r>
            <w:r>
              <w:rPr>
                <w:noProof/>
                <w:webHidden/>
              </w:rPr>
              <w:instrText xml:space="preserve"> PAGEREF _Toc425524002 \h </w:instrText>
            </w:r>
            <w:r>
              <w:rPr>
                <w:noProof/>
                <w:webHidden/>
              </w:rPr>
            </w:r>
            <w:r>
              <w:rPr>
                <w:noProof/>
                <w:webHidden/>
              </w:rPr>
              <w:fldChar w:fldCharType="separate"/>
            </w:r>
            <w:r>
              <w:rPr>
                <w:noProof/>
                <w:webHidden/>
              </w:rPr>
              <w:t>4</w:t>
            </w:r>
            <w:r>
              <w:rPr>
                <w:noProof/>
                <w:webHidden/>
              </w:rPr>
              <w:fldChar w:fldCharType="end"/>
            </w:r>
          </w:hyperlink>
        </w:p>
        <w:p w14:paraId="31B2CA87" w14:textId="77777777" w:rsidR="00E76483" w:rsidRDefault="00081807">
          <w:pPr>
            <w:pStyle w:val="TOC2"/>
            <w:tabs>
              <w:tab w:val="right" w:leader="dot" w:pos="8296"/>
            </w:tabs>
            <w:rPr>
              <w:b w:val="0"/>
              <w:noProof/>
              <w:lang w:eastAsia="nl-NL"/>
            </w:rPr>
          </w:pPr>
          <w:hyperlink w:anchor="_Toc425524003" w:history="1">
            <w:r w:rsidR="00E76483" w:rsidRPr="00BE31F3">
              <w:rPr>
                <w:rStyle w:val="Hyperlink"/>
                <w:noProof/>
              </w:rPr>
              <w:t>1.1 Inleiding</w:t>
            </w:r>
            <w:r w:rsidR="00E76483">
              <w:rPr>
                <w:noProof/>
                <w:webHidden/>
              </w:rPr>
              <w:tab/>
            </w:r>
            <w:r w:rsidR="00E76483">
              <w:rPr>
                <w:noProof/>
                <w:webHidden/>
              </w:rPr>
              <w:fldChar w:fldCharType="begin"/>
            </w:r>
            <w:r w:rsidR="00E76483">
              <w:rPr>
                <w:noProof/>
                <w:webHidden/>
              </w:rPr>
              <w:instrText xml:space="preserve"> PAGEREF _Toc425524003 \h </w:instrText>
            </w:r>
            <w:r w:rsidR="00E76483">
              <w:rPr>
                <w:noProof/>
                <w:webHidden/>
              </w:rPr>
            </w:r>
            <w:r w:rsidR="00E76483">
              <w:rPr>
                <w:noProof/>
                <w:webHidden/>
              </w:rPr>
              <w:fldChar w:fldCharType="separate"/>
            </w:r>
            <w:r w:rsidR="00E76483">
              <w:rPr>
                <w:noProof/>
                <w:webHidden/>
              </w:rPr>
              <w:t>4</w:t>
            </w:r>
            <w:r w:rsidR="00E76483">
              <w:rPr>
                <w:noProof/>
                <w:webHidden/>
              </w:rPr>
              <w:fldChar w:fldCharType="end"/>
            </w:r>
          </w:hyperlink>
        </w:p>
        <w:p w14:paraId="33105CCF" w14:textId="77777777" w:rsidR="00E76483" w:rsidRDefault="00081807">
          <w:pPr>
            <w:pStyle w:val="TOC2"/>
            <w:tabs>
              <w:tab w:val="right" w:leader="dot" w:pos="8296"/>
            </w:tabs>
            <w:rPr>
              <w:b w:val="0"/>
              <w:noProof/>
              <w:lang w:eastAsia="nl-NL"/>
            </w:rPr>
          </w:pPr>
          <w:hyperlink w:anchor="_Toc425524004" w:history="1">
            <w:r w:rsidR="00E76483" w:rsidRPr="00BE31F3">
              <w:rPr>
                <w:rStyle w:val="Hyperlink"/>
                <w:noProof/>
              </w:rPr>
              <w:t>1.2 Probleemstelling &amp; Deelvragen.</w:t>
            </w:r>
            <w:r w:rsidR="00E76483">
              <w:rPr>
                <w:noProof/>
                <w:webHidden/>
              </w:rPr>
              <w:tab/>
            </w:r>
            <w:r w:rsidR="00E76483">
              <w:rPr>
                <w:noProof/>
                <w:webHidden/>
              </w:rPr>
              <w:fldChar w:fldCharType="begin"/>
            </w:r>
            <w:r w:rsidR="00E76483">
              <w:rPr>
                <w:noProof/>
                <w:webHidden/>
              </w:rPr>
              <w:instrText xml:space="preserve"> PAGEREF _Toc425524004 \h </w:instrText>
            </w:r>
            <w:r w:rsidR="00E76483">
              <w:rPr>
                <w:noProof/>
                <w:webHidden/>
              </w:rPr>
            </w:r>
            <w:r w:rsidR="00E76483">
              <w:rPr>
                <w:noProof/>
                <w:webHidden/>
              </w:rPr>
              <w:fldChar w:fldCharType="separate"/>
            </w:r>
            <w:r w:rsidR="00E76483">
              <w:rPr>
                <w:noProof/>
                <w:webHidden/>
              </w:rPr>
              <w:t>5</w:t>
            </w:r>
            <w:r w:rsidR="00E76483">
              <w:rPr>
                <w:noProof/>
                <w:webHidden/>
              </w:rPr>
              <w:fldChar w:fldCharType="end"/>
            </w:r>
          </w:hyperlink>
        </w:p>
        <w:p w14:paraId="15C53AC8" w14:textId="77777777" w:rsidR="00E76483" w:rsidRDefault="00081807">
          <w:pPr>
            <w:pStyle w:val="TOC2"/>
            <w:tabs>
              <w:tab w:val="right" w:leader="dot" w:pos="8296"/>
            </w:tabs>
            <w:rPr>
              <w:b w:val="0"/>
              <w:noProof/>
              <w:lang w:eastAsia="nl-NL"/>
            </w:rPr>
          </w:pPr>
          <w:hyperlink w:anchor="_Toc425524005" w:history="1">
            <w:r w:rsidR="00E76483" w:rsidRPr="00BE31F3">
              <w:rPr>
                <w:rStyle w:val="Hyperlink"/>
                <w:noProof/>
              </w:rPr>
              <w:t>1.3 Doelstelling en structuur.</w:t>
            </w:r>
            <w:r w:rsidR="00E76483">
              <w:rPr>
                <w:noProof/>
                <w:webHidden/>
              </w:rPr>
              <w:tab/>
            </w:r>
            <w:r w:rsidR="00E76483">
              <w:rPr>
                <w:noProof/>
                <w:webHidden/>
              </w:rPr>
              <w:fldChar w:fldCharType="begin"/>
            </w:r>
            <w:r w:rsidR="00E76483">
              <w:rPr>
                <w:noProof/>
                <w:webHidden/>
              </w:rPr>
              <w:instrText xml:space="preserve"> PAGEREF _Toc425524005 \h </w:instrText>
            </w:r>
            <w:r w:rsidR="00E76483">
              <w:rPr>
                <w:noProof/>
                <w:webHidden/>
              </w:rPr>
            </w:r>
            <w:r w:rsidR="00E76483">
              <w:rPr>
                <w:noProof/>
                <w:webHidden/>
              </w:rPr>
              <w:fldChar w:fldCharType="separate"/>
            </w:r>
            <w:r w:rsidR="00E76483">
              <w:rPr>
                <w:noProof/>
                <w:webHidden/>
              </w:rPr>
              <w:t>6</w:t>
            </w:r>
            <w:r w:rsidR="00E76483">
              <w:rPr>
                <w:noProof/>
                <w:webHidden/>
              </w:rPr>
              <w:fldChar w:fldCharType="end"/>
            </w:r>
          </w:hyperlink>
        </w:p>
        <w:p w14:paraId="4A6CCC5E" w14:textId="77777777" w:rsidR="00E76483" w:rsidRDefault="00081807">
          <w:pPr>
            <w:pStyle w:val="TOC2"/>
            <w:tabs>
              <w:tab w:val="right" w:leader="dot" w:pos="8296"/>
            </w:tabs>
            <w:rPr>
              <w:b w:val="0"/>
              <w:noProof/>
              <w:lang w:eastAsia="nl-NL"/>
            </w:rPr>
          </w:pPr>
          <w:hyperlink w:anchor="_Toc425524006" w:history="1">
            <w:r w:rsidR="00E76483" w:rsidRPr="00BE31F3">
              <w:rPr>
                <w:rStyle w:val="Hyperlink"/>
                <w:noProof/>
              </w:rPr>
              <w:t>1.4 Relevantie voor de praktijk en het vakgebied</w:t>
            </w:r>
            <w:r w:rsidR="00E76483">
              <w:rPr>
                <w:noProof/>
                <w:webHidden/>
              </w:rPr>
              <w:tab/>
            </w:r>
            <w:r w:rsidR="00E76483">
              <w:rPr>
                <w:noProof/>
                <w:webHidden/>
              </w:rPr>
              <w:fldChar w:fldCharType="begin"/>
            </w:r>
            <w:r w:rsidR="00E76483">
              <w:rPr>
                <w:noProof/>
                <w:webHidden/>
              </w:rPr>
              <w:instrText xml:space="preserve"> PAGEREF _Toc425524006 \h </w:instrText>
            </w:r>
            <w:r w:rsidR="00E76483">
              <w:rPr>
                <w:noProof/>
                <w:webHidden/>
              </w:rPr>
            </w:r>
            <w:r w:rsidR="00E76483">
              <w:rPr>
                <w:noProof/>
                <w:webHidden/>
              </w:rPr>
              <w:fldChar w:fldCharType="separate"/>
            </w:r>
            <w:r w:rsidR="00E76483">
              <w:rPr>
                <w:noProof/>
                <w:webHidden/>
              </w:rPr>
              <w:t>7</w:t>
            </w:r>
            <w:r w:rsidR="00E76483">
              <w:rPr>
                <w:noProof/>
                <w:webHidden/>
              </w:rPr>
              <w:fldChar w:fldCharType="end"/>
            </w:r>
          </w:hyperlink>
        </w:p>
        <w:p w14:paraId="4AE91773" w14:textId="77777777" w:rsidR="00E76483" w:rsidRDefault="00081807">
          <w:pPr>
            <w:pStyle w:val="TOC2"/>
            <w:tabs>
              <w:tab w:val="right" w:leader="dot" w:pos="8296"/>
            </w:tabs>
            <w:rPr>
              <w:b w:val="0"/>
              <w:noProof/>
              <w:lang w:eastAsia="nl-NL"/>
            </w:rPr>
          </w:pPr>
          <w:hyperlink w:anchor="_Toc425524007" w:history="1">
            <w:r w:rsidR="00E76483" w:rsidRPr="00BE31F3">
              <w:rPr>
                <w:rStyle w:val="Hyperlink"/>
                <w:noProof/>
              </w:rPr>
              <w:t>1.5 Methode van onderzoek</w:t>
            </w:r>
            <w:r w:rsidR="00E76483">
              <w:rPr>
                <w:noProof/>
                <w:webHidden/>
              </w:rPr>
              <w:tab/>
            </w:r>
            <w:r w:rsidR="00E76483">
              <w:rPr>
                <w:noProof/>
                <w:webHidden/>
              </w:rPr>
              <w:fldChar w:fldCharType="begin"/>
            </w:r>
            <w:r w:rsidR="00E76483">
              <w:rPr>
                <w:noProof/>
                <w:webHidden/>
              </w:rPr>
              <w:instrText xml:space="preserve"> PAGEREF _Toc425524007 \h </w:instrText>
            </w:r>
            <w:r w:rsidR="00E76483">
              <w:rPr>
                <w:noProof/>
                <w:webHidden/>
              </w:rPr>
            </w:r>
            <w:r w:rsidR="00E76483">
              <w:rPr>
                <w:noProof/>
                <w:webHidden/>
              </w:rPr>
              <w:fldChar w:fldCharType="separate"/>
            </w:r>
            <w:r w:rsidR="00E76483">
              <w:rPr>
                <w:noProof/>
                <w:webHidden/>
              </w:rPr>
              <w:t>7</w:t>
            </w:r>
            <w:r w:rsidR="00E76483">
              <w:rPr>
                <w:noProof/>
                <w:webHidden/>
              </w:rPr>
              <w:fldChar w:fldCharType="end"/>
            </w:r>
          </w:hyperlink>
        </w:p>
        <w:p w14:paraId="6B3586CB" w14:textId="77777777" w:rsidR="00E76483" w:rsidRDefault="00081807">
          <w:pPr>
            <w:pStyle w:val="TOC1"/>
            <w:tabs>
              <w:tab w:val="right" w:leader="dot" w:pos="8296"/>
            </w:tabs>
            <w:rPr>
              <w:b w:val="0"/>
              <w:noProof/>
              <w:sz w:val="22"/>
              <w:szCs w:val="22"/>
              <w:lang w:eastAsia="nl-NL"/>
            </w:rPr>
          </w:pPr>
          <w:hyperlink w:anchor="_Toc425524008" w:history="1">
            <w:r w:rsidR="00E76483" w:rsidRPr="00BE31F3">
              <w:rPr>
                <w:rStyle w:val="Hyperlink"/>
                <w:noProof/>
              </w:rPr>
              <w:t>Hoofdstuk 2: Theoretisch kader</w:t>
            </w:r>
            <w:r w:rsidR="00E76483">
              <w:rPr>
                <w:noProof/>
                <w:webHidden/>
              </w:rPr>
              <w:tab/>
            </w:r>
            <w:r w:rsidR="00E76483">
              <w:rPr>
                <w:noProof/>
                <w:webHidden/>
              </w:rPr>
              <w:fldChar w:fldCharType="begin"/>
            </w:r>
            <w:r w:rsidR="00E76483">
              <w:rPr>
                <w:noProof/>
                <w:webHidden/>
              </w:rPr>
              <w:instrText xml:space="preserve"> PAGEREF _Toc425524008 \h </w:instrText>
            </w:r>
            <w:r w:rsidR="00E76483">
              <w:rPr>
                <w:noProof/>
                <w:webHidden/>
              </w:rPr>
            </w:r>
            <w:r w:rsidR="00E76483">
              <w:rPr>
                <w:noProof/>
                <w:webHidden/>
              </w:rPr>
              <w:fldChar w:fldCharType="separate"/>
            </w:r>
            <w:r w:rsidR="00E76483">
              <w:rPr>
                <w:noProof/>
                <w:webHidden/>
              </w:rPr>
              <w:t>8</w:t>
            </w:r>
            <w:r w:rsidR="00E76483">
              <w:rPr>
                <w:noProof/>
                <w:webHidden/>
              </w:rPr>
              <w:fldChar w:fldCharType="end"/>
            </w:r>
          </w:hyperlink>
        </w:p>
        <w:p w14:paraId="7F8108C9" w14:textId="77777777" w:rsidR="00E76483" w:rsidRDefault="00081807">
          <w:pPr>
            <w:pStyle w:val="TOC2"/>
            <w:tabs>
              <w:tab w:val="right" w:leader="dot" w:pos="8296"/>
            </w:tabs>
            <w:rPr>
              <w:b w:val="0"/>
              <w:noProof/>
              <w:lang w:eastAsia="nl-NL"/>
            </w:rPr>
          </w:pPr>
          <w:hyperlink w:anchor="_Toc425524009" w:history="1">
            <w:r w:rsidR="00E76483" w:rsidRPr="00BE31F3">
              <w:rPr>
                <w:rStyle w:val="Hyperlink"/>
                <w:noProof/>
              </w:rPr>
              <w:t>2.1 Inleiding</w:t>
            </w:r>
            <w:r w:rsidR="00E76483">
              <w:rPr>
                <w:noProof/>
                <w:webHidden/>
              </w:rPr>
              <w:tab/>
            </w:r>
            <w:r w:rsidR="00E76483">
              <w:rPr>
                <w:noProof/>
                <w:webHidden/>
              </w:rPr>
              <w:fldChar w:fldCharType="begin"/>
            </w:r>
            <w:r w:rsidR="00E76483">
              <w:rPr>
                <w:noProof/>
                <w:webHidden/>
              </w:rPr>
              <w:instrText xml:space="preserve"> PAGEREF _Toc425524009 \h </w:instrText>
            </w:r>
            <w:r w:rsidR="00E76483">
              <w:rPr>
                <w:noProof/>
                <w:webHidden/>
              </w:rPr>
            </w:r>
            <w:r w:rsidR="00E76483">
              <w:rPr>
                <w:noProof/>
                <w:webHidden/>
              </w:rPr>
              <w:fldChar w:fldCharType="separate"/>
            </w:r>
            <w:r w:rsidR="00E76483">
              <w:rPr>
                <w:noProof/>
                <w:webHidden/>
              </w:rPr>
              <w:t>8</w:t>
            </w:r>
            <w:r w:rsidR="00E76483">
              <w:rPr>
                <w:noProof/>
                <w:webHidden/>
              </w:rPr>
              <w:fldChar w:fldCharType="end"/>
            </w:r>
          </w:hyperlink>
        </w:p>
        <w:p w14:paraId="143B0EB8" w14:textId="77777777" w:rsidR="00E76483" w:rsidRDefault="00081807">
          <w:pPr>
            <w:pStyle w:val="TOC2"/>
            <w:tabs>
              <w:tab w:val="right" w:leader="dot" w:pos="8296"/>
            </w:tabs>
            <w:rPr>
              <w:b w:val="0"/>
              <w:noProof/>
              <w:lang w:eastAsia="nl-NL"/>
            </w:rPr>
          </w:pPr>
          <w:hyperlink w:anchor="_Toc425524010" w:history="1">
            <w:r w:rsidR="00E76483" w:rsidRPr="00BE31F3">
              <w:rPr>
                <w:rStyle w:val="Hyperlink"/>
                <w:noProof/>
              </w:rPr>
              <w:t>2.2 Financiële prestatie-indicatoren volgens GAAP</w:t>
            </w:r>
            <w:r w:rsidR="00E76483">
              <w:rPr>
                <w:noProof/>
                <w:webHidden/>
              </w:rPr>
              <w:tab/>
            </w:r>
            <w:r w:rsidR="00E76483">
              <w:rPr>
                <w:noProof/>
                <w:webHidden/>
              </w:rPr>
              <w:fldChar w:fldCharType="begin"/>
            </w:r>
            <w:r w:rsidR="00E76483">
              <w:rPr>
                <w:noProof/>
                <w:webHidden/>
              </w:rPr>
              <w:instrText xml:space="preserve"> PAGEREF _Toc425524010 \h </w:instrText>
            </w:r>
            <w:r w:rsidR="00E76483">
              <w:rPr>
                <w:noProof/>
                <w:webHidden/>
              </w:rPr>
            </w:r>
            <w:r w:rsidR="00E76483">
              <w:rPr>
                <w:noProof/>
                <w:webHidden/>
              </w:rPr>
              <w:fldChar w:fldCharType="separate"/>
            </w:r>
            <w:r w:rsidR="00E76483">
              <w:rPr>
                <w:noProof/>
                <w:webHidden/>
              </w:rPr>
              <w:t>8</w:t>
            </w:r>
            <w:r w:rsidR="00E76483">
              <w:rPr>
                <w:noProof/>
                <w:webHidden/>
              </w:rPr>
              <w:fldChar w:fldCharType="end"/>
            </w:r>
          </w:hyperlink>
        </w:p>
        <w:p w14:paraId="38B05A86" w14:textId="77777777" w:rsidR="00E76483" w:rsidRDefault="00081807">
          <w:pPr>
            <w:pStyle w:val="TOC2"/>
            <w:tabs>
              <w:tab w:val="right" w:leader="dot" w:pos="8296"/>
            </w:tabs>
            <w:rPr>
              <w:b w:val="0"/>
              <w:noProof/>
              <w:lang w:eastAsia="nl-NL"/>
            </w:rPr>
          </w:pPr>
          <w:hyperlink w:anchor="_Toc425524011" w:history="1">
            <w:r w:rsidR="00E76483" w:rsidRPr="00BE31F3">
              <w:rPr>
                <w:rStyle w:val="Hyperlink"/>
                <w:noProof/>
              </w:rPr>
              <w:t>2.3 Alternatieve indicatoren.</w:t>
            </w:r>
            <w:r w:rsidR="00E76483">
              <w:rPr>
                <w:noProof/>
                <w:webHidden/>
              </w:rPr>
              <w:tab/>
            </w:r>
            <w:r w:rsidR="00E76483">
              <w:rPr>
                <w:noProof/>
                <w:webHidden/>
              </w:rPr>
              <w:fldChar w:fldCharType="begin"/>
            </w:r>
            <w:r w:rsidR="00E76483">
              <w:rPr>
                <w:noProof/>
                <w:webHidden/>
              </w:rPr>
              <w:instrText xml:space="preserve"> PAGEREF _Toc425524011 \h </w:instrText>
            </w:r>
            <w:r w:rsidR="00E76483">
              <w:rPr>
                <w:noProof/>
                <w:webHidden/>
              </w:rPr>
            </w:r>
            <w:r w:rsidR="00E76483">
              <w:rPr>
                <w:noProof/>
                <w:webHidden/>
              </w:rPr>
              <w:fldChar w:fldCharType="separate"/>
            </w:r>
            <w:r w:rsidR="00E76483">
              <w:rPr>
                <w:noProof/>
                <w:webHidden/>
              </w:rPr>
              <w:t>10</w:t>
            </w:r>
            <w:r w:rsidR="00E76483">
              <w:rPr>
                <w:noProof/>
                <w:webHidden/>
              </w:rPr>
              <w:fldChar w:fldCharType="end"/>
            </w:r>
          </w:hyperlink>
        </w:p>
        <w:p w14:paraId="608D8A90" w14:textId="77777777" w:rsidR="00E76483" w:rsidRDefault="00081807">
          <w:pPr>
            <w:pStyle w:val="TOC2"/>
            <w:tabs>
              <w:tab w:val="right" w:leader="dot" w:pos="8296"/>
            </w:tabs>
            <w:rPr>
              <w:b w:val="0"/>
              <w:noProof/>
              <w:lang w:eastAsia="nl-NL"/>
            </w:rPr>
          </w:pPr>
          <w:hyperlink w:anchor="_Toc425524012" w:history="1">
            <w:r w:rsidR="00E76483" w:rsidRPr="00BE31F3">
              <w:rPr>
                <w:rStyle w:val="Hyperlink"/>
                <w:noProof/>
              </w:rPr>
              <w:t>2.4 Institutioneel isomorfisme</w:t>
            </w:r>
            <w:r w:rsidR="00E76483">
              <w:rPr>
                <w:noProof/>
                <w:webHidden/>
              </w:rPr>
              <w:tab/>
            </w:r>
            <w:r w:rsidR="00E76483">
              <w:rPr>
                <w:noProof/>
                <w:webHidden/>
              </w:rPr>
              <w:fldChar w:fldCharType="begin"/>
            </w:r>
            <w:r w:rsidR="00E76483">
              <w:rPr>
                <w:noProof/>
                <w:webHidden/>
              </w:rPr>
              <w:instrText xml:space="preserve"> PAGEREF _Toc425524012 \h </w:instrText>
            </w:r>
            <w:r w:rsidR="00E76483">
              <w:rPr>
                <w:noProof/>
                <w:webHidden/>
              </w:rPr>
            </w:r>
            <w:r w:rsidR="00E76483">
              <w:rPr>
                <w:noProof/>
                <w:webHidden/>
              </w:rPr>
              <w:fldChar w:fldCharType="separate"/>
            </w:r>
            <w:r w:rsidR="00E76483">
              <w:rPr>
                <w:noProof/>
                <w:webHidden/>
              </w:rPr>
              <w:t>13</w:t>
            </w:r>
            <w:r w:rsidR="00E76483">
              <w:rPr>
                <w:noProof/>
                <w:webHidden/>
              </w:rPr>
              <w:fldChar w:fldCharType="end"/>
            </w:r>
          </w:hyperlink>
        </w:p>
        <w:p w14:paraId="3109A5E2" w14:textId="77777777" w:rsidR="00E76483" w:rsidRDefault="00081807">
          <w:pPr>
            <w:pStyle w:val="TOC2"/>
            <w:tabs>
              <w:tab w:val="right" w:leader="dot" w:pos="8296"/>
            </w:tabs>
            <w:rPr>
              <w:b w:val="0"/>
              <w:noProof/>
              <w:lang w:eastAsia="nl-NL"/>
            </w:rPr>
          </w:pPr>
          <w:hyperlink w:anchor="_Toc425524013" w:history="1">
            <w:r w:rsidR="00E76483" w:rsidRPr="00BE31F3">
              <w:rPr>
                <w:rStyle w:val="Hyperlink"/>
                <w:noProof/>
              </w:rPr>
              <w:t>2.5 Conclusie</w:t>
            </w:r>
            <w:r w:rsidR="00E76483">
              <w:rPr>
                <w:noProof/>
                <w:webHidden/>
              </w:rPr>
              <w:tab/>
            </w:r>
            <w:r w:rsidR="00E76483">
              <w:rPr>
                <w:noProof/>
                <w:webHidden/>
              </w:rPr>
              <w:fldChar w:fldCharType="begin"/>
            </w:r>
            <w:r w:rsidR="00E76483">
              <w:rPr>
                <w:noProof/>
                <w:webHidden/>
              </w:rPr>
              <w:instrText xml:space="preserve"> PAGEREF _Toc425524013 \h </w:instrText>
            </w:r>
            <w:r w:rsidR="00E76483">
              <w:rPr>
                <w:noProof/>
                <w:webHidden/>
              </w:rPr>
            </w:r>
            <w:r w:rsidR="00E76483">
              <w:rPr>
                <w:noProof/>
                <w:webHidden/>
              </w:rPr>
              <w:fldChar w:fldCharType="separate"/>
            </w:r>
            <w:r w:rsidR="00E76483">
              <w:rPr>
                <w:noProof/>
                <w:webHidden/>
              </w:rPr>
              <w:t>14</w:t>
            </w:r>
            <w:r w:rsidR="00E76483">
              <w:rPr>
                <w:noProof/>
                <w:webHidden/>
              </w:rPr>
              <w:fldChar w:fldCharType="end"/>
            </w:r>
          </w:hyperlink>
        </w:p>
        <w:p w14:paraId="5A2D9456" w14:textId="77777777" w:rsidR="00E76483" w:rsidRDefault="00081807">
          <w:pPr>
            <w:pStyle w:val="TOC1"/>
            <w:tabs>
              <w:tab w:val="right" w:leader="dot" w:pos="8296"/>
            </w:tabs>
            <w:rPr>
              <w:b w:val="0"/>
              <w:noProof/>
              <w:sz w:val="22"/>
              <w:szCs w:val="22"/>
              <w:lang w:eastAsia="nl-NL"/>
            </w:rPr>
          </w:pPr>
          <w:hyperlink w:anchor="_Toc425524014" w:history="1">
            <w:r w:rsidR="00E76483" w:rsidRPr="00BE31F3">
              <w:rPr>
                <w:rStyle w:val="Hyperlink"/>
                <w:noProof/>
              </w:rPr>
              <w:t>Hoofdstuk 3: Alternatieve indicatoren en regelgevende instanties</w:t>
            </w:r>
            <w:r w:rsidR="00E76483">
              <w:rPr>
                <w:noProof/>
                <w:webHidden/>
              </w:rPr>
              <w:tab/>
            </w:r>
            <w:r w:rsidR="00E76483">
              <w:rPr>
                <w:noProof/>
                <w:webHidden/>
              </w:rPr>
              <w:fldChar w:fldCharType="begin"/>
            </w:r>
            <w:r w:rsidR="00E76483">
              <w:rPr>
                <w:noProof/>
                <w:webHidden/>
              </w:rPr>
              <w:instrText xml:space="preserve"> PAGEREF _Toc425524014 \h </w:instrText>
            </w:r>
            <w:r w:rsidR="00E76483">
              <w:rPr>
                <w:noProof/>
                <w:webHidden/>
              </w:rPr>
            </w:r>
            <w:r w:rsidR="00E76483">
              <w:rPr>
                <w:noProof/>
                <w:webHidden/>
              </w:rPr>
              <w:fldChar w:fldCharType="separate"/>
            </w:r>
            <w:r w:rsidR="00E76483">
              <w:rPr>
                <w:noProof/>
                <w:webHidden/>
              </w:rPr>
              <w:t>15</w:t>
            </w:r>
            <w:r w:rsidR="00E76483">
              <w:rPr>
                <w:noProof/>
                <w:webHidden/>
              </w:rPr>
              <w:fldChar w:fldCharType="end"/>
            </w:r>
          </w:hyperlink>
        </w:p>
        <w:p w14:paraId="21A07ACA" w14:textId="77777777" w:rsidR="00E76483" w:rsidRDefault="00081807">
          <w:pPr>
            <w:pStyle w:val="TOC2"/>
            <w:tabs>
              <w:tab w:val="right" w:leader="dot" w:pos="8296"/>
            </w:tabs>
            <w:rPr>
              <w:b w:val="0"/>
              <w:noProof/>
              <w:lang w:eastAsia="nl-NL"/>
            </w:rPr>
          </w:pPr>
          <w:hyperlink w:anchor="_Toc425524015" w:history="1">
            <w:r w:rsidR="00E76483" w:rsidRPr="00BE31F3">
              <w:rPr>
                <w:rStyle w:val="Hyperlink"/>
                <w:noProof/>
              </w:rPr>
              <w:t>3.1 Inleiding</w:t>
            </w:r>
            <w:r w:rsidR="00E76483">
              <w:rPr>
                <w:noProof/>
                <w:webHidden/>
              </w:rPr>
              <w:tab/>
            </w:r>
            <w:r w:rsidR="00E76483">
              <w:rPr>
                <w:noProof/>
                <w:webHidden/>
              </w:rPr>
              <w:fldChar w:fldCharType="begin"/>
            </w:r>
            <w:r w:rsidR="00E76483">
              <w:rPr>
                <w:noProof/>
                <w:webHidden/>
              </w:rPr>
              <w:instrText xml:space="preserve"> PAGEREF _Toc425524015 \h </w:instrText>
            </w:r>
            <w:r w:rsidR="00E76483">
              <w:rPr>
                <w:noProof/>
                <w:webHidden/>
              </w:rPr>
            </w:r>
            <w:r w:rsidR="00E76483">
              <w:rPr>
                <w:noProof/>
                <w:webHidden/>
              </w:rPr>
              <w:fldChar w:fldCharType="separate"/>
            </w:r>
            <w:r w:rsidR="00E76483">
              <w:rPr>
                <w:noProof/>
                <w:webHidden/>
              </w:rPr>
              <w:t>15</w:t>
            </w:r>
            <w:r w:rsidR="00E76483">
              <w:rPr>
                <w:noProof/>
                <w:webHidden/>
              </w:rPr>
              <w:fldChar w:fldCharType="end"/>
            </w:r>
          </w:hyperlink>
        </w:p>
        <w:p w14:paraId="24935F2B" w14:textId="77777777" w:rsidR="00E76483" w:rsidRDefault="00081807">
          <w:pPr>
            <w:pStyle w:val="TOC2"/>
            <w:tabs>
              <w:tab w:val="right" w:leader="dot" w:pos="8296"/>
            </w:tabs>
            <w:rPr>
              <w:b w:val="0"/>
              <w:noProof/>
              <w:lang w:eastAsia="nl-NL"/>
            </w:rPr>
          </w:pPr>
          <w:hyperlink w:anchor="_Toc425524016" w:history="1">
            <w:r w:rsidR="00E76483" w:rsidRPr="00BE31F3">
              <w:rPr>
                <w:rStyle w:val="Hyperlink"/>
                <w:noProof/>
              </w:rPr>
              <w:t>3.2 Nederland: RJ &amp; AFM</w:t>
            </w:r>
            <w:r w:rsidR="00E76483">
              <w:rPr>
                <w:noProof/>
                <w:webHidden/>
              </w:rPr>
              <w:tab/>
            </w:r>
            <w:r w:rsidR="00E76483">
              <w:rPr>
                <w:noProof/>
                <w:webHidden/>
              </w:rPr>
              <w:fldChar w:fldCharType="begin"/>
            </w:r>
            <w:r w:rsidR="00E76483">
              <w:rPr>
                <w:noProof/>
                <w:webHidden/>
              </w:rPr>
              <w:instrText xml:space="preserve"> PAGEREF _Toc425524016 \h </w:instrText>
            </w:r>
            <w:r w:rsidR="00E76483">
              <w:rPr>
                <w:noProof/>
                <w:webHidden/>
              </w:rPr>
            </w:r>
            <w:r w:rsidR="00E76483">
              <w:rPr>
                <w:noProof/>
                <w:webHidden/>
              </w:rPr>
              <w:fldChar w:fldCharType="separate"/>
            </w:r>
            <w:r w:rsidR="00E76483">
              <w:rPr>
                <w:noProof/>
                <w:webHidden/>
              </w:rPr>
              <w:t>16</w:t>
            </w:r>
            <w:r w:rsidR="00E76483">
              <w:rPr>
                <w:noProof/>
                <w:webHidden/>
              </w:rPr>
              <w:fldChar w:fldCharType="end"/>
            </w:r>
          </w:hyperlink>
        </w:p>
        <w:p w14:paraId="44B6A88C" w14:textId="77777777" w:rsidR="00E76483" w:rsidRDefault="00081807">
          <w:pPr>
            <w:pStyle w:val="TOC2"/>
            <w:tabs>
              <w:tab w:val="right" w:leader="dot" w:pos="8296"/>
            </w:tabs>
            <w:rPr>
              <w:b w:val="0"/>
              <w:noProof/>
              <w:lang w:eastAsia="nl-NL"/>
            </w:rPr>
          </w:pPr>
          <w:hyperlink w:anchor="_Toc425524017" w:history="1">
            <w:r w:rsidR="00E76483" w:rsidRPr="00BE31F3">
              <w:rPr>
                <w:rStyle w:val="Hyperlink"/>
                <w:noProof/>
              </w:rPr>
              <w:t>3.3 Internationaal, IASB &amp; IFRS</w:t>
            </w:r>
            <w:r w:rsidR="00E76483">
              <w:rPr>
                <w:noProof/>
                <w:webHidden/>
              </w:rPr>
              <w:tab/>
            </w:r>
            <w:r w:rsidR="00E76483">
              <w:rPr>
                <w:noProof/>
                <w:webHidden/>
              </w:rPr>
              <w:fldChar w:fldCharType="begin"/>
            </w:r>
            <w:r w:rsidR="00E76483">
              <w:rPr>
                <w:noProof/>
                <w:webHidden/>
              </w:rPr>
              <w:instrText xml:space="preserve"> PAGEREF _Toc425524017 \h </w:instrText>
            </w:r>
            <w:r w:rsidR="00E76483">
              <w:rPr>
                <w:noProof/>
                <w:webHidden/>
              </w:rPr>
            </w:r>
            <w:r w:rsidR="00E76483">
              <w:rPr>
                <w:noProof/>
                <w:webHidden/>
              </w:rPr>
              <w:fldChar w:fldCharType="separate"/>
            </w:r>
            <w:r w:rsidR="00E76483">
              <w:rPr>
                <w:noProof/>
                <w:webHidden/>
              </w:rPr>
              <w:t>18</w:t>
            </w:r>
            <w:r w:rsidR="00E76483">
              <w:rPr>
                <w:noProof/>
                <w:webHidden/>
              </w:rPr>
              <w:fldChar w:fldCharType="end"/>
            </w:r>
          </w:hyperlink>
        </w:p>
        <w:p w14:paraId="2E6CD7FB" w14:textId="77777777" w:rsidR="00E76483" w:rsidRDefault="00081807">
          <w:pPr>
            <w:pStyle w:val="TOC2"/>
            <w:tabs>
              <w:tab w:val="right" w:leader="dot" w:pos="8296"/>
            </w:tabs>
            <w:rPr>
              <w:b w:val="0"/>
              <w:noProof/>
              <w:lang w:eastAsia="nl-NL"/>
            </w:rPr>
          </w:pPr>
          <w:hyperlink w:anchor="_Toc425524018" w:history="1">
            <w:r w:rsidR="00E76483" w:rsidRPr="00BE31F3">
              <w:rPr>
                <w:rStyle w:val="Hyperlink"/>
                <w:noProof/>
              </w:rPr>
              <w:t>3.4 Conclusie</w:t>
            </w:r>
            <w:r w:rsidR="00E76483">
              <w:rPr>
                <w:noProof/>
                <w:webHidden/>
              </w:rPr>
              <w:tab/>
            </w:r>
            <w:r w:rsidR="00E76483">
              <w:rPr>
                <w:noProof/>
                <w:webHidden/>
              </w:rPr>
              <w:fldChar w:fldCharType="begin"/>
            </w:r>
            <w:r w:rsidR="00E76483">
              <w:rPr>
                <w:noProof/>
                <w:webHidden/>
              </w:rPr>
              <w:instrText xml:space="preserve"> PAGEREF _Toc425524018 \h </w:instrText>
            </w:r>
            <w:r w:rsidR="00E76483">
              <w:rPr>
                <w:noProof/>
                <w:webHidden/>
              </w:rPr>
            </w:r>
            <w:r w:rsidR="00E76483">
              <w:rPr>
                <w:noProof/>
                <w:webHidden/>
              </w:rPr>
              <w:fldChar w:fldCharType="separate"/>
            </w:r>
            <w:r w:rsidR="00E76483">
              <w:rPr>
                <w:noProof/>
                <w:webHidden/>
              </w:rPr>
              <w:t>20</w:t>
            </w:r>
            <w:r w:rsidR="00E76483">
              <w:rPr>
                <w:noProof/>
                <w:webHidden/>
              </w:rPr>
              <w:fldChar w:fldCharType="end"/>
            </w:r>
          </w:hyperlink>
        </w:p>
        <w:p w14:paraId="20A678D9" w14:textId="77777777" w:rsidR="00E76483" w:rsidRDefault="00081807">
          <w:pPr>
            <w:pStyle w:val="TOC1"/>
            <w:tabs>
              <w:tab w:val="right" w:leader="dot" w:pos="8296"/>
            </w:tabs>
            <w:rPr>
              <w:b w:val="0"/>
              <w:noProof/>
              <w:sz w:val="22"/>
              <w:szCs w:val="22"/>
              <w:lang w:eastAsia="nl-NL"/>
            </w:rPr>
          </w:pPr>
          <w:hyperlink w:anchor="_Toc425524019" w:history="1">
            <w:r w:rsidR="00E76483" w:rsidRPr="00BE31F3">
              <w:rPr>
                <w:rStyle w:val="Hyperlink"/>
                <w:noProof/>
              </w:rPr>
              <w:t>Hoofdstuk 4: Het gebruik van alternatieve indicatoren</w:t>
            </w:r>
            <w:r w:rsidR="00E76483">
              <w:rPr>
                <w:noProof/>
                <w:webHidden/>
              </w:rPr>
              <w:tab/>
            </w:r>
            <w:r w:rsidR="00E76483">
              <w:rPr>
                <w:noProof/>
                <w:webHidden/>
              </w:rPr>
              <w:fldChar w:fldCharType="begin"/>
            </w:r>
            <w:r w:rsidR="00E76483">
              <w:rPr>
                <w:noProof/>
                <w:webHidden/>
              </w:rPr>
              <w:instrText xml:space="preserve"> PAGEREF _Toc425524019 \h </w:instrText>
            </w:r>
            <w:r w:rsidR="00E76483">
              <w:rPr>
                <w:noProof/>
                <w:webHidden/>
              </w:rPr>
            </w:r>
            <w:r w:rsidR="00E76483">
              <w:rPr>
                <w:noProof/>
                <w:webHidden/>
              </w:rPr>
              <w:fldChar w:fldCharType="separate"/>
            </w:r>
            <w:r w:rsidR="00E76483">
              <w:rPr>
                <w:noProof/>
                <w:webHidden/>
              </w:rPr>
              <w:t>22</w:t>
            </w:r>
            <w:r w:rsidR="00E76483">
              <w:rPr>
                <w:noProof/>
                <w:webHidden/>
              </w:rPr>
              <w:fldChar w:fldCharType="end"/>
            </w:r>
          </w:hyperlink>
        </w:p>
        <w:p w14:paraId="2D76ED4E" w14:textId="77777777" w:rsidR="00E76483" w:rsidRDefault="00081807">
          <w:pPr>
            <w:pStyle w:val="TOC2"/>
            <w:tabs>
              <w:tab w:val="right" w:leader="dot" w:pos="8296"/>
            </w:tabs>
            <w:rPr>
              <w:b w:val="0"/>
              <w:noProof/>
              <w:lang w:eastAsia="nl-NL"/>
            </w:rPr>
          </w:pPr>
          <w:hyperlink w:anchor="_Toc425524020" w:history="1">
            <w:r w:rsidR="00E76483" w:rsidRPr="00BE31F3">
              <w:rPr>
                <w:rStyle w:val="Hyperlink"/>
                <w:noProof/>
              </w:rPr>
              <w:t>4.1 Inleiding</w:t>
            </w:r>
            <w:r w:rsidR="00E76483">
              <w:rPr>
                <w:noProof/>
                <w:webHidden/>
              </w:rPr>
              <w:tab/>
            </w:r>
            <w:r w:rsidR="00E76483">
              <w:rPr>
                <w:noProof/>
                <w:webHidden/>
              </w:rPr>
              <w:fldChar w:fldCharType="begin"/>
            </w:r>
            <w:r w:rsidR="00E76483">
              <w:rPr>
                <w:noProof/>
                <w:webHidden/>
              </w:rPr>
              <w:instrText xml:space="preserve"> PAGEREF _Toc425524020 \h </w:instrText>
            </w:r>
            <w:r w:rsidR="00E76483">
              <w:rPr>
                <w:noProof/>
                <w:webHidden/>
              </w:rPr>
            </w:r>
            <w:r w:rsidR="00E76483">
              <w:rPr>
                <w:noProof/>
                <w:webHidden/>
              </w:rPr>
              <w:fldChar w:fldCharType="separate"/>
            </w:r>
            <w:r w:rsidR="00E76483">
              <w:rPr>
                <w:noProof/>
                <w:webHidden/>
              </w:rPr>
              <w:t>22</w:t>
            </w:r>
            <w:r w:rsidR="00E76483">
              <w:rPr>
                <w:noProof/>
                <w:webHidden/>
              </w:rPr>
              <w:fldChar w:fldCharType="end"/>
            </w:r>
          </w:hyperlink>
        </w:p>
        <w:p w14:paraId="467AA652" w14:textId="77777777" w:rsidR="00E76483" w:rsidRDefault="00081807">
          <w:pPr>
            <w:pStyle w:val="TOC2"/>
            <w:tabs>
              <w:tab w:val="right" w:leader="dot" w:pos="8296"/>
            </w:tabs>
            <w:rPr>
              <w:b w:val="0"/>
              <w:noProof/>
              <w:lang w:eastAsia="nl-NL"/>
            </w:rPr>
          </w:pPr>
          <w:hyperlink w:anchor="_Toc425524021" w:history="1">
            <w:r w:rsidR="00E76483" w:rsidRPr="00BE31F3">
              <w:rPr>
                <w:rStyle w:val="Hyperlink"/>
                <w:noProof/>
              </w:rPr>
              <w:t>4.2 Welke bedrijven?</w:t>
            </w:r>
            <w:r w:rsidR="00E76483">
              <w:rPr>
                <w:noProof/>
                <w:webHidden/>
              </w:rPr>
              <w:tab/>
            </w:r>
            <w:r w:rsidR="00E76483">
              <w:rPr>
                <w:noProof/>
                <w:webHidden/>
              </w:rPr>
              <w:fldChar w:fldCharType="begin"/>
            </w:r>
            <w:r w:rsidR="00E76483">
              <w:rPr>
                <w:noProof/>
                <w:webHidden/>
              </w:rPr>
              <w:instrText xml:space="preserve"> PAGEREF _Toc425524021 \h </w:instrText>
            </w:r>
            <w:r w:rsidR="00E76483">
              <w:rPr>
                <w:noProof/>
                <w:webHidden/>
              </w:rPr>
            </w:r>
            <w:r w:rsidR="00E76483">
              <w:rPr>
                <w:noProof/>
                <w:webHidden/>
              </w:rPr>
              <w:fldChar w:fldCharType="separate"/>
            </w:r>
            <w:r w:rsidR="00E76483">
              <w:rPr>
                <w:noProof/>
                <w:webHidden/>
              </w:rPr>
              <w:t>24</w:t>
            </w:r>
            <w:r w:rsidR="00E76483">
              <w:rPr>
                <w:noProof/>
                <w:webHidden/>
              </w:rPr>
              <w:fldChar w:fldCharType="end"/>
            </w:r>
          </w:hyperlink>
        </w:p>
        <w:p w14:paraId="6A4B8196" w14:textId="77777777" w:rsidR="00E76483" w:rsidRDefault="00081807">
          <w:pPr>
            <w:pStyle w:val="TOC3"/>
            <w:tabs>
              <w:tab w:val="right" w:leader="dot" w:pos="8296"/>
            </w:tabs>
            <w:rPr>
              <w:noProof/>
              <w:lang w:eastAsia="nl-NL"/>
            </w:rPr>
          </w:pPr>
          <w:hyperlink w:anchor="_Toc425524022" w:history="1">
            <w:r w:rsidR="00E76483" w:rsidRPr="00BE31F3">
              <w:rPr>
                <w:rStyle w:val="Hyperlink"/>
                <w:noProof/>
              </w:rPr>
              <w:t>4.2.1 De winst-en-verliesrekening</w:t>
            </w:r>
            <w:r w:rsidR="00E76483">
              <w:rPr>
                <w:noProof/>
                <w:webHidden/>
              </w:rPr>
              <w:tab/>
            </w:r>
            <w:r w:rsidR="00E76483">
              <w:rPr>
                <w:noProof/>
                <w:webHidden/>
              </w:rPr>
              <w:fldChar w:fldCharType="begin"/>
            </w:r>
            <w:r w:rsidR="00E76483">
              <w:rPr>
                <w:noProof/>
                <w:webHidden/>
              </w:rPr>
              <w:instrText xml:space="preserve"> PAGEREF _Toc425524022 \h </w:instrText>
            </w:r>
            <w:r w:rsidR="00E76483">
              <w:rPr>
                <w:noProof/>
                <w:webHidden/>
              </w:rPr>
            </w:r>
            <w:r w:rsidR="00E76483">
              <w:rPr>
                <w:noProof/>
                <w:webHidden/>
              </w:rPr>
              <w:fldChar w:fldCharType="separate"/>
            </w:r>
            <w:r w:rsidR="00E76483">
              <w:rPr>
                <w:noProof/>
                <w:webHidden/>
              </w:rPr>
              <w:t>24</w:t>
            </w:r>
            <w:r w:rsidR="00E76483">
              <w:rPr>
                <w:noProof/>
                <w:webHidden/>
              </w:rPr>
              <w:fldChar w:fldCharType="end"/>
            </w:r>
          </w:hyperlink>
        </w:p>
        <w:p w14:paraId="6DB7439C" w14:textId="77777777" w:rsidR="00E76483" w:rsidRDefault="00081807">
          <w:pPr>
            <w:pStyle w:val="TOC3"/>
            <w:tabs>
              <w:tab w:val="right" w:leader="dot" w:pos="8296"/>
            </w:tabs>
            <w:rPr>
              <w:noProof/>
              <w:lang w:eastAsia="nl-NL"/>
            </w:rPr>
          </w:pPr>
          <w:hyperlink w:anchor="_Toc425524023" w:history="1">
            <w:r w:rsidR="00E76483" w:rsidRPr="00BE31F3">
              <w:rPr>
                <w:rStyle w:val="Hyperlink"/>
                <w:noProof/>
              </w:rPr>
              <w:t>4.2.2 Anders</w:t>
            </w:r>
            <w:r w:rsidR="00E76483">
              <w:rPr>
                <w:noProof/>
                <w:webHidden/>
              </w:rPr>
              <w:tab/>
            </w:r>
            <w:r w:rsidR="00E76483">
              <w:rPr>
                <w:noProof/>
                <w:webHidden/>
              </w:rPr>
              <w:fldChar w:fldCharType="begin"/>
            </w:r>
            <w:r w:rsidR="00E76483">
              <w:rPr>
                <w:noProof/>
                <w:webHidden/>
              </w:rPr>
              <w:instrText xml:space="preserve"> PAGEREF _Toc425524023 \h </w:instrText>
            </w:r>
            <w:r w:rsidR="00E76483">
              <w:rPr>
                <w:noProof/>
                <w:webHidden/>
              </w:rPr>
            </w:r>
            <w:r w:rsidR="00E76483">
              <w:rPr>
                <w:noProof/>
                <w:webHidden/>
              </w:rPr>
              <w:fldChar w:fldCharType="separate"/>
            </w:r>
            <w:r w:rsidR="00E76483">
              <w:rPr>
                <w:noProof/>
                <w:webHidden/>
              </w:rPr>
              <w:t>25</w:t>
            </w:r>
            <w:r w:rsidR="00E76483">
              <w:rPr>
                <w:noProof/>
                <w:webHidden/>
              </w:rPr>
              <w:fldChar w:fldCharType="end"/>
            </w:r>
          </w:hyperlink>
        </w:p>
        <w:p w14:paraId="2AA9BBFF" w14:textId="77777777" w:rsidR="00E76483" w:rsidRDefault="00081807">
          <w:pPr>
            <w:pStyle w:val="TOC2"/>
            <w:tabs>
              <w:tab w:val="right" w:leader="dot" w:pos="8296"/>
            </w:tabs>
            <w:rPr>
              <w:b w:val="0"/>
              <w:noProof/>
              <w:lang w:eastAsia="nl-NL"/>
            </w:rPr>
          </w:pPr>
          <w:hyperlink w:anchor="_Toc425524024" w:history="1">
            <w:r w:rsidR="00E76483" w:rsidRPr="00BE31F3">
              <w:rPr>
                <w:rStyle w:val="Hyperlink"/>
                <w:noProof/>
              </w:rPr>
              <w:t>4.3 Trend</w:t>
            </w:r>
            <w:r w:rsidR="00E76483">
              <w:rPr>
                <w:noProof/>
                <w:webHidden/>
              </w:rPr>
              <w:tab/>
            </w:r>
            <w:r w:rsidR="00E76483">
              <w:rPr>
                <w:noProof/>
                <w:webHidden/>
              </w:rPr>
              <w:fldChar w:fldCharType="begin"/>
            </w:r>
            <w:r w:rsidR="00E76483">
              <w:rPr>
                <w:noProof/>
                <w:webHidden/>
              </w:rPr>
              <w:instrText xml:space="preserve"> PAGEREF _Toc425524024 \h </w:instrText>
            </w:r>
            <w:r w:rsidR="00E76483">
              <w:rPr>
                <w:noProof/>
                <w:webHidden/>
              </w:rPr>
            </w:r>
            <w:r w:rsidR="00E76483">
              <w:rPr>
                <w:noProof/>
                <w:webHidden/>
              </w:rPr>
              <w:fldChar w:fldCharType="separate"/>
            </w:r>
            <w:r w:rsidR="00E76483">
              <w:rPr>
                <w:noProof/>
                <w:webHidden/>
              </w:rPr>
              <w:t>29</w:t>
            </w:r>
            <w:r w:rsidR="00E76483">
              <w:rPr>
                <w:noProof/>
                <w:webHidden/>
              </w:rPr>
              <w:fldChar w:fldCharType="end"/>
            </w:r>
          </w:hyperlink>
        </w:p>
        <w:p w14:paraId="4C9DF715" w14:textId="77777777" w:rsidR="00E76483" w:rsidRDefault="00081807">
          <w:pPr>
            <w:pStyle w:val="TOC2"/>
            <w:tabs>
              <w:tab w:val="right" w:leader="dot" w:pos="8296"/>
            </w:tabs>
            <w:rPr>
              <w:b w:val="0"/>
              <w:noProof/>
              <w:lang w:eastAsia="nl-NL"/>
            </w:rPr>
          </w:pPr>
          <w:hyperlink w:anchor="_Toc425524025" w:history="1">
            <w:r w:rsidR="00E76483" w:rsidRPr="00BE31F3">
              <w:rPr>
                <w:rStyle w:val="Hyperlink"/>
                <w:noProof/>
              </w:rPr>
              <w:t>4.4 Conclusie</w:t>
            </w:r>
            <w:r w:rsidR="00E76483">
              <w:rPr>
                <w:noProof/>
                <w:webHidden/>
              </w:rPr>
              <w:tab/>
            </w:r>
            <w:r w:rsidR="00E76483">
              <w:rPr>
                <w:noProof/>
                <w:webHidden/>
              </w:rPr>
              <w:fldChar w:fldCharType="begin"/>
            </w:r>
            <w:r w:rsidR="00E76483">
              <w:rPr>
                <w:noProof/>
                <w:webHidden/>
              </w:rPr>
              <w:instrText xml:space="preserve"> PAGEREF _Toc425524025 \h </w:instrText>
            </w:r>
            <w:r w:rsidR="00E76483">
              <w:rPr>
                <w:noProof/>
                <w:webHidden/>
              </w:rPr>
            </w:r>
            <w:r w:rsidR="00E76483">
              <w:rPr>
                <w:noProof/>
                <w:webHidden/>
              </w:rPr>
              <w:fldChar w:fldCharType="separate"/>
            </w:r>
            <w:r w:rsidR="00E76483">
              <w:rPr>
                <w:noProof/>
                <w:webHidden/>
              </w:rPr>
              <w:t>33</w:t>
            </w:r>
            <w:r w:rsidR="00E76483">
              <w:rPr>
                <w:noProof/>
                <w:webHidden/>
              </w:rPr>
              <w:fldChar w:fldCharType="end"/>
            </w:r>
          </w:hyperlink>
        </w:p>
        <w:p w14:paraId="631CCB7A" w14:textId="77777777" w:rsidR="00E76483" w:rsidRDefault="00081807">
          <w:pPr>
            <w:pStyle w:val="TOC1"/>
            <w:tabs>
              <w:tab w:val="right" w:leader="dot" w:pos="8296"/>
            </w:tabs>
            <w:rPr>
              <w:b w:val="0"/>
              <w:noProof/>
              <w:sz w:val="22"/>
              <w:szCs w:val="22"/>
              <w:lang w:eastAsia="nl-NL"/>
            </w:rPr>
          </w:pPr>
          <w:hyperlink w:anchor="_Toc425524026" w:history="1">
            <w:r w:rsidR="00E76483" w:rsidRPr="00BE31F3">
              <w:rPr>
                <w:rStyle w:val="Hyperlink"/>
                <w:noProof/>
              </w:rPr>
              <w:t>Hoofdstuk 5: Motieven &amp; Verband</w:t>
            </w:r>
            <w:r w:rsidR="00E76483">
              <w:rPr>
                <w:noProof/>
                <w:webHidden/>
              </w:rPr>
              <w:tab/>
            </w:r>
            <w:r w:rsidR="00E76483">
              <w:rPr>
                <w:noProof/>
                <w:webHidden/>
              </w:rPr>
              <w:fldChar w:fldCharType="begin"/>
            </w:r>
            <w:r w:rsidR="00E76483">
              <w:rPr>
                <w:noProof/>
                <w:webHidden/>
              </w:rPr>
              <w:instrText xml:space="preserve"> PAGEREF _Toc425524026 \h </w:instrText>
            </w:r>
            <w:r w:rsidR="00E76483">
              <w:rPr>
                <w:noProof/>
                <w:webHidden/>
              </w:rPr>
            </w:r>
            <w:r w:rsidR="00E76483">
              <w:rPr>
                <w:noProof/>
                <w:webHidden/>
              </w:rPr>
              <w:fldChar w:fldCharType="separate"/>
            </w:r>
            <w:r w:rsidR="00E76483">
              <w:rPr>
                <w:noProof/>
                <w:webHidden/>
              </w:rPr>
              <w:t>34</w:t>
            </w:r>
            <w:r w:rsidR="00E76483">
              <w:rPr>
                <w:noProof/>
                <w:webHidden/>
              </w:rPr>
              <w:fldChar w:fldCharType="end"/>
            </w:r>
          </w:hyperlink>
        </w:p>
        <w:p w14:paraId="62B6E1E8" w14:textId="77777777" w:rsidR="00E76483" w:rsidRDefault="00081807">
          <w:pPr>
            <w:pStyle w:val="TOC2"/>
            <w:tabs>
              <w:tab w:val="right" w:leader="dot" w:pos="8296"/>
            </w:tabs>
            <w:rPr>
              <w:b w:val="0"/>
              <w:noProof/>
              <w:lang w:eastAsia="nl-NL"/>
            </w:rPr>
          </w:pPr>
          <w:hyperlink w:anchor="_Toc425524027" w:history="1">
            <w:r w:rsidR="00E76483" w:rsidRPr="00BE31F3">
              <w:rPr>
                <w:rStyle w:val="Hyperlink"/>
                <w:noProof/>
              </w:rPr>
              <w:t>5.1 Inleiding</w:t>
            </w:r>
            <w:r w:rsidR="00E76483">
              <w:rPr>
                <w:noProof/>
                <w:webHidden/>
              </w:rPr>
              <w:tab/>
            </w:r>
            <w:r w:rsidR="00E76483">
              <w:rPr>
                <w:noProof/>
                <w:webHidden/>
              </w:rPr>
              <w:fldChar w:fldCharType="begin"/>
            </w:r>
            <w:r w:rsidR="00E76483">
              <w:rPr>
                <w:noProof/>
                <w:webHidden/>
              </w:rPr>
              <w:instrText xml:space="preserve"> PAGEREF _Toc425524027 \h </w:instrText>
            </w:r>
            <w:r w:rsidR="00E76483">
              <w:rPr>
                <w:noProof/>
                <w:webHidden/>
              </w:rPr>
            </w:r>
            <w:r w:rsidR="00E76483">
              <w:rPr>
                <w:noProof/>
                <w:webHidden/>
              </w:rPr>
              <w:fldChar w:fldCharType="separate"/>
            </w:r>
            <w:r w:rsidR="00E76483">
              <w:rPr>
                <w:noProof/>
                <w:webHidden/>
              </w:rPr>
              <w:t>34</w:t>
            </w:r>
            <w:r w:rsidR="00E76483">
              <w:rPr>
                <w:noProof/>
                <w:webHidden/>
              </w:rPr>
              <w:fldChar w:fldCharType="end"/>
            </w:r>
          </w:hyperlink>
        </w:p>
        <w:p w14:paraId="1D057247" w14:textId="77777777" w:rsidR="00E76483" w:rsidRDefault="00081807">
          <w:pPr>
            <w:pStyle w:val="TOC2"/>
            <w:tabs>
              <w:tab w:val="right" w:leader="dot" w:pos="8296"/>
            </w:tabs>
            <w:rPr>
              <w:b w:val="0"/>
              <w:noProof/>
              <w:lang w:eastAsia="nl-NL"/>
            </w:rPr>
          </w:pPr>
          <w:hyperlink w:anchor="_Toc425524028" w:history="1">
            <w:r w:rsidR="00E76483" w:rsidRPr="00BE31F3">
              <w:rPr>
                <w:rStyle w:val="Hyperlink"/>
                <w:noProof/>
              </w:rPr>
              <w:t>5.2 Motieven</w:t>
            </w:r>
            <w:r w:rsidR="00E76483">
              <w:rPr>
                <w:noProof/>
                <w:webHidden/>
              </w:rPr>
              <w:tab/>
            </w:r>
            <w:r w:rsidR="00E76483">
              <w:rPr>
                <w:noProof/>
                <w:webHidden/>
              </w:rPr>
              <w:fldChar w:fldCharType="begin"/>
            </w:r>
            <w:r w:rsidR="00E76483">
              <w:rPr>
                <w:noProof/>
                <w:webHidden/>
              </w:rPr>
              <w:instrText xml:space="preserve"> PAGEREF _Toc425524028 \h </w:instrText>
            </w:r>
            <w:r w:rsidR="00E76483">
              <w:rPr>
                <w:noProof/>
                <w:webHidden/>
              </w:rPr>
            </w:r>
            <w:r w:rsidR="00E76483">
              <w:rPr>
                <w:noProof/>
                <w:webHidden/>
              </w:rPr>
              <w:fldChar w:fldCharType="separate"/>
            </w:r>
            <w:r w:rsidR="00E76483">
              <w:rPr>
                <w:noProof/>
                <w:webHidden/>
              </w:rPr>
              <w:t>35</w:t>
            </w:r>
            <w:r w:rsidR="00E76483">
              <w:rPr>
                <w:noProof/>
                <w:webHidden/>
              </w:rPr>
              <w:fldChar w:fldCharType="end"/>
            </w:r>
          </w:hyperlink>
        </w:p>
        <w:p w14:paraId="74FDBDF8" w14:textId="77777777" w:rsidR="00E76483" w:rsidRDefault="00081807">
          <w:pPr>
            <w:pStyle w:val="TOC2"/>
            <w:tabs>
              <w:tab w:val="right" w:leader="dot" w:pos="8296"/>
            </w:tabs>
            <w:rPr>
              <w:b w:val="0"/>
              <w:noProof/>
              <w:lang w:eastAsia="nl-NL"/>
            </w:rPr>
          </w:pPr>
          <w:hyperlink w:anchor="_Toc425524029" w:history="1">
            <w:r w:rsidR="00E76483" w:rsidRPr="00BE31F3">
              <w:rPr>
                <w:rStyle w:val="Hyperlink"/>
                <w:noProof/>
              </w:rPr>
              <w:t>5.3 Verband</w:t>
            </w:r>
            <w:r w:rsidR="00E76483">
              <w:rPr>
                <w:noProof/>
                <w:webHidden/>
              </w:rPr>
              <w:tab/>
            </w:r>
            <w:r w:rsidR="00E76483">
              <w:rPr>
                <w:noProof/>
                <w:webHidden/>
              </w:rPr>
              <w:fldChar w:fldCharType="begin"/>
            </w:r>
            <w:r w:rsidR="00E76483">
              <w:rPr>
                <w:noProof/>
                <w:webHidden/>
              </w:rPr>
              <w:instrText xml:space="preserve"> PAGEREF _Toc425524029 \h </w:instrText>
            </w:r>
            <w:r w:rsidR="00E76483">
              <w:rPr>
                <w:noProof/>
                <w:webHidden/>
              </w:rPr>
            </w:r>
            <w:r w:rsidR="00E76483">
              <w:rPr>
                <w:noProof/>
                <w:webHidden/>
              </w:rPr>
              <w:fldChar w:fldCharType="separate"/>
            </w:r>
            <w:r w:rsidR="00E76483">
              <w:rPr>
                <w:noProof/>
                <w:webHidden/>
              </w:rPr>
              <w:t>37</w:t>
            </w:r>
            <w:r w:rsidR="00E76483">
              <w:rPr>
                <w:noProof/>
                <w:webHidden/>
              </w:rPr>
              <w:fldChar w:fldCharType="end"/>
            </w:r>
          </w:hyperlink>
        </w:p>
        <w:p w14:paraId="456DCB6E" w14:textId="77777777" w:rsidR="00E76483" w:rsidRDefault="00081807">
          <w:pPr>
            <w:pStyle w:val="TOC2"/>
            <w:tabs>
              <w:tab w:val="right" w:leader="dot" w:pos="8296"/>
            </w:tabs>
            <w:rPr>
              <w:b w:val="0"/>
              <w:noProof/>
              <w:lang w:eastAsia="nl-NL"/>
            </w:rPr>
          </w:pPr>
          <w:hyperlink w:anchor="_Toc425524030" w:history="1">
            <w:r w:rsidR="00E76483" w:rsidRPr="00BE31F3">
              <w:rPr>
                <w:rStyle w:val="Hyperlink"/>
                <w:noProof/>
              </w:rPr>
              <w:t>5.5 Conclusie</w:t>
            </w:r>
            <w:r w:rsidR="00E76483">
              <w:rPr>
                <w:noProof/>
                <w:webHidden/>
              </w:rPr>
              <w:tab/>
            </w:r>
            <w:r w:rsidR="00E76483">
              <w:rPr>
                <w:noProof/>
                <w:webHidden/>
              </w:rPr>
              <w:fldChar w:fldCharType="begin"/>
            </w:r>
            <w:r w:rsidR="00E76483">
              <w:rPr>
                <w:noProof/>
                <w:webHidden/>
              </w:rPr>
              <w:instrText xml:space="preserve"> PAGEREF _Toc425524030 \h </w:instrText>
            </w:r>
            <w:r w:rsidR="00E76483">
              <w:rPr>
                <w:noProof/>
                <w:webHidden/>
              </w:rPr>
            </w:r>
            <w:r w:rsidR="00E76483">
              <w:rPr>
                <w:noProof/>
                <w:webHidden/>
              </w:rPr>
              <w:fldChar w:fldCharType="separate"/>
            </w:r>
            <w:r w:rsidR="00E76483">
              <w:rPr>
                <w:noProof/>
                <w:webHidden/>
              </w:rPr>
              <w:t>39</w:t>
            </w:r>
            <w:r w:rsidR="00E76483">
              <w:rPr>
                <w:noProof/>
                <w:webHidden/>
              </w:rPr>
              <w:fldChar w:fldCharType="end"/>
            </w:r>
          </w:hyperlink>
        </w:p>
        <w:p w14:paraId="20220A03" w14:textId="77777777" w:rsidR="00E76483" w:rsidRDefault="00081807">
          <w:pPr>
            <w:pStyle w:val="TOC1"/>
            <w:tabs>
              <w:tab w:val="right" w:leader="dot" w:pos="8296"/>
            </w:tabs>
            <w:rPr>
              <w:b w:val="0"/>
              <w:noProof/>
              <w:sz w:val="22"/>
              <w:szCs w:val="22"/>
              <w:lang w:eastAsia="nl-NL"/>
            </w:rPr>
          </w:pPr>
          <w:hyperlink w:anchor="_Toc425524031" w:history="1">
            <w:r w:rsidR="00E76483" w:rsidRPr="00BE31F3">
              <w:rPr>
                <w:rStyle w:val="Hyperlink"/>
                <w:noProof/>
              </w:rPr>
              <w:t>Hoofdstuk 6: Samenvatting &amp; Conclusie</w:t>
            </w:r>
            <w:r w:rsidR="00E76483">
              <w:rPr>
                <w:noProof/>
                <w:webHidden/>
              </w:rPr>
              <w:tab/>
            </w:r>
            <w:r w:rsidR="00E76483">
              <w:rPr>
                <w:noProof/>
                <w:webHidden/>
              </w:rPr>
              <w:fldChar w:fldCharType="begin"/>
            </w:r>
            <w:r w:rsidR="00E76483">
              <w:rPr>
                <w:noProof/>
                <w:webHidden/>
              </w:rPr>
              <w:instrText xml:space="preserve"> PAGEREF _Toc425524031 \h </w:instrText>
            </w:r>
            <w:r w:rsidR="00E76483">
              <w:rPr>
                <w:noProof/>
                <w:webHidden/>
              </w:rPr>
            </w:r>
            <w:r w:rsidR="00E76483">
              <w:rPr>
                <w:noProof/>
                <w:webHidden/>
              </w:rPr>
              <w:fldChar w:fldCharType="separate"/>
            </w:r>
            <w:r w:rsidR="00E76483">
              <w:rPr>
                <w:noProof/>
                <w:webHidden/>
              </w:rPr>
              <w:t>41</w:t>
            </w:r>
            <w:r w:rsidR="00E76483">
              <w:rPr>
                <w:noProof/>
                <w:webHidden/>
              </w:rPr>
              <w:fldChar w:fldCharType="end"/>
            </w:r>
          </w:hyperlink>
        </w:p>
        <w:p w14:paraId="54E6E0C4" w14:textId="77777777" w:rsidR="00E76483" w:rsidRDefault="00081807">
          <w:pPr>
            <w:pStyle w:val="TOC2"/>
            <w:tabs>
              <w:tab w:val="right" w:leader="dot" w:pos="8296"/>
            </w:tabs>
            <w:rPr>
              <w:b w:val="0"/>
              <w:noProof/>
              <w:lang w:eastAsia="nl-NL"/>
            </w:rPr>
          </w:pPr>
          <w:hyperlink w:anchor="_Toc425524032" w:history="1">
            <w:r w:rsidR="00E76483" w:rsidRPr="00BE31F3">
              <w:rPr>
                <w:rStyle w:val="Hyperlink"/>
                <w:noProof/>
              </w:rPr>
              <w:t>6.1 Samenvatting</w:t>
            </w:r>
            <w:r w:rsidR="00E76483">
              <w:rPr>
                <w:noProof/>
                <w:webHidden/>
              </w:rPr>
              <w:tab/>
            </w:r>
            <w:r w:rsidR="00E76483">
              <w:rPr>
                <w:noProof/>
                <w:webHidden/>
              </w:rPr>
              <w:fldChar w:fldCharType="begin"/>
            </w:r>
            <w:r w:rsidR="00E76483">
              <w:rPr>
                <w:noProof/>
                <w:webHidden/>
              </w:rPr>
              <w:instrText xml:space="preserve"> PAGEREF _Toc425524032 \h </w:instrText>
            </w:r>
            <w:r w:rsidR="00E76483">
              <w:rPr>
                <w:noProof/>
                <w:webHidden/>
              </w:rPr>
            </w:r>
            <w:r w:rsidR="00E76483">
              <w:rPr>
                <w:noProof/>
                <w:webHidden/>
              </w:rPr>
              <w:fldChar w:fldCharType="separate"/>
            </w:r>
            <w:r w:rsidR="00E76483">
              <w:rPr>
                <w:noProof/>
                <w:webHidden/>
              </w:rPr>
              <w:t>41</w:t>
            </w:r>
            <w:r w:rsidR="00E76483">
              <w:rPr>
                <w:noProof/>
                <w:webHidden/>
              </w:rPr>
              <w:fldChar w:fldCharType="end"/>
            </w:r>
          </w:hyperlink>
        </w:p>
        <w:p w14:paraId="3849AA93" w14:textId="77777777" w:rsidR="00E76483" w:rsidRDefault="00081807">
          <w:pPr>
            <w:pStyle w:val="TOC2"/>
            <w:tabs>
              <w:tab w:val="right" w:leader="dot" w:pos="8296"/>
            </w:tabs>
            <w:rPr>
              <w:b w:val="0"/>
              <w:noProof/>
              <w:lang w:eastAsia="nl-NL"/>
            </w:rPr>
          </w:pPr>
          <w:hyperlink w:anchor="_Toc425524033" w:history="1">
            <w:r w:rsidR="00E76483" w:rsidRPr="00BE31F3">
              <w:rPr>
                <w:rStyle w:val="Hyperlink"/>
                <w:noProof/>
              </w:rPr>
              <w:t>6.2 Conclusie en aanbeveling</w:t>
            </w:r>
            <w:r w:rsidR="00E76483">
              <w:rPr>
                <w:noProof/>
                <w:webHidden/>
              </w:rPr>
              <w:tab/>
            </w:r>
            <w:r w:rsidR="00E76483">
              <w:rPr>
                <w:noProof/>
                <w:webHidden/>
              </w:rPr>
              <w:fldChar w:fldCharType="begin"/>
            </w:r>
            <w:r w:rsidR="00E76483">
              <w:rPr>
                <w:noProof/>
                <w:webHidden/>
              </w:rPr>
              <w:instrText xml:space="preserve"> PAGEREF _Toc425524033 \h </w:instrText>
            </w:r>
            <w:r w:rsidR="00E76483">
              <w:rPr>
                <w:noProof/>
                <w:webHidden/>
              </w:rPr>
            </w:r>
            <w:r w:rsidR="00E76483">
              <w:rPr>
                <w:noProof/>
                <w:webHidden/>
              </w:rPr>
              <w:fldChar w:fldCharType="separate"/>
            </w:r>
            <w:r w:rsidR="00E76483">
              <w:rPr>
                <w:noProof/>
                <w:webHidden/>
              </w:rPr>
              <w:t>43</w:t>
            </w:r>
            <w:r w:rsidR="00E76483">
              <w:rPr>
                <w:noProof/>
                <w:webHidden/>
              </w:rPr>
              <w:fldChar w:fldCharType="end"/>
            </w:r>
          </w:hyperlink>
        </w:p>
        <w:p w14:paraId="7D21AE67" w14:textId="77777777" w:rsidR="00E76483" w:rsidRDefault="00081807">
          <w:pPr>
            <w:pStyle w:val="TOC1"/>
            <w:tabs>
              <w:tab w:val="right" w:leader="dot" w:pos="8296"/>
            </w:tabs>
            <w:rPr>
              <w:b w:val="0"/>
              <w:noProof/>
              <w:sz w:val="22"/>
              <w:szCs w:val="22"/>
              <w:lang w:eastAsia="nl-NL"/>
            </w:rPr>
          </w:pPr>
          <w:hyperlink w:anchor="_Toc425524034" w:history="1">
            <w:r w:rsidR="00E76483" w:rsidRPr="00BE31F3">
              <w:rPr>
                <w:rStyle w:val="Hyperlink"/>
                <w:noProof/>
              </w:rPr>
              <w:t>Bibliografie</w:t>
            </w:r>
            <w:r w:rsidR="00E76483">
              <w:rPr>
                <w:noProof/>
                <w:webHidden/>
              </w:rPr>
              <w:tab/>
            </w:r>
            <w:r w:rsidR="00E76483">
              <w:rPr>
                <w:noProof/>
                <w:webHidden/>
              </w:rPr>
              <w:fldChar w:fldCharType="begin"/>
            </w:r>
            <w:r w:rsidR="00E76483">
              <w:rPr>
                <w:noProof/>
                <w:webHidden/>
              </w:rPr>
              <w:instrText xml:space="preserve"> PAGEREF _Toc425524034 \h </w:instrText>
            </w:r>
            <w:r w:rsidR="00E76483">
              <w:rPr>
                <w:noProof/>
                <w:webHidden/>
              </w:rPr>
            </w:r>
            <w:r w:rsidR="00E76483">
              <w:rPr>
                <w:noProof/>
                <w:webHidden/>
              </w:rPr>
              <w:fldChar w:fldCharType="separate"/>
            </w:r>
            <w:r w:rsidR="00E76483">
              <w:rPr>
                <w:noProof/>
                <w:webHidden/>
              </w:rPr>
              <w:t>45</w:t>
            </w:r>
            <w:r w:rsidR="00E76483">
              <w:rPr>
                <w:noProof/>
                <w:webHidden/>
              </w:rPr>
              <w:fldChar w:fldCharType="end"/>
            </w:r>
          </w:hyperlink>
        </w:p>
        <w:p w14:paraId="102C9FEE" w14:textId="77777777" w:rsidR="00E76483" w:rsidRDefault="00081807">
          <w:pPr>
            <w:pStyle w:val="TOC1"/>
            <w:tabs>
              <w:tab w:val="right" w:leader="dot" w:pos="8296"/>
            </w:tabs>
            <w:rPr>
              <w:b w:val="0"/>
              <w:noProof/>
              <w:sz w:val="22"/>
              <w:szCs w:val="22"/>
              <w:lang w:eastAsia="nl-NL"/>
            </w:rPr>
          </w:pPr>
          <w:hyperlink w:anchor="_Toc425524035" w:history="1">
            <w:r w:rsidR="00E76483" w:rsidRPr="00BE31F3">
              <w:rPr>
                <w:rStyle w:val="Hyperlink"/>
                <w:noProof/>
              </w:rPr>
              <w:t>Bijlage</w:t>
            </w:r>
            <w:r w:rsidR="00E76483">
              <w:rPr>
                <w:noProof/>
                <w:webHidden/>
              </w:rPr>
              <w:tab/>
            </w:r>
            <w:r w:rsidR="00E76483">
              <w:rPr>
                <w:noProof/>
                <w:webHidden/>
              </w:rPr>
              <w:fldChar w:fldCharType="begin"/>
            </w:r>
            <w:r w:rsidR="00E76483">
              <w:rPr>
                <w:noProof/>
                <w:webHidden/>
              </w:rPr>
              <w:instrText xml:space="preserve"> PAGEREF _Toc425524035 \h </w:instrText>
            </w:r>
            <w:r w:rsidR="00E76483">
              <w:rPr>
                <w:noProof/>
                <w:webHidden/>
              </w:rPr>
            </w:r>
            <w:r w:rsidR="00E76483">
              <w:rPr>
                <w:noProof/>
                <w:webHidden/>
              </w:rPr>
              <w:fldChar w:fldCharType="separate"/>
            </w:r>
            <w:r w:rsidR="00E76483">
              <w:rPr>
                <w:noProof/>
                <w:webHidden/>
              </w:rPr>
              <w:t>46</w:t>
            </w:r>
            <w:r w:rsidR="00E76483">
              <w:rPr>
                <w:noProof/>
                <w:webHidden/>
              </w:rPr>
              <w:fldChar w:fldCharType="end"/>
            </w:r>
          </w:hyperlink>
        </w:p>
        <w:p w14:paraId="1B002057" w14:textId="77777777" w:rsidR="00E76483" w:rsidRDefault="00081807">
          <w:pPr>
            <w:pStyle w:val="TOC1"/>
            <w:tabs>
              <w:tab w:val="right" w:leader="dot" w:pos="8296"/>
            </w:tabs>
            <w:rPr>
              <w:b w:val="0"/>
              <w:noProof/>
              <w:sz w:val="22"/>
              <w:szCs w:val="22"/>
              <w:lang w:eastAsia="nl-NL"/>
            </w:rPr>
          </w:pPr>
          <w:hyperlink w:anchor="_Toc425524036" w:history="1">
            <w:r w:rsidR="00E76483" w:rsidRPr="00BE31F3">
              <w:rPr>
                <w:rStyle w:val="Hyperlink"/>
                <w:noProof/>
              </w:rPr>
              <w:t>Appendix</w:t>
            </w:r>
            <w:r w:rsidR="00E76483">
              <w:rPr>
                <w:noProof/>
                <w:webHidden/>
              </w:rPr>
              <w:tab/>
            </w:r>
            <w:r w:rsidR="00E76483">
              <w:rPr>
                <w:noProof/>
                <w:webHidden/>
              </w:rPr>
              <w:fldChar w:fldCharType="begin"/>
            </w:r>
            <w:r w:rsidR="00E76483">
              <w:rPr>
                <w:noProof/>
                <w:webHidden/>
              </w:rPr>
              <w:instrText xml:space="preserve"> PAGEREF _Toc425524036 \h </w:instrText>
            </w:r>
            <w:r w:rsidR="00E76483">
              <w:rPr>
                <w:noProof/>
                <w:webHidden/>
              </w:rPr>
            </w:r>
            <w:r w:rsidR="00E76483">
              <w:rPr>
                <w:noProof/>
                <w:webHidden/>
              </w:rPr>
              <w:fldChar w:fldCharType="separate"/>
            </w:r>
            <w:r w:rsidR="00E76483">
              <w:rPr>
                <w:noProof/>
                <w:webHidden/>
              </w:rPr>
              <w:t>58</w:t>
            </w:r>
            <w:r w:rsidR="00E76483">
              <w:rPr>
                <w:noProof/>
                <w:webHidden/>
              </w:rPr>
              <w:fldChar w:fldCharType="end"/>
            </w:r>
          </w:hyperlink>
        </w:p>
        <w:p w14:paraId="13C7B3BC" w14:textId="6EE569E4" w:rsidR="00E76483" w:rsidRDefault="00E76483">
          <w:r>
            <w:rPr>
              <w:b/>
              <w:bCs/>
              <w:noProof/>
            </w:rPr>
            <w:fldChar w:fldCharType="end"/>
          </w:r>
        </w:p>
      </w:sdtContent>
    </w:sdt>
    <w:p w14:paraId="25C90D4C" w14:textId="46CF0AFA" w:rsidR="00FA29FC" w:rsidRDefault="00FA29FC">
      <w:pPr>
        <w:rPr>
          <w:b/>
        </w:rPr>
      </w:pPr>
    </w:p>
    <w:p w14:paraId="1F5276A3" w14:textId="77777777" w:rsidR="00B10195" w:rsidRDefault="00B10195">
      <w:pPr>
        <w:rPr>
          <w:b/>
        </w:rPr>
      </w:pPr>
    </w:p>
    <w:p w14:paraId="399E000A" w14:textId="77777777" w:rsidR="00B10195" w:rsidRDefault="00B10195">
      <w:pPr>
        <w:rPr>
          <w:b/>
        </w:rPr>
      </w:pPr>
    </w:p>
    <w:p w14:paraId="7D745BA4" w14:textId="77777777" w:rsidR="00B10195" w:rsidRDefault="00B10195">
      <w:pPr>
        <w:rPr>
          <w:b/>
        </w:rPr>
      </w:pPr>
    </w:p>
    <w:p w14:paraId="73ECA4E0" w14:textId="77777777" w:rsidR="00B10195" w:rsidRDefault="00B10195">
      <w:pPr>
        <w:rPr>
          <w:b/>
        </w:rPr>
      </w:pPr>
    </w:p>
    <w:p w14:paraId="587E20C8" w14:textId="77777777" w:rsidR="00B10195" w:rsidRDefault="00B10195">
      <w:pPr>
        <w:rPr>
          <w:b/>
        </w:rPr>
      </w:pPr>
    </w:p>
    <w:p w14:paraId="79BC78C9" w14:textId="77777777" w:rsidR="00B10195" w:rsidRDefault="00B10195">
      <w:pPr>
        <w:rPr>
          <w:b/>
        </w:rPr>
      </w:pPr>
    </w:p>
    <w:p w14:paraId="4E72B8F2" w14:textId="77777777" w:rsidR="00B10195" w:rsidRDefault="00B10195">
      <w:pPr>
        <w:rPr>
          <w:b/>
        </w:rPr>
      </w:pPr>
    </w:p>
    <w:p w14:paraId="55F26028" w14:textId="77777777" w:rsidR="00B10195" w:rsidRDefault="00B10195">
      <w:pPr>
        <w:rPr>
          <w:b/>
        </w:rPr>
      </w:pPr>
    </w:p>
    <w:p w14:paraId="1B5C88A0" w14:textId="7D612F1E" w:rsidR="0093242B" w:rsidRDefault="00BA66CD" w:rsidP="009D69C6">
      <w:pPr>
        <w:pStyle w:val="Heading1"/>
      </w:pPr>
      <w:bookmarkStart w:id="1" w:name="_Toc425524002"/>
      <w:r>
        <w:lastRenderedPageBreak/>
        <w:t xml:space="preserve">Hoofdstuk 1: </w:t>
      </w:r>
      <w:r w:rsidR="000D35C2" w:rsidRPr="00BA7D9D">
        <w:t>Introductie</w:t>
      </w:r>
      <w:bookmarkEnd w:id="1"/>
    </w:p>
    <w:p w14:paraId="47F21573" w14:textId="342A1478" w:rsidR="00BA7D9D" w:rsidRPr="002173B0" w:rsidRDefault="00BA66CD" w:rsidP="002173B0">
      <w:pPr>
        <w:pStyle w:val="Heading2"/>
        <w:spacing w:line="360" w:lineRule="auto"/>
      </w:pPr>
      <w:bookmarkStart w:id="2" w:name="_Toc425524003"/>
      <w:r>
        <w:t>1.1 Inleiding</w:t>
      </w:r>
      <w:bookmarkEnd w:id="2"/>
    </w:p>
    <w:p w14:paraId="5E1D5733" w14:textId="0006220E" w:rsidR="009C7A8C" w:rsidRDefault="005B0C82" w:rsidP="006569B4">
      <w:pPr>
        <w:spacing w:line="360" w:lineRule="auto"/>
      </w:pPr>
      <w:r>
        <w:t>Het belangrijkste doel van een</w:t>
      </w:r>
      <w:r w:rsidR="00F12EA2" w:rsidRPr="00FD330E">
        <w:t xml:space="preserve"> jaarrekening is een betrouwbaar beeld geven van de op dat mo</w:t>
      </w:r>
      <w:r w:rsidR="00010BA6" w:rsidRPr="00FD330E">
        <w:t>ment financiële situatie van een onderneming</w:t>
      </w:r>
      <w:sdt>
        <w:sdtPr>
          <w:id w:val="-296986225"/>
          <w:citation/>
        </w:sdtPr>
        <w:sdtEndPr/>
        <w:sdtContent>
          <w:r w:rsidR="0088364D">
            <w:fldChar w:fldCharType="begin"/>
          </w:r>
          <w:r w:rsidR="0088364D">
            <w:rPr>
              <w:rFonts w:ascii="Times New Roman" w:hAnsi="Times New Roman"/>
            </w:rPr>
            <w:instrText xml:space="preserve"> CITATION EY14 \l 1043 </w:instrText>
          </w:r>
          <w:r w:rsidR="0088364D">
            <w:fldChar w:fldCharType="separate"/>
          </w:r>
          <w:r w:rsidR="00377801">
            <w:rPr>
              <w:rFonts w:ascii="Times New Roman" w:hAnsi="Times New Roman"/>
              <w:noProof/>
            </w:rPr>
            <w:t xml:space="preserve"> </w:t>
          </w:r>
          <w:r w:rsidR="00377801" w:rsidRPr="00377801">
            <w:rPr>
              <w:rFonts w:ascii="Times New Roman" w:hAnsi="Times New Roman"/>
              <w:noProof/>
            </w:rPr>
            <w:t>(EY, 2014)</w:t>
          </w:r>
          <w:r w:rsidR="0088364D">
            <w:fldChar w:fldCharType="end"/>
          </w:r>
        </w:sdtContent>
      </w:sdt>
      <w:r>
        <w:t>.</w:t>
      </w:r>
      <w:r w:rsidR="00F12EA2" w:rsidRPr="00FD330E">
        <w:t xml:space="preserve"> </w:t>
      </w:r>
      <w:r w:rsidR="00010BA6" w:rsidRPr="00FD330E">
        <w:t xml:space="preserve">Een belangrijk onderdeel van de financiële situatie is de ‘performance’ van een </w:t>
      </w:r>
      <w:r w:rsidR="009C7334" w:rsidRPr="00FD330E">
        <w:t>onderneming.</w:t>
      </w:r>
      <w:r w:rsidR="00010BA6" w:rsidRPr="00FD330E">
        <w:t xml:space="preserve"> Voor het begrip performance zijn meerdere interpretaties mogelijk en </w:t>
      </w:r>
      <w:r w:rsidR="009F29FB">
        <w:t xml:space="preserve">hiervoor bestaat </w:t>
      </w:r>
      <w:r w:rsidR="00010BA6" w:rsidRPr="00FD330E">
        <w:t xml:space="preserve">dan ook geen specifieke definitie. </w:t>
      </w:r>
      <w:r w:rsidR="009C7334" w:rsidRPr="00FD330E">
        <w:t>In het Nederlands komt het begrip ‘pre</w:t>
      </w:r>
      <w:r>
        <w:t>statie’ het dichtst in de buurt</w:t>
      </w:r>
      <w:r w:rsidR="009C7334" w:rsidRPr="00FD330E">
        <w:t xml:space="preserve"> </w:t>
      </w:r>
      <w:r w:rsidR="005B501F">
        <w:fldChar w:fldCharType="begin"/>
      </w:r>
      <w:r w:rsidR="005B501F">
        <w:instrText xml:space="preserve"> ADDIN EN.CITE &lt;EndNote&gt;&lt;Cite&gt;&lt;Author&gt;Brouwer&lt;/Author&gt;&lt;Year&gt;2007&lt;/Year&gt;&lt;RecNum&gt;10&lt;/RecNum&gt;&lt;DisplayText&gt;(Brouwer, 2007)&lt;/DisplayText&gt;&lt;record&gt;&lt;rec-number&gt;10&lt;/rec-number&gt;&lt;foreign-keys&gt;&lt;key app="EN" db-id="warezr50rtv9pne9vrl5v2z50zvrfrt52spx" timestamp="1433168158"&gt;10&lt;/key&gt;&lt;/foreign-keys&gt;&lt;ref-type name="Journal Article"&gt;17&lt;/ref-type&gt;&lt;contributors&gt;&lt;authors&gt;&lt;author&gt;Brouwer, A&lt;/author&gt;&lt;/authors&gt;&lt;/contributors&gt;&lt;titles&gt;&lt;title&gt;EXTERNE VERSLAGGEVING - Rapportage over prestaties in de Europesche Unie: Babylonische spraakverwarring?&lt;/title&gt;&lt;secondary-title&gt;Maandblad voor accountancy en bedrijfseconomie : MAB&lt;/secondary-title&gt;&lt;/titles&gt;&lt;periodical&gt;&lt;full-title&gt;Maandblad voor accountancy en bedrijfseconomie : MAB&lt;/full-title&gt;&lt;/periodical&gt;&lt;pages&gt;259-268&lt;/pages&gt;&lt;volume&gt;81&lt;/volume&gt;&lt;number&gt;6&lt;/number&gt;&lt;dates&gt;&lt;year&gt;2007&lt;/year&gt;&lt;/dates&gt;&lt;isbn&gt;0924-6304&lt;/isbn&gt;&lt;urls&gt;&lt;/urls&gt;&lt;custom1&gt;http://www.econbiz.de/Record/externe-verslaggeving-rapportage-over-prestaties-in-de-europesche-unie-babylonische-spraakverwarring-brouwer-arjan/10007747789&lt;/custom1&gt;&lt;remote-database-name&gt;EconBiz&lt;/remote-database-name&gt;&lt;/record&gt;&lt;/Cite&gt;&lt;/EndNote&gt;</w:instrText>
      </w:r>
      <w:r w:rsidR="005B501F">
        <w:fldChar w:fldCharType="separate"/>
      </w:r>
      <w:r w:rsidR="005B501F">
        <w:rPr>
          <w:noProof/>
        </w:rPr>
        <w:t>(Brouwer, 2007)</w:t>
      </w:r>
      <w:r w:rsidR="005B501F">
        <w:fldChar w:fldCharType="end"/>
      </w:r>
      <w:r>
        <w:t>.</w:t>
      </w:r>
      <w:r w:rsidR="006103F4">
        <w:t xml:space="preserve"> </w:t>
      </w:r>
      <w:r w:rsidR="00010BA6" w:rsidRPr="00FD330E">
        <w:t xml:space="preserve">Om de performance van een onderneming te bepalen wordt vooral gekeken naar </w:t>
      </w:r>
      <w:r w:rsidR="009C7334" w:rsidRPr="00FD330E">
        <w:t>zogenaamde prestatie-indicatoren. Hierin</w:t>
      </w:r>
      <w:r w:rsidR="00333487">
        <w:t xml:space="preserve"> </w:t>
      </w:r>
      <w:r w:rsidR="009C7334" w:rsidRPr="00FD330E">
        <w:t>is een onderscheid</w:t>
      </w:r>
      <w:r w:rsidR="004179B5" w:rsidRPr="00FD330E">
        <w:t xml:space="preserve"> te maken</w:t>
      </w:r>
      <w:r w:rsidR="009C7334" w:rsidRPr="00FD330E">
        <w:t xml:space="preserve"> </w:t>
      </w:r>
      <w:r w:rsidR="004179B5" w:rsidRPr="00FD330E">
        <w:t>tussen de prestatie-indicatoren voorgeschreven door de General Accepted Accounting Principles (GAAP) en de overige indicatoren</w:t>
      </w:r>
      <w:r w:rsidR="003A2AAE" w:rsidRPr="00FD330E">
        <w:t>. Deze overige indicatoren worden ook wel aangeduid als alternatieve financiële prestatie-indicatoren.</w:t>
      </w:r>
      <w:r w:rsidR="003D71C3" w:rsidRPr="00FD330E">
        <w:rPr>
          <w:rStyle w:val="FootnoteReference"/>
        </w:rPr>
        <w:footnoteReference w:id="1"/>
      </w:r>
      <w:r w:rsidR="003A2AAE" w:rsidRPr="00FD330E">
        <w:t xml:space="preserve"> </w:t>
      </w:r>
    </w:p>
    <w:p w14:paraId="783686C2" w14:textId="6CB6D1EC" w:rsidR="003A2AAE" w:rsidRPr="00FD330E" w:rsidRDefault="003A2AAE" w:rsidP="006569B4">
      <w:pPr>
        <w:spacing w:line="360" w:lineRule="auto"/>
      </w:pPr>
      <w:r w:rsidRPr="00FD330E">
        <w:t>Deze prestatie-indicatoren zijn vooral te vinden in de winst-en-ve</w:t>
      </w:r>
      <w:r w:rsidR="005B0C82">
        <w:t>rliesrekening en de toelichting</w:t>
      </w:r>
      <w:r w:rsidR="005B501F" w:rsidRPr="005B501F">
        <w:t xml:space="preserve"> </w:t>
      </w:r>
      <w:r w:rsidR="00123697">
        <w:fldChar w:fldCharType="begin"/>
      </w:r>
      <w:r w:rsidR="00123697">
        <w:instrText xml:space="preserve"> ADDIN EN.CITE &lt;EndNote&gt;&lt;Cite&gt;&lt;Author&gt;Knoops&lt;/Author&gt;&lt;Year&gt;2011&lt;/Year&gt;&lt;RecNum&gt;5&lt;/RecNum&gt;&lt;DisplayText&gt;(Knoops &amp;amp; Backhijs, 2011)&lt;/DisplayText&gt;&lt;record&gt;&lt;rec-number&gt;5&lt;/rec-number&gt;&lt;foreign-keys&gt;&lt;key app="EN" db-id="warezr50rtv9pne9vrl5v2z50zvrfrt52spx" timestamp="1432809691"&gt;5&lt;/key&gt;&lt;/foreign-keys&gt;&lt;ref-type name="Journal Article"&gt;17&lt;/ref-type&gt;&lt;contributors&gt;&lt;authors&gt;&lt;author&gt;Knoops, Chris&lt;/author&gt;&lt;author&gt;Backhijs, Jan&lt;/author&gt;&lt;/authors&gt;&lt;/contributors&gt;&lt;titles&gt;&lt;title&gt;Keuzes en alternatieven in de presentaties van de primaire overzichten onder IFRS&lt;/title&gt;&lt;secondary-title&gt;Maandblad voor accountancy en bedrijfseconomie: MAB&lt;/secondary-title&gt;&lt;/titles&gt;&lt;periodical&gt;&lt;full-title&gt;Maandblad voor accountancy en bedrijfseconomie: MAB&lt;/full-title&gt;&lt;/periodical&gt;&lt;pages&gt;589-609&lt;/pages&gt;&lt;volume&gt;85&lt;/volume&gt;&lt;number&gt;12&lt;/number&gt;&lt;dates&gt;&lt;year&gt;2011&lt;/year&gt;&lt;/dates&gt;&lt;isbn&gt;0924-6304&lt;/isbn&gt;&lt;urls&gt;&lt;/urls&gt;&lt;/record&gt;&lt;/Cite&gt;&lt;/EndNote&gt;</w:instrText>
      </w:r>
      <w:r w:rsidR="00123697">
        <w:fldChar w:fldCharType="separate"/>
      </w:r>
      <w:r w:rsidR="00123697">
        <w:rPr>
          <w:noProof/>
        </w:rPr>
        <w:t>(Knoops &amp; Backhijs, 2011)</w:t>
      </w:r>
      <w:r w:rsidR="00123697">
        <w:fldChar w:fldCharType="end"/>
      </w:r>
      <w:r w:rsidR="005B0C82">
        <w:t>.</w:t>
      </w:r>
      <w:r w:rsidR="009C7A8C">
        <w:t xml:space="preserve"> </w:t>
      </w:r>
      <w:r w:rsidR="00F81D16">
        <w:t>Ook in persberichten waarmee kwartaal- en halfjaarcijfers naar</w:t>
      </w:r>
      <w:r w:rsidR="00D9461B">
        <w:t xml:space="preserve"> buiten worden gebracht</w:t>
      </w:r>
      <w:r w:rsidR="00550C78">
        <w:t>,</w:t>
      </w:r>
      <w:r w:rsidR="00D9461B">
        <w:t xml:space="preserve"> wordt</w:t>
      </w:r>
      <w:r w:rsidR="00F81D16">
        <w:t xml:space="preserve"> gebruik gemaakt</w:t>
      </w:r>
      <w:r w:rsidR="00D9461B">
        <w:t xml:space="preserve"> van deze indicatoren</w:t>
      </w:r>
      <w:r w:rsidR="00F81D16">
        <w:t xml:space="preserve">. </w:t>
      </w:r>
    </w:p>
    <w:p w14:paraId="67575E8C" w14:textId="6BCC71EA" w:rsidR="00A80D7E" w:rsidRDefault="003D71C3" w:rsidP="006569B4">
      <w:pPr>
        <w:spacing w:line="360" w:lineRule="auto"/>
      </w:pPr>
      <w:r w:rsidRPr="00FD330E">
        <w:t>De</w:t>
      </w:r>
      <w:r w:rsidR="003A2AAE" w:rsidRPr="00FD330E">
        <w:t xml:space="preserve"> alternatieve </w:t>
      </w:r>
      <w:r w:rsidRPr="00FD330E">
        <w:t xml:space="preserve">indicator is een veelbesproken onderwerp. Dit omdat </w:t>
      </w:r>
      <w:r w:rsidR="00550C78">
        <w:t xml:space="preserve">er </w:t>
      </w:r>
      <w:r w:rsidR="00760551">
        <w:t>(nog)</w:t>
      </w:r>
      <w:r w:rsidR="00FD330E" w:rsidRPr="00FD330E">
        <w:t xml:space="preserve"> geen specifieke eisen bestaan waar deze indicatoren aan moeten voldoen. Dit maakt het</w:t>
      </w:r>
      <w:r w:rsidR="00E42B97">
        <w:t xml:space="preserve"> volgens Marseille &amp; Vergoossen</w:t>
      </w:r>
      <w:r w:rsidR="00FD330E" w:rsidRPr="00FD330E">
        <w:t xml:space="preserve"> voor ondernemers mogelijk om bedragen of bewerkingen van bedragen te verantwoorden die afwijken van de wet- en regelgeving</w:t>
      </w:r>
      <w:r w:rsidR="005B0C82">
        <w:t xml:space="preserve"> </w:t>
      </w:r>
      <w:r w:rsidR="00123697">
        <w:fldChar w:fldCharType="begin"/>
      </w:r>
      <w:r w:rsidR="00123697">
        <w:instrText xml:space="preserve"> ADDIN EN.CITE &lt;EndNote&gt;&lt;Cite&gt;&lt;Author&gt;Marseille&lt;/Author&gt;&lt;Year&gt;2005&lt;/Year&gt;&lt;RecNum&gt;4&lt;/RecNum&gt;&lt;DisplayText&gt;(Marseille &amp;amp; Vergoossen, 2005)&lt;/DisplayText&gt;&lt;record&gt;&lt;rec-number&gt;4&lt;/rec-number&gt;&lt;foreign-keys&gt;&lt;key app="EN" db-id="warezr50rtv9pne9vrl5v2z50zvrfrt52spx" timestamp="1432809425"&gt;4&lt;/key&gt;&lt;/foreign-keys&gt;&lt;ref-type name="Journal Article"&gt;17&lt;/ref-type&gt;&lt;contributors&gt;&lt;authors&gt;&lt;author&gt;Marseille, EA&lt;/author&gt;&lt;author&gt;Vergoossen, RGA&lt;/author&gt;&lt;/authors&gt;&lt;/contributors&gt;&lt;titles&gt;&lt;title&gt;Het gebruik van alternatieve financiële prestatie-indicatoren in persberichten&lt;/title&gt;&lt;secondary-title&gt;Maandblad voor Accountancy en Bedrijfseconomie&lt;/secondary-title&gt;&lt;/titles&gt;&lt;periodical&gt;&lt;full-title&gt;Maandblad voor Accountancy en Bedrijfseconomie&lt;/full-title&gt;&lt;/periodical&gt;&lt;pages&gt;196-205&lt;/pages&gt;&lt;volume&gt;79&lt;/volume&gt;&lt;number&gt;5&lt;/number&gt;&lt;dates&gt;&lt;year&gt;2005&lt;/year&gt;&lt;/dates&gt;&lt;isbn&gt;0924-6304&lt;/isbn&gt;&lt;urls&gt;&lt;/urls&gt;&lt;/record&gt;&lt;/Cite&gt;&lt;/EndNote&gt;</w:instrText>
      </w:r>
      <w:r w:rsidR="00123697">
        <w:fldChar w:fldCharType="separate"/>
      </w:r>
      <w:r w:rsidR="00123697">
        <w:rPr>
          <w:noProof/>
        </w:rPr>
        <w:t>(Marseille &amp; Vergoossen, 2005)</w:t>
      </w:r>
      <w:r w:rsidR="00123697">
        <w:fldChar w:fldCharType="end"/>
      </w:r>
      <w:r w:rsidR="005B0C82">
        <w:t>.</w:t>
      </w:r>
      <w:r w:rsidR="0043500E">
        <w:t xml:space="preserve"> </w:t>
      </w:r>
      <w:r w:rsidR="009661AB">
        <w:t>Het vermelden van de indicatoren kan dus voordelig z</w:t>
      </w:r>
      <w:r w:rsidR="000E5CD3">
        <w:t xml:space="preserve">ijn voor de gebruiker, mits de onderneming </w:t>
      </w:r>
      <w:r w:rsidR="005B0C82">
        <w:t>de informatie</w:t>
      </w:r>
      <w:r w:rsidR="00F5154C">
        <w:t xml:space="preserve"> getrouw weergeeft. Anderzijds</w:t>
      </w:r>
      <w:r w:rsidR="000E5CD3">
        <w:t xml:space="preserve"> is de kans aanwezig dat bedrijven misbruik make</w:t>
      </w:r>
      <w:r w:rsidR="006103F4">
        <w:t>n van het ontbreken van een wet-</w:t>
      </w:r>
      <w:r w:rsidR="00550C78">
        <w:t xml:space="preserve"> </w:t>
      </w:r>
      <w:r w:rsidR="000E5CD3">
        <w:t>en regelgeving en</w:t>
      </w:r>
      <w:r w:rsidR="006103F4">
        <w:t xml:space="preserve"> met behulp van deze indicatoren</w:t>
      </w:r>
      <w:r w:rsidR="000E5CD3">
        <w:t xml:space="preserve"> </w:t>
      </w:r>
      <w:r w:rsidR="00A80D7E">
        <w:t>een vertekend beeld geven</w:t>
      </w:r>
      <w:r w:rsidR="000E5CD3">
        <w:t xml:space="preserve"> </w:t>
      </w:r>
      <w:r w:rsidR="00F5154C">
        <w:t xml:space="preserve">voor </w:t>
      </w:r>
      <w:r w:rsidR="006103F4">
        <w:t>de gebruiker</w:t>
      </w:r>
      <w:r w:rsidR="000E5CD3">
        <w:t xml:space="preserve">. Daarom </w:t>
      </w:r>
      <w:r w:rsidR="00F81D16">
        <w:t>is het van belang dat</w:t>
      </w:r>
      <w:r w:rsidR="00F80002">
        <w:t xml:space="preserve"> eerst gekeken wordt naar welke bedrijven daadwerkelijk gebruik maken</w:t>
      </w:r>
      <w:r w:rsidR="00F81D16">
        <w:t xml:space="preserve"> van de alternatieve indicatoren.</w:t>
      </w:r>
      <w:r w:rsidR="00F80002">
        <w:t xml:space="preserve"> Vervolgens </w:t>
      </w:r>
      <w:r w:rsidR="00BA7A6B">
        <w:t>wordt</w:t>
      </w:r>
      <w:r w:rsidR="00F80002">
        <w:t xml:space="preserve"> hier dieper op ingegaan door te kijken naar de motieven </w:t>
      </w:r>
      <w:r w:rsidR="00BA7A6B">
        <w:t xml:space="preserve">en trends in het gebruik </w:t>
      </w:r>
      <w:r w:rsidR="00F80002">
        <w:t>van de alternatieve indicatoren.</w:t>
      </w:r>
    </w:p>
    <w:p w14:paraId="47C4F331" w14:textId="12A46D9A" w:rsidR="003A2B8E" w:rsidRPr="002173B0" w:rsidRDefault="00BA66CD" w:rsidP="002173B0">
      <w:pPr>
        <w:pStyle w:val="Heading2"/>
        <w:spacing w:line="360" w:lineRule="auto"/>
      </w:pPr>
      <w:bookmarkStart w:id="3" w:name="_Toc425524004"/>
      <w:r>
        <w:lastRenderedPageBreak/>
        <w:t xml:space="preserve">1.2 </w:t>
      </w:r>
      <w:r w:rsidR="000D35C2" w:rsidRPr="00BA7D9D">
        <w:t>Probleemstel</w:t>
      </w:r>
      <w:r w:rsidR="005519ED" w:rsidRPr="00BA7D9D">
        <w:t>ling &amp; Deelvr</w:t>
      </w:r>
      <w:r w:rsidR="003A2B8E" w:rsidRPr="00BA7D9D">
        <w:t>agen.</w:t>
      </w:r>
      <w:bookmarkEnd w:id="3"/>
    </w:p>
    <w:p w14:paraId="69B27557" w14:textId="3C8D76BB" w:rsidR="005519ED" w:rsidRDefault="005519ED" w:rsidP="006569B4">
      <w:pPr>
        <w:spacing w:line="360" w:lineRule="auto"/>
      </w:pPr>
      <w:r>
        <w:t>Om het onderzoek specifieker te maken word</w:t>
      </w:r>
      <w:r w:rsidR="00F5154C">
        <w:t>en in deze scriptie</w:t>
      </w:r>
      <w:r w:rsidR="00ED05B0">
        <w:t xml:space="preserve"> alleen</w:t>
      </w:r>
      <w:r w:rsidR="00031EF6">
        <w:t xml:space="preserve"> de 24 </w:t>
      </w:r>
      <w:r w:rsidR="00ED05B0">
        <w:t>grootste beursgenoteerde bedrijven in Nederland onderzocht</w:t>
      </w:r>
      <w:r w:rsidR="00F5154C">
        <w:t xml:space="preserve"> op het gebruik van de</w:t>
      </w:r>
      <w:r w:rsidR="00ED05B0">
        <w:t xml:space="preserve"> alternatieve</w:t>
      </w:r>
      <w:r w:rsidR="00F5154C">
        <w:t xml:space="preserve"> indicatoren in de verslaggeving</w:t>
      </w:r>
      <w:r>
        <w:t xml:space="preserve">. </w:t>
      </w:r>
      <w:r w:rsidR="00ED05B0">
        <w:t>De grootste beursgenoteerde bedrijven in Nederland staan genoteerd aan de AEX.</w:t>
      </w:r>
    </w:p>
    <w:p w14:paraId="7E4C82F0" w14:textId="7A7A4969" w:rsidR="00F81D16" w:rsidRDefault="00F81D16" w:rsidP="006569B4">
      <w:pPr>
        <w:spacing w:line="360" w:lineRule="auto"/>
      </w:pPr>
      <w:r>
        <w:t>De onderzoeksvraag luidt</w:t>
      </w:r>
      <w:r w:rsidR="00ED05B0">
        <w:t xml:space="preserve"> daarom</w:t>
      </w:r>
      <w:r>
        <w:t>:</w:t>
      </w:r>
    </w:p>
    <w:p w14:paraId="58482673" w14:textId="77777777" w:rsidR="00F81D16" w:rsidRDefault="00F81D16" w:rsidP="006569B4">
      <w:pPr>
        <w:spacing w:line="360" w:lineRule="auto"/>
      </w:pPr>
    </w:p>
    <w:p w14:paraId="62F7EDF4" w14:textId="7666670C" w:rsidR="00F81D16" w:rsidRDefault="00F80002" w:rsidP="006569B4">
      <w:pPr>
        <w:spacing w:line="360" w:lineRule="auto"/>
        <w:rPr>
          <w:i/>
        </w:rPr>
      </w:pPr>
      <w:r>
        <w:rPr>
          <w:i/>
        </w:rPr>
        <w:t xml:space="preserve">Welke </w:t>
      </w:r>
      <w:r w:rsidR="00ED05B0">
        <w:rPr>
          <w:i/>
        </w:rPr>
        <w:t xml:space="preserve">AEX </w:t>
      </w:r>
      <w:r>
        <w:rPr>
          <w:i/>
        </w:rPr>
        <w:t>beursgenoteerde bedrijven maken gebruik van alternatieve financiële prestatie-indicatoren?</w:t>
      </w:r>
    </w:p>
    <w:p w14:paraId="5C70A439" w14:textId="77777777" w:rsidR="005519ED" w:rsidRDefault="005519ED" w:rsidP="006569B4">
      <w:pPr>
        <w:spacing w:line="360" w:lineRule="auto"/>
        <w:rPr>
          <w:i/>
        </w:rPr>
      </w:pPr>
    </w:p>
    <w:p w14:paraId="6858FED7" w14:textId="6F5FD936" w:rsidR="005519ED" w:rsidRDefault="005519ED" w:rsidP="006569B4">
      <w:pPr>
        <w:spacing w:line="360" w:lineRule="auto"/>
      </w:pPr>
      <w:r>
        <w:t>Om deze onderzoeksvraag te beantwoorden wordt gebruik gemaakt van de volgende deelvragen:</w:t>
      </w:r>
    </w:p>
    <w:p w14:paraId="393559AB" w14:textId="77777777" w:rsidR="005519ED" w:rsidRDefault="005519ED" w:rsidP="006569B4">
      <w:pPr>
        <w:spacing w:line="360" w:lineRule="auto"/>
      </w:pPr>
    </w:p>
    <w:p w14:paraId="4EBDCD9C" w14:textId="77777777" w:rsidR="005519ED" w:rsidRDefault="005519ED" w:rsidP="006569B4">
      <w:pPr>
        <w:pStyle w:val="ListParagraph"/>
        <w:numPr>
          <w:ilvl w:val="0"/>
          <w:numId w:val="2"/>
        </w:numPr>
        <w:spacing w:line="360" w:lineRule="auto"/>
        <w:rPr>
          <w:i/>
        </w:rPr>
      </w:pPr>
      <w:r w:rsidRPr="005519ED">
        <w:rPr>
          <w:i/>
        </w:rPr>
        <w:t>Wat zijn (alternatieve) financiële prestatie-indicatoren?</w:t>
      </w:r>
    </w:p>
    <w:p w14:paraId="6285C75D" w14:textId="77777777" w:rsidR="003A2B8E" w:rsidRPr="003A2B8E" w:rsidRDefault="003A2B8E" w:rsidP="006569B4">
      <w:pPr>
        <w:pStyle w:val="ListParagraph"/>
        <w:spacing w:line="360" w:lineRule="auto"/>
        <w:rPr>
          <w:i/>
        </w:rPr>
      </w:pPr>
    </w:p>
    <w:p w14:paraId="413E37FE" w14:textId="0B196BAF" w:rsidR="005519ED" w:rsidRDefault="00F80002" w:rsidP="006569B4">
      <w:pPr>
        <w:pStyle w:val="ListParagraph"/>
        <w:numPr>
          <w:ilvl w:val="0"/>
          <w:numId w:val="2"/>
        </w:numPr>
        <w:spacing w:line="360" w:lineRule="auto"/>
        <w:rPr>
          <w:i/>
        </w:rPr>
      </w:pPr>
      <w:r>
        <w:rPr>
          <w:i/>
        </w:rPr>
        <w:t>Wat zijn de standpunten van regelgevende instanties ten opzichte van alternatieve financiële prestatie-indicatoren?</w:t>
      </w:r>
    </w:p>
    <w:p w14:paraId="4514C318" w14:textId="77777777" w:rsidR="00430E8B" w:rsidRPr="00430E8B" w:rsidRDefault="00430E8B" w:rsidP="006569B4">
      <w:pPr>
        <w:spacing w:line="360" w:lineRule="auto"/>
        <w:rPr>
          <w:i/>
        </w:rPr>
      </w:pPr>
    </w:p>
    <w:p w14:paraId="733EA389" w14:textId="48D66C78" w:rsidR="00430E8B" w:rsidRPr="00430E8B" w:rsidRDefault="00430E8B" w:rsidP="006569B4">
      <w:pPr>
        <w:spacing w:line="360" w:lineRule="auto"/>
      </w:pPr>
      <w:r>
        <w:t xml:space="preserve">Nadat </w:t>
      </w:r>
      <w:r w:rsidR="00F5154C">
        <w:t>onderzocht is</w:t>
      </w:r>
      <w:r>
        <w:t xml:space="preserve"> welke bedrijven daadwerkelijk gebruik maken van de alternatieve indicatoren </w:t>
      </w:r>
      <w:r w:rsidR="00F5154C">
        <w:t>worden</w:t>
      </w:r>
      <w:r>
        <w:t xml:space="preserve"> de volgende deelvragen</w:t>
      </w:r>
      <w:r w:rsidR="00F5154C">
        <w:t xml:space="preserve"> beantwoord</w:t>
      </w:r>
      <w:r>
        <w:t>:</w:t>
      </w:r>
    </w:p>
    <w:p w14:paraId="3114826F" w14:textId="77777777" w:rsidR="00E21189" w:rsidRPr="00E21189" w:rsidRDefault="00E21189" w:rsidP="006569B4">
      <w:pPr>
        <w:spacing w:line="360" w:lineRule="auto"/>
        <w:rPr>
          <w:i/>
        </w:rPr>
      </w:pPr>
    </w:p>
    <w:p w14:paraId="7ADC9B7C" w14:textId="08983AC1" w:rsidR="00E21189" w:rsidRDefault="00430E8B" w:rsidP="006569B4">
      <w:pPr>
        <w:pStyle w:val="ListParagraph"/>
        <w:numPr>
          <w:ilvl w:val="0"/>
          <w:numId w:val="2"/>
        </w:numPr>
        <w:spacing w:line="360" w:lineRule="auto"/>
        <w:rPr>
          <w:i/>
        </w:rPr>
      </w:pPr>
      <w:r>
        <w:rPr>
          <w:i/>
        </w:rPr>
        <w:t>Bestaat een trend in het gebruik van alternatieve financiële prestatie-indicatoren over de afgelopen jaren?</w:t>
      </w:r>
    </w:p>
    <w:p w14:paraId="7C45E8F7" w14:textId="77777777" w:rsidR="00B85971" w:rsidRPr="00B85971" w:rsidRDefault="00B85971" w:rsidP="006569B4">
      <w:pPr>
        <w:spacing w:line="360" w:lineRule="auto"/>
        <w:rPr>
          <w:i/>
        </w:rPr>
      </w:pPr>
    </w:p>
    <w:p w14:paraId="72AD717D" w14:textId="62EEA976" w:rsidR="00265E40" w:rsidRPr="007B28A3" w:rsidRDefault="00430E8B" w:rsidP="006569B4">
      <w:pPr>
        <w:pStyle w:val="ListParagraph"/>
        <w:numPr>
          <w:ilvl w:val="0"/>
          <w:numId w:val="2"/>
        </w:numPr>
        <w:spacing w:line="360" w:lineRule="auto"/>
        <w:rPr>
          <w:i/>
        </w:rPr>
      </w:pPr>
      <w:r>
        <w:rPr>
          <w:i/>
        </w:rPr>
        <w:t>Is er een verband tussen het gebruik van alternatieve financiële prestatie-indicatoren en de ‘Institutional Isomorphism theory’ van Dimaggio &amp; Powell?</w:t>
      </w:r>
    </w:p>
    <w:p w14:paraId="685FAF39" w14:textId="77777777" w:rsidR="00956EDE" w:rsidRDefault="00956EDE" w:rsidP="006569B4">
      <w:pPr>
        <w:spacing w:line="360" w:lineRule="auto"/>
      </w:pPr>
    </w:p>
    <w:p w14:paraId="408D3462" w14:textId="619F37BC" w:rsidR="005B501F" w:rsidRDefault="00B85971" w:rsidP="006569B4">
      <w:pPr>
        <w:spacing w:line="360" w:lineRule="auto"/>
      </w:pPr>
      <w:r>
        <w:t xml:space="preserve">Bij de vragen </w:t>
      </w:r>
      <w:r w:rsidR="00BA7A6B">
        <w:t>1 en 2</w:t>
      </w:r>
      <w:r w:rsidR="00E21189">
        <w:t xml:space="preserve"> </w:t>
      </w:r>
      <w:r w:rsidR="00F5154C">
        <w:t>wordt</w:t>
      </w:r>
      <w:r w:rsidR="00E21189">
        <w:t xml:space="preserve"> aan de hand van </w:t>
      </w:r>
      <w:r w:rsidR="00BA7A6B">
        <w:t>de huidige wet- en regelgeving en de visie van de regelgevende instan</w:t>
      </w:r>
      <w:r w:rsidR="00550C78">
        <w:t>ties bepaal</w:t>
      </w:r>
      <w:r w:rsidR="00BA7A6B">
        <w:t>d wat de alternatieve indicatoren precies zijn en hoe met de alternatieve indicatoren wordt omgegaan door de regelgevende instanties</w:t>
      </w:r>
      <w:r w:rsidR="00E21189">
        <w:t xml:space="preserve">. </w:t>
      </w:r>
      <w:r w:rsidR="00BA7A6B">
        <w:t>Voor vra</w:t>
      </w:r>
      <w:r w:rsidR="00430E8B">
        <w:t>g</w:t>
      </w:r>
      <w:r w:rsidR="00BA7A6B">
        <w:t>en</w:t>
      </w:r>
      <w:r w:rsidR="00430E8B">
        <w:t xml:space="preserve"> 3 en 4 is het van belang dat eerst bepaald is welke bedrijven gebruik maken van de alternatieve indicatoren</w:t>
      </w:r>
      <w:r w:rsidR="00BA7A6B">
        <w:t xml:space="preserve">. Vervolgens </w:t>
      </w:r>
      <w:r w:rsidR="00BA7A6B">
        <w:lastRenderedPageBreak/>
        <w:t xml:space="preserve">worden vergelijkingen gemaakt tussen de gebruikte indicatoren van bedrijven in 2014 en de voorgaande jaren. </w:t>
      </w:r>
      <w:r w:rsidR="00430E8B">
        <w:t xml:space="preserve"> </w:t>
      </w:r>
      <w:r w:rsidR="00BA7A6B">
        <w:t>Voor</w:t>
      </w:r>
      <w:r w:rsidR="006E340D">
        <w:t xml:space="preserve"> vraag 4 moet eerst worden onderzocht</w:t>
      </w:r>
      <w:r w:rsidR="00430E8B">
        <w:t xml:space="preserve"> wat de motieven zijn</w:t>
      </w:r>
      <w:r w:rsidR="006E340D">
        <w:t xml:space="preserve"> voor het gebruik van de alternatieve indicatoren</w:t>
      </w:r>
      <w:r w:rsidR="00430E8B">
        <w:t xml:space="preserve">. Bij vraag 4 </w:t>
      </w:r>
      <w:r w:rsidR="00F5154C">
        <w:t>wordt</w:t>
      </w:r>
      <w:r w:rsidR="00430E8B">
        <w:t xml:space="preserve"> </w:t>
      </w:r>
      <w:r w:rsidR="00F5154C">
        <w:t xml:space="preserve">een verband </w:t>
      </w:r>
      <w:r w:rsidR="00430E8B">
        <w:t xml:space="preserve">gelegd tussen </w:t>
      </w:r>
      <w:r w:rsidR="00DC5042">
        <w:t xml:space="preserve">het gebruik van de alternatieve indicatoren </w:t>
      </w:r>
      <w:r w:rsidR="00430E8B">
        <w:t xml:space="preserve">en de </w:t>
      </w:r>
      <w:r w:rsidR="00B10195">
        <w:t>theorie van het institutioneel isomorfisme</w:t>
      </w:r>
      <w:r w:rsidR="00430E8B">
        <w:t xml:space="preserve"> van Dimaggio &amp; Powell.</w:t>
      </w:r>
      <w:r w:rsidR="005B501F">
        <w:t xml:space="preserve"> </w:t>
      </w:r>
      <w:r w:rsidR="00123697">
        <w:fldChar w:fldCharType="begin"/>
      </w:r>
      <w:r w:rsidR="00123697">
        <w:instrText xml:space="preserve"> ADDIN EN.CITE &lt;EndNote&gt;&lt;Cite&gt;&lt;Author&gt;DiMaggio&lt;/Author&gt;&lt;Year&gt;1983&lt;/Year&gt;&lt;RecNum&gt;11&lt;/RecNum&gt;&lt;DisplayText&gt;(DiMaggio &amp;amp; Powell, 1983)&lt;/DisplayText&gt;&lt;record&gt;&lt;rec-number&gt;11&lt;/rec-number&gt;&lt;foreign-keys&gt;&lt;key app="EN" db-id="warezr50rtv9pne9vrl5v2z50zvrfrt52spx" timestamp="1433168256"&gt;11&lt;/key&gt;&lt;/foreign-keys&gt;&lt;ref-type name="Journal Article"&gt;17&lt;/ref-type&gt;&lt;contributors&gt;&lt;authors&gt;&lt;author&gt;DiMaggio, Paul J.&lt;/author&gt;&lt;author&gt;Powell, Walter W.&lt;/author&gt;&lt;/authors&gt;&lt;/contributors&gt;&lt;titles&gt;&lt;title&gt;The Iron Cage Revisited: Institutional Isomorphism and Collective Rationality in Organizational Fields&lt;/title&gt;&lt;secondary-title&gt;American Sociological Review&lt;/secondary-title&gt;&lt;/titles&gt;&lt;periodical&gt;&lt;full-title&gt;American Sociological Review&lt;/full-title&gt;&lt;/periodical&gt;&lt;pages&gt;147-160&lt;/pages&gt;&lt;volume&gt;48&lt;/volume&gt;&lt;number&gt;2&lt;/number&gt;&lt;dates&gt;&lt;year&gt;1983&lt;/year&gt;&lt;/dates&gt;&lt;publisher&gt;American Sociological Association&lt;/publisher&gt;&lt;isbn&gt;00031224&lt;/isbn&gt;&lt;urls&gt;&lt;related-urls&gt;&lt;url&gt;http://www.jstor.org/stable/2095101&lt;/url&gt;&lt;/related-urls&gt;&lt;/urls&gt;&lt;electronic-resource-num&gt;10.2307/2095101&lt;/electronic-resource-num&gt;&lt;/record&gt;&lt;/Cite&gt;&lt;/EndNote&gt;</w:instrText>
      </w:r>
      <w:r w:rsidR="00123697">
        <w:fldChar w:fldCharType="separate"/>
      </w:r>
      <w:r w:rsidR="00123697">
        <w:rPr>
          <w:noProof/>
        </w:rPr>
        <w:t>(DiMaggio &amp; Powell, 1983)</w:t>
      </w:r>
      <w:r w:rsidR="00123697">
        <w:fldChar w:fldCharType="end"/>
      </w:r>
    </w:p>
    <w:p w14:paraId="38E60EF1" w14:textId="490D5E9F" w:rsidR="003A2B8E" w:rsidRDefault="00BA66CD" w:rsidP="002173B0">
      <w:pPr>
        <w:pStyle w:val="Heading2"/>
        <w:spacing w:line="360" w:lineRule="auto"/>
      </w:pPr>
      <w:bookmarkStart w:id="4" w:name="_Toc425524005"/>
      <w:r>
        <w:t xml:space="preserve">1.3 </w:t>
      </w:r>
      <w:r w:rsidR="003A2B8E" w:rsidRPr="00BA7D9D">
        <w:t>Doelstelling en structuur.</w:t>
      </w:r>
      <w:bookmarkEnd w:id="4"/>
    </w:p>
    <w:p w14:paraId="371F0BA8" w14:textId="68827483" w:rsidR="003A2B8E" w:rsidRDefault="003A2B8E" w:rsidP="006569B4">
      <w:pPr>
        <w:spacing w:line="360" w:lineRule="auto"/>
      </w:pPr>
      <w:r>
        <w:t>De doelstelling</w:t>
      </w:r>
      <w:r w:rsidR="0036308D">
        <w:t xml:space="preserve"> van het onderzoek</w:t>
      </w:r>
      <w:r>
        <w:t xml:space="preserve"> is om de invloed van de alternatieve financiële prestatie-indicatoren weer te geven</w:t>
      </w:r>
      <w:r w:rsidR="0036308D">
        <w:t>.</w:t>
      </w:r>
      <w:r>
        <w:t xml:space="preserve"> </w:t>
      </w:r>
      <w:r w:rsidR="0036308D">
        <w:t>O</w:t>
      </w:r>
      <w:r>
        <w:t xml:space="preserve">p basis </w:t>
      </w:r>
      <w:r w:rsidR="0036308D">
        <w:t>hier</w:t>
      </w:r>
      <w:r>
        <w:t xml:space="preserve">van </w:t>
      </w:r>
      <w:r w:rsidR="0036308D">
        <w:t>kan worden geconcludeerd</w:t>
      </w:r>
      <w:r>
        <w:t xml:space="preserve"> of er meer aandacht aan moet worden besteed</w:t>
      </w:r>
      <w:r w:rsidR="0036308D">
        <w:t>t</w:t>
      </w:r>
      <w:r>
        <w:t xml:space="preserve"> door </w:t>
      </w:r>
      <w:r w:rsidR="00A80D7E">
        <w:t>de regelgevende ins</w:t>
      </w:r>
      <w:r w:rsidR="00F5154C">
        <w:t>tanties. E</w:t>
      </w:r>
      <w:r>
        <w:t xml:space="preserve">en aanbeveling of deze alternatieve indicatoren alternatief moeten blijven of </w:t>
      </w:r>
      <w:r w:rsidR="00F5154C">
        <w:t>dat ze op moeten worden genomen in de regelgeving volgt als conclusie</w:t>
      </w:r>
      <w:r>
        <w:t xml:space="preserve">. </w:t>
      </w:r>
    </w:p>
    <w:p w14:paraId="3D0F007A" w14:textId="6151140D" w:rsidR="003A2B8E" w:rsidRDefault="003A51A7" w:rsidP="002173B0">
      <w:pPr>
        <w:spacing w:line="360" w:lineRule="auto"/>
      </w:pPr>
      <w:r>
        <w:t>In de eerste hoofdstukken</w:t>
      </w:r>
      <w:r w:rsidR="006E340D">
        <w:t xml:space="preserve"> wordt het</w:t>
      </w:r>
      <w:r>
        <w:t xml:space="preserve"> </w:t>
      </w:r>
      <w:r w:rsidR="006E340D">
        <w:t>theoretisch kader</w:t>
      </w:r>
      <w:r>
        <w:t xml:space="preserve"> </w:t>
      </w:r>
      <w:r w:rsidR="006E340D">
        <w:t>vastgesteld</w:t>
      </w:r>
      <w:r>
        <w:t>. Alleree</w:t>
      </w:r>
      <w:r w:rsidR="006E340D">
        <w:t>r</w:t>
      </w:r>
      <w:r>
        <w:t>st d</w:t>
      </w:r>
      <w:r w:rsidR="006E340D">
        <w:t xml:space="preserve">e definities van de begrippen, </w:t>
      </w:r>
      <w:r>
        <w:t>vervolgens</w:t>
      </w:r>
      <w:r w:rsidR="006E340D">
        <w:t xml:space="preserve"> het institutioneel isomorfisme en</w:t>
      </w:r>
      <w:r>
        <w:t xml:space="preserve"> de huidige situaties </w:t>
      </w:r>
      <w:r w:rsidR="006E340D">
        <w:t>van</w:t>
      </w:r>
      <w:r>
        <w:t xml:space="preserve"> </w:t>
      </w:r>
      <w:r w:rsidR="006E340D">
        <w:t xml:space="preserve">de alternatieve indicatoren met betrekking tot </w:t>
      </w:r>
      <w:r>
        <w:t>de regelgeving en regelgevende instanties. In de daaropvolgende</w:t>
      </w:r>
      <w:r w:rsidR="00F5154C">
        <w:t xml:space="preserve"> hoofdstukken wordt</w:t>
      </w:r>
      <w:r>
        <w:t xml:space="preserve"> de praktijk</w:t>
      </w:r>
      <w:r w:rsidR="00F5154C">
        <w:t xml:space="preserve"> onderzocht</w:t>
      </w:r>
      <w:r>
        <w:t xml:space="preserve">. </w:t>
      </w:r>
      <w:r w:rsidR="006A363C">
        <w:t xml:space="preserve">Aan de hand van jaarrekeningen zal blijken </w:t>
      </w:r>
      <w:r w:rsidR="00005181">
        <w:t>of</w:t>
      </w:r>
      <w:r w:rsidR="006A363C">
        <w:t xml:space="preserve"> de alternatieve indicatoren daadwerkelijk gebruikt worden door de </w:t>
      </w:r>
      <w:r w:rsidR="00B60E51">
        <w:t xml:space="preserve">aan de AEX </w:t>
      </w:r>
      <w:r w:rsidR="006A363C">
        <w:t>genoteerde bedrijven. Vervolgens wordt dieper ingegaan op het gebruik v</w:t>
      </w:r>
      <w:r w:rsidR="00005181">
        <w:t xml:space="preserve">an de alternatieve indicatoren door te kijken of een </w:t>
      </w:r>
      <w:r w:rsidR="00005181" w:rsidRPr="006E340D">
        <w:t>trend bestaat in het gebruik over de laatste jaren en word</w:t>
      </w:r>
      <w:r w:rsidR="00DC5042" w:rsidRPr="006E340D">
        <w:t xml:space="preserve">t </w:t>
      </w:r>
      <w:r w:rsidR="00005181" w:rsidRPr="006E340D">
        <w:t xml:space="preserve">het gebruik bekeken aan de hand van </w:t>
      </w:r>
      <w:r w:rsidR="00B10195" w:rsidRPr="006E340D">
        <w:t>het institutioneel isomorfisme</w:t>
      </w:r>
      <w:r w:rsidR="00377801" w:rsidRPr="006E340D">
        <w:t xml:space="preserve"> van Dimaggio &amp; Powel </w:t>
      </w:r>
      <w:r w:rsidR="005B501F" w:rsidRPr="006E340D">
        <w:fldChar w:fldCharType="begin"/>
      </w:r>
      <w:r w:rsidR="005B501F" w:rsidRPr="006E340D">
        <w:instrText xml:space="preserve"> ADDIN EN.CITE &lt;EndNote&gt;&lt;Cite&gt;&lt;Author&gt;DiMaggio&lt;/Author&gt;&lt;Year&gt;1983&lt;/Year&gt;&lt;RecNum&gt;11&lt;/RecNum&gt;&lt;DisplayText&gt;(DiMaggio &amp;amp; Powell, 1983)&lt;/DisplayText&gt;&lt;record&gt;&lt;rec-number&gt;11&lt;/rec-number&gt;&lt;foreign-keys&gt;&lt;key app="EN" db-id="warezr50rtv9pne9vrl5v2z50zvrfrt52spx" timestamp="1433168256"&gt;11&lt;/key&gt;&lt;/foreign-keys&gt;&lt;ref-type name="Journal Article"&gt;17&lt;/ref-type&gt;&lt;contributors&gt;&lt;authors&gt;&lt;author&gt;DiMaggio, Paul J.&lt;/author&gt;&lt;author&gt;Powell, Walter W.&lt;/author&gt;&lt;/authors&gt;&lt;/contributors&gt;&lt;titles&gt;&lt;title&gt;The Iron Cage Revisited: Institutional Isomorphism and Collective Rationality in Organizational Fields&lt;/title&gt;&lt;secondary-title&gt;American Sociological Review&lt;/secondary-title&gt;&lt;/titles&gt;&lt;periodical&gt;&lt;full-title&gt;American Sociological Review&lt;/full-title&gt;&lt;/periodical&gt;&lt;pages&gt;147-160&lt;/pages&gt;&lt;volume&gt;48&lt;/volume&gt;&lt;number&gt;2&lt;/number&gt;&lt;dates&gt;&lt;year&gt;1983&lt;/year&gt;&lt;/dates&gt;&lt;publisher&gt;American Sociological Association&lt;/publisher&gt;&lt;isbn&gt;00031224&lt;/isbn&gt;&lt;urls&gt;&lt;related-urls&gt;&lt;url&gt;http://www.jstor.org/stable/2095101&lt;/url&gt;&lt;/related-urls&gt;&lt;/urls&gt;&lt;electronic-resource-num&gt;10.2307/2095101&lt;/electronic-resource-num&gt;&lt;/record&gt;&lt;/Cite&gt;&lt;/EndNote&gt;</w:instrText>
      </w:r>
      <w:r w:rsidR="005B501F" w:rsidRPr="006E340D">
        <w:fldChar w:fldCharType="separate"/>
      </w:r>
      <w:r w:rsidR="005B501F" w:rsidRPr="006E340D">
        <w:rPr>
          <w:noProof/>
        </w:rPr>
        <w:t>(DiMaggio &amp; Powell, 1983)</w:t>
      </w:r>
      <w:r w:rsidR="005B501F" w:rsidRPr="006E340D">
        <w:fldChar w:fldCharType="end"/>
      </w:r>
      <w:r w:rsidR="005B501F" w:rsidRPr="006E340D">
        <w:t>.</w:t>
      </w:r>
      <w:r w:rsidR="00F5154C" w:rsidRPr="006E340D">
        <w:t xml:space="preserve"> </w:t>
      </w:r>
      <w:r w:rsidR="006A363C" w:rsidRPr="006E340D">
        <w:t>Als laatst</w:t>
      </w:r>
      <w:r w:rsidR="00F5154C" w:rsidRPr="006E340D">
        <w:t>e</w:t>
      </w:r>
      <w:r w:rsidR="006A363C" w:rsidRPr="006E340D">
        <w:t xml:space="preserve"> </w:t>
      </w:r>
      <w:r w:rsidR="00F5154C" w:rsidRPr="006E340D">
        <w:t xml:space="preserve">volgt de </w:t>
      </w:r>
      <w:r w:rsidR="00005181" w:rsidRPr="006E340D">
        <w:t>conclusie.</w:t>
      </w:r>
    </w:p>
    <w:p w14:paraId="50756ABD" w14:textId="6E949902" w:rsidR="00BA7D9D" w:rsidRDefault="00BA66CD" w:rsidP="002173B0">
      <w:pPr>
        <w:pStyle w:val="Heading2"/>
        <w:spacing w:line="360" w:lineRule="auto"/>
      </w:pPr>
      <w:bookmarkStart w:id="5" w:name="_Toc425524006"/>
      <w:r>
        <w:t xml:space="preserve">1.4 </w:t>
      </w:r>
      <w:r w:rsidR="00BA7D9D" w:rsidRPr="00BA7D9D">
        <w:t>Relevantie voor de praktijk en het vakgebied</w:t>
      </w:r>
      <w:bookmarkEnd w:id="5"/>
    </w:p>
    <w:p w14:paraId="438CAA01" w14:textId="520172B4" w:rsidR="00BA7D9D" w:rsidRDefault="00BA7D9D" w:rsidP="006569B4">
      <w:pPr>
        <w:spacing w:line="360" w:lineRule="auto"/>
      </w:pPr>
      <w:r>
        <w:t>Zoals in de introductie</w:t>
      </w:r>
      <w:r w:rsidR="006E340D">
        <w:t xml:space="preserve"> is</w:t>
      </w:r>
      <w:r>
        <w:t xml:space="preserve"> vermeld</w:t>
      </w:r>
      <w:r w:rsidR="006E340D">
        <w:t>,</w:t>
      </w:r>
      <w:r>
        <w:t xml:space="preserve"> is het doel van de externe verslaggeving een zo transparant en betrouwbaar mogelijk beeld te geven van de onderneming. </w:t>
      </w:r>
      <w:r w:rsidR="00DD678B">
        <w:t>Om dit te reguleren zijn regels en standaarden opgesteld door bijvoorbeeld de IASB</w:t>
      </w:r>
      <w:r w:rsidR="00E766E8">
        <w:t xml:space="preserve"> met als doel het ontwikkelen van één set internationaal geaccepteerde verslaggevingsregels</w:t>
      </w:r>
      <w:r w:rsidR="005B501F">
        <w:t xml:space="preserve"> </w:t>
      </w:r>
      <w:r w:rsidR="005B501F">
        <w:fldChar w:fldCharType="begin"/>
      </w:r>
      <w:r w:rsidR="005B501F">
        <w:instrText xml:space="preserve"> ADDIN EN.CITE &lt;EndNote&gt;&lt;Cite&gt;&lt;Author&gt;IASB&lt;/Author&gt;&lt;Year&gt;2015&lt;/Year&gt;&lt;RecNum&gt;12&lt;/RecNum&gt;&lt;DisplayText&gt;(IASB, 2015)&lt;/DisplayText&gt;&lt;record&gt;&lt;rec-number&gt;12&lt;/rec-number&gt;&lt;foreign-keys&gt;&lt;key app="EN" db-id="warezr50rtv9pne9vrl5v2z50zvrfrt52spx" timestamp="1433169032"&gt;12&lt;/key&gt;&lt;/foreign-keys&gt;&lt;ref-type name="Web Page"&gt;12&lt;/ref-type&gt;&lt;contributors&gt;&lt;authors&gt;&lt;author&gt;IASB&lt;/author&gt;&lt;/authors&gt;&lt;secondary-authors&gt;&lt;author&gt;Website of the IFRS foundation and the IASB&lt;/author&gt;&lt;/secondary-authors&gt;&lt;/contributors&gt;&lt;titles&gt;&lt;title&gt;About the IFRS Foundation and the IASB&lt;/title&gt;&lt;/titles&gt;&lt;volume&gt;2015&lt;/volume&gt;&lt;number&gt;April&lt;/number&gt;&lt;dates&gt;&lt;year&gt;2015&lt;/year&gt;&lt;/dates&gt;&lt;urls&gt;&lt;related-urls&gt;&lt;url&gt;http://www.ifrs.org/About-us/Pages/IFRS-Foundation-and-IASB.aspx&lt;/url&gt;&lt;/related-urls&gt;&lt;/urls&gt;&lt;/record&gt;&lt;/Cite&gt;&lt;/EndNote&gt;</w:instrText>
      </w:r>
      <w:r w:rsidR="005B501F">
        <w:fldChar w:fldCharType="separate"/>
      </w:r>
      <w:r w:rsidR="005B501F">
        <w:rPr>
          <w:noProof/>
        </w:rPr>
        <w:t>(IASB, 2015)</w:t>
      </w:r>
      <w:r w:rsidR="005B501F">
        <w:fldChar w:fldCharType="end"/>
      </w:r>
      <w:r w:rsidR="005B501F">
        <w:t xml:space="preserve">. </w:t>
      </w:r>
      <w:r w:rsidR="00A80D7E">
        <w:t>Toch zijn deze regelgevingen</w:t>
      </w:r>
      <w:r w:rsidR="00DD678B">
        <w:t xml:space="preserve"> niet perfect, waardoor de nodige discussie aanwezig is betreffende de verwerking van verscheidene onderwerpen. In dit geval zijn dat de prestatie-indicatoren. Een </w:t>
      </w:r>
      <w:r w:rsidR="00DD678B">
        <w:lastRenderedPageBreak/>
        <w:t>aantal zijn verplicht volgens de General Accepted Accounting Principles (GAAP). Hierbuiten bestaan echter talloze niet verplichte prestatie-indicatoren</w:t>
      </w:r>
      <w:r w:rsidR="00F9478D">
        <w:t>,</w:t>
      </w:r>
      <w:r w:rsidR="00DD678B">
        <w:t xml:space="preserve"> die</w:t>
      </w:r>
      <w:r w:rsidR="00E766E8">
        <w:t xml:space="preserve"> mits de juiste verwerking</w:t>
      </w:r>
      <w:r w:rsidR="00F9478D">
        <w:t>,</w:t>
      </w:r>
      <w:r w:rsidR="00E766E8">
        <w:t xml:space="preserve"> van belang kunnen zijn. </w:t>
      </w:r>
    </w:p>
    <w:p w14:paraId="5958493B" w14:textId="55BECB73" w:rsidR="00544097" w:rsidRDefault="00E766E8" w:rsidP="006569B4">
      <w:pPr>
        <w:spacing w:line="360" w:lineRule="auto"/>
      </w:pPr>
      <w:r>
        <w:t>Om het doel van de IASB te bereiken moeten deze alternatieve financiële prestati</w:t>
      </w:r>
      <w:r w:rsidR="00A80D7E">
        <w:t>e-indicatoren</w:t>
      </w:r>
      <w:r>
        <w:t xml:space="preserve"> ook in beschouwing worden genomen. Door de invloed van deze indicatoren aan het licht te brengen wordt duidelijk of hier meer aandacht aan besteed moet worden en op welke manier.</w:t>
      </w:r>
    </w:p>
    <w:p w14:paraId="62B1CB0E" w14:textId="138FE002" w:rsidR="00F536EF" w:rsidRPr="002173B0" w:rsidRDefault="00BA66CD" w:rsidP="002173B0">
      <w:pPr>
        <w:pStyle w:val="Heading2"/>
        <w:spacing w:line="360" w:lineRule="auto"/>
      </w:pPr>
      <w:bookmarkStart w:id="6" w:name="_Toc425524007"/>
      <w:r>
        <w:t xml:space="preserve">1.5 </w:t>
      </w:r>
      <w:r w:rsidR="00F536EF">
        <w:t>Methode van onderzoek</w:t>
      </w:r>
      <w:bookmarkEnd w:id="6"/>
    </w:p>
    <w:p w14:paraId="59C7D31E" w14:textId="4CF30DD9" w:rsidR="00F536EF" w:rsidRPr="00F536EF" w:rsidRDefault="00F536EF" w:rsidP="006569B4">
      <w:pPr>
        <w:spacing w:line="360" w:lineRule="auto"/>
      </w:pPr>
      <w:r>
        <w:t xml:space="preserve">Het onderzoek is </w:t>
      </w:r>
      <w:r w:rsidR="004E502F">
        <w:t xml:space="preserve">theoretisch </w:t>
      </w:r>
      <w:r w:rsidR="00D5194D">
        <w:t xml:space="preserve">met een empirisch deel </w:t>
      </w:r>
      <w:r w:rsidR="004E502F">
        <w:t>op basis van</w:t>
      </w:r>
      <w:r w:rsidR="00D5194D">
        <w:t xml:space="preserve"> de data uit de verslaggeving. </w:t>
      </w:r>
      <w:r w:rsidR="004E502F">
        <w:t>De beschrijving van de bestaande literatuur over dit onderwerp geeft het kader voor het onderzoek. Uit de resultaten van het onderzoek en het antwoord op de onderzoeksvraag volgt de conclusie.</w:t>
      </w:r>
    </w:p>
    <w:p w14:paraId="76A77684" w14:textId="77777777" w:rsidR="009C7334" w:rsidRDefault="009C7334" w:rsidP="006569B4">
      <w:pPr>
        <w:spacing w:line="360" w:lineRule="auto"/>
      </w:pPr>
    </w:p>
    <w:p w14:paraId="5DB70576" w14:textId="77777777" w:rsidR="00F5154C" w:rsidRDefault="00F5154C" w:rsidP="006569B4">
      <w:pPr>
        <w:spacing w:line="360" w:lineRule="auto"/>
      </w:pPr>
    </w:p>
    <w:p w14:paraId="60A2CFEE" w14:textId="77777777" w:rsidR="00B10195" w:rsidRDefault="00B10195" w:rsidP="006569B4">
      <w:pPr>
        <w:spacing w:line="360" w:lineRule="auto"/>
      </w:pPr>
    </w:p>
    <w:p w14:paraId="610FBCFE" w14:textId="77777777" w:rsidR="00B10195" w:rsidRDefault="00B10195" w:rsidP="006569B4">
      <w:pPr>
        <w:spacing w:line="360" w:lineRule="auto"/>
      </w:pPr>
    </w:p>
    <w:p w14:paraId="33D24CD1" w14:textId="77777777" w:rsidR="00B10195" w:rsidRDefault="00B10195" w:rsidP="006569B4">
      <w:pPr>
        <w:spacing w:line="360" w:lineRule="auto"/>
      </w:pPr>
    </w:p>
    <w:p w14:paraId="25D9C106" w14:textId="77777777" w:rsidR="00B10195" w:rsidRDefault="00B10195" w:rsidP="006569B4">
      <w:pPr>
        <w:spacing w:line="360" w:lineRule="auto"/>
      </w:pPr>
    </w:p>
    <w:p w14:paraId="2DCEC784" w14:textId="77777777" w:rsidR="00B10195" w:rsidRDefault="00B10195" w:rsidP="006569B4">
      <w:pPr>
        <w:spacing w:line="360" w:lineRule="auto"/>
      </w:pPr>
    </w:p>
    <w:p w14:paraId="6537102D" w14:textId="77777777" w:rsidR="00B10195" w:rsidRDefault="00B10195" w:rsidP="006569B4">
      <w:pPr>
        <w:spacing w:line="360" w:lineRule="auto"/>
      </w:pPr>
    </w:p>
    <w:p w14:paraId="072C6D45" w14:textId="77777777" w:rsidR="00544097" w:rsidRDefault="00544097" w:rsidP="006569B4">
      <w:pPr>
        <w:spacing w:line="360" w:lineRule="auto"/>
      </w:pPr>
    </w:p>
    <w:p w14:paraId="11916F6A" w14:textId="77777777" w:rsidR="002173B0" w:rsidRDefault="002173B0" w:rsidP="009D69C6">
      <w:pPr>
        <w:pStyle w:val="Heading1"/>
      </w:pPr>
      <w:bookmarkStart w:id="7" w:name="_Toc425524008"/>
    </w:p>
    <w:p w14:paraId="136C0250" w14:textId="77777777" w:rsidR="002173B0" w:rsidRDefault="002173B0" w:rsidP="009D69C6">
      <w:pPr>
        <w:pStyle w:val="Heading1"/>
      </w:pPr>
    </w:p>
    <w:p w14:paraId="198C55C8" w14:textId="77777777" w:rsidR="002173B0" w:rsidRDefault="002173B0" w:rsidP="009D69C6">
      <w:pPr>
        <w:pStyle w:val="Heading1"/>
      </w:pPr>
    </w:p>
    <w:p w14:paraId="37C38D0F" w14:textId="77777777" w:rsidR="002173B0" w:rsidRDefault="002173B0" w:rsidP="002173B0"/>
    <w:p w14:paraId="64074327" w14:textId="77777777" w:rsidR="002173B0" w:rsidRDefault="002173B0" w:rsidP="002173B0"/>
    <w:p w14:paraId="05A80CAF" w14:textId="77777777" w:rsidR="002173B0" w:rsidRDefault="002173B0" w:rsidP="002173B0"/>
    <w:p w14:paraId="1AFB3D10" w14:textId="77777777" w:rsidR="002173B0" w:rsidRDefault="002173B0" w:rsidP="002173B0"/>
    <w:p w14:paraId="33625E16" w14:textId="77777777" w:rsidR="002173B0" w:rsidRPr="002173B0" w:rsidRDefault="002173B0" w:rsidP="002173B0"/>
    <w:p w14:paraId="6AEA789B" w14:textId="6CF488FC" w:rsidR="00BA66CD" w:rsidRPr="00A45148" w:rsidRDefault="00BA66CD" w:rsidP="009D69C6">
      <w:pPr>
        <w:pStyle w:val="Heading1"/>
      </w:pPr>
      <w:r w:rsidRPr="00A45148">
        <w:t xml:space="preserve">Hoofdstuk 2: </w:t>
      </w:r>
      <w:r w:rsidR="00AD30DD">
        <w:t>Theoretisch kader</w:t>
      </w:r>
      <w:bookmarkEnd w:id="7"/>
    </w:p>
    <w:p w14:paraId="2AFE4C61" w14:textId="5FC05293" w:rsidR="00544097" w:rsidRPr="00881473" w:rsidRDefault="00BA66CD" w:rsidP="002173B0">
      <w:pPr>
        <w:pStyle w:val="Heading2"/>
        <w:spacing w:line="360" w:lineRule="auto"/>
      </w:pPr>
      <w:bookmarkStart w:id="8" w:name="_Toc425524009"/>
      <w:r>
        <w:t>2.1 Inleiding</w:t>
      </w:r>
      <w:bookmarkEnd w:id="8"/>
    </w:p>
    <w:p w14:paraId="685A0E2A" w14:textId="6066B0C1" w:rsidR="00BA66CD" w:rsidRPr="00A45148" w:rsidRDefault="00BA66CD" w:rsidP="006569B4">
      <w:pPr>
        <w:spacing w:line="360" w:lineRule="auto"/>
      </w:pPr>
      <w:r w:rsidRPr="00A45148">
        <w:t>Zoals beschreven in hoofdstuk 1 wordt voor het bepalen van de ‘performance’ van een bedrijf vooral gekeken naar prestatie-indicatoren. De GAAP schrij</w:t>
      </w:r>
      <w:r w:rsidR="00F9478D">
        <w:t>ft</w:t>
      </w:r>
      <w:r w:rsidRPr="00A45148">
        <w:t xml:space="preserve"> een aantal prestatie-indicatoren voor die terug te vinden moeten zijn in de jaarrekening. Doordat prestaties van een bedrijf vooral </w:t>
      </w:r>
      <w:r w:rsidR="00123697">
        <w:t>vermeld staan in</w:t>
      </w:r>
      <w:r w:rsidR="004046C5">
        <w:t xml:space="preserve"> de winst-en-</w:t>
      </w:r>
      <w:r w:rsidRPr="00A45148">
        <w:t>verliesreke</w:t>
      </w:r>
      <w:r w:rsidR="00123697">
        <w:t>ning z</w:t>
      </w:r>
      <w:r w:rsidR="00F9478D">
        <w:t>ijn</w:t>
      </w:r>
      <w:r w:rsidR="00123697">
        <w:t xml:space="preserve"> de GAAP indicatoren</w:t>
      </w:r>
      <w:r w:rsidRPr="00A45148">
        <w:t xml:space="preserve"> </w:t>
      </w:r>
      <w:r w:rsidR="00123697">
        <w:t xml:space="preserve">hier ook </w:t>
      </w:r>
      <w:r w:rsidRPr="00A45148">
        <w:t>te vinden.</w:t>
      </w:r>
    </w:p>
    <w:p w14:paraId="2A706780" w14:textId="02760667" w:rsidR="00BA66CD" w:rsidRDefault="00BA66CD" w:rsidP="006569B4">
      <w:pPr>
        <w:spacing w:line="360" w:lineRule="auto"/>
      </w:pPr>
      <w:r w:rsidRPr="00A45148">
        <w:t>Naast de door GAAP voorgeschreven indicatoren bestaat nog een groep alternatieve prestatie-indicatoren. D</w:t>
      </w:r>
      <w:r w:rsidR="00F9478D">
        <w:t>eze prestatie-indicatoren</w:t>
      </w:r>
      <w:r w:rsidRPr="00A45148">
        <w:t xml:space="preserve"> kunnen op zichzelf staande indicatoren zijn maar kunnen ook afgeleid zijn van verplichte indicatoren. Dit zijn belangrijke verschillen die moeten worden meegenomen in </w:t>
      </w:r>
      <w:r w:rsidR="00F9478D">
        <w:t>het</w:t>
      </w:r>
      <w:r w:rsidRPr="00A45148">
        <w:t xml:space="preserve"> onderzoek. </w:t>
      </w:r>
    </w:p>
    <w:p w14:paraId="2FA54D3F" w14:textId="04E05FF5" w:rsidR="00AD30DD" w:rsidRPr="00A45148" w:rsidRDefault="00AD30DD" w:rsidP="006569B4">
      <w:pPr>
        <w:spacing w:line="360" w:lineRule="auto"/>
      </w:pPr>
      <w:r>
        <w:t xml:space="preserve">Verder </w:t>
      </w:r>
      <w:r w:rsidR="004046C5">
        <w:t xml:space="preserve">wordt  in dit hoofdstuk de theorie van het </w:t>
      </w:r>
      <w:r>
        <w:t xml:space="preserve">institutioneel isomorfisme verklaard. De theorie van Dimaggio en Powell richt zich op </w:t>
      </w:r>
      <w:r w:rsidR="004046C5">
        <w:t xml:space="preserve">het </w:t>
      </w:r>
      <w:r>
        <w:t>overnamegedrag van ondernemingen. In dit onderzoek wordt een verband gezocht tussen de alternatieve indicatoren, de motieven voor het gebruik en de theorie.</w:t>
      </w:r>
    </w:p>
    <w:p w14:paraId="65A29609" w14:textId="702CB069" w:rsidR="00956EDE" w:rsidRPr="00A45148" w:rsidRDefault="00BA66CD" w:rsidP="006569B4">
      <w:pPr>
        <w:spacing w:line="360" w:lineRule="auto"/>
      </w:pPr>
      <w:r w:rsidRPr="00A45148">
        <w:t xml:space="preserve">In </w:t>
      </w:r>
      <w:r w:rsidR="003819C9">
        <w:t>dit</w:t>
      </w:r>
      <w:r w:rsidRPr="00A45148">
        <w:t xml:space="preserve"> hoofdstuk wordt </w:t>
      </w:r>
      <w:r w:rsidR="001D1AE7">
        <w:t>aller</w:t>
      </w:r>
      <w:r w:rsidRPr="00A45148">
        <w:t>eerst gekeken naar de door GAAP voorgeschreven indicatoren</w:t>
      </w:r>
      <w:r w:rsidR="00AD30DD">
        <w:t xml:space="preserve">, </w:t>
      </w:r>
      <w:r w:rsidRPr="00A45148">
        <w:t>vervolgens naar de alternatieve</w:t>
      </w:r>
      <w:r w:rsidR="00AD30DD">
        <w:t xml:space="preserve"> indicatoren en </w:t>
      </w:r>
      <w:r w:rsidR="001C5BEB">
        <w:t>als laatst</w:t>
      </w:r>
      <w:r w:rsidR="00F9478D">
        <w:t>e</w:t>
      </w:r>
      <w:r w:rsidR="001C5BEB">
        <w:t xml:space="preserve"> komt het institutioneel isomorfisme aan bod</w:t>
      </w:r>
      <w:r w:rsidRPr="00A45148">
        <w:t xml:space="preserve">. </w:t>
      </w:r>
    </w:p>
    <w:p w14:paraId="78C4E6F2" w14:textId="7D789245" w:rsidR="00544097" w:rsidRPr="00881473" w:rsidRDefault="00BA66CD" w:rsidP="002173B0">
      <w:pPr>
        <w:pStyle w:val="Heading2"/>
        <w:spacing w:line="360" w:lineRule="auto"/>
      </w:pPr>
      <w:bookmarkStart w:id="9" w:name="_Toc425524010"/>
      <w:r>
        <w:t>2.2</w:t>
      </w:r>
      <w:r w:rsidRPr="00A45148">
        <w:t xml:space="preserve"> Financiële prestatie-indicatoren volgens GAAP</w:t>
      </w:r>
      <w:bookmarkEnd w:id="9"/>
    </w:p>
    <w:p w14:paraId="71F49542" w14:textId="586CA53C" w:rsidR="00123697" w:rsidRDefault="00BA66CD" w:rsidP="006569B4">
      <w:pPr>
        <w:spacing w:line="360" w:lineRule="auto"/>
      </w:pPr>
      <w:r w:rsidRPr="00A45148">
        <w:t xml:space="preserve">De prestaties van een bedrijf worden vooral afgeleid uit de winst en verliesrekening. Hierin verwerkt een onderneming alle baten en lasten als winst of verlies tenzij IFRS anders voorschrijft </w:t>
      </w:r>
      <w:r>
        <w:fldChar w:fldCharType="begin"/>
      </w:r>
      <w:r>
        <w:instrText xml:space="preserve"> ADDIN EN.CITE &lt;EndNote&gt;&lt;Cite&gt;&lt;Author&gt;Böhmer&lt;/Author&gt;&lt;Year&gt;2014&lt;/Year&gt;&lt;RecNum&gt;8&lt;/RecNum&gt;&lt;DisplayText&gt;(Böhmer, Hoogendoorn, &amp;amp; Kruit, 2014)&lt;/DisplayText&gt;&lt;record&gt;&lt;rec-number&gt;8&lt;/rec-number&gt;&lt;foreign-keys&gt;&lt;key app="EN" db-id="warezr50rtv9pne9vrl5v2z50zvrfrt52spx" timestamp="1432818684"&gt;8&lt;/key&gt;&lt;/foreign-keys&gt;&lt;ref-type name="Book"&gt;6&lt;/ref-type&gt;&lt;contributors&gt;&lt;authors&gt;&lt;author&gt;Böhmer, S&lt;/author&gt;&lt;author&gt;Hoogendoorn, M.N.&lt;/author&gt;&lt;author&gt;Kruit, R&lt;/author&gt;&lt;/authors&gt;&lt;/contributors&gt;&lt;titles&gt;&lt;title&gt;Handboek jaarrekening 2014&lt;/title&gt;&lt;/titles&gt;&lt;section&gt;1638&lt;/section&gt;&lt;dates&gt;&lt;year&gt;2014&lt;/year&gt;&lt;/dates&gt;&lt;publisher&gt;Kluwer&lt;/publisher&gt;&lt;isbn&gt;978-90-13-12018-9&lt;/isbn&gt;&lt;urls&gt;&lt;/urls&gt;&lt;/record&gt;&lt;/Cite&gt;&lt;/EndNote&gt;</w:instrText>
      </w:r>
      <w:r>
        <w:fldChar w:fldCharType="separate"/>
      </w:r>
      <w:r>
        <w:rPr>
          <w:noProof/>
        </w:rPr>
        <w:t>(Böhmer, Hoogendoorn, &amp; Kruit, 2014)</w:t>
      </w:r>
      <w:r>
        <w:fldChar w:fldCharType="end"/>
      </w:r>
      <w:r w:rsidRPr="00A45148">
        <w:t>. Voor de presentatie van de resultaten in de winst-en-verliesrekening wordt gekeken naar IAS 1. Deze kent een grote mate van vrijheid voor het opstellen</w:t>
      </w:r>
      <w:r w:rsidR="00123697">
        <w:t xml:space="preserve"> en de presentatie</w:t>
      </w:r>
      <w:r w:rsidRPr="00A45148">
        <w:t xml:space="preserve"> van de winst en verliesrekening</w:t>
      </w:r>
      <w:r w:rsidR="00123697">
        <w:t xml:space="preserve"> en maakt geen gebruik van voorgeschreven modellen</w:t>
      </w:r>
      <w:r w:rsidRPr="00A45148">
        <w:t xml:space="preserve">. Wel zijn voorschriften opgenomen met betrekking tot het ‘Statement of Profit or Loss and other Comprehensive Income’ en het onderscheid tussen het ‘Income Statement’ en ‘Statement of other Comprehensive Income’. </w:t>
      </w:r>
    </w:p>
    <w:p w14:paraId="6190D8E1" w14:textId="77777777" w:rsidR="00BA66CD" w:rsidRPr="00A45148" w:rsidRDefault="00BA66CD" w:rsidP="006569B4">
      <w:pPr>
        <w:spacing w:line="360" w:lineRule="auto"/>
      </w:pPr>
      <w:r w:rsidRPr="00A45148">
        <w:t xml:space="preserve">Een aantal posten dienen te worden opgenomen in de winst-en-verliesrekening of de toelichting, dit zijn voorgeschreven prestatie-indicatoren en worden beschreven in IAS 1.82 &amp; 1.83 </w:t>
      </w:r>
      <w:r>
        <w:fldChar w:fldCharType="begin"/>
      </w:r>
      <w:r>
        <w:instrText xml:space="preserve"> ADDIN EN.CITE &lt;EndNote&gt;&lt;Cite&gt;&lt;Author&gt;Böhmer&lt;/Author&gt;&lt;Year&gt;2014&lt;/Year&gt;&lt;RecNum&gt;8&lt;/RecNum&gt;&lt;DisplayText&gt;(Böhmer et al., 2014)&lt;/DisplayText&gt;&lt;record&gt;&lt;rec-number&gt;8&lt;/rec-number&gt;&lt;foreign-keys&gt;&lt;key app="EN" db-id="warezr50rtv9pne9vrl5v2z50zvrfrt52spx" timestamp="1432818684"&gt;8&lt;/key&gt;&lt;/foreign-keys&gt;&lt;ref-type name="Book"&gt;6&lt;/ref-type&gt;&lt;contributors&gt;&lt;authors&gt;&lt;author&gt;Böhmer, S&lt;/author&gt;&lt;author&gt;Hoogendoorn, M.N.&lt;/author&gt;&lt;author&gt;Kruit, R&lt;/author&gt;&lt;/authors&gt;&lt;/contributors&gt;&lt;titles&gt;&lt;title&gt;Handboek jaarrekening 2014&lt;/title&gt;&lt;/titles&gt;&lt;section&gt;1638&lt;/section&gt;&lt;dates&gt;&lt;year&gt;2014&lt;/year&gt;&lt;/dates&gt;&lt;publisher&gt;Kluwer&lt;/publisher&gt;&lt;isbn&gt;978-90-13-12018-9&lt;/isbn&gt;&lt;urls&gt;&lt;/urls&gt;&lt;/record&gt;&lt;/Cite&gt;&lt;/EndNote&gt;</w:instrText>
      </w:r>
      <w:r>
        <w:fldChar w:fldCharType="separate"/>
      </w:r>
      <w:r>
        <w:rPr>
          <w:noProof/>
        </w:rPr>
        <w:t>(Böhmer et al., 2014)</w:t>
      </w:r>
      <w:r>
        <w:fldChar w:fldCharType="end"/>
      </w:r>
      <w:r w:rsidRPr="00A45148">
        <w:t>:</w:t>
      </w:r>
    </w:p>
    <w:p w14:paraId="0CDD295A" w14:textId="4742FEAA" w:rsidR="00BA66CD" w:rsidRPr="00A45148" w:rsidRDefault="00BA66CD" w:rsidP="006569B4">
      <w:pPr>
        <w:pStyle w:val="ListParagraph"/>
        <w:numPr>
          <w:ilvl w:val="0"/>
          <w:numId w:val="5"/>
        </w:numPr>
        <w:spacing w:line="360" w:lineRule="auto"/>
      </w:pPr>
      <w:r w:rsidRPr="00A45148">
        <w:t>opbrengsten</w:t>
      </w:r>
    </w:p>
    <w:p w14:paraId="1B880D9B" w14:textId="70309313" w:rsidR="00BA66CD" w:rsidRPr="00A45148" w:rsidRDefault="00BA66CD" w:rsidP="006569B4">
      <w:pPr>
        <w:pStyle w:val="ListParagraph"/>
        <w:numPr>
          <w:ilvl w:val="0"/>
          <w:numId w:val="5"/>
        </w:numPr>
        <w:spacing w:line="360" w:lineRule="auto"/>
      </w:pPr>
      <w:r w:rsidRPr="00A45148">
        <w:t>financieringslasten</w:t>
      </w:r>
    </w:p>
    <w:p w14:paraId="4D7EB7B8" w14:textId="12873F82" w:rsidR="00BA66CD" w:rsidRPr="00A45148" w:rsidRDefault="00BA66CD" w:rsidP="006569B4">
      <w:pPr>
        <w:pStyle w:val="ListParagraph"/>
        <w:numPr>
          <w:ilvl w:val="0"/>
          <w:numId w:val="5"/>
        </w:numPr>
        <w:spacing w:line="360" w:lineRule="auto"/>
      </w:pPr>
      <w:r w:rsidRPr="00A45148">
        <w:t>resultaat uit deelnemingen en joint ventures die volgens de ‘equity method’ worden gewaardeerd</w:t>
      </w:r>
    </w:p>
    <w:p w14:paraId="115AE178" w14:textId="699C1E96" w:rsidR="00BA66CD" w:rsidRPr="00A45148" w:rsidRDefault="00BA66CD" w:rsidP="006569B4">
      <w:pPr>
        <w:pStyle w:val="ListParagraph"/>
        <w:numPr>
          <w:ilvl w:val="0"/>
          <w:numId w:val="5"/>
        </w:numPr>
        <w:spacing w:line="360" w:lineRule="auto"/>
      </w:pPr>
      <w:r w:rsidRPr="00A45148">
        <w:t>belastinglast</w:t>
      </w:r>
    </w:p>
    <w:p w14:paraId="668860FA" w14:textId="77777777" w:rsidR="00BA66CD" w:rsidRPr="00A45148" w:rsidRDefault="00BA66CD" w:rsidP="006569B4">
      <w:pPr>
        <w:spacing w:line="360" w:lineRule="auto"/>
        <w:ind w:left="360"/>
      </w:pPr>
    </w:p>
    <w:p w14:paraId="49737930" w14:textId="4B0B7C65" w:rsidR="00BA66CD" w:rsidRPr="00A45148" w:rsidRDefault="001D1AE7" w:rsidP="004046C5">
      <w:pPr>
        <w:spacing w:line="360" w:lineRule="auto"/>
        <w:ind w:left="360"/>
      </w:pPr>
      <w:r>
        <w:t>Tevens</w:t>
      </w:r>
      <w:r w:rsidR="00BA66CD" w:rsidRPr="00A45148">
        <w:t xml:space="preserve"> moet </w:t>
      </w:r>
      <w:r w:rsidR="00123697" w:rsidRPr="00A45148">
        <w:t xml:space="preserve">volgens IAS 33 </w:t>
      </w:r>
      <w:r w:rsidR="00BA66CD" w:rsidRPr="00A45148">
        <w:t>de winst per aandeel apart vermeld worden in</w:t>
      </w:r>
      <w:r w:rsidR="00123697">
        <w:t xml:space="preserve"> of het ‘Income Statement’ of</w:t>
      </w:r>
      <w:r w:rsidR="00BA66CD" w:rsidRPr="00A45148">
        <w:t xml:space="preserve"> in het ‘Statement of other Comprehensive income’. </w:t>
      </w:r>
      <w:r>
        <w:t>Het</w:t>
      </w:r>
      <w:r w:rsidR="00BA66CD" w:rsidRPr="00A45148">
        <w:t xml:space="preserve">zelfde geldt voor de winst uit beëindigde activiteiten, al mag dit ook in de toelichting </w:t>
      </w:r>
      <w:r w:rsidR="00123697">
        <w:t>vermeld worden.</w:t>
      </w:r>
      <w:r w:rsidR="00BA66CD" w:rsidRPr="00A45148">
        <w:t xml:space="preserve"> </w:t>
      </w:r>
      <w:r w:rsidR="00BA66CD">
        <w:fldChar w:fldCharType="begin"/>
      </w:r>
      <w:r w:rsidR="00BA66CD">
        <w:instrText xml:space="preserve"> ADDIN EN.CITE &lt;EndNote&gt;&lt;Cite&gt;&lt;Author&gt;Knoops&lt;/Author&gt;&lt;Year&gt;2011&lt;/Year&gt;&lt;RecNum&gt;5&lt;/RecNum&gt;&lt;DisplayText&gt;(Knoops &amp;amp; Backhijs, 2011)&lt;/DisplayText&gt;&lt;record&gt;&lt;rec-number&gt;5&lt;/rec-number&gt;&lt;foreign-keys&gt;&lt;key app="EN" db-id="warezr50rtv9pne9vrl5v2z50zvrfrt52spx" timestamp="1432809691"&gt;5&lt;/key&gt;&lt;/foreign-keys&gt;&lt;ref-type name="Journal Article"&gt;17&lt;/ref-type&gt;&lt;contributors&gt;&lt;authors&gt;&lt;author&gt;Knoops, Chris&lt;/author&gt;&lt;author&gt;Backhijs, Jan&lt;/author&gt;&lt;/authors&gt;&lt;/contributors&gt;&lt;titles&gt;&lt;title&gt;Keuzes en alternatieven in de presentaties van de primaire overzichten onder IFRS&lt;/title&gt;&lt;secondary-title&gt;Maandblad voor accountancy en bedrijfseconomie: MAB&lt;/secondary-title&gt;&lt;/titles&gt;&lt;periodical&gt;&lt;full-title&gt;Maandblad voor accountancy en bedrijfseconomie: MAB&lt;/full-title&gt;&lt;/periodical&gt;&lt;pages&gt;589-609&lt;/pages&gt;&lt;volume&gt;85&lt;/volume&gt;&lt;number&gt;12&lt;/number&gt;&lt;dates&gt;&lt;year&gt;2011&lt;/year&gt;&lt;/dates&gt;&lt;isbn&gt;0924-6304&lt;/isbn&gt;&lt;urls&gt;&lt;/urls&gt;&lt;/record&gt;&lt;/Cite&gt;&lt;/EndNote&gt;</w:instrText>
      </w:r>
      <w:r w:rsidR="00BA66CD">
        <w:fldChar w:fldCharType="separate"/>
      </w:r>
      <w:r w:rsidR="00BA66CD">
        <w:rPr>
          <w:noProof/>
        </w:rPr>
        <w:t>(Knoops &amp; Backhijs, 2011)</w:t>
      </w:r>
      <w:r w:rsidR="00BA66CD">
        <w:fldChar w:fldCharType="end"/>
      </w:r>
      <w:r w:rsidR="00BA66CD" w:rsidRPr="00A45148">
        <w:t xml:space="preserve">. </w:t>
      </w:r>
    </w:p>
    <w:p w14:paraId="6DFD09F1" w14:textId="12B016FF" w:rsidR="00BA66CD" w:rsidRPr="00A45148" w:rsidRDefault="00BA66CD" w:rsidP="006569B4">
      <w:pPr>
        <w:spacing w:line="360" w:lineRule="auto"/>
        <w:ind w:left="360"/>
      </w:pPr>
      <w:r w:rsidRPr="00A45148">
        <w:t xml:space="preserve">Verder kunnen volgens IAS 1.97 additionele posten worden opgenomen als deze materieel zijn voor het inzicht. Voorbeelden van </w:t>
      </w:r>
      <w:r w:rsidR="001D1AE7">
        <w:t>deze</w:t>
      </w:r>
      <w:r w:rsidRPr="00A45148">
        <w:t xml:space="preserve"> posten zijn:</w:t>
      </w:r>
    </w:p>
    <w:p w14:paraId="1F7344C9" w14:textId="77777777" w:rsidR="00BA66CD" w:rsidRPr="00A45148" w:rsidRDefault="00BA66CD" w:rsidP="006569B4">
      <w:pPr>
        <w:pStyle w:val="ListParagraph"/>
        <w:numPr>
          <w:ilvl w:val="0"/>
          <w:numId w:val="5"/>
        </w:numPr>
        <w:spacing w:line="360" w:lineRule="auto"/>
      </w:pPr>
      <w:r w:rsidRPr="00A45148">
        <w:t xml:space="preserve">waardeverminderingen </w:t>
      </w:r>
    </w:p>
    <w:p w14:paraId="24228B98" w14:textId="77777777" w:rsidR="00BA66CD" w:rsidRPr="00A45148" w:rsidRDefault="00BA66CD" w:rsidP="006569B4">
      <w:pPr>
        <w:pStyle w:val="ListParagraph"/>
        <w:numPr>
          <w:ilvl w:val="0"/>
          <w:numId w:val="5"/>
        </w:numPr>
        <w:spacing w:line="360" w:lineRule="auto"/>
      </w:pPr>
      <w:r w:rsidRPr="00A45148">
        <w:t xml:space="preserve">reorganisatievoorzieningen </w:t>
      </w:r>
    </w:p>
    <w:p w14:paraId="5C51FF03" w14:textId="77777777" w:rsidR="00BA66CD" w:rsidRPr="00A45148" w:rsidRDefault="00BA66CD" w:rsidP="006569B4">
      <w:pPr>
        <w:pStyle w:val="ListParagraph"/>
        <w:numPr>
          <w:ilvl w:val="0"/>
          <w:numId w:val="5"/>
        </w:numPr>
        <w:spacing w:line="360" w:lineRule="auto"/>
      </w:pPr>
      <w:r w:rsidRPr="00A45148">
        <w:t>afstotingen van materiële vaste activa en deelnemingen</w:t>
      </w:r>
    </w:p>
    <w:p w14:paraId="32DF61DF" w14:textId="68AF1765" w:rsidR="00BA66CD" w:rsidRDefault="00BA66CD" w:rsidP="004046C5">
      <w:pPr>
        <w:spacing w:line="360" w:lineRule="auto"/>
        <w:ind w:left="360"/>
      </w:pPr>
      <w:r>
        <w:fldChar w:fldCharType="begin"/>
      </w:r>
      <w:r>
        <w:instrText xml:space="preserve"> ADDIN EN.CITE &lt;EndNote&gt;&lt;Cite&gt;&lt;Author&gt;Böhmer&lt;/Author&gt;&lt;Year&gt;2014&lt;/Year&gt;&lt;RecNum&gt;8&lt;/RecNum&gt;&lt;DisplayText&gt;(Böhmer et al., 2014)&lt;/DisplayText&gt;&lt;record&gt;&lt;rec-number&gt;8&lt;/rec-number&gt;&lt;foreign-keys&gt;&lt;key app="EN" db-id="warezr50rtv9pne9vrl5v2z50zvrfrt52spx" timestamp="1432818684"&gt;8&lt;/key&gt;&lt;/foreign-keys&gt;&lt;ref-type name="Book"&gt;6&lt;/ref-type&gt;&lt;contributors&gt;&lt;authors&gt;&lt;author&gt;Böhmer, S&lt;/author&gt;&lt;author&gt;Hoogendoorn, M.N.&lt;/author&gt;&lt;author&gt;Kruit, R&lt;/author&gt;&lt;/authors&gt;&lt;/contributors&gt;&lt;titles&gt;&lt;title&gt;Handboek jaarrekening 2014&lt;/title&gt;&lt;/titles&gt;&lt;section&gt;1638&lt;/section&gt;&lt;dates&gt;&lt;year&gt;2014&lt;/year&gt;&lt;/dates&gt;&lt;publisher&gt;Kluwer&lt;/publisher&gt;&lt;isbn&gt;978-90-13-12018-9&lt;/isbn&gt;&lt;urls&gt;&lt;/urls&gt;&lt;/record&gt;&lt;/Cite&gt;&lt;/EndNote&gt;</w:instrText>
      </w:r>
      <w:r>
        <w:fldChar w:fldCharType="separate"/>
      </w:r>
      <w:r>
        <w:rPr>
          <w:noProof/>
        </w:rPr>
        <w:t>(Böhmer et al., 2014)</w:t>
      </w:r>
      <w:r>
        <w:fldChar w:fldCharType="end"/>
      </w:r>
    </w:p>
    <w:p w14:paraId="20217966" w14:textId="77777777" w:rsidR="004046C5" w:rsidRPr="00A45148" w:rsidRDefault="004046C5" w:rsidP="004046C5">
      <w:pPr>
        <w:spacing w:line="360" w:lineRule="auto"/>
        <w:ind w:left="360"/>
      </w:pPr>
    </w:p>
    <w:p w14:paraId="3EBA6A79" w14:textId="6E9432C3" w:rsidR="00BA66CD" w:rsidRPr="00A45148" w:rsidRDefault="00BA66CD" w:rsidP="006569B4">
      <w:pPr>
        <w:spacing w:line="360" w:lineRule="auto"/>
        <w:ind w:left="360"/>
      </w:pPr>
      <w:r w:rsidRPr="00A45148">
        <w:t>In tegenstelling tot IFRS bestaan onder de RJ weldegelijk modellen voor het opstellen van de winst-en-verliesrekening.</w:t>
      </w:r>
      <w:r w:rsidR="002030AA">
        <w:t xml:space="preserve"> Ondernemingen die gebruik maken van de Nederlandse wet- en regelgeving moeten zich houden aan het Besluit modellen jaarrekening (BMJ).</w:t>
      </w:r>
      <w:r w:rsidRPr="00A45148">
        <w:t xml:space="preserve"> In totaal bestaan 4 modellen, waarvan 2 voor de categoriale kosten splitsing en 2 voor de functionele kostensplitsing.</w:t>
      </w:r>
    </w:p>
    <w:p w14:paraId="10938238" w14:textId="01BF5676" w:rsidR="00BA66CD" w:rsidRPr="00A45148" w:rsidRDefault="00BA66CD" w:rsidP="006569B4">
      <w:pPr>
        <w:spacing w:line="360" w:lineRule="auto"/>
        <w:ind w:left="360"/>
      </w:pPr>
      <w:r w:rsidRPr="00A45148">
        <w:t>Onder de RJ worden de baten en lasten in de winst-</w:t>
      </w:r>
      <w:r w:rsidR="00B60E51">
        <w:t xml:space="preserve"> </w:t>
      </w:r>
      <w:r w:rsidRPr="00A45148">
        <w:t>en</w:t>
      </w:r>
      <w:r w:rsidR="00B60E51">
        <w:t xml:space="preserve"> </w:t>
      </w:r>
      <w:r w:rsidRPr="00A45148">
        <w:t>verliesrekening namelijk uitgesplitst op twee verschillende manieren.</w:t>
      </w:r>
    </w:p>
    <w:p w14:paraId="64568454" w14:textId="77777777" w:rsidR="001C5BEB" w:rsidRPr="00A45148" w:rsidRDefault="001C5BEB" w:rsidP="004046C5">
      <w:pPr>
        <w:spacing w:line="360" w:lineRule="auto"/>
      </w:pPr>
    </w:p>
    <w:p w14:paraId="7EF05597" w14:textId="77777777" w:rsidR="00BA66CD" w:rsidRPr="00A45148" w:rsidRDefault="00BA66CD" w:rsidP="006569B4">
      <w:pPr>
        <w:spacing w:line="360" w:lineRule="auto"/>
        <w:ind w:left="360"/>
        <w:rPr>
          <w:i/>
        </w:rPr>
      </w:pPr>
      <w:r w:rsidRPr="00A45148">
        <w:rPr>
          <w:i/>
        </w:rPr>
        <w:t>Categoriale kostensplitsing.</w:t>
      </w:r>
    </w:p>
    <w:p w14:paraId="661F88EB" w14:textId="3F3B13A0" w:rsidR="001C5BEB" w:rsidRDefault="00BA66CD" w:rsidP="004046C5">
      <w:pPr>
        <w:spacing w:line="360" w:lineRule="auto"/>
        <w:ind w:left="360"/>
      </w:pPr>
      <w:r w:rsidRPr="00A45148">
        <w:t>Onder categoriale kostensplitsing worden baten en lasten uitgesplitst op basis van hun aard. Voorbeelden hiervan zijn de posten afschrijvingen, lonen en salarissen en overige bedrijfskosten.</w:t>
      </w:r>
    </w:p>
    <w:p w14:paraId="5B0BCCE8" w14:textId="77777777" w:rsidR="004046C5" w:rsidRPr="00A45148" w:rsidRDefault="004046C5" w:rsidP="004046C5">
      <w:pPr>
        <w:spacing w:line="360" w:lineRule="auto"/>
        <w:ind w:left="360"/>
      </w:pPr>
    </w:p>
    <w:p w14:paraId="02858638" w14:textId="77777777" w:rsidR="00BA66CD" w:rsidRPr="00A45148" w:rsidRDefault="00BA66CD" w:rsidP="006569B4">
      <w:pPr>
        <w:spacing w:line="360" w:lineRule="auto"/>
        <w:ind w:left="360"/>
        <w:rPr>
          <w:i/>
        </w:rPr>
      </w:pPr>
      <w:r w:rsidRPr="00A45148">
        <w:rPr>
          <w:i/>
        </w:rPr>
        <w:t>Functionele kostensplitsing</w:t>
      </w:r>
    </w:p>
    <w:p w14:paraId="577AC42C" w14:textId="086EE21F" w:rsidR="00BA66CD" w:rsidRPr="00A45148" w:rsidRDefault="00BA66CD" w:rsidP="006569B4">
      <w:pPr>
        <w:spacing w:line="360" w:lineRule="auto"/>
        <w:ind w:left="360"/>
      </w:pPr>
      <w:r w:rsidRPr="00A45148">
        <w:t xml:space="preserve">Onder functionele kostensplitsing worden baten en lasten uitgesplitst op basis van </w:t>
      </w:r>
      <w:r w:rsidR="00B60E51">
        <w:t xml:space="preserve">hun </w:t>
      </w:r>
      <w:r w:rsidRPr="00A45148">
        <w:t xml:space="preserve">functie. In dit model worden kosten (met inbegrip van afschrijvingen, waardeverminderingen en overige indirecte kosten) gegroepeerd en toegerekend aan </w:t>
      </w:r>
      <w:r w:rsidR="001D1AE7">
        <w:t>éé</w:t>
      </w:r>
      <w:r w:rsidRPr="00A45148">
        <w:t>n van de volgende drie bedrijfsfuncties:</w:t>
      </w:r>
    </w:p>
    <w:p w14:paraId="1BC49DD0" w14:textId="77777777" w:rsidR="00BA66CD" w:rsidRPr="00A45148" w:rsidRDefault="00BA66CD" w:rsidP="006569B4">
      <w:pPr>
        <w:pStyle w:val="ListParagraph"/>
        <w:numPr>
          <w:ilvl w:val="0"/>
          <w:numId w:val="5"/>
        </w:numPr>
        <w:spacing w:line="360" w:lineRule="auto"/>
      </w:pPr>
      <w:r w:rsidRPr="00A45148">
        <w:t>handels- /productiefunctie, weergegeven door de kostprijs van de omzet;</w:t>
      </w:r>
    </w:p>
    <w:p w14:paraId="60E6E62A" w14:textId="77777777" w:rsidR="00BA66CD" w:rsidRPr="00A45148" w:rsidRDefault="00BA66CD" w:rsidP="006569B4">
      <w:pPr>
        <w:pStyle w:val="ListParagraph"/>
        <w:numPr>
          <w:ilvl w:val="0"/>
          <w:numId w:val="5"/>
        </w:numPr>
        <w:spacing w:line="360" w:lineRule="auto"/>
      </w:pPr>
      <w:r w:rsidRPr="00A45148">
        <w:t>verkoopfunctie, weergegeven door de verkoopkosten;</w:t>
      </w:r>
    </w:p>
    <w:p w14:paraId="1518BC8A" w14:textId="77777777" w:rsidR="00BA66CD" w:rsidRPr="00A45148" w:rsidRDefault="00BA66CD" w:rsidP="006569B4">
      <w:pPr>
        <w:pStyle w:val="ListParagraph"/>
        <w:numPr>
          <w:ilvl w:val="0"/>
          <w:numId w:val="5"/>
        </w:numPr>
        <w:spacing w:line="360" w:lineRule="auto"/>
      </w:pPr>
      <w:r w:rsidRPr="00A45148">
        <w:t>algemene beheersfunctie; weergegeven door de algemene beheerskosten.</w:t>
      </w:r>
    </w:p>
    <w:p w14:paraId="05C1BEBB" w14:textId="5A62649F" w:rsidR="00BA66CD" w:rsidRPr="00A45148" w:rsidRDefault="00BA66CD" w:rsidP="006569B4">
      <w:pPr>
        <w:spacing w:line="360" w:lineRule="auto"/>
      </w:pPr>
      <w:r>
        <w:fldChar w:fldCharType="begin"/>
      </w:r>
      <w:r>
        <w:instrText xml:space="preserve"> ADDIN EN.CITE &lt;EndNote&gt;&lt;Cite&gt;&lt;Author&gt;Böhmer&lt;/Author&gt;&lt;Year&gt;2014&lt;/Year&gt;&lt;RecNum&gt;8&lt;/RecNum&gt;&lt;DisplayText&gt;(Böhmer et al., 2014)&lt;/DisplayText&gt;&lt;record&gt;&lt;rec-number&gt;8&lt;/rec-number&gt;&lt;foreign-keys&gt;&lt;key app="EN" db-id="warezr50rtv9pne9vrl5v2z50zvrfrt52spx" timestamp="1432818684"&gt;8&lt;/key&gt;&lt;/foreign-keys&gt;&lt;ref-type name="Book"&gt;6&lt;/ref-type&gt;&lt;contributors&gt;&lt;authors&gt;&lt;author&gt;Böhmer, S&lt;/author&gt;&lt;author&gt;Hoogendoorn, M.N.&lt;/author&gt;&lt;author&gt;Kruit, R&lt;/author&gt;&lt;/authors&gt;&lt;/contributors&gt;&lt;titles&gt;&lt;title&gt;Handboek jaarrekening 2014&lt;/title&gt;&lt;/titles&gt;&lt;section&gt;1638&lt;/section&gt;&lt;dates&gt;&lt;year&gt;2014&lt;/year&gt;&lt;/dates&gt;&lt;publisher&gt;Kluwer&lt;/publisher&gt;&lt;isbn&gt;978-90-13-12018-9&lt;/isbn&gt;&lt;urls&gt;&lt;/urls&gt;&lt;/record&gt;&lt;/Cite&gt;&lt;/EndNote&gt;</w:instrText>
      </w:r>
      <w:r>
        <w:fldChar w:fldCharType="separate"/>
      </w:r>
      <w:r>
        <w:rPr>
          <w:noProof/>
        </w:rPr>
        <w:t>(Böhmer et al., 2014)</w:t>
      </w:r>
      <w:r>
        <w:fldChar w:fldCharType="end"/>
      </w:r>
    </w:p>
    <w:p w14:paraId="2D597767" w14:textId="0D1E9EA8" w:rsidR="00BA66CD" w:rsidRPr="00A45148" w:rsidRDefault="004046C5" w:rsidP="006569B4">
      <w:pPr>
        <w:spacing w:line="360" w:lineRule="auto"/>
      </w:pPr>
      <w:r>
        <w:t xml:space="preserve">Een specifieke definitie </w:t>
      </w:r>
      <w:r w:rsidR="003819C9">
        <w:t xml:space="preserve">van het begrip alternatieve indicator komt </w:t>
      </w:r>
      <w:r>
        <w:t>uit het onderzoek van</w:t>
      </w:r>
      <w:r w:rsidR="00BA66CD" w:rsidRPr="00A45148">
        <w:t xml:space="preserve"> Marseille en Vergoos</w:t>
      </w:r>
      <w:r w:rsidR="00B60E51">
        <w:t>s</w:t>
      </w:r>
      <w:r w:rsidR="00BA66CD" w:rsidRPr="00A45148">
        <w:t>en</w:t>
      </w:r>
      <w:r w:rsidR="00BA66CD">
        <w:t xml:space="preserve"> </w:t>
      </w:r>
      <w:r w:rsidR="00BA66CD">
        <w:fldChar w:fldCharType="begin"/>
      </w:r>
      <w:r w:rsidR="00BA66CD">
        <w:instrText xml:space="preserve"> ADDIN EN.CITE &lt;EndNote&gt;&lt;Cite&gt;&lt;Author&gt;Marseille&lt;/Author&gt;&lt;Year&gt;2005&lt;/Year&gt;&lt;RecNum&gt;4&lt;/RecNum&gt;&lt;DisplayText&gt;(Marseille &amp;amp; Vergoossen, 2005)&lt;/DisplayText&gt;&lt;record&gt;&lt;rec-number&gt;4&lt;/rec-number&gt;&lt;foreign-keys&gt;&lt;key app="EN" db-id="warezr50rtv9pne9vrl5v2z50zvrfrt52spx" timestamp="1432809425"&gt;4&lt;/key&gt;&lt;/foreign-keys&gt;&lt;ref-type name="Journal Article"&gt;17&lt;/ref-type&gt;&lt;contributors&gt;&lt;authors&gt;&lt;author&gt;Marseille, EA&lt;/author&gt;&lt;author&gt;Vergoossen, RGA&lt;/author&gt;&lt;/authors&gt;&lt;/contributors&gt;&lt;titles&gt;&lt;title&gt;Het gebruik van alternatieve financiële prestatie-indicatoren in persberichten&lt;/title&gt;&lt;secondary-title&gt;Maandblad voor Accountancy en Bedrijfseconomie&lt;/secondary-title&gt;&lt;/titles&gt;&lt;periodical&gt;&lt;full-title&gt;Maandblad voor Accountancy en Bedrijfseconomie&lt;/full-title&gt;&lt;/periodical&gt;&lt;pages&gt;196-205&lt;/pages&gt;&lt;volume&gt;79&lt;/volume&gt;&lt;number&gt;5&lt;/number&gt;&lt;dates&gt;&lt;year&gt;2005&lt;/year&gt;&lt;/dates&gt;&lt;isbn&gt;0924-6304&lt;/isbn&gt;&lt;urls&gt;&lt;/urls&gt;&lt;/record&gt;&lt;/Cite&gt;&lt;/EndNote&gt;</w:instrText>
      </w:r>
      <w:r w:rsidR="00BA66CD">
        <w:fldChar w:fldCharType="separate"/>
      </w:r>
      <w:r w:rsidR="00BA66CD">
        <w:rPr>
          <w:noProof/>
        </w:rPr>
        <w:t>(Marseille &amp; Vergoossen, 2005)</w:t>
      </w:r>
      <w:r w:rsidR="00BA66CD">
        <w:fldChar w:fldCharType="end"/>
      </w:r>
      <w:r w:rsidR="00BA66CD" w:rsidRPr="00A45148">
        <w:t xml:space="preserve">: ‘een maatstaf die inzicht beoogt te geven in de financiële prestatie van een onderneming’. </w:t>
      </w:r>
    </w:p>
    <w:p w14:paraId="34DCDD95" w14:textId="15905116" w:rsidR="00544097" w:rsidRPr="00881473" w:rsidRDefault="00BA66CD" w:rsidP="002173B0">
      <w:pPr>
        <w:pStyle w:val="Heading2"/>
        <w:spacing w:line="360" w:lineRule="auto"/>
      </w:pPr>
      <w:bookmarkStart w:id="10" w:name="_Toc425524011"/>
      <w:r>
        <w:t>2.3</w:t>
      </w:r>
      <w:r w:rsidRPr="00A45148">
        <w:t xml:space="preserve"> Alternatieve indicatoren.</w:t>
      </w:r>
      <w:bookmarkEnd w:id="10"/>
    </w:p>
    <w:p w14:paraId="21197CFD" w14:textId="42A92456" w:rsidR="00BA66CD" w:rsidRPr="00A45148" w:rsidRDefault="00BA66CD" w:rsidP="006569B4">
      <w:pPr>
        <w:spacing w:line="360" w:lineRule="auto"/>
      </w:pPr>
      <w:r w:rsidRPr="00A45148">
        <w:t>De definitie v</w:t>
      </w:r>
      <w:r w:rsidR="004046C5">
        <w:t>oor een alternatieve indicator komt in dit deel aan bod.</w:t>
      </w:r>
      <w:r w:rsidRPr="00A45148">
        <w:t xml:space="preserve"> Marseille en Vergoo</w:t>
      </w:r>
      <w:r w:rsidR="001D1AE7">
        <w:t>s</w:t>
      </w:r>
      <w:r w:rsidRPr="00A45148">
        <w:t xml:space="preserve">sen </w:t>
      </w:r>
      <w:r>
        <w:fldChar w:fldCharType="begin"/>
      </w:r>
      <w:r>
        <w:instrText xml:space="preserve"> ADDIN EN.CITE &lt;EndNote&gt;&lt;Cite&gt;&lt;Author&gt;Marseille&lt;/Author&gt;&lt;Year&gt;2005&lt;/Year&gt;&lt;RecNum&gt;4&lt;/RecNum&gt;&lt;DisplayText&gt;(Marseille &amp;amp; Vergoossen, 2005)&lt;/DisplayText&gt;&lt;record&gt;&lt;rec-number&gt;4&lt;/rec-number&gt;&lt;foreign-keys&gt;&lt;key app="EN" db-id="warezr50rtv9pne9vrl5v2z50zvrfrt52spx" timestamp="1432809425"&gt;4&lt;/key&gt;&lt;/foreign-keys&gt;&lt;ref-type name="Journal Article"&gt;17&lt;/ref-type&gt;&lt;contributors&gt;&lt;authors&gt;&lt;author&gt;Marseille, EA&lt;/author&gt;&lt;author&gt;Vergoossen, RGA&lt;/author&gt;&lt;/authors&gt;&lt;/contributors&gt;&lt;titles&gt;&lt;title&gt;Het gebruik van alternatieve financiële prestatie-indicatoren in persberichten&lt;/title&gt;&lt;secondary-title&gt;Maandblad voor Accountancy en Bedrijfseconomie&lt;/secondary-title&gt;&lt;/titles&gt;&lt;periodical&gt;&lt;full-title&gt;Maandblad voor Accountancy en Bedrijfseconomie&lt;/full-title&gt;&lt;/periodical&gt;&lt;pages&gt;196-205&lt;/pages&gt;&lt;volume&gt;79&lt;/volume&gt;&lt;number&gt;5&lt;/number&gt;&lt;dates&gt;&lt;year&gt;2005&lt;/year&gt;&lt;/dates&gt;&lt;isbn&gt;0924-6304&lt;/isbn&gt;&lt;urls&gt;&lt;/urls&gt;&lt;/record&gt;&lt;/Cite&gt;&lt;/EndNote&gt;</w:instrText>
      </w:r>
      <w:r>
        <w:fldChar w:fldCharType="separate"/>
      </w:r>
      <w:r>
        <w:rPr>
          <w:noProof/>
        </w:rPr>
        <w:t>(Marseille &amp; Vergoossen, 2005)</w:t>
      </w:r>
      <w:r>
        <w:fldChar w:fldCharType="end"/>
      </w:r>
      <w:r w:rsidR="004046C5">
        <w:t xml:space="preserve"> beschrijven</w:t>
      </w:r>
      <w:r w:rsidRPr="00A45148">
        <w:t xml:space="preserve"> het als: ‘een financiële prestatie-indicator die niet voldoet aan een (winst)begrip dat overeenkomt met GAAP’</w:t>
      </w:r>
      <w:r w:rsidR="001D1AE7">
        <w:t>.</w:t>
      </w:r>
      <w:r w:rsidRPr="00A45148">
        <w:t xml:space="preserve"> </w:t>
      </w:r>
      <w:r w:rsidR="001D1AE7">
        <w:t>I</w:t>
      </w:r>
      <w:r w:rsidRPr="00A45148">
        <w:t>n de Amerikaanse regelgeving</w:t>
      </w:r>
      <w:r w:rsidR="004046C5">
        <w:t xml:space="preserve"> </w:t>
      </w:r>
      <w:r w:rsidR="004046C5" w:rsidRPr="00A45148">
        <w:t>wordt</w:t>
      </w:r>
      <w:r w:rsidRPr="00A45148">
        <w:t xml:space="preserve"> het volgende vermeld</w:t>
      </w:r>
      <w:r w:rsidR="001D1AE7">
        <w:t xml:space="preserve"> over de alternatieve indicatoren</w:t>
      </w:r>
      <w:r w:rsidRPr="00A45148">
        <w:t>:</w:t>
      </w:r>
    </w:p>
    <w:p w14:paraId="69DCB2AD" w14:textId="77777777" w:rsidR="00BA66CD" w:rsidRPr="00FA29FC" w:rsidRDefault="00BA66CD" w:rsidP="006569B4">
      <w:pPr>
        <w:spacing w:line="360" w:lineRule="auto"/>
        <w:rPr>
          <w:lang w:val="en-GB"/>
        </w:rPr>
      </w:pPr>
      <w:r w:rsidRPr="00FA29FC">
        <w:rPr>
          <w:lang w:val="en-GB"/>
        </w:rPr>
        <w:t>‘A non-Gaap financial measure is a numerical measure of a company’s historical or future financial performance, financial position or cashflows that:</w:t>
      </w:r>
    </w:p>
    <w:p w14:paraId="52BF7C99" w14:textId="77777777" w:rsidR="00BA66CD" w:rsidRPr="00FA29FC" w:rsidRDefault="00BA66CD" w:rsidP="006569B4">
      <w:pPr>
        <w:pStyle w:val="ListParagraph"/>
        <w:numPr>
          <w:ilvl w:val="0"/>
          <w:numId w:val="5"/>
        </w:numPr>
        <w:spacing w:line="360" w:lineRule="auto"/>
        <w:rPr>
          <w:lang w:val="en-GB"/>
        </w:rPr>
      </w:pPr>
      <w:r w:rsidRPr="00FA29FC">
        <w:rPr>
          <w:lang w:val="en-GB"/>
        </w:rPr>
        <w:t>excludes amounts, or is subject to adjustments that have the effect of excluding amounts, that are included in the most directly comparable measure calculated and presented in accordance with GAAP in the statement of income balance sheet or statement of cashflows of the issuer; or</w:t>
      </w:r>
    </w:p>
    <w:p w14:paraId="3169BF47" w14:textId="69AFA5E2" w:rsidR="00BA66CD" w:rsidRPr="00544097" w:rsidRDefault="00BA66CD" w:rsidP="00881473">
      <w:pPr>
        <w:pStyle w:val="ListParagraph"/>
        <w:numPr>
          <w:ilvl w:val="0"/>
          <w:numId w:val="5"/>
        </w:numPr>
        <w:spacing w:line="360" w:lineRule="auto"/>
        <w:rPr>
          <w:lang w:val="en-GB"/>
        </w:rPr>
      </w:pPr>
      <w:r w:rsidRPr="00FA29FC">
        <w:rPr>
          <w:lang w:val="en-GB"/>
        </w:rPr>
        <w:t xml:space="preserve">includes amounts, or is subject to adjustments that have the effect of including amounts that are excluded from the most directly comparable measure so calculated and presented’ </w:t>
      </w:r>
      <w:r w:rsidR="00544097">
        <w:rPr>
          <w:lang w:val="en-GB"/>
        </w:rPr>
        <w:t xml:space="preserve"> </w:t>
      </w:r>
      <w:r w:rsidRPr="00544097">
        <w:rPr>
          <w:lang w:val="en-GB"/>
        </w:rPr>
        <w:t>(SEC rule section 401(B) -&gt; sarbanes-Oxley act)</w:t>
      </w:r>
    </w:p>
    <w:p w14:paraId="5E052FBC" w14:textId="6305609E" w:rsidR="004046C5" w:rsidRPr="004046C5" w:rsidRDefault="00BA66CD" w:rsidP="006569B4">
      <w:pPr>
        <w:spacing w:line="360" w:lineRule="auto"/>
      </w:pPr>
      <w:r w:rsidRPr="00A45148">
        <w:t>Kort samengevat houdt bovenstaande definitie in dat de alternatieve indicatoren anders zijn samengesteld dan de indicatoren die volgens GAAP zijn samengesteld, waardoor posten buiten beschouwing zijn g</w:t>
      </w:r>
      <w:r w:rsidR="004046C5">
        <w:t>ebleven of juist zijn opgenomen</w:t>
      </w:r>
      <w:r w:rsidRPr="00A45148">
        <w:t xml:space="preserve"> </w:t>
      </w:r>
      <w:r>
        <w:fldChar w:fldCharType="begin"/>
      </w:r>
      <w:r>
        <w:instrText xml:space="preserve"> ADDIN EN.CITE &lt;EndNote&gt;&lt;Cite&gt;&lt;Author&gt;Marseille&lt;/Author&gt;&lt;Year&gt;2005&lt;/Year&gt;&lt;RecNum&gt;4&lt;/RecNum&gt;&lt;DisplayText&gt;(Marseille &amp;amp; Vergoossen, 2005)&lt;/DisplayText&gt;&lt;record&gt;&lt;rec-number&gt;4&lt;/rec-number&gt;&lt;foreign-keys&gt;&lt;key app="EN" db-id="warezr50rtv9pne9vrl5v2z50zvrfrt52spx" timestamp="1432809425"&gt;4&lt;/key&gt;&lt;/foreign-keys&gt;&lt;ref-type name="Journal Article"&gt;17&lt;/ref-type&gt;&lt;contributors&gt;&lt;authors&gt;&lt;author&gt;Marseille, EA&lt;/author&gt;&lt;author&gt;Vergoossen, RGA&lt;/author&gt;&lt;/authors&gt;&lt;/contributors&gt;&lt;titles&gt;&lt;title&gt;Het gebruik van alternatieve financiële prestatie-indicatoren in persberichten&lt;/title&gt;&lt;secondary-title&gt;Maandblad voor Accountancy en Bedrijfseconomie&lt;/secondary-title&gt;&lt;/titles&gt;&lt;periodical&gt;&lt;full-title&gt;Maandblad voor Accountancy en Bedrijfseconomie&lt;/full-title&gt;&lt;/periodical&gt;&lt;pages&gt;196-205&lt;/pages&gt;&lt;volume&gt;79&lt;/volume&gt;&lt;number&gt;5&lt;/number&gt;&lt;dates&gt;&lt;year&gt;2005&lt;/year&gt;&lt;/dates&gt;&lt;isbn&gt;0924-6304&lt;/isbn&gt;&lt;urls&gt;&lt;/urls&gt;&lt;/record&gt;&lt;/Cite&gt;&lt;/EndNote&gt;</w:instrText>
      </w:r>
      <w:r>
        <w:fldChar w:fldCharType="separate"/>
      </w:r>
      <w:r>
        <w:rPr>
          <w:noProof/>
        </w:rPr>
        <w:t>(Marseille &amp; Vergoossen, 2005)</w:t>
      </w:r>
      <w:r>
        <w:fldChar w:fldCharType="end"/>
      </w:r>
      <w:r w:rsidR="004046C5">
        <w:t>.</w:t>
      </w:r>
    </w:p>
    <w:p w14:paraId="498D83C3" w14:textId="0BE0479B" w:rsidR="004046C5" w:rsidRPr="00A45148" w:rsidRDefault="00BA66CD" w:rsidP="006569B4">
      <w:pPr>
        <w:spacing w:line="360" w:lineRule="auto"/>
      </w:pPr>
      <w:r w:rsidRPr="00A45148">
        <w:t>Waar de GAAP prestatie-indicatoren vooral te vinden zijn in de winst-</w:t>
      </w:r>
      <w:r w:rsidR="004833C3">
        <w:t xml:space="preserve"> </w:t>
      </w:r>
      <w:r w:rsidRPr="00A45148">
        <w:t>en</w:t>
      </w:r>
      <w:r w:rsidR="004833C3">
        <w:t xml:space="preserve"> </w:t>
      </w:r>
      <w:r w:rsidRPr="00A45148">
        <w:t xml:space="preserve">verliesrekening is dit voor de alternatieve indicatoren </w:t>
      </w:r>
      <w:r w:rsidR="004833C3">
        <w:t>niet</w:t>
      </w:r>
      <w:r w:rsidR="004833C3" w:rsidRPr="00A45148">
        <w:t xml:space="preserve"> </w:t>
      </w:r>
      <w:r w:rsidRPr="00A45148">
        <w:t>het geval. Deze staan slechts zelden in één van de primaire overzichten</w:t>
      </w:r>
      <w:r w:rsidRPr="00A45148">
        <w:rPr>
          <w:rStyle w:val="FootnoteReference"/>
        </w:rPr>
        <w:footnoteReference w:id="2"/>
      </w:r>
      <w:r>
        <w:t xml:space="preserve"> binnen de jaarrekening</w:t>
      </w:r>
      <w:r w:rsidR="004833C3">
        <w:t>,</w:t>
      </w:r>
      <w:r>
        <w:t xml:space="preserve"> zo blijkt uit onderzoek van Hooghiemstra en van der Tas </w:t>
      </w:r>
      <w:r>
        <w:fldChar w:fldCharType="begin"/>
      </w:r>
      <w:r>
        <w:instrText xml:space="preserve"> ADDIN EN.CITE &lt;EndNote&gt;&lt;Cite ExcludeYear="1"&gt;&lt;Author&gt;Backhuijs&lt;/Author&gt;&lt;Year&gt;2004&lt;/Year&gt;&lt;RecNum&gt;9&lt;/RecNum&gt;&lt;DisplayText&gt;(Backhuijs, Blommaert, Bosman, &amp;amp; Camfferman)&lt;/DisplayText&gt;&lt;record&gt;&lt;rec-number&gt;9&lt;/rec-number&gt;&lt;foreign-keys&gt;&lt;key app="EN" db-id="warezr50rtv9pne9vrl5v2z50zvrfrt52spx" timestamp="1432822017"&gt;9&lt;/key&gt;&lt;/foreign-keys&gt;&lt;ref-type name="Book"&gt;6&lt;/ref-type&gt;&lt;contributors&gt;&lt;authors&gt;&lt;author&gt;Backhuijs, J.B.&lt;/author&gt;&lt;author&gt;Blommaert, J.B.B.R.G.B.J.M.J.&lt;/author&gt;&lt;author&gt;Bosman, R.G.&lt;/author&gt;&lt;author&gt;Camfferman, C.&lt;/author&gt;&lt;/authors&gt;&lt;/contributors&gt;&lt;titles&gt;&lt;title&gt;Het jaar 2003 verslagen: onderzoek jaarverslaggeving Nederlandse ondernemingen&lt;/title&gt;&lt;/titles&gt;&lt;dates&gt;&lt;year&gt;2004&lt;/year&gt;&lt;/dates&gt;&lt;publisher&gt;Kluwer&lt;/publisher&gt;&lt;isbn&gt;9789013019384&lt;/isbn&gt;&lt;urls&gt;&lt;related-urls&gt;&lt;url&gt;https://books.google.nl/books?id=xxdNSWEbQcYC&lt;/url&gt;&lt;/related-urls&gt;&lt;/urls&gt;&lt;/record&gt;&lt;/Cite&gt;&lt;/EndNote&gt;</w:instrText>
      </w:r>
      <w:r>
        <w:fldChar w:fldCharType="separate"/>
      </w:r>
      <w:r>
        <w:rPr>
          <w:noProof/>
        </w:rPr>
        <w:t>(Backhuijs, Blommaert, Bosman, &amp; Camfferman)</w:t>
      </w:r>
      <w:r>
        <w:fldChar w:fldCharType="end"/>
      </w:r>
      <w:r>
        <w:t xml:space="preserve">. In dit onderzoek werden 37 jaarverslagen </w:t>
      </w:r>
      <w:r w:rsidR="004833C3">
        <w:t xml:space="preserve">over </w:t>
      </w:r>
      <w:r>
        <w:t xml:space="preserve">2003 onderzocht van ondernemingen met een beursnotering </w:t>
      </w:r>
      <w:r w:rsidR="00561199">
        <w:t xml:space="preserve">aan </w:t>
      </w:r>
      <w:r>
        <w:t xml:space="preserve">de AEX en AMX. In het onderzoek kwamen ze in totaal 842 keer een alternatieve prestatie-indicator tegen. </w:t>
      </w:r>
      <w:r w:rsidRPr="00F2374E">
        <w:t>Deze stond 1 keer in de balans, 65 keer in de winst-en-verliesrekening en 12 keer in het kasstroomoverzicht.</w:t>
      </w:r>
      <w:r>
        <w:t xml:space="preserve"> </w:t>
      </w:r>
      <w:r w:rsidR="00F2374E">
        <w:t>De overige vermeldingen zijn gevonden buiten de primaire overzichten.</w:t>
      </w:r>
    </w:p>
    <w:p w14:paraId="1194DA35" w14:textId="3D54A01D" w:rsidR="00BA66CD" w:rsidRDefault="00BA66CD" w:rsidP="006569B4">
      <w:pPr>
        <w:spacing w:line="360" w:lineRule="auto"/>
      </w:pPr>
      <w:r w:rsidRPr="00A45148">
        <w:t xml:space="preserve">Zoals eerder behandeld is in IAS 1 </w:t>
      </w:r>
      <w:r w:rsidR="00123697">
        <w:t xml:space="preserve">veel </w:t>
      </w:r>
      <w:r w:rsidRPr="00A45148">
        <w:t>vrijheid</w:t>
      </w:r>
      <w:r w:rsidR="00123697">
        <w:t xml:space="preserve"> met betrekking tot</w:t>
      </w:r>
      <w:r w:rsidRPr="00A45148">
        <w:t xml:space="preserve">  het presenteren van resultaten in de winst-en-verliesrekening. Zo geeft IAS 1.85 aan dat een onderneming regels mag toevoegen, kopjes en tussentellingen mag hanteren als dat van belang is voor het begrijpen van financiële prestaties van de onderneming </w:t>
      </w:r>
      <w:r>
        <w:fldChar w:fldCharType="begin"/>
      </w:r>
      <w:r>
        <w:instrText xml:space="preserve"> ADDIN EN.CITE &lt;EndNote&gt;&lt;Cite&gt;&lt;Author&gt;Böhmer&lt;/Author&gt;&lt;Year&gt;2014&lt;/Year&gt;&lt;RecNum&gt;8&lt;/RecNum&gt;&lt;DisplayText&gt;(Böhmer et al., 2014)&lt;/DisplayText&gt;&lt;record&gt;&lt;rec-number&gt;8&lt;/rec-number&gt;&lt;foreign-keys&gt;&lt;key app="EN" db-id="warezr50rtv9pne9vrl5v2z50zvrfrt52spx" timestamp="1432818684"&gt;8&lt;/key&gt;&lt;/foreign-keys&gt;&lt;ref-type name="Book"&gt;6&lt;/ref-type&gt;&lt;contributors&gt;&lt;authors&gt;&lt;author&gt;Böhmer, S&lt;/author&gt;&lt;author&gt;Hoogendoorn, M.N.&lt;/author&gt;&lt;author&gt;Kruit, R&lt;/author&gt;&lt;/authors&gt;&lt;/contributors&gt;&lt;titles&gt;&lt;title&gt;Handboek jaarrekening 2014&lt;/title&gt;&lt;/titles&gt;&lt;section&gt;1638&lt;/section&gt;&lt;dates&gt;&lt;year&gt;2014&lt;/year&gt;&lt;/dates&gt;&lt;publisher&gt;Kluwer&lt;/publisher&gt;&lt;isbn&gt;978-90-13-12018-9&lt;/isbn&gt;&lt;urls&gt;&lt;/urls&gt;&lt;/record&gt;&lt;/Cite&gt;&lt;Cite&gt;&lt;Author&gt;Böhmer&lt;/Author&gt;&lt;Year&gt;2014&lt;/Year&gt;&lt;RecNum&gt;8&lt;/RecNum&gt;&lt;record&gt;&lt;rec-number&gt;8&lt;/rec-number&gt;&lt;foreign-keys&gt;&lt;key app="EN" db-id="warezr50rtv9pne9vrl5v2z50zvrfrt52spx" timestamp="1432818684"&gt;8&lt;/key&gt;&lt;/foreign-keys&gt;&lt;ref-type name="Book"&gt;6&lt;/ref-type&gt;&lt;contributors&gt;&lt;authors&gt;&lt;author&gt;Böhmer, S&lt;/author&gt;&lt;author&gt;Hoogendoorn, M.N.&lt;/author&gt;&lt;author&gt;Kruit, R&lt;/author&gt;&lt;/authors&gt;&lt;/contributors&gt;&lt;titles&gt;&lt;title&gt;Handboek jaarrekening 2014&lt;/title&gt;&lt;/titles&gt;&lt;section&gt;1638&lt;/section&gt;&lt;dates&gt;&lt;year&gt;2014&lt;/year&gt;&lt;/dates&gt;&lt;publisher&gt;Kluwer&lt;/publisher&gt;&lt;isbn&gt;978-90-13-12018-9&lt;/isbn&gt;&lt;urls&gt;&lt;/urls&gt;&lt;/record&gt;&lt;/Cite&gt;&lt;/EndNote&gt;</w:instrText>
      </w:r>
      <w:r>
        <w:fldChar w:fldCharType="separate"/>
      </w:r>
      <w:r>
        <w:rPr>
          <w:noProof/>
        </w:rPr>
        <w:t>(Böhmer et al., 2014)</w:t>
      </w:r>
      <w:r>
        <w:fldChar w:fldCharType="end"/>
      </w:r>
      <w:r w:rsidRPr="00A45148">
        <w:t xml:space="preserve">. Deze kopjes en tussentellingen zijn afgeleide alternatieve indicatoren en zijn meestal voor intern gebruik binnen een onderneming zoals het beoordelen van de verschillende segmenten </w:t>
      </w:r>
      <w:r>
        <w:fldChar w:fldCharType="begin"/>
      </w:r>
      <w:r>
        <w:instrText xml:space="preserve"> ADDIN EN.CITE &lt;EndNote&gt;&lt;Cite&gt;&lt;Author&gt;Knoops&lt;/Author&gt;&lt;Year&gt;2011&lt;/Year&gt;&lt;RecNum&gt;5&lt;/RecNum&gt;&lt;DisplayText&gt;(Knoops &amp;amp; Backhijs, 2011)&lt;/DisplayText&gt;&lt;record&gt;&lt;rec-number&gt;5&lt;/rec-number&gt;&lt;foreign-keys&gt;&lt;key app="EN" db-id="warezr50rtv9pne9vrl5v2z50zvrfrt52spx" timestamp="1432809691"&gt;5&lt;/key&gt;&lt;/foreign-keys&gt;&lt;ref-type name="Journal Article"&gt;17&lt;/ref-type&gt;&lt;contributors&gt;&lt;authors&gt;&lt;author&gt;Knoops, Chris&lt;/author&gt;&lt;author&gt;Backhijs, Jan&lt;/author&gt;&lt;/authors&gt;&lt;/contributors&gt;&lt;titles&gt;&lt;title&gt;Keuzes en alternatieven in de presentaties van de primaire overzichten onder IFRS&lt;/title&gt;&lt;secondary-title&gt;Maandblad voor accountancy en bedrijfseconomie: MAB&lt;/secondary-title&gt;&lt;/titles&gt;&lt;periodical&gt;&lt;full-title&gt;Maandblad voor accountancy en bedrijfseconomie: MAB&lt;/full-title&gt;&lt;/periodical&gt;&lt;pages&gt;589-609&lt;/pages&gt;&lt;volume&gt;85&lt;/volume&gt;&lt;number&gt;12&lt;/number&gt;&lt;dates&gt;&lt;year&gt;2011&lt;/year&gt;&lt;/dates&gt;&lt;isbn&gt;0924-6304&lt;/isbn&gt;&lt;urls&gt;&lt;/urls&gt;&lt;/record&gt;&lt;/Cite&gt;&lt;/EndNote&gt;</w:instrText>
      </w:r>
      <w:r>
        <w:fldChar w:fldCharType="separate"/>
      </w:r>
      <w:r>
        <w:rPr>
          <w:noProof/>
        </w:rPr>
        <w:t>(Knoops &amp; Backhijs, 2011)</w:t>
      </w:r>
      <w:r>
        <w:fldChar w:fldCharType="end"/>
      </w:r>
      <w:r w:rsidRPr="00A45148">
        <w:t>.</w:t>
      </w:r>
    </w:p>
    <w:p w14:paraId="1683DB01" w14:textId="77777777" w:rsidR="00BA66CD" w:rsidRPr="00A45148" w:rsidRDefault="00BA66CD" w:rsidP="006569B4">
      <w:pPr>
        <w:spacing w:line="360" w:lineRule="auto"/>
      </w:pPr>
      <w:r>
        <w:t>Uit een onderzoek naar deze tussentellingen in de primaire overzichten door Backhuijs &amp; Knoops blijkt dat de meest voorkomende tussentellingen als volgt zijn</w:t>
      </w:r>
      <w:r w:rsidRPr="000022F8">
        <w:t xml:space="preserve"> </w:t>
      </w:r>
      <w:r>
        <w:fldChar w:fldCharType="begin"/>
      </w:r>
      <w:r>
        <w:instrText xml:space="preserve"> ADDIN EN.CITE &lt;EndNote&gt;&lt;Cite ExcludeYear="1"&gt;&lt;Author&gt;Knoops&lt;/Author&gt;&lt;Year&gt;2011&lt;/Year&gt;&lt;RecNum&gt;5&lt;/RecNum&gt;&lt;DisplayText&gt;(Knoops &amp;amp; Backhijs)&lt;/DisplayText&gt;&lt;record&gt;&lt;rec-number&gt;5&lt;/rec-number&gt;&lt;foreign-keys&gt;&lt;key app="EN" db-id="warezr50rtv9pne9vrl5v2z50zvrfrt52spx" timestamp="1432809691"&gt;5&lt;/key&gt;&lt;/foreign-keys&gt;&lt;ref-type name="Journal Article"&gt;17&lt;/ref-type&gt;&lt;contributors&gt;&lt;authors&gt;&lt;author&gt;Knoops, Chris&lt;/author&gt;&lt;author&gt;Backhijs, Jan&lt;/author&gt;&lt;/authors&gt;&lt;/contributors&gt;&lt;titles&gt;&lt;title&gt;Keuzes en alternatieven in de presentaties van de primaire overzichten onder IFRS&lt;/title&gt;&lt;secondary-title&gt;Maandblad voor accountancy en bedrijfseconomie: MAB&lt;/secondary-title&gt;&lt;/titles&gt;&lt;periodical&gt;&lt;full-title&gt;Maandblad voor accountancy en bedrijfseconomie: MAB&lt;/full-title&gt;&lt;/periodical&gt;&lt;pages&gt;589-609&lt;/pages&gt;&lt;volume&gt;85&lt;/volume&gt;&lt;number&gt;12&lt;/number&gt;&lt;dates&gt;&lt;year&gt;2011&lt;/year&gt;&lt;/dates&gt;&lt;isbn&gt;0924-6304&lt;/isbn&gt;&lt;urls&gt;&lt;/urls&gt;&lt;/record&gt;&lt;/Cite&gt;&lt;/EndNote&gt;</w:instrText>
      </w:r>
      <w:r>
        <w:fldChar w:fldCharType="separate"/>
      </w:r>
      <w:r>
        <w:rPr>
          <w:noProof/>
        </w:rPr>
        <w:t>(Knoops &amp; Backhijs)</w:t>
      </w:r>
      <w:r>
        <w:fldChar w:fldCharType="end"/>
      </w:r>
      <w:r>
        <w:t>:</w:t>
      </w:r>
    </w:p>
    <w:p w14:paraId="5B756E3C" w14:textId="77777777" w:rsidR="00BA66CD" w:rsidRPr="00A45148" w:rsidRDefault="00BA66CD" w:rsidP="006569B4">
      <w:pPr>
        <w:pStyle w:val="ListParagraph"/>
        <w:numPr>
          <w:ilvl w:val="0"/>
          <w:numId w:val="5"/>
        </w:numPr>
        <w:spacing w:line="360" w:lineRule="auto"/>
      </w:pPr>
      <w:r w:rsidRPr="00A45148">
        <w:t>Gross profit;</w:t>
      </w:r>
    </w:p>
    <w:p w14:paraId="4312C877" w14:textId="77777777" w:rsidR="00BA66CD" w:rsidRPr="00FA29FC" w:rsidRDefault="00BA66CD" w:rsidP="006569B4">
      <w:pPr>
        <w:pStyle w:val="ListParagraph"/>
        <w:numPr>
          <w:ilvl w:val="0"/>
          <w:numId w:val="5"/>
        </w:numPr>
        <w:spacing w:line="360" w:lineRule="auto"/>
        <w:rPr>
          <w:lang w:val="en-GB"/>
        </w:rPr>
      </w:pPr>
      <w:r w:rsidRPr="00FA29FC">
        <w:rPr>
          <w:lang w:val="en-GB"/>
        </w:rPr>
        <w:t>Operating profit before interest and taxes;</w:t>
      </w:r>
    </w:p>
    <w:p w14:paraId="42A160CF" w14:textId="77777777" w:rsidR="00BA66CD" w:rsidRPr="00A45148" w:rsidRDefault="00BA66CD" w:rsidP="006569B4">
      <w:pPr>
        <w:pStyle w:val="ListParagraph"/>
        <w:numPr>
          <w:ilvl w:val="0"/>
          <w:numId w:val="5"/>
        </w:numPr>
        <w:spacing w:line="360" w:lineRule="auto"/>
      </w:pPr>
      <w:r w:rsidRPr="00A45148">
        <w:t>Operating profit before taxes.</w:t>
      </w:r>
    </w:p>
    <w:p w14:paraId="13F9F9CC" w14:textId="728F4B1A" w:rsidR="00BA66CD" w:rsidRPr="00A45148" w:rsidRDefault="00BA66CD" w:rsidP="006569B4">
      <w:pPr>
        <w:spacing w:line="360" w:lineRule="auto"/>
      </w:pPr>
      <w:r w:rsidRPr="00A45148">
        <w:t>Deze zijn</w:t>
      </w:r>
      <w:r w:rsidR="001C3C09">
        <w:t xml:space="preserve"> echter al</w:t>
      </w:r>
      <w:r w:rsidRPr="00A45148">
        <w:t xml:space="preserve"> ‘ingeburgerd’, zo wordt ook vermeld in het artikel van Marseille &amp; Vergoossen </w:t>
      </w:r>
      <w:r>
        <w:fldChar w:fldCharType="begin"/>
      </w:r>
      <w:r>
        <w:instrText xml:space="preserve"> ADDIN EN.CITE &lt;EndNote&gt;&lt;Cite&gt;&lt;Author&gt;Marseille&lt;/Author&gt;&lt;Year&gt;2005&lt;/Year&gt;&lt;RecNum&gt;4&lt;/RecNum&gt;&lt;DisplayText&gt;(Marseille &amp;amp; Vergoossen, 2005)&lt;/DisplayText&gt;&lt;record&gt;&lt;rec-number&gt;4&lt;/rec-number&gt;&lt;foreign-keys&gt;&lt;key app="EN" db-id="warezr50rtv9pne9vrl5v2z50zvrfrt52spx" timestamp="1432809425"&gt;4&lt;/key&gt;&lt;/foreign-keys&gt;&lt;ref-type name="Journal Article"&gt;17&lt;/ref-type&gt;&lt;contributors&gt;&lt;authors&gt;&lt;author&gt;Marseille, EA&lt;/author&gt;&lt;author&gt;Vergoossen, RGA&lt;/author&gt;&lt;/authors&gt;&lt;/contributors&gt;&lt;titles&gt;&lt;title&gt;Het gebruik van alternatieve financiële prestatie-indicatoren in persberichten&lt;/title&gt;&lt;secondary-title&gt;Maandblad voor Accountancy en Bedrijfseconomie&lt;/secondary-title&gt;&lt;/titles&gt;&lt;periodical&gt;&lt;full-title&gt;Maandblad voor Accountancy en Bedrijfseconomie&lt;/full-title&gt;&lt;/periodical&gt;&lt;pages&gt;196-205&lt;/pages&gt;&lt;volume&gt;79&lt;/volume&gt;&lt;number&gt;5&lt;/number&gt;&lt;dates&gt;&lt;year&gt;2005&lt;/year&gt;&lt;/dates&gt;&lt;isbn&gt;0924-6304&lt;/isbn&gt;&lt;urls&gt;&lt;/urls&gt;&lt;/record&gt;&lt;/Cite&gt;&lt;/EndNote&gt;</w:instrText>
      </w:r>
      <w:r>
        <w:fldChar w:fldCharType="separate"/>
      </w:r>
      <w:r>
        <w:rPr>
          <w:noProof/>
        </w:rPr>
        <w:t>(Marseille &amp; Vergoossen, 2005)</w:t>
      </w:r>
      <w:r>
        <w:fldChar w:fldCharType="end"/>
      </w:r>
      <w:r w:rsidRPr="00A45148">
        <w:t xml:space="preserve"> . </w:t>
      </w:r>
    </w:p>
    <w:p w14:paraId="24DF60EB" w14:textId="0E320B55" w:rsidR="00737D74" w:rsidRDefault="00BA66CD" w:rsidP="006569B4">
      <w:pPr>
        <w:spacing w:line="360" w:lineRule="auto"/>
      </w:pPr>
      <w:r w:rsidRPr="00A45148">
        <w:t>Voorbeelden van gevonden indicatoren uit de winst-</w:t>
      </w:r>
      <w:r w:rsidR="004833C3">
        <w:t xml:space="preserve"> </w:t>
      </w:r>
      <w:r w:rsidRPr="00A45148">
        <w:t>en</w:t>
      </w:r>
      <w:r w:rsidR="004833C3">
        <w:t xml:space="preserve"> </w:t>
      </w:r>
      <w:r w:rsidRPr="00A45148">
        <w:t xml:space="preserve">verliesrekening staan gegeven in tabel </w:t>
      </w:r>
      <w:r>
        <w:t>1</w:t>
      </w:r>
      <w:r>
        <w:rPr>
          <w:rStyle w:val="FootnoteReference"/>
        </w:rPr>
        <w:footnoteReference w:id="3"/>
      </w:r>
      <w:r w:rsidRPr="00A45148">
        <w:t xml:space="preserve">. Deze ‘winstbegrippen’ staan vermeld samen met de ratio van hoe vaak ze voorkomen. Tevens is gekeken naar de aansluiting van de alternatieve indicatoren met GAAP-indicatoren, dit is weergegeven in tabel </w:t>
      </w:r>
      <w:r>
        <w:t>2</w:t>
      </w:r>
      <w:r w:rsidRPr="00A45148">
        <w:t>. Volledige aansluiting houdt in dat het afgeleiden zijn van GAAP-indicatoren terwijl geen aansluiting aangeeft dat het op zichzelf staande al</w:t>
      </w:r>
      <w:r w:rsidR="004046C5">
        <w:t xml:space="preserve">ternatieve indicatoren zijn. </w:t>
      </w:r>
      <w:r w:rsidRPr="00A45148">
        <w:t>Opvallend in tabel 2 is het grote aantal verschillende winstbegrippen. Hieruit blijkt dat de resultaten van bedrijven op diverse manieren worden weergegeven binnen alleen de winst-</w:t>
      </w:r>
      <w:r w:rsidR="00561199">
        <w:t xml:space="preserve"> </w:t>
      </w:r>
      <w:r w:rsidRPr="00A45148">
        <w:t>en</w:t>
      </w:r>
      <w:r w:rsidR="00561199">
        <w:t xml:space="preserve"> </w:t>
      </w:r>
      <w:r w:rsidRPr="00A45148">
        <w:t>verliesrekening</w:t>
      </w:r>
      <w:r w:rsidR="00E0559F">
        <w:t>,</w:t>
      </w:r>
      <w:r w:rsidRPr="00A45148">
        <w:t xml:space="preserve"> terwijl de meeste alternatieve indicatoren worden gepresenteerd in de toelichting. In het geval van de winstbegrippen is de meerderheid volledig aangesloten aan GAAP-indicatoren doordat het afgeleiden zijn hiervan. Uit alle gegevens valt te concluderen dat de groep alternatieve indicatoren zeer groot is en</w:t>
      </w:r>
      <w:r>
        <w:t xml:space="preserve"> dat</w:t>
      </w:r>
      <w:r w:rsidRPr="00A45148">
        <w:t xml:space="preserve"> de motieven van</w:t>
      </w:r>
      <w:r>
        <w:t xml:space="preserve"> het gebruik en de toelichting belangrijk zijn in de presentatie.</w:t>
      </w:r>
    </w:p>
    <w:p w14:paraId="59399CF4" w14:textId="12401C29" w:rsidR="00BA66CD" w:rsidRDefault="003819C9" w:rsidP="006569B4">
      <w:pPr>
        <w:spacing w:line="360" w:lineRule="auto"/>
      </w:pPr>
      <w:r>
        <w:t xml:space="preserve">Tevens is </w:t>
      </w:r>
      <w:r w:rsidR="00561199">
        <w:t xml:space="preserve">door de Autoriteit Financiële Markten (AFM) </w:t>
      </w:r>
      <w:r w:rsidR="00737D74">
        <w:t>gekeken naar het gebruik van de alternatieve indicatoren.</w:t>
      </w:r>
      <w:r w:rsidR="00561199">
        <w:t xml:space="preserve"> </w:t>
      </w:r>
      <w:r w:rsidR="00602007">
        <w:t>De</w:t>
      </w:r>
      <w:r w:rsidR="00561199">
        <w:t xml:space="preserve"> voor beleggers </w:t>
      </w:r>
      <w:r w:rsidR="00602007">
        <w:t>belangrijkste alternatieve indicatoren</w:t>
      </w:r>
      <w:r w:rsidR="00561199">
        <w:t xml:space="preserve"> </w:t>
      </w:r>
      <w:r w:rsidR="00602007">
        <w:t>vermeld in persberichten</w:t>
      </w:r>
      <w:r w:rsidR="00E0559F">
        <w:t>,</w:t>
      </w:r>
      <w:r w:rsidR="00602007">
        <w:t xml:space="preserve"> zijn volgens het onderzoek: auto</w:t>
      </w:r>
      <w:r w:rsidR="00B11540">
        <w:t>nome groei, netto schuldpositie en onderliggend resultaat.</w:t>
      </w:r>
      <w:r w:rsidR="006C556F">
        <w:t xml:space="preserve"> Deze worden vooral gebruikt door AEX en AMX fondsen</w:t>
      </w:r>
      <w:r w:rsidR="005B2605">
        <w:t xml:space="preserve">. </w:t>
      </w:r>
      <w:r w:rsidR="00CA047F">
        <w:fldChar w:fldCharType="begin"/>
      </w:r>
      <w:r w:rsidR="00CA047F">
        <w:instrText xml:space="preserve"> ADDIN EN.CITE &lt;EndNote&gt;&lt;Cite&gt;&lt;Author&gt;AFM&lt;/Author&gt;&lt;Year&gt;2014&lt;/Year&gt;&lt;RecNum&gt;13&lt;/RecNum&gt;&lt;DisplayText&gt;(AFM, 2014)&lt;/DisplayText&gt;&lt;record&gt;&lt;rec-number&gt;13&lt;/rec-number&gt;&lt;foreign-keys&gt;&lt;key app="EN" db-id="warezr50rtv9pne9vrl5v2z50zvrfrt52spx" timestamp="1433241393"&gt;13&lt;/key&gt;&lt;key app="ENWeb" db-id=""&gt;0&lt;/key&gt;&lt;/foreign-keys&gt;&lt;ref-type name="Report"&gt;27&lt;/ref-type&gt;&lt;contributors&gt;&lt;authors&gt;&lt;author&gt;AFM&lt;/author&gt;&lt;/authors&gt;&lt;/contributors&gt;&lt;titles&gt;&lt;title&gt;Alternatieve financiële prestatie-indicatoren: Toezicht | Kwaliteit Accountantscontrole &amp;amp; Verslaggeving&lt;/title&gt;&lt;/titles&gt;&lt;pages&gt;17&lt;/pages&gt;&lt;dates&gt;&lt;year&gt;2014&lt;/year&gt;&lt;pub-dates&gt;&lt;date&gt;April&lt;/date&gt;&lt;/pub-dates&gt;&lt;/dates&gt;&lt;pub-location&gt;Amsterdam&lt;/pub-location&gt;&lt;urls&gt;&lt;/urls&gt;&lt;/record&gt;&lt;/Cite&gt;&lt;/EndNote&gt;</w:instrText>
      </w:r>
      <w:r w:rsidR="00CA047F">
        <w:fldChar w:fldCharType="separate"/>
      </w:r>
      <w:r w:rsidR="00CA047F">
        <w:rPr>
          <w:noProof/>
        </w:rPr>
        <w:t>(AFM, 2014)</w:t>
      </w:r>
      <w:r w:rsidR="00CA047F">
        <w:fldChar w:fldCharType="end"/>
      </w:r>
    </w:p>
    <w:p w14:paraId="284E8B7F" w14:textId="5C8381BF" w:rsidR="00B10195" w:rsidRDefault="00BA66CD" w:rsidP="006569B4">
      <w:pPr>
        <w:spacing w:line="360" w:lineRule="auto"/>
      </w:pPr>
      <w:r>
        <w:t>De verschillen tussen de indicatoren aan de hand van GAAP en de alternatieve indicatoren behoeft weinig verdere uitleg. Het enige verschil is namelijk of GAAP wel of niet gevolgd wordt bij het samenstellen van de financiële prestatie-indicator.</w:t>
      </w:r>
    </w:p>
    <w:p w14:paraId="1743F7B9" w14:textId="3C15648A" w:rsidR="00EE1CF2" w:rsidRPr="002173B0" w:rsidRDefault="001C5BEB" w:rsidP="002173B0">
      <w:pPr>
        <w:pStyle w:val="Heading2"/>
        <w:spacing w:line="360" w:lineRule="auto"/>
      </w:pPr>
      <w:bookmarkStart w:id="11" w:name="_Toc425524012"/>
      <w:r>
        <w:t>2.4 Institutioneel isomorfisme</w:t>
      </w:r>
      <w:bookmarkEnd w:id="11"/>
    </w:p>
    <w:p w14:paraId="258322BD" w14:textId="49F404C9" w:rsidR="00EE1CF2" w:rsidRDefault="00EE1CF2" w:rsidP="00EE1CF2">
      <w:pPr>
        <w:spacing w:line="360" w:lineRule="auto"/>
      </w:pPr>
      <w:r>
        <w:t xml:space="preserve">Voor het vervolg van het onderzoek wordt de theorie van het institutioneel isomorfisme behandeld. Deze theorie uit 1989 van Dimaggio &amp; Powell beschrijft hoe ondernemingen op elkaar gaan lijken, zelfs als dit niet de bedoeling is. </w:t>
      </w:r>
    </w:p>
    <w:p w14:paraId="32D87EC8" w14:textId="77777777" w:rsidR="00EE1CF2" w:rsidRDefault="00EE1CF2" w:rsidP="00EE1CF2">
      <w:pPr>
        <w:spacing w:line="360" w:lineRule="auto"/>
      </w:pPr>
      <w:r>
        <w:t>Isomorfisme wordt als volgt beschreven;</w:t>
      </w:r>
    </w:p>
    <w:p w14:paraId="36849B7E" w14:textId="77777777" w:rsidR="00EE1CF2" w:rsidRDefault="00EE1CF2" w:rsidP="00EE1CF2">
      <w:pPr>
        <w:spacing w:line="360" w:lineRule="auto"/>
      </w:pPr>
    </w:p>
    <w:p w14:paraId="184E0CA3" w14:textId="0D9E7A29" w:rsidR="00EE1CF2" w:rsidRPr="002D643A" w:rsidRDefault="00EE1CF2" w:rsidP="00EE1CF2">
      <w:pPr>
        <w:spacing w:line="360" w:lineRule="auto"/>
        <w:rPr>
          <w:i/>
          <w:lang w:val="en-US"/>
        </w:rPr>
      </w:pPr>
      <w:r w:rsidRPr="002D643A">
        <w:rPr>
          <w:i/>
          <w:lang w:val="en-US"/>
        </w:rPr>
        <w:t>‘</w:t>
      </w:r>
      <w:r w:rsidR="009C01B0">
        <w:rPr>
          <w:i/>
          <w:lang w:val="en-US"/>
        </w:rPr>
        <w:t>C</w:t>
      </w:r>
      <w:r w:rsidRPr="002D643A">
        <w:rPr>
          <w:i/>
          <w:lang w:val="en-US"/>
        </w:rPr>
        <w:t xml:space="preserve">onstraining process that forces one unit in a population to resemble other units that face the same set of environmental conditions’ </w:t>
      </w:r>
      <w:r>
        <w:fldChar w:fldCharType="begin"/>
      </w:r>
      <w:r w:rsidRPr="002D643A">
        <w:rPr>
          <w:lang w:val="en-US"/>
        </w:rPr>
        <w:instrText xml:space="preserve"> ADDIN EN.CITE &lt;EndNote&gt;&lt;Cite&gt;&lt;Author&gt;DiMaggio&lt;/Author&gt;&lt;Year&gt;1983&lt;/Year&gt;&lt;RecNum&gt;11&lt;/RecNum&gt;&lt;DisplayText&gt;(DiMaggio &amp;amp; Powell, 1983)&lt;/DisplayText&gt;&lt;record&gt;&lt;rec-number&gt;11&lt;/rec-number&gt;&lt;foreign-keys&gt;&lt;key app="EN" db-id="warezr50rtv9pne9vrl5v2z50zvrfrt52spx" timestamp="1433168256"&gt;11&lt;/key&gt;&lt;/foreign-keys&gt;&lt;ref-type name="Journal Article"&gt;17&lt;/ref-type&gt;&lt;contributors&gt;&lt;authors&gt;&lt;author&gt;DiMaggio, Paul J.&lt;/author&gt;&lt;author&gt;Powell, Walter W.&lt;/author&gt;&lt;/authors&gt;&lt;/contributors&gt;&lt;titles&gt;&lt;title&gt;The Iron Cage Revisited: Institutional Isomorphism and Collective Rationality in Organizational Fields&lt;/title&gt;&lt;secondary-title&gt;American Sociological Review&lt;/secondary-title&gt;&lt;/titles&gt;&lt;periodical&gt;&lt;full-title&gt;American Sociological Review&lt;/full-title&gt;&lt;/periodical&gt;&lt;pages&gt;147-160&lt;/pages&gt;&lt;volume&gt;48&lt;/volume&gt;&lt;number&gt;2&lt;/number&gt;&lt;dates&gt;&lt;year&gt;1983&lt;/year&gt;&lt;/dates&gt;&lt;publisher&gt;American Sociological Association&lt;/publisher&gt;&lt;isbn&gt;00031224&lt;/isbn&gt;&lt;urls&gt;&lt;related-urls&gt;&lt;url&gt;http://www.jstor.org/stable/2095101&lt;/url&gt;&lt;/related-urls&gt;&lt;/urls&gt;&lt;electronic-resource-num&gt;10.2307/2095101&lt;/electronic-resource-num&gt;&lt;/record&gt;&lt;/Cite&gt;&lt;/EndNote&gt;</w:instrText>
      </w:r>
      <w:r>
        <w:fldChar w:fldCharType="separate"/>
      </w:r>
      <w:r w:rsidRPr="002D643A">
        <w:rPr>
          <w:noProof/>
          <w:lang w:val="en-US"/>
        </w:rPr>
        <w:t>(DiMaggio &amp; Powell, 1983)</w:t>
      </w:r>
      <w:r>
        <w:fldChar w:fldCharType="end"/>
      </w:r>
      <w:r w:rsidRPr="002D643A">
        <w:rPr>
          <w:lang w:val="en-US"/>
        </w:rPr>
        <w:t>.</w:t>
      </w:r>
    </w:p>
    <w:p w14:paraId="05479738" w14:textId="77777777" w:rsidR="00EE1CF2" w:rsidRPr="002D643A" w:rsidRDefault="00EE1CF2" w:rsidP="00EE1CF2">
      <w:pPr>
        <w:spacing w:line="360" w:lineRule="auto"/>
        <w:rPr>
          <w:i/>
          <w:lang w:val="en-US"/>
        </w:rPr>
      </w:pPr>
    </w:p>
    <w:p w14:paraId="3C718E24" w14:textId="316873AE" w:rsidR="00EE1CF2" w:rsidRPr="006103F4" w:rsidRDefault="00EE1CF2" w:rsidP="00EE1CF2">
      <w:pPr>
        <w:spacing w:line="360" w:lineRule="auto"/>
      </w:pPr>
      <w:r>
        <w:t>Isomorfisme is dus een vorm van niet vrijwillig overname gedrag en speelt een rol in het moderne bedrijfsleven.</w:t>
      </w:r>
    </w:p>
    <w:p w14:paraId="63E622D3" w14:textId="0F2A99D4" w:rsidR="00EE1CF2" w:rsidRDefault="00EE1CF2" w:rsidP="00EE1CF2">
      <w:pPr>
        <w:spacing w:line="360" w:lineRule="auto"/>
      </w:pPr>
      <w:r>
        <w:t xml:space="preserve">Het institutionele aspect van de theorie slaat op de ondernemingen die niet alleen concurreren om klanten en grondstoffen, maar ook voor politieke macht en legitimiteit. Tevens wordt gezegd dat de theorie van het institutioneel isomorfisme handig is voor het begrijpen van de politieke aspecten binnen het moderne bedrijfsleven </w:t>
      </w:r>
      <w:r>
        <w:fldChar w:fldCharType="begin"/>
      </w:r>
      <w:r>
        <w:instrText xml:space="preserve"> ADDIN EN.CITE &lt;EndNote&gt;&lt;Cite&gt;&lt;Author&gt;DiMaggio&lt;/Author&gt;&lt;Year&gt;1983&lt;/Year&gt;&lt;RecNum&gt;11&lt;/RecNum&gt;&lt;DisplayText&gt;(DiMaggio &amp;amp; Powell, 1983)&lt;/DisplayText&gt;&lt;record&gt;&lt;rec-number&gt;11&lt;/rec-number&gt;&lt;foreign-keys&gt;&lt;key app="EN" db-id="warezr50rtv9pne9vrl5v2z50zvrfrt52spx" timestamp="1433168256"&gt;11&lt;/key&gt;&lt;/foreign-keys&gt;&lt;ref-type name="Journal Article"&gt;17&lt;/ref-type&gt;&lt;contributors&gt;&lt;authors&gt;&lt;author&gt;DiMaggio, Paul J.&lt;/author&gt;&lt;author&gt;Powell, Walter W.&lt;/author&gt;&lt;/authors&gt;&lt;/contributors&gt;&lt;titles&gt;&lt;title&gt;The Iron Cage Revisited: Institutional Isomorphism and Collective Rationality in Organizational Fields&lt;/title&gt;&lt;secondary-title&gt;American Sociological Review&lt;/secondary-title&gt;&lt;/titles&gt;&lt;periodical&gt;&lt;full-title&gt;American Sociological Review&lt;/full-title&gt;&lt;/periodical&gt;&lt;pages&gt;147-160&lt;/pages&gt;&lt;volume&gt;48&lt;/volume&gt;&lt;number&gt;2&lt;/number&gt;&lt;dates&gt;&lt;year&gt;1983&lt;/year&gt;&lt;/dates&gt;&lt;publisher&gt;American Sociological Association&lt;/publisher&gt;&lt;isbn&gt;00031224&lt;/isbn&gt;&lt;urls&gt;&lt;related-urls&gt;&lt;url&gt;http://www.jstor.org/stable/2095101&lt;/url&gt;&lt;/related-urls&gt;&lt;/urls&gt;&lt;electronic-resource-num&gt;10.2307/2095101&lt;/electronic-resource-num&gt;&lt;/record&gt;&lt;/Cite&gt;&lt;/EndNote&gt;</w:instrText>
      </w:r>
      <w:r>
        <w:fldChar w:fldCharType="separate"/>
      </w:r>
      <w:r>
        <w:rPr>
          <w:noProof/>
        </w:rPr>
        <w:t>(DiMaggio &amp; Powell, 1983)</w:t>
      </w:r>
      <w:r>
        <w:fldChar w:fldCharType="end"/>
      </w:r>
      <w:r>
        <w:t>.</w:t>
      </w:r>
    </w:p>
    <w:p w14:paraId="0ED2E5D4" w14:textId="77777777" w:rsidR="00EE1CF2" w:rsidRDefault="00EE1CF2" w:rsidP="00EE1CF2">
      <w:pPr>
        <w:spacing w:line="360" w:lineRule="auto"/>
      </w:pPr>
      <w:r>
        <w:t>Binnen de theorie bestaan 3 ‘mechanismes’ waardoor isomorfisme plaatsvindt.</w:t>
      </w:r>
    </w:p>
    <w:p w14:paraId="4BC79C14" w14:textId="77777777" w:rsidR="00EE1CF2" w:rsidRDefault="00EE1CF2" w:rsidP="00EE1CF2">
      <w:pPr>
        <w:pStyle w:val="ListParagraph"/>
        <w:numPr>
          <w:ilvl w:val="0"/>
          <w:numId w:val="10"/>
        </w:numPr>
        <w:spacing w:line="360" w:lineRule="auto"/>
      </w:pPr>
      <w:r>
        <w:rPr>
          <w:i/>
        </w:rPr>
        <w:t>‘Coercive’</w:t>
      </w:r>
      <w:r>
        <w:t xml:space="preserve"> isomorfisme; in andere woorden dwang. Dit komt voort uit zowel formele als informele druk uitgeoefend door andere organisaties waar de onderneming afhankelijk van is en door culturele verwachtingen in de maatschappij waarin de onderneming werkzaam is. Dit kunnen regelgevingen zijn of pressiemaatregelen van niet gouvernementele organisaties.</w:t>
      </w:r>
    </w:p>
    <w:p w14:paraId="43BB8F98" w14:textId="77777777" w:rsidR="00EE1CF2" w:rsidRDefault="00EE1CF2" w:rsidP="00EE1CF2">
      <w:pPr>
        <w:spacing w:line="360" w:lineRule="auto"/>
      </w:pPr>
    </w:p>
    <w:p w14:paraId="0D809C61" w14:textId="77777777" w:rsidR="00EE1CF2" w:rsidRDefault="00EE1CF2" w:rsidP="00EE1CF2">
      <w:pPr>
        <w:pStyle w:val="ListParagraph"/>
        <w:numPr>
          <w:ilvl w:val="0"/>
          <w:numId w:val="10"/>
        </w:numPr>
        <w:spacing w:line="360" w:lineRule="auto"/>
      </w:pPr>
      <w:r>
        <w:rPr>
          <w:i/>
        </w:rPr>
        <w:t xml:space="preserve">‘Mimetic’ </w:t>
      </w:r>
      <w:r>
        <w:t>isomorfisme; in andere woorden nabootsend. Deze vorm komt voort uit onzekerheid. Wanneer organisatorische technologie niet begrepen wordt, wanneer doelen niet duidelijk zijn of wanneer de omgeving onzekerheid brengt kunnen ondernemingen zich spiegelen aan andere ondernemingen. Ook door zaken als overgenomen werknemers van andere ondernemingen of consultancy en accountantsbureaus worden dingen overgenomen.</w:t>
      </w:r>
    </w:p>
    <w:p w14:paraId="19FBE6C5" w14:textId="77777777" w:rsidR="00EE1CF2" w:rsidRDefault="00EE1CF2" w:rsidP="00EE1CF2">
      <w:pPr>
        <w:spacing w:line="360" w:lineRule="auto"/>
      </w:pPr>
    </w:p>
    <w:p w14:paraId="49E83B98" w14:textId="1C102DE1" w:rsidR="001C5BEB" w:rsidRPr="001C5BEB" w:rsidRDefault="00EE1CF2" w:rsidP="006103F4">
      <w:pPr>
        <w:pStyle w:val="ListParagraph"/>
        <w:numPr>
          <w:ilvl w:val="0"/>
          <w:numId w:val="10"/>
        </w:numPr>
        <w:spacing w:line="360" w:lineRule="auto"/>
      </w:pPr>
      <w:r>
        <w:t xml:space="preserve">Normatief isomorfisme; Deze vorm komt voort uit professionalisering. </w:t>
      </w:r>
      <w:r w:rsidRPr="002D643A">
        <w:rPr>
          <w:lang w:val="en-US"/>
        </w:rPr>
        <w:t xml:space="preserve">Professionalisering wordt in de theorie als volgt beschreven: </w:t>
      </w:r>
      <w:r w:rsidRPr="002D643A">
        <w:rPr>
          <w:i/>
          <w:lang w:val="en-US"/>
        </w:rPr>
        <w:t xml:space="preserve">‘the collective struggle of members of an occupation to define the conditions and methods of their work, to control “the production of producers”, and to establish a cognitive base and legitimation for their occupational autonomy’. </w:t>
      </w:r>
      <w:r>
        <w:t xml:space="preserve">Binnen de professionalisering wordt onderscheid gemaakt tussen twee oorzaken van isomorfisme. De eerste heeft betrekking op het onderwijs op universiteiten. Voor professionalisering spelen universiteiten een grote rol en hebben veel invloed op de studenten. De tweede oorzaak is de groei en uitwerking van professionele netwerken tussen ondernemingen waar nieuwe modellen zich snel verspreiden </w:t>
      </w:r>
      <w:r>
        <w:fldChar w:fldCharType="begin"/>
      </w:r>
      <w:r>
        <w:instrText xml:space="preserve"> ADDIN EN.CITE &lt;EndNote&gt;&lt;Cite&gt;&lt;Author&gt;DiMaggio&lt;/Author&gt;&lt;Year&gt;1983&lt;/Year&gt;&lt;RecNum&gt;11&lt;/RecNum&gt;&lt;DisplayText&gt;(DiMaggio &amp;amp; Powell, 1983)&lt;/DisplayText&gt;&lt;record&gt;&lt;rec-number&gt;11&lt;/rec-number&gt;&lt;foreign-keys&gt;&lt;key app="EN" db-id="warezr50rtv9pne9vrl5v2z50zvrfrt52spx" timestamp="1433168256"&gt;11&lt;/key&gt;&lt;/foreign-keys&gt;&lt;ref-type name="Journal Article"&gt;17&lt;/ref-type&gt;&lt;contributors&gt;&lt;authors&gt;&lt;author&gt;DiMaggio, Paul J.&lt;/author&gt;&lt;author&gt;Powell, Walter W.&lt;/author&gt;&lt;/authors&gt;&lt;/contributors&gt;&lt;titles&gt;&lt;title&gt;The Iron Cage Revisited: Institutional Isomorphism and Collective Rationality in Organizational Fields&lt;/title&gt;&lt;secondary-title&gt;American Sociological Review&lt;/secondary-title&gt;&lt;/titles&gt;&lt;periodical&gt;&lt;full-title&gt;American Sociological Review&lt;/full-title&gt;&lt;/periodical&gt;&lt;pages&gt;147-160&lt;/pages&gt;&lt;volume&gt;48&lt;/volume&gt;&lt;number&gt;2&lt;/number&gt;&lt;dates&gt;&lt;year&gt;1983&lt;/year&gt;&lt;/dates&gt;&lt;publisher&gt;American Sociological Association&lt;/publisher&gt;&lt;isbn&gt;00031224&lt;/isbn&gt;&lt;urls&gt;&lt;related-urls&gt;&lt;url&gt;http://www.jstor.org/stable/2095101&lt;/url&gt;&lt;/related-urls&gt;&lt;/urls&gt;&lt;electronic-resource-num&gt;10.2307/2095101&lt;/electronic-resource-num&gt;&lt;/record&gt;&lt;/Cite&gt;&lt;/EndNote&gt;</w:instrText>
      </w:r>
      <w:r>
        <w:fldChar w:fldCharType="separate"/>
      </w:r>
      <w:r>
        <w:rPr>
          <w:noProof/>
        </w:rPr>
        <w:t>(DiMaggio &amp; Powell, 1983)</w:t>
      </w:r>
      <w:r>
        <w:fldChar w:fldCharType="end"/>
      </w:r>
      <w:r>
        <w:t>.</w:t>
      </w:r>
    </w:p>
    <w:p w14:paraId="33EF50AA" w14:textId="1BBEC80B" w:rsidR="00544097" w:rsidRPr="00881473" w:rsidRDefault="00BA66CD" w:rsidP="002173B0">
      <w:pPr>
        <w:pStyle w:val="Heading2"/>
        <w:spacing w:line="360" w:lineRule="auto"/>
      </w:pPr>
      <w:bookmarkStart w:id="12" w:name="_Toc425524013"/>
      <w:r>
        <w:t>2.</w:t>
      </w:r>
      <w:r w:rsidR="001C5BEB">
        <w:t>5</w:t>
      </w:r>
      <w:r>
        <w:t xml:space="preserve"> </w:t>
      </w:r>
      <w:r w:rsidRPr="00A45148">
        <w:t>Conclusie</w:t>
      </w:r>
      <w:bookmarkEnd w:id="12"/>
    </w:p>
    <w:p w14:paraId="179F8CED" w14:textId="408507AB" w:rsidR="00BA66CD" w:rsidRDefault="00BA66CD" w:rsidP="006569B4">
      <w:pPr>
        <w:spacing w:line="360" w:lineRule="auto"/>
      </w:pPr>
      <w:r>
        <w:t>De indicatoren volgens GAAP zijn voorgeschreven posten die volgens de wet-</w:t>
      </w:r>
      <w:r w:rsidR="009C01B0">
        <w:t xml:space="preserve"> </w:t>
      </w:r>
      <w:r>
        <w:t>en</w:t>
      </w:r>
      <w:r w:rsidR="00561199">
        <w:t xml:space="preserve"> </w:t>
      </w:r>
      <w:r>
        <w:t xml:space="preserve">regelgeving vermeld moeten </w:t>
      </w:r>
      <w:r w:rsidR="00E0559F">
        <w:t>worden</w:t>
      </w:r>
      <w:r>
        <w:t xml:space="preserve"> in de jaarrekening van een bedrijf. Aangezien het hier gaat over financiële prestatie-indicatoren en de prestaties te vinden zijn in de winst-en</w:t>
      </w:r>
      <w:r w:rsidR="009C01B0">
        <w:t>-</w:t>
      </w:r>
      <w:r>
        <w:t>verliesrekening, zijn de</w:t>
      </w:r>
      <w:r w:rsidR="00561199">
        <w:t xml:space="preserve"> GAAP</w:t>
      </w:r>
      <w:r>
        <w:t xml:space="preserve"> indicatoren ook te vinden in de winst-en</w:t>
      </w:r>
      <w:r w:rsidR="009C01B0">
        <w:t>-</w:t>
      </w:r>
      <w:r>
        <w:t>verliesrekening. De winst-</w:t>
      </w:r>
      <w:r w:rsidR="00561199">
        <w:t xml:space="preserve"> </w:t>
      </w:r>
      <w:r>
        <w:t>en</w:t>
      </w:r>
      <w:r w:rsidR="00561199">
        <w:t xml:space="preserve"> </w:t>
      </w:r>
      <w:r>
        <w:t xml:space="preserve">verliesrekening heeft onder IFRS geen </w:t>
      </w:r>
      <w:r w:rsidR="00561199">
        <w:t xml:space="preserve">voorgeschreven </w:t>
      </w:r>
      <w:r>
        <w:t>modellen</w:t>
      </w:r>
      <w:r w:rsidR="00561199">
        <w:t>.</w:t>
      </w:r>
      <w:r>
        <w:t xml:space="preserve"> </w:t>
      </w:r>
    </w:p>
    <w:p w14:paraId="5EEE2A5A" w14:textId="77777777" w:rsidR="00BA66CD" w:rsidRDefault="00BA66CD" w:rsidP="006569B4">
      <w:pPr>
        <w:spacing w:line="360" w:lineRule="auto"/>
      </w:pPr>
      <w:r>
        <w:t>Wel wordt verplicht dat de volgende posten aanwezig zijn:</w:t>
      </w:r>
    </w:p>
    <w:p w14:paraId="71DB98C2" w14:textId="4A83FC7E" w:rsidR="00BA66CD" w:rsidRPr="00A45148" w:rsidRDefault="00BA66CD" w:rsidP="006569B4">
      <w:pPr>
        <w:pStyle w:val="ListParagraph"/>
        <w:numPr>
          <w:ilvl w:val="0"/>
          <w:numId w:val="5"/>
        </w:numPr>
        <w:spacing w:line="360" w:lineRule="auto"/>
      </w:pPr>
      <w:r w:rsidRPr="00A45148">
        <w:t>opbrengsten</w:t>
      </w:r>
    </w:p>
    <w:p w14:paraId="1080310E" w14:textId="447A51A7" w:rsidR="00BA66CD" w:rsidRPr="00A45148" w:rsidRDefault="00BA66CD" w:rsidP="006569B4">
      <w:pPr>
        <w:pStyle w:val="ListParagraph"/>
        <w:numPr>
          <w:ilvl w:val="0"/>
          <w:numId w:val="5"/>
        </w:numPr>
        <w:spacing w:line="360" w:lineRule="auto"/>
      </w:pPr>
      <w:r w:rsidRPr="00A45148">
        <w:t>financieringslasten</w:t>
      </w:r>
    </w:p>
    <w:p w14:paraId="20E6B330" w14:textId="239B5261" w:rsidR="00BA66CD" w:rsidRPr="00A45148" w:rsidRDefault="00BA66CD" w:rsidP="006569B4">
      <w:pPr>
        <w:pStyle w:val="ListParagraph"/>
        <w:numPr>
          <w:ilvl w:val="0"/>
          <w:numId w:val="5"/>
        </w:numPr>
        <w:spacing w:line="360" w:lineRule="auto"/>
      </w:pPr>
      <w:r w:rsidRPr="00A45148">
        <w:t>resultaat uit deelnemingen en joint ventures die volgens de ‘equity method’ worden gewaardeerd</w:t>
      </w:r>
    </w:p>
    <w:p w14:paraId="4D750EC1" w14:textId="18B41D7F" w:rsidR="00BA66CD" w:rsidRDefault="00BA66CD" w:rsidP="006569B4">
      <w:pPr>
        <w:pStyle w:val="ListParagraph"/>
        <w:numPr>
          <w:ilvl w:val="0"/>
          <w:numId w:val="5"/>
        </w:numPr>
        <w:spacing w:line="360" w:lineRule="auto"/>
      </w:pPr>
      <w:r w:rsidRPr="00A45148">
        <w:t>belastinglast</w:t>
      </w:r>
    </w:p>
    <w:p w14:paraId="1EC3E58C" w14:textId="2D49AC52" w:rsidR="00BA66CD" w:rsidRDefault="00E0559F" w:rsidP="006569B4">
      <w:pPr>
        <w:pStyle w:val="ListParagraph"/>
        <w:numPr>
          <w:ilvl w:val="0"/>
          <w:numId w:val="5"/>
        </w:numPr>
        <w:spacing w:line="360" w:lineRule="auto"/>
      </w:pPr>
      <w:r>
        <w:t>w</w:t>
      </w:r>
      <w:r w:rsidR="00BA66CD">
        <w:t>inst per aandeel</w:t>
      </w:r>
    </w:p>
    <w:p w14:paraId="5C49E0C2" w14:textId="77777777" w:rsidR="00BA66CD" w:rsidRDefault="00BA66CD" w:rsidP="006569B4">
      <w:pPr>
        <w:spacing w:line="360" w:lineRule="auto"/>
      </w:pPr>
    </w:p>
    <w:p w14:paraId="541B4152" w14:textId="74E9E914" w:rsidR="00BA66CD" w:rsidRDefault="00BA66CD" w:rsidP="006569B4">
      <w:pPr>
        <w:spacing w:line="360" w:lineRule="auto"/>
      </w:pPr>
      <w:r>
        <w:t>De RJ heeft in tegenstelling tot IFRS wel voorgeschreven modellen en maakt gebruik van twee soorten uitsplitsingen van de baten en lasten in de winst-</w:t>
      </w:r>
      <w:r w:rsidR="00561199">
        <w:t xml:space="preserve"> </w:t>
      </w:r>
      <w:r>
        <w:t>en</w:t>
      </w:r>
      <w:r w:rsidR="00561199">
        <w:t xml:space="preserve"> </w:t>
      </w:r>
      <w:r>
        <w:t>verliesrekening</w:t>
      </w:r>
      <w:r w:rsidR="00561199">
        <w:t xml:space="preserve">; </w:t>
      </w:r>
      <w:r>
        <w:t>de functionele en de categoriale kostensplitsing.</w:t>
      </w:r>
    </w:p>
    <w:p w14:paraId="7CFD8765" w14:textId="4C9F95A2" w:rsidR="00EE1CF2" w:rsidRDefault="00BA66CD" w:rsidP="006569B4">
      <w:pPr>
        <w:spacing w:line="360" w:lineRule="auto"/>
      </w:pPr>
      <w:r>
        <w:t xml:space="preserve">De alternatieve indicatoren zijn simpelweg alle indicatoren die niet voldoen aan de richtlijnen van GAAP. Dit kunnen afgeleide of zichzelf staande posten zijn. Veel voorkomend zijn tussentellingen en tussenkopjes die niet verplicht zijn volgens GAAP. Deze alternatieve indicatoren zijn vooral te vinden in de </w:t>
      </w:r>
      <w:r w:rsidR="240F737C">
        <w:t>toelichting in</w:t>
      </w:r>
      <w:r>
        <w:t xml:space="preserve"> plaats van de winst-</w:t>
      </w:r>
      <w:r w:rsidR="00561199">
        <w:t xml:space="preserve"> </w:t>
      </w:r>
      <w:r>
        <w:t>en</w:t>
      </w:r>
      <w:r w:rsidR="00561199">
        <w:t xml:space="preserve"> </w:t>
      </w:r>
      <w:r>
        <w:t>verliesrekening.</w:t>
      </w:r>
    </w:p>
    <w:p w14:paraId="2B52AEC0" w14:textId="57BB99CF" w:rsidR="00EE1CF2" w:rsidRDefault="009C01B0" w:rsidP="00EE1CF2">
      <w:pPr>
        <w:spacing w:line="360" w:lineRule="auto"/>
      </w:pPr>
      <w:r>
        <w:t>B</w:t>
      </w:r>
      <w:r w:rsidR="00EE1CF2">
        <w:t>ij de theorie van het institutionele isomorfisme</w:t>
      </w:r>
      <w:r>
        <w:t xml:space="preserve"> gaat het</w:t>
      </w:r>
      <w:r w:rsidR="00EE1CF2">
        <w:t xml:space="preserve"> om kopieergedrag van ondernemingen. Dit gedrag heeft 3 soorten oorzaken namelijk ‘coercive’, ‘mimetic’ en normatief. Anders gezegd gebeurt het dwangmatig, door onzekerheid of door professionalisering.</w:t>
      </w:r>
    </w:p>
    <w:p w14:paraId="2540358A" w14:textId="77777777" w:rsidR="00EE1CF2" w:rsidRPr="00A45148" w:rsidRDefault="00EE1CF2" w:rsidP="006569B4">
      <w:pPr>
        <w:spacing w:line="360" w:lineRule="auto"/>
      </w:pPr>
    </w:p>
    <w:p w14:paraId="184089B7" w14:textId="77777777" w:rsidR="00D9461B" w:rsidRDefault="00D9461B" w:rsidP="006569B4">
      <w:pPr>
        <w:spacing w:line="360" w:lineRule="auto"/>
      </w:pPr>
    </w:p>
    <w:p w14:paraId="23F89886" w14:textId="77777777" w:rsidR="007B28A3" w:rsidRDefault="007B28A3" w:rsidP="006569B4">
      <w:pPr>
        <w:spacing w:line="360" w:lineRule="auto"/>
      </w:pPr>
    </w:p>
    <w:p w14:paraId="415E76EE" w14:textId="44EA1452" w:rsidR="005B461A" w:rsidRDefault="005B461A" w:rsidP="009D69C6">
      <w:pPr>
        <w:pStyle w:val="Heading1"/>
      </w:pPr>
      <w:bookmarkStart w:id="13" w:name="_Toc425524014"/>
      <w:r>
        <w:t>Hoofdstuk 3: Alternatieve indicatoren en regelgevende instanties</w:t>
      </w:r>
      <w:bookmarkEnd w:id="13"/>
    </w:p>
    <w:p w14:paraId="49B268D1" w14:textId="010D1389" w:rsidR="005B461A" w:rsidRPr="002173B0" w:rsidRDefault="005B461A" w:rsidP="002173B0">
      <w:pPr>
        <w:pStyle w:val="Heading2"/>
        <w:spacing w:line="360" w:lineRule="auto"/>
      </w:pPr>
      <w:bookmarkStart w:id="14" w:name="_Toc425524015"/>
      <w:r>
        <w:t>3.1 Inleiding</w:t>
      </w:r>
      <w:bookmarkEnd w:id="14"/>
    </w:p>
    <w:p w14:paraId="2DEA3BB5" w14:textId="4155A605" w:rsidR="006569B4" w:rsidRDefault="00AB3211" w:rsidP="006569B4">
      <w:pPr>
        <w:spacing w:line="360" w:lineRule="auto"/>
      </w:pPr>
      <w:r>
        <w:t xml:space="preserve">In hoofdstuk </w:t>
      </w:r>
      <w:r w:rsidR="00E0559F">
        <w:t xml:space="preserve">3 </w:t>
      </w:r>
      <w:r>
        <w:t>wordt gekeken naar de regelgevende instanties en wat de standpunten zijn met betrekking tot de alternatieve indicatoren.</w:t>
      </w:r>
      <w:r w:rsidR="00504F58">
        <w:t xml:space="preserve"> Het is uit voorgaande hoofdstukken al gebleken dat een </w:t>
      </w:r>
      <w:r w:rsidR="009C01B0">
        <w:t xml:space="preserve">wet- en </w:t>
      </w:r>
      <w:r w:rsidR="00504F58">
        <w:t>regelgeving voor de alternatieve indicatoren ontbreekt. Het is namelijk maar de vraag of instanties zoals de RJ of de IASB enig nut zien in het gebruik van de alternatieve indicatoren.</w:t>
      </w:r>
      <w:r w:rsidR="006A3A01">
        <w:t xml:space="preserve"> Wanneer dit niet het geval is, is vermelding van de indicatoren volgens de regelgevende instanties</w:t>
      </w:r>
      <w:r w:rsidR="006569B4">
        <w:t xml:space="preserve"> onnodig</w:t>
      </w:r>
      <w:r w:rsidR="007A70D7">
        <w:t xml:space="preserve">. </w:t>
      </w:r>
      <w:r w:rsidR="006569B4">
        <w:t xml:space="preserve">Dit wil niet zeggen dat bedrijven geen nut zien in het gebruik van de alternatieve indicatoren. Zolang ook geen regelgeving bestaat met betrekking tot het verbieden van de alternatieve indicatoren mogen bedrijven ze nog steeds vermelden. </w:t>
      </w:r>
      <w:r w:rsidR="00FB3B01">
        <w:t>Het gebruik door bedrijven</w:t>
      </w:r>
      <w:r w:rsidR="007A70D7">
        <w:t xml:space="preserve"> zou</w:t>
      </w:r>
      <w:r w:rsidR="006569B4">
        <w:t xml:space="preserve"> wel</w:t>
      </w:r>
      <w:r w:rsidR="007A70D7">
        <w:t xml:space="preserve"> kunnen leiden tot onjuiste weerga</w:t>
      </w:r>
      <w:r w:rsidR="00FB3B01">
        <w:t xml:space="preserve">ven van de werkelijke situatie, maar kan ook zorgen voor een beter beeld voor de gebruiker. </w:t>
      </w:r>
    </w:p>
    <w:p w14:paraId="0E014AA0" w14:textId="345FD4C8" w:rsidR="006569B4" w:rsidRDefault="0097128A" w:rsidP="006569B4">
      <w:pPr>
        <w:spacing w:line="360" w:lineRule="auto"/>
      </w:pPr>
      <w:r>
        <w:t xml:space="preserve">Allereerst wordt ingegaan op de Nederlandse situatie. De regelgevende instantie in Nederland is de Raad voor de Jaarverslaggeving (RJ) en het toezichthoudende orgaan is de Autoriteit Financiële Markten (AFM). Vervolgens wordt op Europees niveau gekeken. </w:t>
      </w:r>
      <w:r w:rsidR="000B7367">
        <w:t>Het Europese regelgevende orgaan is de IASB (</w:t>
      </w:r>
      <w:r>
        <w:t xml:space="preserve"> </w:t>
      </w:r>
      <w:r w:rsidR="000B7367">
        <w:t>International Accounting Standards Board) die standaarden ontwikkeld voor de International Financial Reporting Standards (IFRS). Beide instanties vallen onder de IFRS Foundation, wat het overkoepelende orgaan is.</w:t>
      </w:r>
    </w:p>
    <w:p w14:paraId="4A203EDB" w14:textId="6DB31175" w:rsidR="00956EDE" w:rsidRDefault="000B7367" w:rsidP="006569B4">
      <w:pPr>
        <w:spacing w:line="360" w:lineRule="auto"/>
      </w:pPr>
      <w:r>
        <w:t>Deze instanties zullen eerst nadere toelichting krijgen voordat gekeken wordt naar de standpunten met betrekking tot de alternatieve indicatoren.</w:t>
      </w:r>
    </w:p>
    <w:p w14:paraId="55DE0B85" w14:textId="09B1B988" w:rsidR="00DA2284" w:rsidRPr="002173B0" w:rsidRDefault="00DC5042" w:rsidP="002173B0">
      <w:pPr>
        <w:pStyle w:val="Heading2"/>
        <w:spacing w:line="360" w:lineRule="auto"/>
      </w:pPr>
      <w:bookmarkStart w:id="15" w:name="_Toc425524016"/>
      <w:r w:rsidRPr="00EC0CDD">
        <w:t>3.2 Nederland: RJ &amp; AFM</w:t>
      </w:r>
      <w:bookmarkEnd w:id="15"/>
    </w:p>
    <w:p w14:paraId="7B2A8761" w14:textId="0DCEDD3E" w:rsidR="00817D6C" w:rsidRDefault="00817D6C" w:rsidP="006569B4">
      <w:pPr>
        <w:spacing w:line="360" w:lineRule="auto"/>
      </w:pPr>
      <w:r>
        <w:t xml:space="preserve">Het regelgevende orgaan in Nederland is de RJ. De RJ beschrijft zichzelf als volgt: </w:t>
      </w:r>
    </w:p>
    <w:p w14:paraId="2D5FB9AC" w14:textId="4AE8D6F6" w:rsidR="003A2CD8" w:rsidRDefault="00817D6C" w:rsidP="006569B4">
      <w:pPr>
        <w:spacing w:line="360" w:lineRule="auto"/>
      </w:pPr>
      <w:r>
        <w:t>‘De Stichting voor de Jaarverslaggeving heeft als doel de kwaliteit van de externe verslaggeving van organisaties en bedrijven in Nederland te bevorderen. Dit wordt gerealiseerd door het publiceren van ‘Richtlijnen voor de jaarverslaggeving’ en RJ-Uitingen. Daarnaast brengt de RJ gevraagd en ongevraagd advies uit aan de overheid en andere regelgevende instanties, zoals de IASB en EFRAG (European Financial Reporting Advisory Group). Het uitvoerend orgaan van de stichting is de Raad voor de Jaarverslaggeving.’</w:t>
      </w:r>
      <w:r w:rsidR="003A2CD8" w:rsidRPr="003A2CD8">
        <w:t xml:space="preserve"> </w:t>
      </w:r>
      <w:r w:rsidR="00FB0E81">
        <w:rPr>
          <w:rStyle w:val="FootnoteReference"/>
        </w:rPr>
        <w:footnoteReference w:id="4"/>
      </w:r>
      <w:r w:rsidR="003A2CD8">
        <w:fldChar w:fldCharType="begin"/>
      </w:r>
      <w:r w:rsidR="003A2CD8">
        <w:instrText xml:space="preserve"> ADDIN EN.CITE &lt;EndNote&gt;&lt;Cite&gt;&lt;Author&gt;RJ&lt;/Author&gt;&lt;Year&gt;2015&lt;/Year&gt;&lt;RecNum&gt;15&lt;/RecNum&gt;&lt;DisplayText&gt;(RJ, 2015)&lt;/DisplayText&gt;&lt;record&gt;&lt;rec-number&gt;15&lt;/rec-number&gt;&lt;foreign-keys&gt;&lt;key app="EN" db-id="warezr50rtv9pne9vrl5v2z50zvrfrt52spx" timestamp="1433248319"&gt;15&lt;/key&gt;&lt;/foreign-keys&gt;&lt;ref-type name="Web Page"&gt;12&lt;/ref-type&gt;&lt;contributors&gt;&lt;authors&gt;&lt;author&gt;RJ&lt;/author&gt;&lt;/authors&gt;&lt;/contributors&gt;&lt;titles&gt;&lt;title&gt;Raad voor de Jaarverslaggeving&lt;/title&gt;&lt;/titles&gt;&lt;volume&gt;2015&lt;/volume&gt;&lt;number&gt;2 juni&lt;/number&gt;&lt;dates&gt;&lt;year&gt;2015&lt;/year&gt;&lt;/dates&gt;&lt;urls&gt;&lt;related-urls&gt;&lt;url&gt;http://www.rjnet.nl/&lt;/url&gt;&lt;/related-urls&gt;&lt;/urls&gt;&lt;/record&gt;&lt;/Cite&gt;&lt;/EndNote&gt;</w:instrText>
      </w:r>
      <w:r w:rsidR="003A2CD8">
        <w:fldChar w:fldCharType="separate"/>
      </w:r>
      <w:r w:rsidR="003A2CD8">
        <w:rPr>
          <w:noProof/>
        </w:rPr>
        <w:t>(RJ, 2015)</w:t>
      </w:r>
      <w:r w:rsidR="003A2CD8">
        <w:fldChar w:fldCharType="end"/>
      </w:r>
    </w:p>
    <w:p w14:paraId="7FFB6017" w14:textId="151F1691" w:rsidR="00737D74" w:rsidRDefault="00FB0E81" w:rsidP="006569B4">
      <w:pPr>
        <w:spacing w:line="360" w:lineRule="auto"/>
      </w:pPr>
      <w:r>
        <w:t xml:space="preserve">Zoals uit het citaat blijkt heeft de RJ </w:t>
      </w:r>
      <w:r w:rsidR="00E742F4">
        <w:t xml:space="preserve">naast de regelgevende, </w:t>
      </w:r>
      <w:r>
        <w:t xml:space="preserve">ook een advies en toezichthoudende functie. </w:t>
      </w:r>
      <w:r w:rsidR="0093584B">
        <w:t>V</w:t>
      </w:r>
      <w:r>
        <w:t>ooral op grote schaal, zoals bij de overheid of internationale instanties. Het toezichthoudend orgaan voor de Nederlandse</w:t>
      </w:r>
      <w:r w:rsidR="00123400">
        <w:t xml:space="preserve"> financiële</w:t>
      </w:r>
      <w:r>
        <w:t xml:space="preserve"> markt is namelijk de AFM.</w:t>
      </w:r>
      <w:r w:rsidR="00933F12">
        <w:t xml:space="preserve"> De AFM is een onafhankelijke toezichthouder voor de financiële markten in Nederland met als doel het vergroten van het vertrouwen van consumenten, bedrijven en de overheid in de financiële markten. </w:t>
      </w:r>
      <w:r w:rsidR="00982843">
        <w:t>De taak van de AFM is toezicht houden op het gedrag van deelnemers aan de financiële markten. Dit gebeurt aan de hand van de Wet op het financieel toezicht (Wft). Relevant voor dit onderzoek is de connectie met de accountantsorganisaties</w:t>
      </w:r>
      <w:r w:rsidR="00737D74">
        <w:t xml:space="preserve"> en financiële verslaggeving</w:t>
      </w:r>
      <w:r w:rsidR="00982843">
        <w:t xml:space="preserve">. De AFM houdt </w:t>
      </w:r>
      <w:r w:rsidR="0093584B">
        <w:t>tevens</w:t>
      </w:r>
      <w:r w:rsidR="00982843">
        <w:t xml:space="preserve"> toezich</w:t>
      </w:r>
      <w:r w:rsidR="00737D74">
        <w:t>t op:</w:t>
      </w:r>
    </w:p>
    <w:p w14:paraId="44459C8C" w14:textId="64B1778A" w:rsidR="00737D74" w:rsidRDefault="00982843" w:rsidP="00737D74">
      <w:pPr>
        <w:pStyle w:val="ListParagraph"/>
        <w:numPr>
          <w:ilvl w:val="0"/>
          <w:numId w:val="5"/>
        </w:numPr>
        <w:spacing w:line="360" w:lineRule="auto"/>
      </w:pPr>
      <w:r>
        <w:t xml:space="preserve">de naleving van de kwaliteitseisen </w:t>
      </w:r>
      <w:r w:rsidR="00737D74">
        <w:t>door de accountants(organisaties)</w:t>
      </w:r>
    </w:p>
    <w:p w14:paraId="305536DB" w14:textId="0743D230" w:rsidR="00737D74" w:rsidRDefault="00737D74" w:rsidP="00737D74">
      <w:pPr>
        <w:pStyle w:val="ListParagraph"/>
        <w:numPr>
          <w:ilvl w:val="0"/>
          <w:numId w:val="5"/>
        </w:numPr>
        <w:spacing w:line="360" w:lineRule="auto"/>
      </w:pPr>
      <w:r>
        <w:t>de naleving van voorschriften en standaarden door beursgenoteerde ondernemingen</w:t>
      </w:r>
    </w:p>
    <w:p w14:paraId="37095A4E" w14:textId="2633F0FD" w:rsidR="00E742F4" w:rsidRDefault="00737D74" w:rsidP="00737D74">
      <w:pPr>
        <w:spacing w:line="360" w:lineRule="auto"/>
      </w:pPr>
      <w:r>
        <w:t xml:space="preserve">De AFM doet dit aan de hand van de Wet toezicht accountantsorganisaties (Wta) en de Wet toezicht financiële verslaggeving (Wtfv) </w:t>
      </w:r>
      <w:r w:rsidR="00933F12">
        <w:fldChar w:fldCharType="begin"/>
      </w:r>
      <w:r w:rsidR="00933F12">
        <w:instrText xml:space="preserve"> ADDIN EN.CITE &lt;EndNote&gt;&lt;Cite&gt;&lt;Author&gt;AFM&lt;/Author&gt;&lt;Year&gt;2015&lt;/Year&gt;&lt;RecNum&gt;16&lt;/RecNum&gt;&lt;DisplayText&gt;(AFM, 2015)&lt;/DisplayText&gt;&lt;record&gt;&lt;rec-number&gt;16&lt;/rec-number&gt;&lt;foreign-keys&gt;&lt;key app="EN" db-id="warezr50rtv9pne9vrl5v2z50zvrfrt52spx" timestamp="1433250095"&gt;16&lt;/key&gt;&lt;/foreign-keys&gt;&lt;ref-type name="Web Page"&gt;12&lt;/ref-type&gt;&lt;contributors&gt;&lt;authors&gt;&lt;author&gt;AFM&lt;/author&gt;&lt;/authors&gt;&lt;/contributors&gt;&lt;titles&gt;&lt;title&gt;De Autoriteit Financiële Markten&lt;/title&gt;&lt;/titles&gt;&lt;volume&gt;2015&lt;/volume&gt;&lt;number&gt;2 juni&lt;/number&gt;&lt;dates&gt;&lt;year&gt;2015&lt;/year&gt;&lt;/dates&gt;&lt;urls&gt;&lt;related-urls&gt;&lt;url&gt;http://www.afm.nl/nl-nl/over-afm&lt;/url&gt;&lt;/related-urls&gt;&lt;/urls&gt;&lt;/record&gt;&lt;/Cite&gt;&lt;/EndNote&gt;</w:instrText>
      </w:r>
      <w:r w:rsidR="00933F12">
        <w:fldChar w:fldCharType="separate"/>
      </w:r>
      <w:r w:rsidR="00933F12">
        <w:rPr>
          <w:noProof/>
        </w:rPr>
        <w:t>(AFM, 2015)</w:t>
      </w:r>
      <w:r w:rsidR="00933F12">
        <w:fldChar w:fldCharType="end"/>
      </w:r>
    </w:p>
    <w:p w14:paraId="31B0F420" w14:textId="77777777" w:rsidR="008A3E77" w:rsidRDefault="008A3E77" w:rsidP="00737D74">
      <w:pPr>
        <w:spacing w:line="360" w:lineRule="auto"/>
      </w:pPr>
    </w:p>
    <w:p w14:paraId="3DCAB36D" w14:textId="02275760" w:rsidR="002030AA" w:rsidRDefault="00CA047F" w:rsidP="00737D74">
      <w:pPr>
        <w:spacing w:line="360" w:lineRule="auto"/>
      </w:pPr>
      <w:r>
        <w:t>Nu duidelijk is wat de RJ en de AFM doen, wordt gekeken naar de standpunten en regelgeving met betrekking tot de alternatieve indicatoren. Allereerst de RJ. Zoals in Hoofdstuk 2 is bes</w:t>
      </w:r>
      <w:r w:rsidR="000168FB">
        <w:t>chreven</w:t>
      </w:r>
      <w:r>
        <w:t xml:space="preserve"> moeten ondernemingen die rapporteren op basis van de Nederlandse wet- en regelgeving zich houden aan het Besluit modellen jaarrekening (BMJ)</w:t>
      </w:r>
      <w:r w:rsidR="002030AA">
        <w:t>. Binnen deze modellen zijn bepaalde posten en de volgorde specifiek voorgeschreven. Tussentellingen en uitsplitsingen zijn wel toegestaan, maar veel andere alternatieve indicatoren worden volgens de voorschriften van het BMJ niet toegestaan.</w:t>
      </w:r>
    </w:p>
    <w:p w14:paraId="00D8EEB9" w14:textId="67912B9F" w:rsidR="000168FB" w:rsidRDefault="002030AA" w:rsidP="00737D74">
      <w:pPr>
        <w:spacing w:line="360" w:lineRule="auto"/>
      </w:pPr>
      <w:r>
        <w:t>Maar dit is slechts de winst- en verliesrekening. Hiernaast zijn nog voldoende mogelijkhede</w:t>
      </w:r>
      <w:r w:rsidR="00373193">
        <w:t>n om resultaten te rapporteren met als meest voorkomende plaatsen de toelichting bij de jaarrekening, of in het jaarverslag.</w:t>
      </w:r>
      <w:r w:rsidR="006C5AA9" w:rsidRPr="006C5AA9">
        <w:t xml:space="preserve"> </w:t>
      </w:r>
      <w:r w:rsidR="005C0266">
        <w:fldChar w:fldCharType="begin"/>
      </w:r>
      <w:r w:rsidR="005C0266">
        <w:instrText xml:space="preserve"> ADDIN EN.CITE &lt;EndNote&gt;&lt;Cite&gt;&lt;Author&gt;Brouwer&lt;/Author&gt;&lt;Year&gt;2013&lt;/Year&gt;&lt;RecNum&gt;14&lt;/RecNum&gt;&lt;DisplayText&gt;(Brouwer, 2013)&lt;/DisplayText&gt;&lt;record&gt;&lt;rec-number&gt;14&lt;/rec-number&gt;&lt;foreign-keys&gt;&lt;key app="EN" db-id="warezr50rtv9pne9vrl5v2z50zvrfrt52spx" timestamp="1433242146"&gt;14&lt;/key&gt;&lt;key app="ENWeb" db-id=""&gt;0&lt;/key&gt;&lt;/foreign-keys&gt;&lt;ref-type name="Journal Article"&gt;17&lt;/ref-type&gt;&lt;contributors&gt;&lt;authors&gt;&lt;author&gt;Brouwer, A&lt;/author&gt;&lt;/authors&gt;&lt;/contributors&gt;&lt;titles&gt;&lt;title&gt;Alternatieve winstbegrippen: zegen of zonde?&lt;/title&gt;&lt;secondary-title&gt;Spotlight&lt;/secondary-title&gt;&lt;/titles&gt;&lt;periodical&gt;&lt;full-title&gt;Spotlight&lt;/full-title&gt;&lt;/periodical&gt;&lt;pages&gt;3&lt;/pages&gt;&lt;number&gt;3&lt;/number&gt;&lt;section&gt;6&lt;/section&gt;&lt;dates&gt;&lt;year&gt;2013&lt;/year&gt;&lt;/dates&gt;&lt;urls&gt;&lt;related-urls&gt;&lt;url&gt;http://www.pwc.nl/nl/spotlight/assets/documents/pwc-spotlight-2013-3-01-alternatieve-winstbegrippen.pdf&lt;/url&gt;&lt;/related-urls&gt;&lt;/urls&gt;&lt;/record&gt;&lt;/Cite&gt;&lt;/EndNote&gt;</w:instrText>
      </w:r>
      <w:r w:rsidR="005C0266">
        <w:fldChar w:fldCharType="separate"/>
      </w:r>
      <w:r w:rsidR="005C0266">
        <w:rPr>
          <w:noProof/>
        </w:rPr>
        <w:t>(Brouwer, 2013)</w:t>
      </w:r>
      <w:r w:rsidR="005C0266">
        <w:fldChar w:fldCharType="end"/>
      </w:r>
    </w:p>
    <w:p w14:paraId="3A4F9D7F" w14:textId="77777777" w:rsidR="002173B0" w:rsidRDefault="002173B0" w:rsidP="00737D74">
      <w:pPr>
        <w:spacing w:line="360" w:lineRule="auto"/>
      </w:pPr>
    </w:p>
    <w:p w14:paraId="36EF211D" w14:textId="1B59DDA5" w:rsidR="005C0266" w:rsidRDefault="00830E18" w:rsidP="00737D74">
      <w:pPr>
        <w:spacing w:line="360" w:lineRule="auto"/>
      </w:pPr>
      <w:r>
        <w:t>De AFM is voornamelijk een toezichthoudend orgaan en heeft dus niet de bevoegdheid om regels op te stellen met betrekking tot de alternatieve indicatoren.</w:t>
      </w:r>
      <w:r w:rsidR="00620669">
        <w:t xml:space="preserve"> Wel geeft de AFM advies aa</w:t>
      </w:r>
      <w:r w:rsidR="00A35874">
        <w:t>n de betrokken ministeries en heeft het de bevoegdheid om maatregelen op te leggen wanneer de wet- en regelgeving niet wordt nageleefd.</w:t>
      </w:r>
      <w:r w:rsidR="008A3E77">
        <w:t xml:space="preserve"> </w:t>
      </w:r>
      <w:r w:rsidR="00390D81">
        <w:t>Voor de AFM is</w:t>
      </w:r>
      <w:r w:rsidR="00620669">
        <w:t xml:space="preserve"> </w:t>
      </w:r>
      <w:r w:rsidR="000168FB">
        <w:t xml:space="preserve">het </w:t>
      </w:r>
      <w:r w:rsidR="00620669">
        <w:t>belang</w:t>
      </w:r>
      <w:r w:rsidR="00390D81">
        <w:t>rijk</w:t>
      </w:r>
      <w:r w:rsidR="00620669">
        <w:t xml:space="preserve"> dat de financiële markten</w:t>
      </w:r>
      <w:r w:rsidR="00A35874">
        <w:t xml:space="preserve"> optimaal functioneren. In het geval van de financiële verslaggeving is het dus belangrijk dat de wet- en regelgeving </w:t>
      </w:r>
      <w:r w:rsidR="008A3E77">
        <w:t>correct</w:t>
      </w:r>
      <w:r w:rsidR="00A35874">
        <w:t xml:space="preserve"> wordt nageleefd zodat de gebruiker een getrouwe weergave krijgt van de financiële situatie. </w:t>
      </w:r>
      <w:r w:rsidR="00B85992">
        <w:fldChar w:fldCharType="begin"/>
      </w:r>
      <w:r w:rsidR="00B85992">
        <w:instrText xml:space="preserve"> ADDIN EN.CITE &lt;EndNote&gt;&lt;Cite&gt;&lt;Author&gt;AFM&lt;/Author&gt;&lt;Year&gt;2015&lt;/Year&gt;&lt;RecNum&gt;16&lt;/RecNum&gt;&lt;DisplayText&gt;(AFM, 2015)&lt;/DisplayText&gt;&lt;record&gt;&lt;rec-number&gt;16&lt;/rec-number&gt;&lt;foreign-keys&gt;&lt;key app="EN" db-id="warezr50rtv9pne9vrl5v2z50zvrfrt52spx" timestamp="1433250095"&gt;16&lt;/key&gt;&lt;/foreign-keys&gt;&lt;ref-type name="Web Page"&gt;12&lt;/ref-type&gt;&lt;contributors&gt;&lt;authors&gt;&lt;author&gt;AFM&lt;/author&gt;&lt;/authors&gt;&lt;/contributors&gt;&lt;titles&gt;&lt;title&gt;De Autoriteit Financiële Markten&lt;/title&gt;&lt;/titles&gt;&lt;volume&gt;2015&lt;/volume&gt;&lt;number&gt;2 juni&lt;/number&gt;&lt;dates&gt;&lt;year&gt;2015&lt;/year&gt;&lt;/dates&gt;&lt;urls&gt;&lt;related-urls&gt;&lt;url&gt;http://www.afm.nl/nl-nl/over-afm&lt;/url&gt;&lt;/related-urls&gt;&lt;/urls&gt;&lt;/record&gt;&lt;/Cite&gt;&lt;/EndNote&gt;</w:instrText>
      </w:r>
      <w:r w:rsidR="00B85992">
        <w:fldChar w:fldCharType="separate"/>
      </w:r>
      <w:r w:rsidR="00B85992">
        <w:rPr>
          <w:noProof/>
        </w:rPr>
        <w:t>(AFM, 2015)</w:t>
      </w:r>
      <w:r w:rsidR="00B85992">
        <w:fldChar w:fldCharType="end"/>
      </w:r>
      <w:r w:rsidR="00A35874">
        <w:t xml:space="preserve">Aangezien </w:t>
      </w:r>
      <w:r w:rsidR="00B85992">
        <w:t>de wet- en regelgeving ontbreekt voor de alternatieve indicatoren is het ook voor de AFM een belangrijk onderwerp. Daarom heeft het in 2014 een onderzoek gedaan naar het gebruik in persberichten met als doel de kwaliteit van de financi</w:t>
      </w:r>
      <w:r w:rsidR="00390D81">
        <w:t>ële verslaggeving te stimuleren.</w:t>
      </w:r>
    </w:p>
    <w:p w14:paraId="2C305AD0" w14:textId="03DDD764" w:rsidR="00F2374E" w:rsidRPr="002173B0" w:rsidRDefault="00390D81" w:rsidP="002173B0">
      <w:pPr>
        <w:spacing w:line="360" w:lineRule="auto"/>
      </w:pPr>
      <w:r>
        <w:t xml:space="preserve">Wat vooral van belang is voor </w:t>
      </w:r>
      <w:r w:rsidR="008A3E77">
        <w:t>de</w:t>
      </w:r>
      <w:r>
        <w:t xml:space="preserve"> AFM met betrekking tot de alternatieve indicatoren is wat de motieven zijn voor het gebruik. De alternatieve indicatoren kunnen extra informatie toevoegen voor de gebruiker maar de mogelijkheid bestaat ook dat ze gebruikt worden om een vertekend beeld te geven van de financiële situatie en zo de gebruiker te misleiden. Wanneer dit gebeurt, moet de AFM ingrijpen. </w:t>
      </w:r>
      <w:r w:rsidR="008A3E77">
        <w:t>U</w:t>
      </w:r>
      <w:r>
        <w:t>it het</w:t>
      </w:r>
      <w:r w:rsidR="008A3E77">
        <w:t xml:space="preserve"> eerder genoemde</w:t>
      </w:r>
      <w:r>
        <w:t xml:space="preserve"> onderzoek </w:t>
      </w:r>
      <w:r w:rsidR="008A3E77">
        <w:t xml:space="preserve">blijkt </w:t>
      </w:r>
      <w:r>
        <w:t>dat het gebruik van de indicatoren toeneemt, maar de consistentie afneemt</w:t>
      </w:r>
      <w:r w:rsidR="00B22D3D" w:rsidRPr="00B22D3D">
        <w:t xml:space="preserve"> </w:t>
      </w:r>
      <w:r w:rsidR="00B22D3D">
        <w:fldChar w:fldCharType="begin"/>
      </w:r>
      <w:r w:rsidR="00B22D3D">
        <w:instrText xml:space="preserve"> ADDIN EN.CITE &lt;EndNote&gt;&lt;Cite&gt;&lt;Author&gt;AFM&lt;/Author&gt;&lt;Year&gt;2014&lt;/Year&gt;&lt;RecNum&gt;13&lt;/RecNum&gt;&lt;DisplayText&gt;(AFM, 2014)&lt;/DisplayText&gt;&lt;record&gt;&lt;rec-number&gt;13&lt;/rec-number&gt;&lt;foreign-keys&gt;&lt;key app="EN" db-id="warezr50rtv9pne9vrl5v2z50zvrfrt52spx" timestamp="1433241393"&gt;13&lt;/key&gt;&lt;key app="ENWeb" db-id=""&gt;0&lt;/key&gt;&lt;/foreign-keys&gt;&lt;ref-type name="Report"&gt;27&lt;/ref-type&gt;&lt;contributors&gt;&lt;authors&gt;&lt;author&gt;AFM&lt;/author&gt;&lt;/authors&gt;&lt;/contributors&gt;&lt;titles&gt;&lt;title&gt;Alternatieve financiële prestatie-indicatoren: Toezicht | Kwaliteit Accountantscontrole &amp;amp; Verslaggeving&lt;/title&gt;&lt;/titles&gt;&lt;pages&gt;17&lt;/pages&gt;&lt;dates&gt;&lt;year&gt;2014&lt;/year&gt;&lt;pub-dates&gt;&lt;date&gt;April&lt;/date&gt;&lt;/pub-dates&gt;&lt;/dates&gt;&lt;pub-location&gt;Amsterdam&lt;/pub-location&gt;&lt;urls&gt;&lt;/urls&gt;&lt;/record&gt;&lt;/Cite&gt;&lt;/EndNote&gt;</w:instrText>
      </w:r>
      <w:r w:rsidR="00B22D3D">
        <w:fldChar w:fldCharType="separate"/>
      </w:r>
      <w:r w:rsidR="00B22D3D">
        <w:rPr>
          <w:noProof/>
        </w:rPr>
        <w:t>(AFM, 2014)</w:t>
      </w:r>
      <w:r w:rsidR="00B22D3D">
        <w:fldChar w:fldCharType="end"/>
      </w:r>
      <w:r>
        <w:t>. Dit lijkt aan te geven dat men de indicatoren gebruikt om een vertekend beeld te geven.</w:t>
      </w:r>
      <w:bookmarkStart w:id="16" w:name="_Toc425524017"/>
    </w:p>
    <w:p w14:paraId="4C62C118" w14:textId="5628B61F" w:rsidR="003A2CD8" w:rsidRDefault="00B22D3D" w:rsidP="002173B0">
      <w:pPr>
        <w:pStyle w:val="Heading2"/>
        <w:spacing w:line="360" w:lineRule="auto"/>
      </w:pPr>
      <w:r>
        <w:t>3.3 Internationaal, IASB &amp; IFRS</w:t>
      </w:r>
      <w:bookmarkEnd w:id="16"/>
    </w:p>
    <w:p w14:paraId="603D23F6" w14:textId="019B5F89" w:rsidR="000E5B9A" w:rsidRDefault="005033E1" w:rsidP="006569B4">
      <w:pPr>
        <w:spacing w:line="360" w:lineRule="auto"/>
      </w:pPr>
      <w:r>
        <w:t>Door de globalisering en de verschillen van verslaggeving in landen was het voor de vergelijkbaarheid van de verslaggeving van belang dat ook internationale wet- en regelgeving zou komen. Hierdoor is de IFRS Foundation ontstaan. De IFRS foundation heeft als doel om ‘International Financial Reporting Standards (IFRS)’ te ontwikkelen die zorgen voor transparantie, berekenbaarheid en efficiëntie op financiële markten over de hele wereld.</w:t>
      </w:r>
      <w:r w:rsidR="000B476C">
        <w:t xml:space="preserve"> De IFRS is dus de internationale wet- en regelgeving </w:t>
      </w:r>
      <w:r w:rsidR="000B476C">
        <w:fldChar w:fldCharType="begin"/>
      </w:r>
      <w:r w:rsidR="000B476C">
        <w:instrText xml:space="preserve"> ADDIN EN.CITE &lt;EndNote&gt;&lt;Cite&gt;&lt;Author&gt;IASB&lt;/Author&gt;&lt;Year&gt;2015&lt;/Year&gt;&lt;RecNum&gt;12&lt;/RecNum&gt;&lt;DisplayText&gt;(IASB, 2015)&lt;/DisplayText&gt;&lt;record&gt;&lt;rec-number&gt;12&lt;/rec-number&gt;&lt;foreign-keys&gt;&lt;key app="EN" db-id="warezr50rtv9pne9vrl5v2z50zvrfrt52spx" timestamp="1433169032"&gt;12&lt;/key&gt;&lt;/foreign-keys&gt;&lt;ref-type name="Web Page"&gt;12&lt;/ref-type&gt;&lt;contributors&gt;&lt;authors&gt;&lt;author&gt;IASB&lt;/author&gt;&lt;/authors&gt;&lt;secondary-authors&gt;&lt;author&gt;Website of the IFRS foundation and the IASB&lt;/author&gt;&lt;/secondary-authors&gt;&lt;/contributors&gt;&lt;titles&gt;&lt;title&gt;About the IFRS Foundation and the IASB&lt;/title&gt;&lt;/titles&gt;&lt;volume&gt;2015&lt;/volume&gt;&lt;number&gt;April&lt;/number&gt;&lt;dates&gt;&lt;year&gt;2015&lt;/year&gt;&lt;/dates&gt;&lt;urls&gt;&lt;related-urls&gt;&lt;url&gt;http://www.ifrs.org/About-us/Pages/IFRS-Foundation-and-IASB.aspx&lt;/url&gt;&lt;/related-urls&gt;&lt;/urls&gt;&lt;/record&gt;&lt;/Cite&gt;&lt;/EndNote&gt;</w:instrText>
      </w:r>
      <w:r w:rsidR="000B476C">
        <w:fldChar w:fldCharType="separate"/>
      </w:r>
      <w:r w:rsidR="000B476C">
        <w:rPr>
          <w:noProof/>
        </w:rPr>
        <w:t>(IASB, 2015)</w:t>
      </w:r>
      <w:r w:rsidR="000B476C">
        <w:fldChar w:fldCharType="end"/>
      </w:r>
      <w:r w:rsidR="000B476C">
        <w:t>.  Deze is van toepassing voor al</w:t>
      </w:r>
      <w:r w:rsidR="000E5B9A">
        <w:t>le beursgenoteerde bedrijven. De IASB is het orgaan dat deze standaarden bedenkt en ontwikkel</w:t>
      </w:r>
      <w:r w:rsidR="000168FB">
        <w:t>t</w:t>
      </w:r>
      <w:r w:rsidR="000E5B9A">
        <w:t>.</w:t>
      </w:r>
    </w:p>
    <w:p w14:paraId="727D5B04" w14:textId="40ACC1EB" w:rsidR="00E34433" w:rsidRDefault="000E5B9A" w:rsidP="006569B4">
      <w:pPr>
        <w:spacing w:line="360" w:lineRule="auto"/>
      </w:pPr>
      <w:r>
        <w:t>In vergelijking met de Nederlandse re</w:t>
      </w:r>
      <w:r w:rsidR="008D54A7">
        <w:t xml:space="preserve">gelgeving is IFRS minder strikt, zo blijkt uit de voorschriften over de indeling van de winst-en-verliesrekening. Zoals in </w:t>
      </w:r>
      <w:r w:rsidR="000168FB">
        <w:t>H</w:t>
      </w:r>
      <w:r w:rsidR="008D54A7">
        <w:t>oofdstuk 2 beschreven is, schrijft IAS 1 slechts een beperkt aantal op te nemen posten voor en geeft daarnaast aan dat extra regels, kopjes en tussentellingen moeten worden opgenomen</w:t>
      </w:r>
      <w:r w:rsidR="000168FB">
        <w:t>,</w:t>
      </w:r>
      <w:r w:rsidR="008D54A7">
        <w:t xml:space="preserve"> als dat relevant is voor het begri</w:t>
      </w:r>
      <w:r w:rsidR="00E34433">
        <w:t>j</w:t>
      </w:r>
      <w:r w:rsidR="008D54A7">
        <w:t>p</w:t>
      </w:r>
      <w:r w:rsidR="00E34433">
        <w:t>en</w:t>
      </w:r>
      <w:r w:rsidR="008D54A7">
        <w:t xml:space="preserve"> van de prestaties van de onderneming.</w:t>
      </w:r>
      <w:r w:rsidR="00E34433">
        <w:fldChar w:fldCharType="begin"/>
      </w:r>
      <w:r w:rsidR="00E34433">
        <w:instrText xml:space="preserve"> ADDIN EN.CITE &lt;EndNote&gt;&lt;Cite&gt;&lt;Author&gt;Brouwer&lt;/Author&gt;&lt;Year&gt;2013&lt;/Year&gt;&lt;RecNum&gt;14&lt;/RecNum&gt;&lt;DisplayText&gt;(Brouwer, 2013)&lt;/DisplayText&gt;&lt;record&gt;&lt;rec-number&gt;14&lt;/rec-number&gt;&lt;foreign-keys&gt;&lt;key app="EN" db-id="warezr50rtv9pne9vrl5v2z50zvrfrt52spx" timestamp="1433242146"&gt;14&lt;/key&gt;&lt;key app="ENWeb" db-id=""&gt;0&lt;/key&gt;&lt;/foreign-keys&gt;&lt;ref-type name="Journal Article"&gt;17&lt;/ref-type&gt;&lt;contributors&gt;&lt;authors&gt;&lt;author&gt;Brouwer, A&lt;/author&gt;&lt;/authors&gt;&lt;/contributors&gt;&lt;titles&gt;&lt;title&gt;Alternatieve winstbegrippen: zegen of zonde?&lt;/title&gt;&lt;secondary-title&gt;Spotlight&lt;/secondary-title&gt;&lt;/titles&gt;&lt;periodical&gt;&lt;full-title&gt;Spotlight&lt;/full-title&gt;&lt;/periodical&gt;&lt;pages&gt;3&lt;/pages&gt;&lt;number&gt;3&lt;/number&gt;&lt;section&gt;6&lt;/section&gt;&lt;dates&gt;&lt;year&gt;2013&lt;/year&gt;&lt;/dates&gt;&lt;urls&gt;&lt;related-urls&gt;&lt;url&gt;http://www.pwc.nl/nl/spotlight/assets/documents/pwc-spotlight-2013-3-01-alternatieve-winstbegrippen.pdf&lt;/url&gt;&lt;/related-urls&gt;&lt;/urls&gt;&lt;/record&gt;&lt;/Cite&gt;&lt;/EndNote&gt;</w:instrText>
      </w:r>
      <w:r w:rsidR="00E34433">
        <w:fldChar w:fldCharType="separate"/>
      </w:r>
      <w:r w:rsidR="00E34433">
        <w:rPr>
          <w:noProof/>
        </w:rPr>
        <w:t>(Brouwer, 2013)</w:t>
      </w:r>
      <w:r w:rsidR="00E34433">
        <w:fldChar w:fldCharType="end"/>
      </w:r>
    </w:p>
    <w:p w14:paraId="037AF805" w14:textId="7BBC92F1" w:rsidR="00A32ECC" w:rsidRDefault="001B06AD" w:rsidP="006569B4">
      <w:pPr>
        <w:spacing w:line="360" w:lineRule="auto"/>
      </w:pPr>
      <w:r>
        <w:t xml:space="preserve">Ook buiten de winst-en-verliesrekening is de IFRS minder strikt en wordt het gebruik van alternatieve indicatoren gestimuleerd, mits het van toegevoegde waarde is voor het vergroten van de duidelijke weergave. Zo wordt in IFRS 8: operationele segmenten voorgeschreven dat een onderneming in haar segmentinformatie de resultaatmaatstaf rapporteert die het management intern gebruikt voor het beoordelen van prestaties en het nemen van  beslissingen. Dit kan </w:t>
      </w:r>
      <w:r w:rsidR="008A3E77">
        <w:t xml:space="preserve">een </w:t>
      </w:r>
      <w:r>
        <w:t xml:space="preserve">alternatieve indicator zijn. Voor het directieverslag wordt hetzelfde voorgeschreven. </w:t>
      </w:r>
      <w:r>
        <w:fldChar w:fldCharType="begin"/>
      </w:r>
      <w:r>
        <w:instrText xml:space="preserve"> ADDIN EN.CITE &lt;EndNote&gt;&lt;Cite&gt;&lt;Author&gt;Brouwer&lt;/Author&gt;&lt;Year&gt;2013&lt;/Year&gt;&lt;RecNum&gt;14&lt;/RecNum&gt;&lt;DisplayText&gt;(Brouwer, 2013)&lt;/DisplayText&gt;&lt;record&gt;&lt;rec-number&gt;14&lt;/rec-number&gt;&lt;foreign-keys&gt;&lt;key app="EN" db-id="warezr50rtv9pne9vrl5v2z50zvrfrt52spx" timestamp="1433242146"&gt;14&lt;/key&gt;&lt;key app="ENWeb" db-id=""&gt;0&lt;/key&gt;&lt;/foreign-keys&gt;&lt;ref-type name="Journal Article"&gt;17&lt;/ref-type&gt;&lt;contributors&gt;&lt;authors&gt;&lt;author&gt;Brouwer, A&lt;/author&gt;&lt;/authors&gt;&lt;/contributors&gt;&lt;titles&gt;&lt;title&gt;Alternatieve winstbegrippen: zegen of zonde?&lt;/title&gt;&lt;secondary-title&gt;Spotlight&lt;/secondary-title&gt;&lt;/titles&gt;&lt;periodical&gt;&lt;full-title&gt;Spotlight&lt;/full-title&gt;&lt;/periodical&gt;&lt;pages&gt;3&lt;/pages&gt;&lt;number&gt;3&lt;/number&gt;&lt;section&gt;6&lt;/section&gt;&lt;dates&gt;&lt;year&gt;2013&lt;/year&gt;&lt;/dates&gt;&lt;urls&gt;&lt;related-urls&gt;&lt;url&gt;http://www.pwc.nl/nl/spotlight/assets/documents/pwc-spotlight-2013-3-01-alternatieve-winstbegrippen.pdf&lt;/url&gt;&lt;/related-urls&gt;&lt;/urls&gt;&lt;/record&gt;&lt;/Cite&gt;&lt;/EndNote&gt;</w:instrText>
      </w:r>
      <w:r>
        <w:fldChar w:fldCharType="separate"/>
      </w:r>
      <w:r>
        <w:rPr>
          <w:noProof/>
        </w:rPr>
        <w:t>(Brouwer, 2013)</w:t>
      </w:r>
      <w:r>
        <w:fldChar w:fldCharType="end"/>
      </w:r>
    </w:p>
    <w:p w14:paraId="2F3739BA" w14:textId="0C5E1BFE" w:rsidR="00196EE9" w:rsidRDefault="00A32ECC" w:rsidP="006569B4">
      <w:pPr>
        <w:spacing w:line="360" w:lineRule="auto"/>
      </w:pPr>
      <w:r>
        <w:t xml:space="preserve">Het standpunt van de IASB komt het best naar voor uit een recente speech van voorzitter Hans Hoogervorst. Hierin wordt beschreven dat nog steeds veel klachten </w:t>
      </w:r>
      <w:r w:rsidR="00855FCC">
        <w:t>bestaan over de complexiteit van de externe verslaggeving en de financiële gegevens die langer en ingewikkelder worden.</w:t>
      </w:r>
      <w:r w:rsidR="0081315A">
        <w:t xml:space="preserve"> Om dit te verhelpen is de IASB in 2013 een project gestart genaamd ‘Disclosure Initiative’. Dit is een 10 stappen plan dat samenstellers helpt om nuttige informatie voor de gebruiker te selecteren en de financiële verslaggeving begrijpelijker te maken. </w:t>
      </w:r>
      <w:r w:rsidR="0081315A">
        <w:fldChar w:fldCharType="begin"/>
      </w:r>
      <w:r w:rsidR="0081315A">
        <w:instrText xml:space="preserve"> ADDIN EN.CITE &lt;EndNote&gt;&lt;Cite&gt;&lt;Author&gt;Hoogervorst&lt;/Author&gt;&lt;Year&gt;2015&lt;/Year&gt;&lt;RecNum&gt;18&lt;/RecNum&gt;&lt;DisplayText&gt;(Hoogervorst, 2015)&lt;/DisplayText&gt;&lt;record&gt;&lt;rec-number&gt;18&lt;/rec-number&gt;&lt;foreign-keys&gt;&lt;key app="EN" db-id="warezr50rtv9pne9vrl5v2z50zvrfrt52spx" timestamp="1433766638"&gt;18&lt;/key&gt;&lt;/foreign-keys&gt;&lt;ref-type name="Press Release"&gt;63&lt;/ref-type&gt;&lt;contributors&gt;&lt;authors&gt;&lt;author&gt;Hoogervorst, Hans&lt;/author&gt;&lt;/authors&gt;&lt;/contributors&gt;&lt;titles&gt;&lt;title&gt;Mind the Gap &lt;/title&gt;&lt;secondary-title&gt;(Between non-GAAP and GAAP)&lt;/secondary-title&gt;&lt;/titles&gt;&lt;number&gt;7&lt;/number&gt;&lt;dates&gt;&lt;year&gt;2015&lt;/year&gt;&lt;/dates&gt;&lt;pub-location&gt;Korean Accounting Review International Symposium, Seoul, Korea&lt;/pub-location&gt;&lt;urls&gt;&lt;/urls&gt;&lt;/record&gt;&lt;/Cite&gt;&lt;/EndNote&gt;</w:instrText>
      </w:r>
      <w:r w:rsidR="0081315A">
        <w:fldChar w:fldCharType="separate"/>
      </w:r>
      <w:r w:rsidR="0081315A">
        <w:rPr>
          <w:noProof/>
        </w:rPr>
        <w:t>(Hoogervorst, 2015)</w:t>
      </w:r>
      <w:r w:rsidR="0081315A">
        <w:fldChar w:fldCharType="end"/>
      </w:r>
    </w:p>
    <w:p w14:paraId="74AE6437" w14:textId="736E50FA" w:rsidR="00196EE9" w:rsidRDefault="001643E8" w:rsidP="006569B4">
      <w:pPr>
        <w:spacing w:line="360" w:lineRule="auto"/>
      </w:pPr>
      <w:r>
        <w:t>Door het initiatief</w:t>
      </w:r>
      <w:r w:rsidR="0081315A">
        <w:t xml:space="preserve"> </w:t>
      </w:r>
      <w:r w:rsidR="0093555D">
        <w:t>hebben</w:t>
      </w:r>
      <w:r w:rsidR="0081315A">
        <w:t xml:space="preserve"> wijziging</w:t>
      </w:r>
      <w:r w:rsidR="0093555D">
        <w:t>en</w:t>
      </w:r>
      <w:r w:rsidR="0081315A">
        <w:t xml:space="preserve"> in IAS 1 plaatsgev</w:t>
      </w:r>
      <w:r>
        <w:t>onden</w:t>
      </w:r>
      <w:r>
        <w:rPr>
          <w:rStyle w:val="FootnoteReference"/>
        </w:rPr>
        <w:footnoteReference w:id="5"/>
      </w:r>
      <w:r w:rsidR="0081315A">
        <w:t>.</w:t>
      </w:r>
      <w:r w:rsidR="0093555D">
        <w:t xml:space="preserve"> De belangrijkste wijzigingen voor </w:t>
      </w:r>
      <w:r w:rsidR="000168FB">
        <w:t>he</w:t>
      </w:r>
      <w:r w:rsidR="0093555D">
        <w:t>t onderzoek zijn de</w:t>
      </w:r>
      <w:r w:rsidR="003819C9">
        <w:t xml:space="preserve"> wijzigingen</w:t>
      </w:r>
      <w:r w:rsidR="0093555D">
        <w:t xml:space="preserve"> betreffende materialiteit</w:t>
      </w:r>
      <w:r w:rsidR="003C3BD0">
        <w:rPr>
          <w:rStyle w:val="FootnoteReference"/>
        </w:rPr>
        <w:footnoteReference w:id="6"/>
      </w:r>
      <w:r w:rsidR="0093555D">
        <w:t xml:space="preserve"> en het overzicht van de financiële positie.</w:t>
      </w:r>
      <w:r w:rsidR="003C3BD0">
        <w:t xml:space="preserve"> Over materialiteit wordt vermeld dat het toegepast dient te worden in alle delen van de jaarrekening.</w:t>
      </w:r>
      <w:r>
        <w:t xml:space="preserve"> Verder mag nuttige informatie niet ten koste gaan van aggregatie of het geven van niet-materiële informatie.</w:t>
      </w:r>
      <w:r w:rsidR="00196EE9" w:rsidRPr="00196EE9">
        <w:t xml:space="preserve"> </w:t>
      </w:r>
      <w:r w:rsidR="00196EE9">
        <w:fldChar w:fldCharType="begin"/>
      </w:r>
      <w:r w:rsidR="00196EE9">
        <w:instrText xml:space="preserve"> ADDIN EN.CITE &lt;EndNote&gt;&lt;Cite&gt;&lt;Author&gt;Deloitte&lt;/Author&gt;&lt;Year&gt;2014&lt;/Year&gt;&lt;RecNum&gt;19&lt;/RecNum&gt;&lt;DisplayText&gt;(Deloitte, 2014)&lt;/DisplayText&gt;&lt;record&gt;&lt;rec-number&gt;19&lt;/rec-number&gt;&lt;foreign-keys&gt;&lt;key app="EN" db-id="warezr50rtv9pne9vrl5v2z50zvrfrt52spx" timestamp="1433769124"&gt;19&lt;/key&gt;&lt;/foreign-keys&gt;&lt;ref-type name="Journal Article"&gt;17&lt;/ref-type&gt;&lt;contributors&gt;&lt;authors&gt;&lt;author&gt;Deloitte&lt;/author&gt;&lt;/authors&gt;&lt;/contributors&gt;&lt;titles&gt;&lt;title&gt;IFRS Informatiebrief&lt;/title&gt;&lt;short-title&gt;Aanpassingen aan IAS 1 in het kader van het project rond&amp;#xD;informatieverschaffing&lt;/short-title&gt;&lt;/titles&gt;&lt;pages&gt;16&lt;/pages&gt;&lt;number&gt;25&lt;/number&gt;&lt;dates&gt;&lt;year&gt;2014&lt;/year&gt;&lt;pub-dates&gt;&lt;date&gt;Maart 2015&lt;/date&gt;&lt;/pub-dates&gt;&lt;/dates&gt;&lt;urls&gt;&lt;related-urls&gt;&lt;url&gt;http://www2.deloitte.com/content/dam/Deloitte/be/Documents/audit/IFRSNieuwsbrief/be-aers-ifrs-informatiebrief-25-maart2015.pdf&lt;/url&gt;&lt;/related-urls&gt;&lt;/urls&gt;&lt;/record&gt;&lt;/Cite&gt;&lt;/EndNote&gt;</w:instrText>
      </w:r>
      <w:r w:rsidR="00196EE9">
        <w:fldChar w:fldCharType="separate"/>
      </w:r>
      <w:r w:rsidR="00196EE9">
        <w:rPr>
          <w:noProof/>
        </w:rPr>
        <w:t>(Deloitte, 2014)</w:t>
      </w:r>
      <w:r w:rsidR="00196EE9">
        <w:fldChar w:fldCharType="end"/>
      </w:r>
      <w:r w:rsidR="00196EE9">
        <w:t xml:space="preserve"> Deze wijzigingen komen overeen met het standpunt van IFRS met betrekking tot de indicatoren, namelijk dat wanneer sprake is van nuttige informatie het niet achterwege gelaten mag worden of worden verdoezeld onder niet nuttige informatie.</w:t>
      </w:r>
    </w:p>
    <w:p w14:paraId="0C7384C4" w14:textId="48AD3670" w:rsidR="00196EE9" w:rsidRPr="00FA29FC" w:rsidRDefault="00196EE9" w:rsidP="006569B4">
      <w:pPr>
        <w:spacing w:line="360" w:lineRule="auto"/>
        <w:rPr>
          <w:lang w:val="en-GB"/>
        </w:rPr>
      </w:pPr>
      <w:r>
        <w:t>Verder van belang uit het stuk van dhr. Hoogervorst is dat de alternatieve indicatoren ook co</w:t>
      </w:r>
      <w:r w:rsidR="007A27C9">
        <w:t xml:space="preserve">mplexiteit met zich meebrengen, maar dit wil niet zeggen dat de IASB tegen het gebruik van de indicatoren is. </w:t>
      </w:r>
      <w:r w:rsidR="007A27C9" w:rsidRPr="00FA29FC">
        <w:rPr>
          <w:lang w:val="en-GB"/>
        </w:rPr>
        <w:t xml:space="preserve">Dhr. Hoogervorst zegt het volgende: </w:t>
      </w:r>
    </w:p>
    <w:p w14:paraId="14F3D68C" w14:textId="77777777" w:rsidR="007A27C9" w:rsidRPr="00FA29FC" w:rsidRDefault="007A27C9" w:rsidP="006569B4">
      <w:pPr>
        <w:spacing w:line="360" w:lineRule="auto"/>
        <w:rPr>
          <w:lang w:val="en-GB"/>
        </w:rPr>
      </w:pPr>
    </w:p>
    <w:p w14:paraId="697A722D" w14:textId="61BBCA82" w:rsidR="007A27C9" w:rsidRPr="007A27C9" w:rsidRDefault="007A27C9" w:rsidP="007A27C9">
      <w:pPr>
        <w:spacing w:line="360" w:lineRule="auto"/>
        <w:rPr>
          <w:i/>
        </w:rPr>
      </w:pPr>
      <w:r w:rsidRPr="00FA29FC">
        <w:rPr>
          <w:lang w:val="en-GB"/>
        </w:rPr>
        <w:t>“</w:t>
      </w:r>
      <w:r w:rsidRPr="00FA29FC">
        <w:rPr>
          <w:i/>
          <w:lang w:val="en-GB"/>
        </w:rPr>
        <w:t>While the IASB has no ambition to stamp out the use of non-GAAP measures, we do think that investors would benefit from greater discipline in their presentation in the financial statements. That is why the IASB is currently looking at such measures as part of our Disclosure Initiative.”</w:t>
      </w:r>
      <w:r w:rsidRPr="00FA29FC">
        <w:rPr>
          <w:lang w:val="en-GB"/>
        </w:rPr>
        <w:t xml:space="preserve"> </w:t>
      </w:r>
      <w:r>
        <w:rPr>
          <w:i/>
        </w:rPr>
        <w:fldChar w:fldCharType="begin"/>
      </w:r>
      <w:r w:rsidRPr="00FA29FC">
        <w:rPr>
          <w:i/>
          <w:lang w:val="en-GB"/>
        </w:rPr>
        <w:instrText xml:space="preserve"> ADDIN EN.CITE &lt;EndNote&gt;&lt;Cite&gt;&lt;Author&gt;Hoogervorst&lt;/Author&gt;&lt;Year&gt;2015&lt;/Year&gt;&lt;RecNum&gt;18&lt;/RecNum&gt;&lt;DisplayText&gt;(Hoogervorst, 2015)&lt;/DisplayText&gt;&lt;record&gt;&lt;rec-number&gt;18&lt;/rec-number&gt;&lt;foreign-keys&gt;&lt;key app="EN" db-id="warezr50rtv9pne9vrl5v2z50zvrfrt52spx" timestamp="1433766638"&gt;18&lt;/key&gt;&lt;/foreign-keys&gt;&lt;ref-type name="Press Release"&gt;63&lt;/ref-type&gt;&lt;contributors&gt;&lt;authors&gt;&lt;author&gt;Hoogervorst, Hans&lt;/author&gt;&lt;/authors&gt;&lt;/contributors&gt;&lt;titles&gt;&lt;title&gt;Mind the Gap &lt;/title&gt;&lt;secondary-title&gt;(Between non-GAAP and GAAP)&lt;/secondary-title&gt;&lt;/titles&gt;&lt;number&gt;7&lt;/number&gt;&lt;dates&gt;&lt;year&gt;2015&lt;/year&gt;&lt;/dates&gt;&lt;pub-location&gt;Korean Accounting Review International Symposium, Seoul, Korea&lt;/pub-location&gt;&lt;urls&gt;&lt;/urls&gt;&lt;/record&gt;&lt;/Cite&gt;&lt;/EndNote&gt;</w:instrText>
      </w:r>
      <w:r>
        <w:rPr>
          <w:i/>
        </w:rPr>
        <w:fldChar w:fldCharType="separate"/>
      </w:r>
      <w:r>
        <w:rPr>
          <w:i/>
          <w:noProof/>
        </w:rPr>
        <w:t>(Hoogervorst, 2015)</w:t>
      </w:r>
      <w:r>
        <w:rPr>
          <w:i/>
        </w:rPr>
        <w:fldChar w:fldCharType="end"/>
      </w:r>
    </w:p>
    <w:p w14:paraId="4DCB1B27" w14:textId="4EC1A2B2" w:rsidR="00504F58" w:rsidRDefault="00504F58" w:rsidP="006569B4">
      <w:pPr>
        <w:spacing w:line="360" w:lineRule="auto"/>
        <w:rPr>
          <w:i/>
        </w:rPr>
      </w:pPr>
    </w:p>
    <w:p w14:paraId="49E56E51" w14:textId="72DFBA18" w:rsidR="008A3E77" w:rsidRDefault="007A27C9" w:rsidP="006569B4">
      <w:pPr>
        <w:spacing w:line="360" w:lineRule="auto"/>
      </w:pPr>
      <w:r>
        <w:t>De IASB is op het moment dus bezig met mogelijkheden bedenken en bekijken hoe misbruik van de alternatieve indicatoren kan worden uitgesloten, aangezien de voordelen van het gebruik weldegelijk bestaan. Op dit moment is het vooral van belang dat de IFRS regelgeving de basis moet zijn en dat deze niet overschaduwd moeten worden door de alternatieve indicatoren.</w:t>
      </w:r>
    </w:p>
    <w:p w14:paraId="2C208EE9" w14:textId="0BF32E12" w:rsidR="006569B4" w:rsidRPr="002173B0" w:rsidRDefault="007A27C9" w:rsidP="002173B0">
      <w:pPr>
        <w:pStyle w:val="Heading2"/>
        <w:spacing w:line="360" w:lineRule="auto"/>
        <w:rPr>
          <w:b w:val="0"/>
        </w:rPr>
      </w:pPr>
      <w:bookmarkStart w:id="17" w:name="_Toc425524018"/>
      <w:r w:rsidRPr="00EC0CDD">
        <w:t>3.4 Conclusie</w:t>
      </w:r>
      <w:bookmarkEnd w:id="17"/>
    </w:p>
    <w:p w14:paraId="78175948" w14:textId="236CCB1E" w:rsidR="006569B4" w:rsidRDefault="0009214A" w:rsidP="006569B4">
      <w:pPr>
        <w:spacing w:line="360" w:lineRule="auto"/>
      </w:pPr>
      <w:r>
        <w:t>In dit hoofdstuk is gekeken naar de belangrijkste regelgevende instanties voor de Nederlandse beursgenoteerde ondernemingen en wat de standpunten zijn ten opzichte van de alternatieve indicatoren. Allereerst is de Nederlandse situatie behandeld met als belangrijkste organen de Raad voor de jaarverslaggeving (RJ) en de Autoriteit Financiële Markten (AFM). De RJ is vooral het regelgevende orgaan en stelt richtlijnen op voor de jaarverslaggeving. De AFM is het toezichthoudende orgaan met als doel een optimale werking van de financiële markten.</w:t>
      </w:r>
    </w:p>
    <w:p w14:paraId="70B467B0" w14:textId="4B17FA22" w:rsidR="007861E3" w:rsidRDefault="007861E3" w:rsidP="006569B4">
      <w:pPr>
        <w:spacing w:line="360" w:lineRule="auto"/>
      </w:pPr>
      <w:r>
        <w:t xml:space="preserve">De RJ heeft als regelgeving voor de winst-en-verliesrekening het Besluit Modellen Jaarrekening (BMJ). Dit zijn modellen waarin staat hoe de winst-en-verliesrekening </w:t>
      </w:r>
      <w:r w:rsidR="003916C8">
        <w:t>gepresenteerd moet worden. Tussentellingen en uitsplitsingen zijn wel toegestaan, maar ruimte voor andere alternatieve indicatoren is er niet. De mogelijkheid om gebruik te maken van</w:t>
      </w:r>
      <w:r w:rsidR="00BD5344">
        <w:t xml:space="preserve"> de alternatieve indicatoren zit dan ook vooral in de toelichting en het jaarverslag</w:t>
      </w:r>
      <w:r w:rsidR="009F672C">
        <w:t>.</w:t>
      </w:r>
    </w:p>
    <w:p w14:paraId="3BB229B1" w14:textId="2271251C" w:rsidR="00975784" w:rsidRDefault="009F672C" w:rsidP="006569B4">
      <w:pPr>
        <w:spacing w:line="360" w:lineRule="auto"/>
      </w:pPr>
      <w:r>
        <w:t>Voor de AFM is het belangrijk wel</w:t>
      </w:r>
      <w:r w:rsidR="008A3E77">
        <w:t>k</w:t>
      </w:r>
      <w:r>
        <w:t xml:space="preserve"> motief gehandhaafd wordt voor het gebruiken van alternatieve indicatoren. De financiële markt moet optimaal werken en dit houdt in dat ook de financiële verslaggeving correct moet zijn. Wanneer alternatieve indicatoren gebruikt worden voor het geven van een vertekend beeld moet de AFM ingrijpen.</w:t>
      </w:r>
    </w:p>
    <w:p w14:paraId="3CF65014" w14:textId="4C29A819" w:rsidR="00975784" w:rsidRDefault="00975784" w:rsidP="006569B4">
      <w:pPr>
        <w:spacing w:line="360" w:lineRule="auto"/>
      </w:pPr>
      <w:r>
        <w:t>Na de Nederlandse situatie is gekeken naar de internationale instanties. De International Financial Reporting Standards (IFRS) is de set van regels en standaarden die internationaal gelden voor beursgenoteerde bedrijven.</w:t>
      </w:r>
    </w:p>
    <w:p w14:paraId="32C91ACA" w14:textId="6917FC07" w:rsidR="006569B4" w:rsidRDefault="00975784" w:rsidP="006569B4">
      <w:pPr>
        <w:spacing w:line="360" w:lineRule="auto"/>
      </w:pPr>
      <w:r>
        <w:t>De International Accounting Standards Board (IASB) is het orgaan dat de regels en standaarden bedenkt en opstelt.</w:t>
      </w:r>
    </w:p>
    <w:p w14:paraId="017AECCF" w14:textId="6A257BA2" w:rsidR="002B3D5A" w:rsidRDefault="002B3D5A" w:rsidP="006569B4">
      <w:pPr>
        <w:spacing w:line="360" w:lineRule="auto"/>
      </w:pPr>
      <w:r>
        <w:t>I</w:t>
      </w:r>
      <w:r w:rsidRPr="002B3D5A">
        <w:t xml:space="preserve">n vergelijking met de Nederlandse regelgeving is IFRS minder strikt, zo blijkt uit de voorschriften over de indeling van de winst-en-verliesrekening. Zoals in hoofdstuk 2 </w:t>
      </w:r>
      <w:r w:rsidR="00193D65">
        <w:t xml:space="preserve">is </w:t>
      </w:r>
      <w:r w:rsidRPr="002B3D5A">
        <w:t>beschreven, schrijft IAS 1 slechts een beperkt aantal op te nemen posten voor en geeft daarnaast aan dat extra regels, kopjes en tussentellingen moeten worden opgenomen als dat relevant is voor het begrijpen van de prestaties van de onderneming</w:t>
      </w:r>
      <w:r>
        <w:t>.</w:t>
      </w:r>
    </w:p>
    <w:p w14:paraId="3D8BE127" w14:textId="4253F625" w:rsidR="002B3D5A" w:rsidRDefault="002B3D5A" w:rsidP="006569B4">
      <w:pPr>
        <w:spacing w:line="360" w:lineRule="auto"/>
      </w:pPr>
      <w:r>
        <w:t xml:space="preserve">De huidige visie van de IASB is dat de voordelen van de alternatieve indicatoren zeker worden gezien, maar ze zijn vooral voorzichtig. Op dit moment is een belangrijk punt voor de IASB dat misbruik van de alternatieve indicatoren voorkomen moet worden en dat de IFRS standaarden als belangrijkste prestatie indicatoren gebruikt moeten worden. </w:t>
      </w:r>
    </w:p>
    <w:p w14:paraId="1CC79C86" w14:textId="77777777" w:rsidR="006569B4" w:rsidRDefault="006569B4" w:rsidP="006569B4">
      <w:pPr>
        <w:spacing w:line="360" w:lineRule="auto"/>
      </w:pPr>
    </w:p>
    <w:p w14:paraId="30CC6FD0" w14:textId="77777777" w:rsidR="006569B4" w:rsidRPr="00AB3211" w:rsidRDefault="006569B4" w:rsidP="006569B4">
      <w:pPr>
        <w:spacing w:line="360" w:lineRule="auto"/>
      </w:pPr>
    </w:p>
    <w:p w14:paraId="479F676D" w14:textId="77777777" w:rsidR="003A2CD8" w:rsidRDefault="003A2CD8" w:rsidP="006569B4">
      <w:pPr>
        <w:spacing w:line="360" w:lineRule="auto"/>
        <w:rPr>
          <w:b/>
        </w:rPr>
      </w:pPr>
    </w:p>
    <w:p w14:paraId="494FAA2C" w14:textId="77777777" w:rsidR="003A2CD8" w:rsidRDefault="003A2CD8" w:rsidP="006569B4">
      <w:pPr>
        <w:spacing w:line="360" w:lineRule="auto"/>
        <w:rPr>
          <w:b/>
        </w:rPr>
      </w:pPr>
    </w:p>
    <w:p w14:paraId="10403134" w14:textId="77777777" w:rsidR="003A2CD8" w:rsidRDefault="003A2CD8" w:rsidP="006569B4">
      <w:pPr>
        <w:spacing w:line="360" w:lineRule="auto"/>
        <w:rPr>
          <w:b/>
        </w:rPr>
      </w:pPr>
    </w:p>
    <w:p w14:paraId="76EC8636" w14:textId="77777777" w:rsidR="00196EE9" w:rsidRDefault="00196EE9" w:rsidP="006569B4">
      <w:pPr>
        <w:spacing w:line="360" w:lineRule="auto"/>
        <w:rPr>
          <w:b/>
        </w:rPr>
      </w:pPr>
    </w:p>
    <w:p w14:paraId="6AE5BCAD" w14:textId="77777777" w:rsidR="00196EE9" w:rsidRDefault="00196EE9" w:rsidP="006569B4">
      <w:pPr>
        <w:spacing w:line="360" w:lineRule="auto"/>
        <w:rPr>
          <w:b/>
        </w:rPr>
      </w:pPr>
    </w:p>
    <w:p w14:paraId="337B5D4D" w14:textId="77777777" w:rsidR="007B28A3" w:rsidRDefault="007B28A3" w:rsidP="006569B4">
      <w:pPr>
        <w:spacing w:line="360" w:lineRule="auto"/>
        <w:rPr>
          <w:b/>
        </w:rPr>
      </w:pPr>
    </w:p>
    <w:p w14:paraId="2943D4A7" w14:textId="77777777" w:rsidR="008863EC" w:rsidRDefault="008863EC" w:rsidP="00AF0C50">
      <w:pPr>
        <w:spacing w:line="360" w:lineRule="auto"/>
        <w:rPr>
          <w:b/>
        </w:rPr>
      </w:pPr>
    </w:p>
    <w:p w14:paraId="4B77B38F" w14:textId="1D58A106" w:rsidR="00AF0C50" w:rsidRPr="00AF0C50" w:rsidRDefault="00AF0C50" w:rsidP="009D69C6">
      <w:pPr>
        <w:pStyle w:val="Heading1"/>
      </w:pPr>
      <w:bookmarkStart w:id="18" w:name="_Toc425524019"/>
      <w:r w:rsidRPr="00AF0C50">
        <w:t>Hoofdstuk 4: Het gebruik van alternatieve indicatoren</w:t>
      </w:r>
      <w:r w:rsidR="007D3532">
        <w:rPr>
          <w:rStyle w:val="FootnoteReference"/>
        </w:rPr>
        <w:footnoteReference w:id="7"/>
      </w:r>
      <w:bookmarkEnd w:id="18"/>
    </w:p>
    <w:p w14:paraId="7AA68F9B" w14:textId="0B3B2C0E" w:rsidR="00B56A79" w:rsidRPr="002173B0" w:rsidRDefault="00AF0C50" w:rsidP="002173B0">
      <w:pPr>
        <w:pStyle w:val="Heading2"/>
        <w:spacing w:line="360" w:lineRule="auto"/>
      </w:pPr>
      <w:bookmarkStart w:id="19" w:name="_Toc425524020"/>
      <w:r>
        <w:t>4.1 Inleiding</w:t>
      </w:r>
      <w:bookmarkEnd w:id="19"/>
    </w:p>
    <w:p w14:paraId="09BDE40B" w14:textId="3B04D696" w:rsidR="00AF0C50" w:rsidRDefault="008863EC" w:rsidP="006569B4">
      <w:pPr>
        <w:spacing w:line="360" w:lineRule="auto"/>
      </w:pPr>
      <w:r>
        <w:t xml:space="preserve">In dit hoofdstuk wordt onderzoek gedaan naar </w:t>
      </w:r>
      <w:r w:rsidR="008A3E77">
        <w:t>ondernemingen genoteerd aan de AEX</w:t>
      </w:r>
      <w:r w:rsidR="00051B11">
        <w:t xml:space="preserve"> die gebruik maken van</w:t>
      </w:r>
      <w:r>
        <w:t xml:space="preserve"> alternatieve indicatoren. Dit wordt </w:t>
      </w:r>
      <w:r w:rsidR="00051B11">
        <w:t>onderzocht</w:t>
      </w:r>
      <w:r>
        <w:t xml:space="preserve"> aan de hand van de jaarrekeningen van de desbetreffende </w:t>
      </w:r>
      <w:r w:rsidR="008A3E77">
        <w:t>ondernemingen</w:t>
      </w:r>
      <w:r>
        <w:t xml:space="preserve">. Deze </w:t>
      </w:r>
      <w:r w:rsidR="008A3E77">
        <w:t>ondernemingen</w:t>
      </w:r>
      <w:r>
        <w:t xml:space="preserve"> staan in tabel 5 samen met de werkzaamheden van het bedrijf </w:t>
      </w:r>
      <w:r w:rsidR="00051B11">
        <w:t>en de sector waar het bedrijf werkzaam is</w:t>
      </w:r>
      <w:r>
        <w:t>.</w:t>
      </w:r>
    </w:p>
    <w:p w14:paraId="6A4788E4" w14:textId="454E59CA" w:rsidR="0040092D" w:rsidRDefault="00051B11" w:rsidP="006569B4">
      <w:pPr>
        <w:spacing w:line="360" w:lineRule="auto"/>
      </w:pPr>
      <w:r>
        <w:t xml:space="preserve"> Aan de hand van</w:t>
      </w:r>
      <w:r w:rsidR="00751846">
        <w:t xml:space="preserve"> het analyse programma Nvivo </w:t>
      </w:r>
      <w:r>
        <w:t>wordt bepaald</w:t>
      </w:r>
      <w:r w:rsidR="00751846">
        <w:t xml:space="preserve"> welke ondernemingen gebruik maken van alternatieve indicatoren.</w:t>
      </w:r>
      <w:r w:rsidR="0040092D">
        <w:t xml:space="preserve"> Eerst wordt vastgesteld in welke jaarrekeningen de Non-GAAP indicatoren specifiek vermeld worden</w:t>
      </w:r>
      <w:r>
        <w:t xml:space="preserve"> door de ondernemingen zelf</w:t>
      </w:r>
      <w:r w:rsidR="00193D65">
        <w:t>.</w:t>
      </w:r>
      <w:r w:rsidR="0040092D">
        <w:t xml:space="preserve"> </w:t>
      </w:r>
      <w:r w:rsidR="00193D65">
        <w:t>V</w:t>
      </w:r>
      <w:r w:rsidR="0040092D">
        <w:t xml:space="preserve">ervolgens wordt bepaald welke ondernemingen de alternatieve indicatoren wel gebruiken maar niet expliciet vermelden als Non-GAAP indicator. </w:t>
      </w:r>
    </w:p>
    <w:p w14:paraId="788FE412" w14:textId="4DA064E8" w:rsidR="007F777B" w:rsidRDefault="002414F4" w:rsidP="006569B4">
      <w:pPr>
        <w:spacing w:line="360" w:lineRule="auto"/>
      </w:pPr>
      <w:r>
        <w:t>Aangezien een alternatieve indicator in dit onderzoek bijna alles kan zijn wat een financiële indicatie geeft van de situatie van een onderneming</w:t>
      </w:r>
      <w:r w:rsidR="00051B11">
        <w:t xml:space="preserve"> en niet is voorgeschreven door de GAAP</w:t>
      </w:r>
      <w:r w:rsidR="00193D65">
        <w:t>,</w:t>
      </w:r>
      <w:r>
        <w:t xml:space="preserve"> zijn de belangrijkste indicatoren vastgesteld. Dit omdat </w:t>
      </w:r>
      <w:r w:rsidR="00051B11">
        <w:t>het onderzoek tijdsgebonden is en om het overzichtelijk te houden.</w:t>
      </w:r>
    </w:p>
    <w:p w14:paraId="01D52534" w14:textId="69D764B6" w:rsidR="00AF0C50" w:rsidRDefault="00193D65" w:rsidP="006569B4">
      <w:pPr>
        <w:spacing w:line="360" w:lineRule="auto"/>
      </w:pPr>
      <w:r>
        <w:t>He</w:t>
      </w:r>
      <w:r w:rsidR="007F777B">
        <w:t xml:space="preserve">t </w:t>
      </w:r>
      <w:r w:rsidR="00051B11">
        <w:t>houdt in</w:t>
      </w:r>
      <w:r w:rsidR="007F777B">
        <w:t xml:space="preserve"> dat eerst wordt bekeken welke alternatieve indicatoren </w:t>
      </w:r>
      <w:r w:rsidR="00E10939">
        <w:t xml:space="preserve">worden gegeven door ondernemingen zelf en vervolgens wordt buiten deze indicatoren gezocht naar de indicatoren die bepaald zijn. Voor de bepaalde alternatieve indicatoren wordt eerst </w:t>
      </w:r>
      <w:r w:rsidR="005F455C">
        <w:t>naar de winst-en-verliesrekening</w:t>
      </w:r>
      <w:r w:rsidR="00E10939">
        <w:t xml:space="preserve"> gekeken</w:t>
      </w:r>
      <w:r w:rsidR="005F455C">
        <w:t xml:space="preserve">. Hierin staan een aantal posten vast en zijn de alternatieve indicatoren dan ook vooral afgeleiden hiervan. Voor een </w:t>
      </w:r>
      <w:r w:rsidR="00E10939">
        <w:t>overzicht</w:t>
      </w:r>
      <w:r w:rsidR="005F455C">
        <w:t xml:space="preserve"> van de winst-en-verliesrekening staat in tabel 6 een voorbeeld. In dit voorbeeld staan alle posten die vereist zijn zonder alternatieve indicatoren. </w:t>
      </w:r>
      <w:r w:rsidR="00051B11">
        <w:t xml:space="preserve">Naast de winst en verliesrekening wordt </w:t>
      </w:r>
      <w:r w:rsidR="00FA0F91">
        <w:t>gekeken naar de toelichting en het jaarverslag.</w:t>
      </w:r>
      <w:r w:rsidR="0040092D">
        <w:t xml:space="preserve"> </w:t>
      </w:r>
      <w:r w:rsidR="00FA0F91">
        <w:t xml:space="preserve">Voor de gegevens uit de toelichting en het jaarverslag wordt teruggekoppeld naar </w:t>
      </w:r>
      <w:r w:rsidR="002414F4">
        <w:t>een eerder onderzoek van de AFM</w:t>
      </w:r>
      <w:r w:rsidR="00FA0F91">
        <w:t xml:space="preserve"> en</w:t>
      </w:r>
      <w:r w:rsidR="002414F4">
        <w:t xml:space="preserve"> zijn de belangrijkste indicatoren de bevindingen uit dat onderzoek</w:t>
      </w:r>
      <w:r w:rsidR="005F455C">
        <w:t>. Hierin is gekeken naar wat voor beleggers belangrijke indicatoren zijn; Autonome groe</w:t>
      </w:r>
      <w:r w:rsidR="00051B11">
        <w:t xml:space="preserve">i, netto schuld en onderliggend </w:t>
      </w:r>
      <w:r w:rsidR="0037141F">
        <w:t>Resultaat</w:t>
      </w:r>
      <w:r w:rsidR="00051B11">
        <w:rPr>
          <w:rStyle w:val="FootnoteReference"/>
        </w:rPr>
        <w:footnoteReference w:id="8"/>
      </w:r>
      <w:r w:rsidR="005F455C">
        <w:t xml:space="preserve"> </w:t>
      </w:r>
      <w:r w:rsidR="002414F4">
        <w:fldChar w:fldCharType="begin"/>
      </w:r>
      <w:r w:rsidR="005F455C">
        <w:instrText xml:space="preserve"> ADDIN EN.CITE &lt;EndNote&gt;&lt;Cite&gt;&lt;Author&gt;AFM&lt;/Author&gt;&lt;Year&gt;2014&lt;/Year&gt;&lt;RecNum&gt;13&lt;/RecNum&gt;&lt;DisplayText&gt;(AFM, 2014)&lt;/DisplayText&gt;&lt;record&gt;&lt;rec-number&gt;13&lt;/rec-number&gt;&lt;foreign-keys&gt;&lt;key app="EN" db-id="warezr50rtv9pne9vrl5v2z50zvrfrt52spx" timestamp="1433241393"&gt;13&lt;/key&gt;&lt;key app="ENWeb" db-id=""&gt;0&lt;/key&gt;&lt;/foreign-keys&gt;&lt;ref-type name="Report"&gt;27&lt;/ref-type&gt;&lt;contributors&gt;&lt;authors&gt;&lt;author&gt;AFM&lt;/author&gt;&lt;/authors&gt;&lt;/contributors&gt;&lt;titles&gt;&lt;title&gt;Alternatieve financiële prestatie-indicatoren: Toezicht | Kwaliteit Accountantscontrole &amp;amp; Verslaggeving&lt;/title&gt;&lt;/titles&gt;&lt;pages&gt;17&lt;/pages&gt;&lt;dates&gt;&lt;year&gt;2014&lt;/year&gt;&lt;pub-dates&gt;&lt;date&gt;April&lt;/date&gt;&lt;/pub-dates&gt;&lt;/dates&gt;&lt;pub-location&gt;Amsterdam&lt;/pub-location&gt;&lt;urls&gt;&lt;/urls&gt;&lt;/record&gt;&lt;/Cite&gt;&lt;/EndNote&gt;</w:instrText>
      </w:r>
      <w:r w:rsidR="002414F4">
        <w:fldChar w:fldCharType="separate"/>
      </w:r>
      <w:r w:rsidR="005F455C">
        <w:rPr>
          <w:noProof/>
        </w:rPr>
        <w:t>(AFM, 2014)</w:t>
      </w:r>
      <w:r w:rsidR="002414F4">
        <w:fldChar w:fldCharType="end"/>
      </w:r>
      <w:r w:rsidR="002414F4">
        <w:t>.</w:t>
      </w:r>
      <w:r w:rsidR="005F455C">
        <w:t xml:space="preserve"> </w:t>
      </w:r>
      <w:r w:rsidR="00E10939">
        <w:t xml:space="preserve"> </w:t>
      </w:r>
    </w:p>
    <w:p w14:paraId="2E4D1EA8" w14:textId="7815BB72" w:rsidR="00E10939" w:rsidRDefault="00E10939" w:rsidP="006569B4">
      <w:pPr>
        <w:spacing w:line="360" w:lineRule="auto"/>
      </w:pPr>
      <w:r>
        <w:t>Wanneer duidelijk is welke bedrijven de alternatieve indicatoren gebruiken, wordt onderzocht hoe de consistentie is van de toepassing van de alternatieve indicatoren. Aan de hand van de j</w:t>
      </w:r>
      <w:r w:rsidR="00051B11">
        <w:t>aarrekeningen van de afgelopen 5</w:t>
      </w:r>
      <w:r>
        <w:t xml:space="preserve"> jaar wordt bepaald of er sprake is van een trend in het gebruik van de alternatieve indicatoren</w:t>
      </w:r>
      <w:r w:rsidR="00C27791">
        <w:t>.</w:t>
      </w:r>
    </w:p>
    <w:p w14:paraId="38E4F00D" w14:textId="72767659" w:rsidR="001C3C09" w:rsidRPr="002173B0" w:rsidRDefault="00247751" w:rsidP="002173B0">
      <w:pPr>
        <w:pStyle w:val="Heading2"/>
        <w:spacing w:line="360" w:lineRule="auto"/>
      </w:pPr>
      <w:bookmarkStart w:id="20" w:name="_Toc425524021"/>
      <w:r>
        <w:t>4.2</w:t>
      </w:r>
      <w:r w:rsidR="00FA29FC">
        <w:t xml:space="preserve"> </w:t>
      </w:r>
      <w:r w:rsidR="00E10939" w:rsidRPr="00E10939">
        <w:t>Welke bedrijven?</w:t>
      </w:r>
      <w:bookmarkEnd w:id="20"/>
    </w:p>
    <w:tbl>
      <w:tblPr>
        <w:tblpPr w:leftFromText="180" w:rightFromText="180" w:vertAnchor="text" w:horzAnchor="page" w:tblpX="1906" w:tblpY="150"/>
        <w:tblW w:w="1840" w:type="dxa"/>
        <w:tblLook w:val="04A0" w:firstRow="1" w:lastRow="0" w:firstColumn="1" w:lastColumn="0" w:noHBand="0" w:noVBand="1"/>
      </w:tblPr>
      <w:tblGrid>
        <w:gridCol w:w="1840"/>
      </w:tblGrid>
      <w:tr w:rsidR="00C27791" w:rsidRPr="0089174B" w14:paraId="31F6D67F" w14:textId="77777777" w:rsidTr="00C27791">
        <w:trPr>
          <w:trHeight w:val="300"/>
        </w:trPr>
        <w:tc>
          <w:tcPr>
            <w:tcW w:w="1840" w:type="dxa"/>
            <w:tcBorders>
              <w:top w:val="single" w:sz="4" w:space="0" w:color="000000"/>
              <w:left w:val="nil"/>
              <w:bottom w:val="single" w:sz="4" w:space="0" w:color="000000"/>
              <w:right w:val="nil"/>
            </w:tcBorders>
            <w:shd w:val="clear" w:color="auto" w:fill="auto"/>
            <w:noWrap/>
            <w:vAlign w:val="bottom"/>
            <w:hideMark/>
          </w:tcPr>
          <w:p w14:paraId="659C22FB" w14:textId="77777777" w:rsidR="00C27791" w:rsidRPr="0089174B" w:rsidRDefault="00C27791" w:rsidP="00C27791">
            <w:pPr>
              <w:rPr>
                <w:rFonts w:ascii="Calibri" w:eastAsia="Times New Roman" w:hAnsi="Calibri" w:cs="Times New Roman"/>
                <w:b/>
                <w:bCs/>
                <w:color w:val="000000"/>
              </w:rPr>
            </w:pPr>
            <w:r w:rsidRPr="0089174B">
              <w:rPr>
                <w:rFonts w:ascii="Calibri" w:eastAsia="Times New Roman" w:hAnsi="Calibri" w:cs="Times New Roman"/>
                <w:b/>
                <w:bCs/>
                <w:color w:val="000000"/>
              </w:rPr>
              <w:t>Onderneming</w:t>
            </w:r>
          </w:p>
        </w:tc>
      </w:tr>
      <w:tr w:rsidR="00C27791" w:rsidRPr="0089174B" w14:paraId="4FF0C2E6" w14:textId="77777777" w:rsidTr="00C27791">
        <w:trPr>
          <w:trHeight w:val="300"/>
        </w:trPr>
        <w:tc>
          <w:tcPr>
            <w:tcW w:w="1840" w:type="dxa"/>
            <w:tcBorders>
              <w:top w:val="nil"/>
              <w:left w:val="nil"/>
              <w:bottom w:val="nil"/>
              <w:right w:val="nil"/>
            </w:tcBorders>
            <w:shd w:val="clear" w:color="D9D9D9" w:fill="D9D9D9"/>
            <w:noWrap/>
            <w:vAlign w:val="bottom"/>
            <w:hideMark/>
          </w:tcPr>
          <w:p w14:paraId="658F9269" w14:textId="630341AE" w:rsidR="00C27791" w:rsidRPr="0089174B" w:rsidRDefault="00CE02C9" w:rsidP="002173B0">
            <w:pPr>
              <w:rPr>
                <w:rFonts w:ascii="Calibri" w:eastAsia="Times New Roman" w:hAnsi="Calibri" w:cs="Times New Roman"/>
                <w:color w:val="000000"/>
              </w:rPr>
            </w:pPr>
            <w:r>
              <w:rPr>
                <w:rFonts w:ascii="Calibri" w:eastAsia="Times New Roman" w:hAnsi="Calibri" w:cs="Times New Roman"/>
                <w:color w:val="000000"/>
              </w:rPr>
              <w:t>Aegon</w:t>
            </w:r>
          </w:p>
        </w:tc>
      </w:tr>
      <w:tr w:rsidR="00C27791" w:rsidRPr="0089174B" w14:paraId="450FF6C8" w14:textId="77777777" w:rsidTr="00C27791">
        <w:trPr>
          <w:trHeight w:val="300"/>
        </w:trPr>
        <w:tc>
          <w:tcPr>
            <w:tcW w:w="1840" w:type="dxa"/>
            <w:tcBorders>
              <w:top w:val="nil"/>
              <w:left w:val="nil"/>
              <w:bottom w:val="nil"/>
              <w:right w:val="nil"/>
            </w:tcBorders>
            <w:shd w:val="clear" w:color="auto" w:fill="auto"/>
            <w:noWrap/>
            <w:vAlign w:val="bottom"/>
            <w:hideMark/>
          </w:tcPr>
          <w:p w14:paraId="6271DBF3" w14:textId="1AB939CA" w:rsidR="00C27791" w:rsidRPr="0089174B" w:rsidRDefault="00CE02C9" w:rsidP="002173B0">
            <w:pPr>
              <w:rPr>
                <w:rFonts w:ascii="Calibri" w:eastAsia="Times New Roman" w:hAnsi="Calibri" w:cs="Times New Roman"/>
                <w:color w:val="000000"/>
              </w:rPr>
            </w:pPr>
            <w:r>
              <w:rPr>
                <w:rFonts w:ascii="Calibri" w:eastAsia="Times New Roman" w:hAnsi="Calibri" w:cs="Times New Roman"/>
                <w:color w:val="000000"/>
              </w:rPr>
              <w:t>Ahold</w:t>
            </w:r>
          </w:p>
        </w:tc>
      </w:tr>
      <w:tr w:rsidR="00C27791" w:rsidRPr="0089174B" w14:paraId="626D5962" w14:textId="77777777" w:rsidTr="00C27791">
        <w:trPr>
          <w:trHeight w:val="300"/>
        </w:trPr>
        <w:tc>
          <w:tcPr>
            <w:tcW w:w="1840" w:type="dxa"/>
            <w:tcBorders>
              <w:top w:val="nil"/>
              <w:left w:val="nil"/>
              <w:bottom w:val="nil"/>
              <w:right w:val="nil"/>
            </w:tcBorders>
            <w:shd w:val="clear" w:color="D9D9D9" w:fill="D9D9D9"/>
            <w:noWrap/>
            <w:vAlign w:val="bottom"/>
            <w:hideMark/>
          </w:tcPr>
          <w:p w14:paraId="107B3A04" w14:textId="1B8CE910" w:rsidR="00C27791" w:rsidRPr="0089174B" w:rsidRDefault="00CE02C9" w:rsidP="002173B0">
            <w:pPr>
              <w:rPr>
                <w:rFonts w:ascii="Calibri" w:eastAsia="Times New Roman" w:hAnsi="Calibri" w:cs="Times New Roman"/>
                <w:color w:val="000000"/>
              </w:rPr>
            </w:pPr>
            <w:r>
              <w:rPr>
                <w:rFonts w:ascii="Calibri" w:eastAsia="Times New Roman" w:hAnsi="Calibri" w:cs="Times New Roman"/>
                <w:color w:val="000000"/>
              </w:rPr>
              <w:t>Delta Lloyd</w:t>
            </w:r>
          </w:p>
        </w:tc>
      </w:tr>
      <w:tr w:rsidR="00C27791" w:rsidRPr="0089174B" w14:paraId="76012FD4" w14:textId="77777777" w:rsidTr="00C27791">
        <w:trPr>
          <w:trHeight w:val="300"/>
        </w:trPr>
        <w:tc>
          <w:tcPr>
            <w:tcW w:w="1840" w:type="dxa"/>
            <w:tcBorders>
              <w:top w:val="nil"/>
              <w:left w:val="nil"/>
              <w:bottom w:val="nil"/>
              <w:right w:val="nil"/>
            </w:tcBorders>
            <w:shd w:val="clear" w:color="auto" w:fill="auto"/>
            <w:noWrap/>
            <w:vAlign w:val="bottom"/>
            <w:hideMark/>
          </w:tcPr>
          <w:p w14:paraId="180AEBB5" w14:textId="3002D6C3" w:rsidR="00C27791" w:rsidRPr="0089174B" w:rsidRDefault="00CE02C9" w:rsidP="00C27791">
            <w:pPr>
              <w:rPr>
                <w:rFonts w:ascii="Calibri" w:eastAsia="Times New Roman" w:hAnsi="Calibri" w:cs="Times New Roman"/>
                <w:color w:val="000000"/>
              </w:rPr>
            </w:pPr>
            <w:r>
              <w:rPr>
                <w:rFonts w:ascii="Calibri" w:eastAsia="Times New Roman" w:hAnsi="Calibri" w:cs="Times New Roman"/>
                <w:color w:val="000000"/>
              </w:rPr>
              <w:t>Gemalto</w:t>
            </w:r>
          </w:p>
        </w:tc>
      </w:tr>
      <w:tr w:rsidR="00C27791" w:rsidRPr="0089174B" w14:paraId="37124FD9" w14:textId="77777777" w:rsidTr="00C27791">
        <w:trPr>
          <w:trHeight w:val="300"/>
        </w:trPr>
        <w:tc>
          <w:tcPr>
            <w:tcW w:w="1840" w:type="dxa"/>
            <w:tcBorders>
              <w:top w:val="nil"/>
              <w:left w:val="nil"/>
              <w:bottom w:val="nil"/>
              <w:right w:val="nil"/>
            </w:tcBorders>
            <w:shd w:val="clear" w:color="D9D9D9" w:fill="D9D9D9"/>
            <w:noWrap/>
            <w:vAlign w:val="bottom"/>
            <w:hideMark/>
          </w:tcPr>
          <w:p w14:paraId="2694D73F" w14:textId="27DB685B" w:rsidR="00C27791" w:rsidRPr="0089174B" w:rsidRDefault="00CE02C9" w:rsidP="002173B0">
            <w:pPr>
              <w:rPr>
                <w:rFonts w:ascii="Calibri" w:eastAsia="Times New Roman" w:hAnsi="Calibri" w:cs="Times New Roman"/>
                <w:color w:val="000000"/>
              </w:rPr>
            </w:pPr>
            <w:r>
              <w:rPr>
                <w:rFonts w:ascii="Calibri" w:eastAsia="Times New Roman" w:hAnsi="Calibri" w:cs="Times New Roman"/>
                <w:color w:val="000000"/>
              </w:rPr>
              <w:t>Heineken</w:t>
            </w:r>
          </w:p>
        </w:tc>
      </w:tr>
      <w:tr w:rsidR="00C27791" w:rsidRPr="0089174B" w14:paraId="67D5F5D6" w14:textId="77777777" w:rsidTr="00C27791">
        <w:trPr>
          <w:trHeight w:val="300"/>
        </w:trPr>
        <w:tc>
          <w:tcPr>
            <w:tcW w:w="1840" w:type="dxa"/>
            <w:tcBorders>
              <w:top w:val="nil"/>
              <w:left w:val="nil"/>
              <w:bottom w:val="nil"/>
              <w:right w:val="nil"/>
            </w:tcBorders>
            <w:shd w:val="clear" w:color="auto" w:fill="auto"/>
            <w:noWrap/>
            <w:vAlign w:val="bottom"/>
            <w:hideMark/>
          </w:tcPr>
          <w:p w14:paraId="548E0801" w14:textId="3FC78E4C" w:rsidR="00C27791" w:rsidRPr="0089174B" w:rsidRDefault="00CE02C9" w:rsidP="002173B0">
            <w:pPr>
              <w:rPr>
                <w:rFonts w:ascii="Calibri" w:eastAsia="Times New Roman" w:hAnsi="Calibri" w:cs="Times New Roman"/>
                <w:color w:val="000000"/>
              </w:rPr>
            </w:pPr>
            <w:r>
              <w:rPr>
                <w:rFonts w:ascii="Calibri" w:eastAsia="Times New Roman" w:hAnsi="Calibri" w:cs="Times New Roman"/>
                <w:color w:val="000000"/>
              </w:rPr>
              <w:t>ING</w:t>
            </w:r>
          </w:p>
        </w:tc>
      </w:tr>
      <w:tr w:rsidR="00C27791" w:rsidRPr="0089174B" w14:paraId="721189CD" w14:textId="77777777" w:rsidTr="00C27791">
        <w:trPr>
          <w:trHeight w:val="300"/>
        </w:trPr>
        <w:tc>
          <w:tcPr>
            <w:tcW w:w="1840" w:type="dxa"/>
            <w:tcBorders>
              <w:top w:val="nil"/>
              <w:left w:val="nil"/>
              <w:bottom w:val="nil"/>
              <w:right w:val="nil"/>
            </w:tcBorders>
            <w:shd w:val="clear" w:color="D9D9D9" w:fill="D9D9D9"/>
            <w:noWrap/>
            <w:vAlign w:val="bottom"/>
            <w:hideMark/>
          </w:tcPr>
          <w:p w14:paraId="16450D07" w14:textId="6675E953" w:rsidR="00C27791" w:rsidRPr="0089174B" w:rsidRDefault="00CE02C9" w:rsidP="002173B0">
            <w:pPr>
              <w:rPr>
                <w:rFonts w:ascii="Calibri" w:eastAsia="Times New Roman" w:hAnsi="Calibri" w:cs="Times New Roman"/>
                <w:color w:val="000000"/>
              </w:rPr>
            </w:pPr>
            <w:r>
              <w:rPr>
                <w:rFonts w:ascii="Calibri" w:eastAsia="Times New Roman" w:hAnsi="Calibri" w:cs="Times New Roman"/>
                <w:color w:val="000000"/>
              </w:rPr>
              <w:t>Philips</w:t>
            </w:r>
          </w:p>
        </w:tc>
      </w:tr>
      <w:tr w:rsidR="00C27791" w:rsidRPr="0089174B" w14:paraId="2D3CEA76" w14:textId="77777777" w:rsidTr="00C27791">
        <w:trPr>
          <w:trHeight w:val="300"/>
        </w:trPr>
        <w:tc>
          <w:tcPr>
            <w:tcW w:w="1840" w:type="dxa"/>
            <w:tcBorders>
              <w:top w:val="nil"/>
              <w:left w:val="nil"/>
              <w:bottom w:val="nil"/>
              <w:right w:val="nil"/>
            </w:tcBorders>
            <w:shd w:val="clear" w:color="auto" w:fill="auto"/>
            <w:noWrap/>
            <w:vAlign w:val="bottom"/>
            <w:hideMark/>
          </w:tcPr>
          <w:p w14:paraId="25E06985" w14:textId="05C68E52" w:rsidR="00C27791" w:rsidRPr="0089174B" w:rsidRDefault="00CE02C9" w:rsidP="002173B0">
            <w:pPr>
              <w:rPr>
                <w:rFonts w:ascii="Calibri" w:eastAsia="Times New Roman" w:hAnsi="Calibri" w:cs="Times New Roman"/>
                <w:color w:val="000000"/>
              </w:rPr>
            </w:pPr>
            <w:r>
              <w:rPr>
                <w:rFonts w:ascii="Calibri" w:eastAsia="Times New Roman" w:hAnsi="Calibri" w:cs="Times New Roman"/>
                <w:color w:val="000000"/>
              </w:rPr>
              <w:t>Shell</w:t>
            </w:r>
          </w:p>
        </w:tc>
      </w:tr>
      <w:tr w:rsidR="00C27791" w:rsidRPr="0089174B" w14:paraId="0CB26538" w14:textId="77777777" w:rsidTr="00C27791">
        <w:trPr>
          <w:trHeight w:val="300"/>
        </w:trPr>
        <w:tc>
          <w:tcPr>
            <w:tcW w:w="1840" w:type="dxa"/>
            <w:tcBorders>
              <w:top w:val="nil"/>
              <w:left w:val="nil"/>
              <w:bottom w:val="nil"/>
              <w:right w:val="nil"/>
            </w:tcBorders>
            <w:shd w:val="clear" w:color="D9D9D9" w:fill="D9D9D9"/>
            <w:noWrap/>
            <w:vAlign w:val="bottom"/>
            <w:hideMark/>
          </w:tcPr>
          <w:p w14:paraId="14FB6DDD" w14:textId="3D06ABC3" w:rsidR="00C27791" w:rsidRPr="0089174B" w:rsidRDefault="00CE02C9" w:rsidP="002173B0">
            <w:pPr>
              <w:rPr>
                <w:rFonts w:ascii="Calibri" w:eastAsia="Times New Roman" w:hAnsi="Calibri" w:cs="Times New Roman"/>
                <w:color w:val="000000"/>
              </w:rPr>
            </w:pPr>
            <w:r>
              <w:rPr>
                <w:rFonts w:ascii="Calibri" w:eastAsia="Times New Roman" w:hAnsi="Calibri" w:cs="Times New Roman"/>
                <w:color w:val="000000"/>
              </w:rPr>
              <w:t>TNT</w:t>
            </w:r>
          </w:p>
        </w:tc>
      </w:tr>
      <w:tr w:rsidR="00C27791" w:rsidRPr="0089174B" w14:paraId="1CDEBB13" w14:textId="77777777" w:rsidTr="00C27791">
        <w:trPr>
          <w:trHeight w:val="300"/>
        </w:trPr>
        <w:tc>
          <w:tcPr>
            <w:tcW w:w="1840" w:type="dxa"/>
            <w:tcBorders>
              <w:top w:val="nil"/>
              <w:left w:val="nil"/>
              <w:bottom w:val="nil"/>
              <w:right w:val="nil"/>
            </w:tcBorders>
            <w:shd w:val="clear" w:color="auto" w:fill="auto"/>
            <w:noWrap/>
            <w:vAlign w:val="bottom"/>
            <w:hideMark/>
          </w:tcPr>
          <w:p w14:paraId="32E1D615" w14:textId="2012FA5D" w:rsidR="00C27791" w:rsidRPr="0089174B" w:rsidRDefault="00CE02C9" w:rsidP="002173B0">
            <w:pPr>
              <w:rPr>
                <w:rFonts w:ascii="Calibri" w:eastAsia="Times New Roman" w:hAnsi="Calibri" w:cs="Times New Roman"/>
                <w:color w:val="000000"/>
              </w:rPr>
            </w:pPr>
            <w:r>
              <w:rPr>
                <w:rFonts w:ascii="Calibri" w:eastAsia="Times New Roman" w:hAnsi="Calibri" w:cs="Times New Roman"/>
                <w:color w:val="000000"/>
              </w:rPr>
              <w:t>Unilever</w:t>
            </w:r>
          </w:p>
        </w:tc>
      </w:tr>
      <w:tr w:rsidR="00C27791" w:rsidRPr="0089174B" w14:paraId="5E53AB97" w14:textId="77777777" w:rsidTr="00C27791">
        <w:trPr>
          <w:trHeight w:val="300"/>
        </w:trPr>
        <w:tc>
          <w:tcPr>
            <w:tcW w:w="1840" w:type="dxa"/>
            <w:tcBorders>
              <w:top w:val="nil"/>
              <w:left w:val="nil"/>
              <w:bottom w:val="nil"/>
              <w:right w:val="nil"/>
            </w:tcBorders>
            <w:shd w:val="clear" w:color="D9D9D9" w:fill="D9D9D9"/>
            <w:noWrap/>
            <w:vAlign w:val="bottom"/>
            <w:hideMark/>
          </w:tcPr>
          <w:p w14:paraId="27BB7A68" w14:textId="131B8CB7" w:rsidR="00C27791" w:rsidRPr="0089174B" w:rsidRDefault="00C27791" w:rsidP="00C27791">
            <w:pPr>
              <w:rPr>
                <w:rFonts w:ascii="Calibri" w:eastAsia="Times New Roman" w:hAnsi="Calibri" w:cs="Times New Roman"/>
                <w:color w:val="000000"/>
              </w:rPr>
            </w:pPr>
            <w:r w:rsidRPr="0089174B">
              <w:rPr>
                <w:rFonts w:ascii="Calibri" w:eastAsia="Times New Roman" w:hAnsi="Calibri" w:cs="Times New Roman"/>
                <w:color w:val="000000"/>
              </w:rPr>
              <w:t>Vopak</w:t>
            </w:r>
          </w:p>
        </w:tc>
      </w:tr>
      <w:tr w:rsidR="00C27791" w:rsidRPr="0089174B" w14:paraId="274D59DC" w14:textId="77777777" w:rsidTr="00C27791">
        <w:trPr>
          <w:trHeight w:val="300"/>
        </w:trPr>
        <w:tc>
          <w:tcPr>
            <w:tcW w:w="1840" w:type="dxa"/>
            <w:tcBorders>
              <w:top w:val="nil"/>
              <w:left w:val="nil"/>
              <w:bottom w:val="single" w:sz="4" w:space="0" w:color="000000"/>
              <w:right w:val="nil"/>
            </w:tcBorders>
            <w:shd w:val="clear" w:color="auto" w:fill="auto"/>
            <w:noWrap/>
            <w:vAlign w:val="bottom"/>
            <w:hideMark/>
          </w:tcPr>
          <w:p w14:paraId="4AEAA874" w14:textId="22F21489" w:rsidR="00C27791" w:rsidRPr="0089174B" w:rsidRDefault="00C27791" w:rsidP="00C27791">
            <w:pPr>
              <w:rPr>
                <w:rFonts w:ascii="Calibri" w:eastAsia="Times New Roman" w:hAnsi="Calibri" w:cs="Times New Roman"/>
                <w:color w:val="000000"/>
              </w:rPr>
            </w:pPr>
            <w:r w:rsidRPr="0089174B">
              <w:rPr>
                <w:rFonts w:ascii="Calibri" w:eastAsia="Times New Roman" w:hAnsi="Calibri" w:cs="Times New Roman"/>
                <w:color w:val="000000"/>
              </w:rPr>
              <w:t>Wolters Kluwer</w:t>
            </w:r>
          </w:p>
        </w:tc>
      </w:tr>
    </w:tbl>
    <w:p w14:paraId="5EB4F45D" w14:textId="78BC7BFD" w:rsidR="00926B5D" w:rsidRDefault="00C27791" w:rsidP="00E10939">
      <w:pPr>
        <w:spacing w:line="360" w:lineRule="auto"/>
      </w:pPr>
      <w:r>
        <w:t xml:space="preserve"> </w:t>
      </w:r>
      <w:r w:rsidR="00051B11">
        <w:t>Via</w:t>
      </w:r>
      <w:r w:rsidR="00E10939">
        <w:t xml:space="preserve"> het analyseprogramma Nvivo is een zoekopdracht </w:t>
      </w:r>
      <w:r w:rsidR="008208AB">
        <w:t>uitgevoerd</w:t>
      </w:r>
      <w:r w:rsidR="00E10939">
        <w:t xml:space="preserve"> naar het begrip Non-GAAP. Als uitkomst geeft het programma aan in welke jaarrekeningen het begrip terugkomt en in welke hoeveelheid. </w:t>
      </w:r>
      <w:r w:rsidR="00926B5D">
        <w:t xml:space="preserve">Een verdere analyse van deze begrippen in de jaarrekeningen geeft aan dat de volgende ondernemingen een specifieke vermelding maken van het </w:t>
      </w:r>
      <w:r w:rsidR="008208AB">
        <w:t>gebruik van alternatieve indicatoren</w:t>
      </w:r>
      <w:r w:rsidR="00926B5D">
        <w:t xml:space="preserve">. Bij deze vermelding geven </w:t>
      </w:r>
      <w:r>
        <w:t>een aantal</w:t>
      </w:r>
      <w:r w:rsidR="00926B5D">
        <w:t xml:space="preserve"> ondernemingen aan dat het gaat om Non-GAAP indicatoren die de volgens IFRS voorgeschreven indicatoren niet vervangen maar alleen zorgen voor een duidelijker beeld va</w:t>
      </w:r>
      <w:r w:rsidR="008208AB">
        <w:t>n de financiële situatie. In de</w:t>
      </w:r>
      <w:r w:rsidR="00926B5D">
        <w:t xml:space="preserve"> tabel </w:t>
      </w:r>
      <w:r w:rsidR="008208AB">
        <w:t>hier</w:t>
      </w:r>
      <w:r>
        <w:t>boven</w:t>
      </w:r>
      <w:r w:rsidR="008208AB">
        <w:t xml:space="preserve"> </w:t>
      </w:r>
      <w:r w:rsidR="00051B11">
        <w:t>staan de</w:t>
      </w:r>
      <w:r w:rsidR="00926B5D">
        <w:t xml:space="preserve"> ondernemingen gegeven</w:t>
      </w:r>
      <w:r w:rsidR="00051B11">
        <w:t xml:space="preserve"> die de alternatieve indicatoren zelf benoemen</w:t>
      </w:r>
      <w:r w:rsidR="00926B5D">
        <w:t>.</w:t>
      </w:r>
    </w:p>
    <w:p w14:paraId="0E9AB278" w14:textId="45A73210" w:rsidR="00F5154C" w:rsidRDefault="00926B5D" w:rsidP="00E10939">
      <w:pPr>
        <w:spacing w:line="360" w:lineRule="auto"/>
      </w:pPr>
      <w:r>
        <w:t xml:space="preserve">Volgens deze </w:t>
      </w:r>
      <w:r w:rsidR="008208AB">
        <w:t>tabel</w:t>
      </w:r>
      <w:r>
        <w:t xml:space="preserve"> </w:t>
      </w:r>
      <w:r w:rsidR="00051B11">
        <w:t>vermelden</w:t>
      </w:r>
      <w:r>
        <w:t xml:space="preserve"> </w:t>
      </w:r>
      <w:r w:rsidR="00C526C4">
        <w:t>12</w:t>
      </w:r>
      <w:r>
        <w:t xml:space="preserve"> van de in totaal 24 ondernemingen </w:t>
      </w:r>
      <w:r w:rsidR="00051B11">
        <w:t>het gebruik van</w:t>
      </w:r>
      <w:r>
        <w:t xml:space="preserve"> alternatieve indicatoren. Welke indicatoren dit zijn is </w:t>
      </w:r>
      <w:r w:rsidR="00193D65">
        <w:t>weer</w:t>
      </w:r>
      <w:r>
        <w:t>gegeven in tabel</w:t>
      </w:r>
      <w:r w:rsidR="001C3C09">
        <w:t xml:space="preserve"> 7. Hieruit blijkt dat de meest voorkomende alternatieve indicatoren bij deze ondernemingen overeenkomen met de vastgestelde indicatoren netto schuldpositie en onderliggend</w:t>
      </w:r>
      <w:r w:rsidR="0054089A">
        <w:t xml:space="preserve"> resultaat</w:t>
      </w:r>
      <w:r w:rsidR="001C3C09">
        <w:t xml:space="preserve">. De autonome groei is niet aangewezen als Non-GAAP indicator volgens de ondernemingen zelf, dit wil echter niet zeggen dat deze niet vermeld wordt. </w:t>
      </w:r>
      <w:r w:rsidR="00485D32">
        <w:t>Belangrijk in deze paragraaf is dat onderzocht is welke bedrijven zelf de Non-Gaap indicatoren aangeven. Als een bedrijf bijvoorbeeld wel EBIT gebruikt, maar niet apart vermeld dat het een Non-Gaap indicator is, wordt deze in dit deel niet meegenomen.</w:t>
      </w:r>
    </w:p>
    <w:p w14:paraId="77297A5B" w14:textId="3A3861DC" w:rsidR="001C3C09" w:rsidRDefault="00247751" w:rsidP="002173B0">
      <w:pPr>
        <w:pStyle w:val="Heading3"/>
        <w:spacing w:line="360" w:lineRule="auto"/>
      </w:pPr>
      <w:bookmarkStart w:id="21" w:name="_Toc425524022"/>
      <w:r>
        <w:t xml:space="preserve">4.2.1 </w:t>
      </w:r>
      <w:r w:rsidR="001C3C09" w:rsidRPr="001C3C09">
        <w:t>De winst-en-verliesrekening</w:t>
      </w:r>
      <w:bookmarkEnd w:id="21"/>
    </w:p>
    <w:p w14:paraId="06A564BC" w14:textId="71ED918B" w:rsidR="001C3C09" w:rsidRDefault="001C3C09" w:rsidP="001C3C09">
      <w:pPr>
        <w:spacing w:line="360" w:lineRule="auto"/>
      </w:pPr>
      <w:r>
        <w:t>Nu wordt in plaats</w:t>
      </w:r>
      <w:r w:rsidR="00EA5BC3">
        <w:t xml:space="preserve"> van</w:t>
      </w:r>
      <w:r w:rsidR="00BA0385">
        <w:t xml:space="preserve"> wat de ondernemingen zelf aanmerken als alternatieve indicator zelf bepaald wat een alternatieve indicator is en bij welke ondernemingen deze te vinden zijn. Allereest binnen de winst-en-verliesrekening. Zoals in de inleiding</w:t>
      </w:r>
      <w:r w:rsidR="0054089A">
        <w:t xml:space="preserve"> van dit hoofdstuk</w:t>
      </w:r>
      <w:r w:rsidR="00BA0385">
        <w:t xml:space="preserve"> vermeld</w:t>
      </w:r>
      <w:r w:rsidR="00EA5BC3">
        <w:t>,</w:t>
      </w:r>
      <w:r w:rsidR="00BA0385">
        <w:t xml:space="preserve"> staat een voorbeeld van een winst-en-verliesrekening zonder alternatieve indicatoren gegeven in de bijlage (Tabel 6). Door dit voorbeeld te vergelijken met de winst-en-verliesrekeningen van de te onderzoeken ondernemingen is zichtbaar welke alternatieve indicatoren zijn toegevoegd en door welke bedrijven. </w:t>
      </w:r>
    </w:p>
    <w:p w14:paraId="6B747400" w14:textId="29644343" w:rsidR="000E6931" w:rsidRPr="001C3C09" w:rsidRDefault="00034A9A" w:rsidP="001C3C09">
      <w:pPr>
        <w:spacing w:line="360" w:lineRule="auto"/>
      </w:pPr>
      <w:r>
        <w:t xml:space="preserve">Op de ‘ingeburgerde’ indicatoren als EBIT of operating profit na zijn twee indicatoren gevonden waarvan </w:t>
      </w:r>
      <w:r w:rsidR="00624A0C">
        <w:t xml:space="preserve">meerdere malen </w:t>
      </w:r>
      <w:r>
        <w:t xml:space="preserve">gebruik is gemaakt. Dit </w:t>
      </w:r>
      <w:r w:rsidR="00193D65">
        <w:t>is</w:t>
      </w:r>
      <w:r>
        <w:t xml:space="preserve"> de ‘diluted’ winst per aandeel en het dividend per aandeel. De gewone winst per aandeel</w:t>
      </w:r>
      <w:r w:rsidR="0054089A">
        <w:t xml:space="preserve"> is verplicht onder</w:t>
      </w:r>
      <w:r>
        <w:t xml:space="preserve"> IFRS maar het dividend per aandeel en de ‘diluted’ versie zijn niet verplicht. De ondernemingen die gebruik maken van de</w:t>
      </w:r>
      <w:r w:rsidR="000E6931">
        <w:t>ze</w:t>
      </w:r>
      <w:r>
        <w:t xml:space="preserve"> alternatieve indicatoren staan gegeven in tabel 8 en 9.</w:t>
      </w:r>
      <w:r w:rsidR="000E6931">
        <w:t xml:space="preserve"> Vooral de ‘diluted’ winst per aandeel wordt regelmatig gebruikt. 19 van de 24 ondernemingen vermelden deze vorm van winst per aande</w:t>
      </w:r>
      <w:r w:rsidR="0054089A">
        <w:t>el. Diluted winst per aandeel wil zeggen</w:t>
      </w:r>
      <w:r w:rsidR="000E6931">
        <w:t xml:space="preserve"> de winst per aandeel wanneer </w:t>
      </w:r>
      <w:r w:rsidR="00EA5BC3">
        <w:t>extra</w:t>
      </w:r>
      <w:r w:rsidR="000E6931">
        <w:t xml:space="preserve"> aandelen zijn uitgegeven en het eigendomspercentage van de aandeelhouders kleiner wordt. Dit kan ook het geval zijn wanneer opties op aandelen </w:t>
      </w:r>
      <w:r w:rsidR="00624A0C">
        <w:t xml:space="preserve">worden benut </w:t>
      </w:r>
      <w:r w:rsidR="0054089A" w:rsidRPr="00015AFE">
        <w:t>(Investopedia, 2015)</w:t>
      </w:r>
      <w:r w:rsidR="005019B9" w:rsidRPr="00015AFE">
        <w:t>.</w:t>
      </w:r>
      <w:r w:rsidR="000E6931">
        <w:t xml:space="preserve"> </w:t>
      </w:r>
      <w:r w:rsidR="000861C8">
        <w:t xml:space="preserve">Dit geeft ook gelijk aan dat zoveel ondernemingen het vermelden. Voor de gebruiker van de jaarrekening, waar aandeelhouders ook onder vallen, is deze informatie zeer nuttig. Het dividend per aandeel wordt slechts door </w:t>
      </w:r>
      <w:r w:rsidR="00EE5961">
        <w:t>11</w:t>
      </w:r>
      <w:r w:rsidR="000861C8">
        <w:t xml:space="preserve"> van de </w:t>
      </w:r>
      <w:r w:rsidR="00EE5961">
        <w:t xml:space="preserve">24 </w:t>
      </w:r>
      <w:r w:rsidR="000861C8">
        <w:t>ondernemingen vermeld. Een aannemelijke oorzaak van het niet vermelden kan zijn dat het dividend per aandeel tegenvalt en de onderneming geen slecht beeld van de financiële situatie wil geven.</w:t>
      </w:r>
    </w:p>
    <w:p w14:paraId="1EAF8B46" w14:textId="7F4D2680" w:rsidR="00624A0C" w:rsidRDefault="00624A0C" w:rsidP="00E10939">
      <w:pPr>
        <w:spacing w:line="360" w:lineRule="auto"/>
      </w:pPr>
      <w:r>
        <w:t>Verder geeft nog een enkele onderneming de ‘core’ winst per aandeel weer, dit zijn de winsten per aandeel die voortkomen uit de normale bedrijfsvoering en niet uit bijvoorbeeld overnames.</w:t>
      </w:r>
    </w:p>
    <w:p w14:paraId="4ACD0A66" w14:textId="200F0ACB" w:rsidR="00624A0C" w:rsidRPr="002173B0" w:rsidRDefault="00247751" w:rsidP="002173B0">
      <w:pPr>
        <w:pStyle w:val="Heading3"/>
        <w:spacing w:line="360" w:lineRule="auto"/>
      </w:pPr>
      <w:bookmarkStart w:id="22" w:name="_Toc425524023"/>
      <w:r w:rsidRPr="00DA2D1C">
        <w:t xml:space="preserve">4.2.2 </w:t>
      </w:r>
      <w:r w:rsidR="00624A0C" w:rsidRPr="00EC0CDD">
        <w:t>Anders</w:t>
      </w:r>
      <w:bookmarkEnd w:id="22"/>
    </w:p>
    <w:p w14:paraId="3617A089" w14:textId="43767086" w:rsidR="005019B9" w:rsidRPr="005019B9" w:rsidRDefault="005019B9" w:rsidP="00E10939">
      <w:pPr>
        <w:spacing w:line="360" w:lineRule="auto"/>
        <w:rPr>
          <w:i/>
        </w:rPr>
      </w:pPr>
      <w:r>
        <w:rPr>
          <w:i/>
        </w:rPr>
        <w:t>Autonome groei.</w:t>
      </w:r>
    </w:p>
    <w:p w14:paraId="6ABF0C1E" w14:textId="4DCAF057" w:rsidR="00B0218A" w:rsidRDefault="00624A0C" w:rsidP="00E10939">
      <w:pPr>
        <w:spacing w:line="360" w:lineRule="auto"/>
      </w:pPr>
      <w:r>
        <w:t>In dit onderdeel wordt de gehele jaarr</w:t>
      </w:r>
      <w:r w:rsidR="00B0218A">
        <w:t xml:space="preserve">ekening in beschouwing genomen en wordt gezocht naar welke ondernemingen de </w:t>
      </w:r>
      <w:r w:rsidR="0054089A">
        <w:t>eerder genoemde</w:t>
      </w:r>
      <w:r w:rsidR="00B0218A">
        <w:t xml:space="preserve"> </w:t>
      </w:r>
      <w:r w:rsidR="00C27791">
        <w:t xml:space="preserve">vastgestelde </w:t>
      </w:r>
      <w:r w:rsidR="00B0218A">
        <w:t xml:space="preserve">indicatoren gebruiken in hun jaarverslaggeving. </w:t>
      </w:r>
    </w:p>
    <w:p w14:paraId="6A8C8BF0" w14:textId="06752EBF" w:rsidR="00624A0C" w:rsidRDefault="00B0218A" w:rsidP="00E10939">
      <w:pPr>
        <w:spacing w:line="360" w:lineRule="auto"/>
      </w:pPr>
      <w:r>
        <w:t xml:space="preserve">Allereerst de autonome groei. Autonome groei is </w:t>
      </w:r>
      <w:r w:rsidR="002B0944">
        <w:t xml:space="preserve">de </w:t>
      </w:r>
      <w:r>
        <w:t>groei die door het bedrijf zelfstandig wordt be</w:t>
      </w:r>
      <w:r w:rsidR="006B5B56">
        <w:t xml:space="preserve">haald. Dit is dus de groei </w:t>
      </w:r>
      <w:r w:rsidR="000F3CE5">
        <w:t>verminderd met</w:t>
      </w:r>
      <w:r>
        <w:t xml:space="preserve"> de groei </w:t>
      </w:r>
      <w:r w:rsidR="000F3CE5">
        <w:t>door overnames</w:t>
      </w:r>
      <w:r>
        <w:t>.</w:t>
      </w:r>
      <w:r w:rsidR="006B5B56">
        <w:t xml:space="preserve"> Voor gebruikers geeft dit,</w:t>
      </w:r>
      <w:r w:rsidR="002B0944">
        <w:t xml:space="preserve"> </w:t>
      </w:r>
      <w:r w:rsidR="006B5B56">
        <w:t xml:space="preserve">mits betrouwbaar weergegeven, een goed beeld van de status van een onderneming op dat moment. </w:t>
      </w:r>
      <w:r w:rsidR="009554AE">
        <w:t>De autonome groei in dit onderzoek is een door de onderneming gegeven groei, of de autonome omzet groei.</w:t>
      </w:r>
    </w:p>
    <w:p w14:paraId="189D942B" w14:textId="582151D7" w:rsidR="00CD41C0" w:rsidRPr="00624A0C" w:rsidRDefault="00CD41C0" w:rsidP="00E10939">
      <w:pPr>
        <w:spacing w:line="360" w:lineRule="auto"/>
      </w:pPr>
      <w:r>
        <w:t>In elke jaarrekening komt de groei aan bod. Vooral in het gedeelte waar de strategie en doelstelling voor de toekomst wordt toegelicht. Ook bij toelichtingen van delen van de jaarrekening komt het naar vor</w:t>
      </w:r>
      <w:r w:rsidR="002B0944">
        <w:t>en</w:t>
      </w:r>
      <w:r>
        <w:t xml:space="preserve"> en dan vooral wanneer het positief is. </w:t>
      </w:r>
      <w:r w:rsidR="002B0944">
        <w:t>D</w:t>
      </w:r>
      <w:r>
        <w:t xml:space="preserve">e autonome groei, wat gebruikers laat zien hoeveel een bedrijf op eigen kracht gegroeid is, wordt lang niet altijd vermeld. </w:t>
      </w:r>
      <w:r w:rsidR="007241B4">
        <w:t>Een oorzaak hiervan kan</w:t>
      </w:r>
      <w:r>
        <w:t xml:space="preserve"> zijn dat geen of te weinig groei </w:t>
      </w:r>
      <w:r w:rsidR="005019B9">
        <w:t>heeft plaatsgevonden. Dit blijkt ook uit de resultaten in tabel 10. Slechts 6 ondernemingen vermelden expliciet de autonome groei. Deze ligt tussen 1 en 4 procent waar de doelstelling gemiddeld 3% groei is. Deze groei wordt in de helft van de gevallen behandeld in het voorwoord door de CEO. Hierin geeft de CEO een korte samenvatting van het financiële jaar van de onderneming</w:t>
      </w:r>
      <w:r w:rsidR="007241B4">
        <w:t xml:space="preserve">. </w:t>
      </w:r>
      <w:r w:rsidR="005019B9">
        <w:t>Andere plaatsen wa</w:t>
      </w:r>
      <w:r w:rsidR="000F3CE5">
        <w:t>ar de autonome groei is vermeld</w:t>
      </w:r>
      <w:r w:rsidR="005019B9">
        <w:t xml:space="preserve"> zijn de toelichting op de strategie, de toelichting op de omzet (autonome groei van de omzet) en in het rapport van het b</w:t>
      </w:r>
      <w:r w:rsidR="000F3CE5">
        <w:t xml:space="preserve">estuur wat in feite hetzelfde is </w:t>
      </w:r>
      <w:r w:rsidR="005019B9">
        <w:t xml:space="preserve">als het voorwoord </w:t>
      </w:r>
      <w:r w:rsidR="000F3CE5">
        <w:t>door</w:t>
      </w:r>
      <w:r w:rsidR="005019B9">
        <w:t xml:space="preserve"> de CEO.</w:t>
      </w:r>
    </w:p>
    <w:p w14:paraId="124F4AAD" w14:textId="77777777" w:rsidR="00B10195" w:rsidRDefault="00B10195" w:rsidP="00E10939">
      <w:pPr>
        <w:spacing w:line="360" w:lineRule="auto"/>
      </w:pPr>
    </w:p>
    <w:p w14:paraId="4901F78E" w14:textId="1C7A12EE" w:rsidR="00E10939" w:rsidRDefault="005019B9" w:rsidP="00E10939">
      <w:pPr>
        <w:spacing w:line="360" w:lineRule="auto"/>
        <w:rPr>
          <w:i/>
        </w:rPr>
      </w:pPr>
      <w:r>
        <w:rPr>
          <w:i/>
        </w:rPr>
        <w:t>Netto schuldpositie</w:t>
      </w:r>
      <w:r w:rsidR="003D705B">
        <w:rPr>
          <w:i/>
        </w:rPr>
        <w:t>.</w:t>
      </w:r>
    </w:p>
    <w:p w14:paraId="1234EBD6" w14:textId="17B06725" w:rsidR="003D705B" w:rsidRDefault="003D705B" w:rsidP="00E10939">
      <w:pPr>
        <w:spacing w:line="360" w:lineRule="auto"/>
      </w:pPr>
      <w:r>
        <w:t xml:space="preserve">Een andere alternatieve indicator die gebruikers nuttig vinden, is de netto schuldpositie. Vooral wanneer de economie tegenzit is het van belang voor de gebruikers dat ondernemingen transparant zijn over de netto schuld </w:t>
      </w:r>
      <w:r w:rsidR="000F3CE5">
        <w:t>(</w:t>
      </w:r>
      <w:r w:rsidR="004933AF">
        <w:t>AFM, 2014</w:t>
      </w:r>
      <w:r w:rsidR="000F3CE5">
        <w:t>)</w:t>
      </w:r>
      <w:r>
        <w:t>.</w:t>
      </w:r>
      <w:r w:rsidR="00756F27">
        <w:t xml:space="preserve"> De netto schuld is de rentedragende schulden (zowel kort als langlopend) minus</w:t>
      </w:r>
      <w:r w:rsidR="007241B4">
        <w:t xml:space="preserve"> de</w:t>
      </w:r>
      <w:r w:rsidR="00756F27">
        <w:t xml:space="preserve"> liquide middelen.</w:t>
      </w:r>
      <w:r w:rsidR="004933AF">
        <w:t xml:space="preserve"> </w:t>
      </w:r>
    </w:p>
    <w:p w14:paraId="4B697D99" w14:textId="114D7A01" w:rsidR="007241B4" w:rsidRDefault="007241B4" w:rsidP="00E10939">
      <w:pPr>
        <w:spacing w:line="360" w:lineRule="auto"/>
      </w:pPr>
      <w:r>
        <w:t xml:space="preserve"> </w:t>
      </w:r>
      <w:r w:rsidR="004D0517">
        <w:t>In tegenstelling tot de autonome groei wordt de netto schuld bij veel ond</w:t>
      </w:r>
      <w:r w:rsidR="00031EF6">
        <w:t>ernemingen vermeld. 18 van de 24</w:t>
      </w:r>
      <w:r w:rsidR="004D0517">
        <w:t xml:space="preserve"> ondernemingen geven in cijfers de netto schuld weer, zoals af te lezen is in tabel 11. De bedragen variëren sterk doordat de omvang van de ondernemingen natuurlijk verschillend is. </w:t>
      </w:r>
    </w:p>
    <w:p w14:paraId="31F33B56" w14:textId="7A4EA9CB" w:rsidR="004933AF" w:rsidRPr="003D705B" w:rsidRDefault="004D0517" w:rsidP="00E10939">
      <w:pPr>
        <w:spacing w:line="360" w:lineRule="auto"/>
      </w:pPr>
      <w:r>
        <w:t xml:space="preserve">De plaats binnen de jaarrekening waar de netto schuld te vinden is heeft wel gelijkenissen. </w:t>
      </w:r>
    </w:p>
    <w:p w14:paraId="44CD40C7" w14:textId="58D0B278" w:rsidR="00E10939" w:rsidRDefault="004D0517" w:rsidP="00E10939">
      <w:pPr>
        <w:spacing w:line="360" w:lineRule="auto"/>
      </w:pPr>
      <w:r>
        <w:t>7 keer wordt het besproken in de review, ofwel een terugblik op het financiële jaar. 5 maal komt de netto schuld terug in de toelichting op de post Schul</w:t>
      </w:r>
      <w:r w:rsidR="00DF1644">
        <w:t>den uit de Balans en bij Akzo-Nobel wordt het zelfs op de balans zelf vermeld wat opvallend is. Dit geeft aan dat Akzo-Nobel de netto schuld zo belangrijk vindt om te vermelden dat het geplaatst word</w:t>
      </w:r>
      <w:r w:rsidR="002B0944">
        <w:t>t</w:t>
      </w:r>
      <w:r w:rsidR="00DF1644">
        <w:t xml:space="preserve"> in een van de primaire overzichten. </w:t>
      </w:r>
    </w:p>
    <w:p w14:paraId="249AB5AB" w14:textId="7DDDE60E" w:rsidR="00015AFE" w:rsidRPr="00377C7D" w:rsidRDefault="00E926BB" w:rsidP="00E10939">
      <w:pPr>
        <w:spacing w:line="360" w:lineRule="auto"/>
      </w:pPr>
      <w:r>
        <w:t xml:space="preserve">De netto schuld wordt vaak gegeven in combinatie met ratio’s. Deze ratio’s zijn tevens prestatie indicatoren </w:t>
      </w:r>
      <w:r w:rsidR="001D5F06">
        <w:t>en worden ook gebruikt voor een beter inzicht in de financiële situati</w:t>
      </w:r>
      <w:r w:rsidR="00FF0F4A">
        <w:t>e. De meest voorkomende netto schuld ratio’s</w:t>
      </w:r>
      <w:r w:rsidR="001D5F06">
        <w:t xml:space="preserve"> zijn de volgende:</w:t>
      </w:r>
    </w:p>
    <w:p w14:paraId="122245EB" w14:textId="48F51971" w:rsidR="000E41DF" w:rsidRPr="00377C7D" w:rsidRDefault="00081807" w:rsidP="00377C7D">
      <w:pPr>
        <w:spacing w:line="360" w:lineRule="auto"/>
        <w:ind w:left="360"/>
        <w:jc w:val="center"/>
      </w:pPr>
      <m:oMathPara>
        <m:oMath>
          <m:f>
            <m:fPr>
              <m:ctrlPr>
                <w:rPr>
                  <w:rFonts w:ascii="Cambria Math" w:hAnsi="Cambria Math"/>
                  <w:i/>
                </w:rPr>
              </m:ctrlPr>
            </m:fPr>
            <m:num>
              <m:r>
                <w:rPr>
                  <w:rFonts w:ascii="Cambria Math" w:hAnsi="Cambria Math"/>
                </w:rPr>
                <m:t>Netto Schuld</m:t>
              </m:r>
            </m:num>
            <m:den>
              <m:r>
                <w:rPr>
                  <w:rFonts w:ascii="Cambria Math" w:hAnsi="Cambria Math"/>
                </w:rPr>
                <m:t>Ebitda</m:t>
              </m:r>
            </m:den>
          </m:f>
        </m:oMath>
      </m:oMathPara>
    </w:p>
    <w:p w14:paraId="0ED63F30" w14:textId="3882993B" w:rsidR="00647283" w:rsidRDefault="000E41DF" w:rsidP="00031EF6">
      <w:pPr>
        <w:spacing w:line="360" w:lineRule="auto"/>
      </w:pPr>
      <w:r>
        <w:t>Deze ratio geeft aan in hoeveel jaar de onderneming haar schuld kan aflossen</w:t>
      </w:r>
      <w:r w:rsidR="00A33655">
        <w:t>.</w:t>
      </w:r>
      <w:r w:rsidRPr="000E41DF">
        <w:t xml:space="preserve"> </w:t>
      </w:r>
      <w:r w:rsidR="00A33655">
        <w:t xml:space="preserve">Een te hoge ratio wordt </w:t>
      </w:r>
      <w:r w:rsidR="00AC2DE1">
        <w:t>dan ook als riskant bestempeld (</w:t>
      </w:r>
      <w:r w:rsidR="00A33655">
        <w:t>bedrijfswaardering, 2015</w:t>
      </w:r>
      <w:r w:rsidR="00AC2DE1">
        <w:t>)</w:t>
      </w:r>
      <w:r w:rsidR="00A33655">
        <w:t>.</w:t>
      </w:r>
    </w:p>
    <w:p w14:paraId="2A046D9E" w14:textId="0FD2DB7F" w:rsidR="001D5F06" w:rsidRPr="00A90F93" w:rsidRDefault="00081807" w:rsidP="00647283">
      <w:pPr>
        <w:pStyle w:val="ListParagraph"/>
        <w:spacing w:line="360" w:lineRule="auto"/>
      </w:pPr>
      <m:oMathPara>
        <m:oMath>
          <m:f>
            <m:fPr>
              <m:ctrlPr>
                <w:rPr>
                  <w:rFonts w:ascii="Cambria Math" w:hAnsi="Cambria Math"/>
                  <w:i/>
                </w:rPr>
              </m:ctrlPr>
            </m:fPr>
            <m:num>
              <m:r>
                <w:rPr>
                  <w:rFonts w:ascii="Cambria Math" w:hAnsi="Cambria Math"/>
                </w:rPr>
                <m:t>Netto schuld</m:t>
              </m:r>
            </m:num>
            <m:den>
              <m:r>
                <w:rPr>
                  <w:rFonts w:ascii="Cambria Math" w:hAnsi="Cambria Math"/>
                </w:rPr>
                <m:t>Eigen vermogen</m:t>
              </m:r>
            </m:den>
          </m:f>
          <m:r>
            <w:rPr>
              <w:rFonts w:ascii="Cambria Math" w:hAnsi="Cambria Math"/>
            </w:rPr>
            <m:t xml:space="preserve"> of </m:t>
          </m:r>
          <m:f>
            <m:fPr>
              <m:ctrlPr>
                <w:rPr>
                  <w:rFonts w:ascii="Cambria Math" w:hAnsi="Cambria Math"/>
                  <w:i/>
                </w:rPr>
              </m:ctrlPr>
            </m:fPr>
            <m:num>
              <m:r>
                <w:rPr>
                  <w:rFonts w:ascii="Cambria Math" w:hAnsi="Cambria Math"/>
                </w:rPr>
                <m:t>Netto schuld</m:t>
              </m:r>
            </m:num>
            <m:den>
              <m:r>
                <w:rPr>
                  <w:rFonts w:ascii="Cambria Math" w:hAnsi="Cambria Math"/>
                </w:rPr>
                <m:t>Eigen vermogen+netto schuld</m:t>
              </m:r>
            </m:den>
          </m:f>
        </m:oMath>
      </m:oMathPara>
    </w:p>
    <w:p w14:paraId="718BB676" w14:textId="77777777" w:rsidR="00A90F93" w:rsidRPr="00A90F93" w:rsidRDefault="00A90F93" w:rsidP="00647283">
      <w:pPr>
        <w:pStyle w:val="ListParagraph"/>
        <w:spacing w:line="360" w:lineRule="auto"/>
      </w:pPr>
    </w:p>
    <w:p w14:paraId="1F261733" w14:textId="146CDF71" w:rsidR="00647283" w:rsidRDefault="00647283" w:rsidP="00A240C8">
      <w:pPr>
        <w:spacing w:line="360" w:lineRule="auto"/>
      </w:pPr>
      <w:r>
        <w:t xml:space="preserve">Dit wordt ook </w:t>
      </w:r>
      <w:r w:rsidR="00914551">
        <w:t>wel de ‘gearing’ ratio genoemd en het meet het niveau van de schuldenlast ten opzichte van het eigen vermogen</w:t>
      </w:r>
      <w:r w:rsidR="00A90F93">
        <w:t xml:space="preserve"> (plus de netto schuld)</w:t>
      </w:r>
      <w:r w:rsidR="00914551">
        <w:t xml:space="preserve">. De ratio geeft voor de gebruikers het beheerprofiel van de schulden weer. </w:t>
      </w:r>
      <w:r w:rsidR="00525CB0">
        <w:t>Bij een lage ratio kan een onder</w:t>
      </w:r>
      <w:r w:rsidR="00A33655">
        <w:t>neming te voorzichtig overkomen en bij een te hoge ratio te risicovol</w:t>
      </w:r>
      <w:r w:rsidR="00A33655" w:rsidRPr="00A33655">
        <w:t xml:space="preserve"> </w:t>
      </w:r>
      <w:r w:rsidR="00AC2DE1">
        <w:t>(</w:t>
      </w:r>
      <w:r w:rsidR="00A33655">
        <w:t>Oblis.be, 2015</w:t>
      </w:r>
      <w:r w:rsidR="00AC2DE1">
        <w:t>)</w:t>
      </w:r>
      <w:r w:rsidR="00A33655">
        <w:t>.</w:t>
      </w:r>
    </w:p>
    <w:p w14:paraId="5E05711E" w14:textId="126B9132" w:rsidR="00031EF6" w:rsidRDefault="0037141F" w:rsidP="00031EF6">
      <w:pPr>
        <w:spacing w:line="360" w:lineRule="auto"/>
      </w:pPr>
      <w:r>
        <w:t xml:space="preserve">Het aantal vermeldingen per ratio staat in de volgende tabel. </w:t>
      </w:r>
      <w:r w:rsidR="007241B4">
        <w:tab/>
      </w:r>
    </w:p>
    <w:tbl>
      <w:tblPr>
        <w:tblW w:w="6892" w:type="dxa"/>
        <w:tblInd w:w="108" w:type="dxa"/>
        <w:tblLook w:val="04A0" w:firstRow="1" w:lastRow="0" w:firstColumn="1" w:lastColumn="0" w:noHBand="0" w:noVBand="1"/>
      </w:tblPr>
      <w:tblGrid>
        <w:gridCol w:w="4656"/>
        <w:gridCol w:w="2236"/>
      </w:tblGrid>
      <w:tr w:rsidR="00031EF6" w:rsidRPr="00031EF6" w14:paraId="7C832CCC" w14:textId="77777777" w:rsidTr="00031EF6">
        <w:trPr>
          <w:trHeight w:val="300"/>
        </w:trPr>
        <w:tc>
          <w:tcPr>
            <w:tcW w:w="4656" w:type="dxa"/>
            <w:tcBorders>
              <w:top w:val="single" w:sz="4" w:space="0" w:color="000000"/>
              <w:left w:val="nil"/>
              <w:bottom w:val="single" w:sz="4" w:space="0" w:color="000000"/>
              <w:right w:val="nil"/>
            </w:tcBorders>
            <w:shd w:val="clear" w:color="auto" w:fill="auto"/>
            <w:noWrap/>
            <w:vAlign w:val="bottom"/>
            <w:hideMark/>
          </w:tcPr>
          <w:p w14:paraId="11D164B1" w14:textId="77777777" w:rsidR="00031EF6" w:rsidRPr="00031EF6" w:rsidRDefault="00031EF6" w:rsidP="00031EF6">
            <w:pPr>
              <w:jc w:val="both"/>
              <w:rPr>
                <w:rFonts w:ascii="Calibri" w:eastAsia="Times New Roman" w:hAnsi="Calibri" w:cs="Times New Roman"/>
                <w:b/>
                <w:bCs/>
                <w:color w:val="000000"/>
              </w:rPr>
            </w:pPr>
            <w:r w:rsidRPr="00031EF6">
              <w:rPr>
                <w:rFonts w:ascii="Calibri" w:eastAsia="Times New Roman" w:hAnsi="Calibri" w:cs="Times New Roman"/>
                <w:b/>
                <w:bCs/>
                <w:color w:val="000000"/>
              </w:rPr>
              <w:t>Ratio</w:t>
            </w:r>
          </w:p>
        </w:tc>
        <w:tc>
          <w:tcPr>
            <w:tcW w:w="2236" w:type="dxa"/>
            <w:tcBorders>
              <w:top w:val="single" w:sz="4" w:space="0" w:color="000000"/>
              <w:left w:val="nil"/>
              <w:bottom w:val="single" w:sz="4" w:space="0" w:color="000000"/>
              <w:right w:val="nil"/>
            </w:tcBorders>
            <w:shd w:val="clear" w:color="auto" w:fill="auto"/>
            <w:noWrap/>
            <w:vAlign w:val="bottom"/>
            <w:hideMark/>
          </w:tcPr>
          <w:p w14:paraId="29109725" w14:textId="77777777" w:rsidR="00031EF6" w:rsidRPr="00031EF6" w:rsidRDefault="00031EF6" w:rsidP="00031EF6">
            <w:pPr>
              <w:rPr>
                <w:rFonts w:ascii="Calibri" w:eastAsia="Times New Roman" w:hAnsi="Calibri" w:cs="Times New Roman"/>
                <w:b/>
                <w:bCs/>
                <w:color w:val="000000"/>
              </w:rPr>
            </w:pPr>
            <w:r w:rsidRPr="00031EF6">
              <w:rPr>
                <w:rFonts w:ascii="Calibri" w:eastAsia="Times New Roman" w:hAnsi="Calibri" w:cs="Times New Roman"/>
                <w:b/>
                <w:bCs/>
                <w:color w:val="000000"/>
              </w:rPr>
              <w:t xml:space="preserve">Aantal x vermeld </w:t>
            </w:r>
          </w:p>
        </w:tc>
      </w:tr>
      <w:tr w:rsidR="00031EF6" w:rsidRPr="00031EF6" w14:paraId="50D20807" w14:textId="77777777" w:rsidTr="00031EF6">
        <w:trPr>
          <w:trHeight w:val="300"/>
        </w:trPr>
        <w:tc>
          <w:tcPr>
            <w:tcW w:w="4656" w:type="dxa"/>
            <w:tcBorders>
              <w:top w:val="nil"/>
              <w:left w:val="nil"/>
              <w:bottom w:val="nil"/>
              <w:right w:val="nil"/>
            </w:tcBorders>
            <w:shd w:val="clear" w:color="D9D9D9" w:fill="D9D9D9"/>
            <w:noWrap/>
            <w:vAlign w:val="bottom"/>
            <w:hideMark/>
          </w:tcPr>
          <w:p w14:paraId="4F5A7D74" w14:textId="77777777" w:rsidR="00031EF6" w:rsidRPr="00031EF6" w:rsidRDefault="00031EF6" w:rsidP="00031EF6">
            <w:pPr>
              <w:rPr>
                <w:rFonts w:ascii="Calibri" w:eastAsia="Times New Roman" w:hAnsi="Calibri" w:cs="Times New Roman"/>
                <w:color w:val="000000"/>
              </w:rPr>
            </w:pPr>
            <w:r w:rsidRPr="00031EF6">
              <w:rPr>
                <w:rFonts w:ascii="Calibri" w:eastAsia="Times New Roman" w:hAnsi="Calibri" w:cs="Times New Roman"/>
                <w:color w:val="000000"/>
              </w:rPr>
              <w:t>Netto Schuld/ EBITDA</w:t>
            </w:r>
          </w:p>
        </w:tc>
        <w:tc>
          <w:tcPr>
            <w:tcW w:w="2236" w:type="dxa"/>
            <w:tcBorders>
              <w:top w:val="nil"/>
              <w:left w:val="nil"/>
              <w:bottom w:val="nil"/>
              <w:right w:val="nil"/>
            </w:tcBorders>
            <w:shd w:val="clear" w:color="D9D9D9" w:fill="D9D9D9"/>
            <w:noWrap/>
            <w:vAlign w:val="bottom"/>
            <w:hideMark/>
          </w:tcPr>
          <w:p w14:paraId="5D8BA1FB" w14:textId="77777777" w:rsidR="00031EF6" w:rsidRPr="00031EF6" w:rsidRDefault="00031EF6" w:rsidP="00031EF6">
            <w:pPr>
              <w:jc w:val="right"/>
              <w:rPr>
                <w:rFonts w:ascii="Calibri" w:eastAsia="Times New Roman" w:hAnsi="Calibri" w:cs="Times New Roman"/>
                <w:color w:val="000000"/>
              </w:rPr>
            </w:pPr>
            <w:r w:rsidRPr="00031EF6">
              <w:rPr>
                <w:rFonts w:ascii="Calibri" w:eastAsia="Times New Roman" w:hAnsi="Calibri" w:cs="Times New Roman"/>
                <w:color w:val="000000"/>
              </w:rPr>
              <w:t>9</w:t>
            </w:r>
          </w:p>
        </w:tc>
      </w:tr>
      <w:tr w:rsidR="00031EF6" w:rsidRPr="00031EF6" w14:paraId="4A7555DB" w14:textId="77777777" w:rsidTr="00031EF6">
        <w:trPr>
          <w:trHeight w:val="300"/>
        </w:trPr>
        <w:tc>
          <w:tcPr>
            <w:tcW w:w="4656" w:type="dxa"/>
            <w:tcBorders>
              <w:top w:val="nil"/>
              <w:left w:val="nil"/>
              <w:bottom w:val="single" w:sz="4" w:space="0" w:color="000000"/>
              <w:right w:val="nil"/>
            </w:tcBorders>
            <w:shd w:val="clear" w:color="auto" w:fill="auto"/>
            <w:noWrap/>
            <w:vAlign w:val="bottom"/>
            <w:hideMark/>
          </w:tcPr>
          <w:p w14:paraId="248AD953" w14:textId="77777777" w:rsidR="00031EF6" w:rsidRPr="00031EF6" w:rsidRDefault="00031EF6" w:rsidP="00031EF6">
            <w:pPr>
              <w:rPr>
                <w:rFonts w:ascii="Calibri" w:eastAsia="Times New Roman" w:hAnsi="Calibri" w:cs="Times New Roman"/>
                <w:color w:val="000000"/>
              </w:rPr>
            </w:pPr>
            <w:r w:rsidRPr="00031EF6">
              <w:rPr>
                <w:rFonts w:ascii="Calibri" w:eastAsia="Times New Roman" w:hAnsi="Calibri" w:cs="Times New Roman"/>
                <w:color w:val="000000"/>
              </w:rPr>
              <w:t>Netto Schuld/ Eigen vermogen (+ netto schuld)</w:t>
            </w:r>
          </w:p>
        </w:tc>
        <w:tc>
          <w:tcPr>
            <w:tcW w:w="2236" w:type="dxa"/>
            <w:tcBorders>
              <w:top w:val="nil"/>
              <w:left w:val="nil"/>
              <w:bottom w:val="single" w:sz="4" w:space="0" w:color="000000"/>
              <w:right w:val="nil"/>
            </w:tcBorders>
            <w:shd w:val="clear" w:color="auto" w:fill="auto"/>
            <w:noWrap/>
            <w:vAlign w:val="bottom"/>
            <w:hideMark/>
          </w:tcPr>
          <w:p w14:paraId="7DC00463" w14:textId="77777777" w:rsidR="00031EF6" w:rsidRPr="00031EF6" w:rsidRDefault="00031EF6" w:rsidP="00031EF6">
            <w:pPr>
              <w:jc w:val="right"/>
              <w:rPr>
                <w:rFonts w:ascii="Calibri" w:eastAsia="Times New Roman" w:hAnsi="Calibri" w:cs="Times New Roman"/>
                <w:color w:val="000000"/>
              </w:rPr>
            </w:pPr>
            <w:r w:rsidRPr="00031EF6">
              <w:rPr>
                <w:rFonts w:ascii="Calibri" w:eastAsia="Times New Roman" w:hAnsi="Calibri" w:cs="Times New Roman"/>
                <w:color w:val="000000"/>
              </w:rPr>
              <w:t>7</w:t>
            </w:r>
          </w:p>
        </w:tc>
      </w:tr>
    </w:tbl>
    <w:p w14:paraId="6900FEA6" w14:textId="39787AA2" w:rsidR="00AF0C50" w:rsidRDefault="00AF0C50" w:rsidP="007241B4">
      <w:pPr>
        <w:tabs>
          <w:tab w:val="left" w:pos="2380"/>
        </w:tabs>
        <w:spacing w:line="360" w:lineRule="auto"/>
      </w:pPr>
    </w:p>
    <w:p w14:paraId="7E2FDBB0" w14:textId="77777777" w:rsidR="00B603C9" w:rsidRDefault="00B603C9" w:rsidP="006569B4">
      <w:pPr>
        <w:spacing w:line="360" w:lineRule="auto"/>
        <w:rPr>
          <w:b/>
          <w:i/>
        </w:rPr>
      </w:pPr>
    </w:p>
    <w:p w14:paraId="1E5AFE69" w14:textId="77777777" w:rsidR="009169FA" w:rsidRDefault="009169FA" w:rsidP="006569B4">
      <w:pPr>
        <w:spacing w:line="360" w:lineRule="auto"/>
        <w:rPr>
          <w:i/>
        </w:rPr>
      </w:pPr>
    </w:p>
    <w:p w14:paraId="52024A17" w14:textId="65378225" w:rsidR="0037141F" w:rsidRDefault="00F80B27" w:rsidP="006569B4">
      <w:pPr>
        <w:spacing w:line="360" w:lineRule="auto"/>
        <w:rPr>
          <w:i/>
        </w:rPr>
      </w:pPr>
      <w:r>
        <w:rPr>
          <w:i/>
        </w:rPr>
        <w:t>Onderliggend</w:t>
      </w:r>
      <w:r w:rsidR="0037141F">
        <w:rPr>
          <w:i/>
        </w:rPr>
        <w:t xml:space="preserve"> Resultaat</w:t>
      </w:r>
      <w:r>
        <w:rPr>
          <w:rStyle w:val="FootnoteReference"/>
          <w:i/>
        </w:rPr>
        <w:footnoteReference w:id="9"/>
      </w:r>
    </w:p>
    <w:p w14:paraId="6516537A" w14:textId="248D6F26" w:rsidR="001C6794" w:rsidRDefault="0071482D" w:rsidP="006569B4">
      <w:pPr>
        <w:spacing w:line="360" w:lineRule="auto"/>
      </w:pPr>
      <w:r>
        <w:t xml:space="preserve">Tenslotte wordt gekeken naar het onderliggend resultaat. Het onderliggend resultaat is een aangepaste versie van het daadwerkelijke resultaat. </w:t>
      </w:r>
      <w:r w:rsidR="000E283F">
        <w:t xml:space="preserve">Het wordt gebruikt voor een volgens de onderneming beter inzicht in het resultaat van de desbetreffende onderneming. Hoe het resultaat aangepast </w:t>
      </w:r>
      <w:r w:rsidR="00031EF6">
        <w:t>kan worden is</w:t>
      </w:r>
      <w:r w:rsidR="000E283F">
        <w:t xml:space="preserve"> duidelijk beschreven in de jaarrekening van Aegon. Daar wordt vermeld dat bij het onderliggend resultaat onderdelen bui</w:t>
      </w:r>
      <w:r w:rsidR="00104EC8">
        <w:t xml:space="preserve">ten beschouwing worden gelaten die </w:t>
      </w:r>
      <w:r w:rsidR="000E283F">
        <w:t>gerelateerd</w:t>
      </w:r>
      <w:r w:rsidR="00104EC8">
        <w:t xml:space="preserve"> zijn</w:t>
      </w:r>
      <w:r w:rsidR="000E283F">
        <w:t xml:space="preserve"> aan </w:t>
      </w:r>
      <w:r w:rsidR="00104EC8">
        <w:t>accounting mismatches afhankelijk van de marktvolatiliteit of gerelateerd zijn aan activiteiten buiten de normale bedrijfsvoering. In het geval van Aegon, en overeenkomend met andere ondernemingen die het onderliggend resultaat vermelden, worden de volgende onderdelen buiten beschouwing gelaten bij het bepalen van het onderliggend resultaat.</w:t>
      </w:r>
    </w:p>
    <w:tbl>
      <w:tblPr>
        <w:tblW w:w="5620" w:type="dxa"/>
        <w:tblInd w:w="93" w:type="dxa"/>
        <w:tblLook w:val="04A0" w:firstRow="1" w:lastRow="0" w:firstColumn="1" w:lastColumn="0" w:noHBand="0" w:noVBand="1"/>
      </w:tblPr>
      <w:tblGrid>
        <w:gridCol w:w="5620"/>
      </w:tblGrid>
      <w:tr w:rsidR="001C6794" w:rsidRPr="001C6794" w14:paraId="7317107E" w14:textId="77777777" w:rsidTr="001C6794">
        <w:trPr>
          <w:trHeight w:val="300"/>
        </w:trPr>
        <w:tc>
          <w:tcPr>
            <w:tcW w:w="5620" w:type="dxa"/>
            <w:tcBorders>
              <w:top w:val="single" w:sz="4" w:space="0" w:color="000000"/>
              <w:left w:val="nil"/>
              <w:bottom w:val="single" w:sz="4" w:space="0" w:color="000000"/>
              <w:right w:val="nil"/>
            </w:tcBorders>
            <w:shd w:val="clear" w:color="auto" w:fill="auto"/>
            <w:noWrap/>
            <w:vAlign w:val="bottom"/>
            <w:hideMark/>
          </w:tcPr>
          <w:p w14:paraId="1BF07722" w14:textId="77777777" w:rsidR="001C6794" w:rsidRPr="001C6794" w:rsidRDefault="001C6794" w:rsidP="001C6794">
            <w:pPr>
              <w:rPr>
                <w:rFonts w:ascii="Calibri" w:eastAsia="Times New Roman" w:hAnsi="Calibri" w:cs="Times New Roman"/>
                <w:b/>
                <w:bCs/>
                <w:color w:val="000000"/>
              </w:rPr>
            </w:pPr>
            <w:r w:rsidRPr="001C6794">
              <w:rPr>
                <w:rFonts w:ascii="Calibri" w:eastAsia="Times New Roman" w:hAnsi="Calibri" w:cs="Times New Roman"/>
                <w:b/>
                <w:bCs/>
                <w:color w:val="000000"/>
              </w:rPr>
              <w:t>Buiten beschouwing bij het onderliggende resultaat</w:t>
            </w:r>
          </w:p>
        </w:tc>
      </w:tr>
      <w:tr w:rsidR="001C6794" w:rsidRPr="001C6794" w14:paraId="009AC94D" w14:textId="77777777" w:rsidTr="001C6794">
        <w:trPr>
          <w:trHeight w:val="300"/>
        </w:trPr>
        <w:tc>
          <w:tcPr>
            <w:tcW w:w="5620" w:type="dxa"/>
            <w:tcBorders>
              <w:top w:val="nil"/>
              <w:left w:val="nil"/>
              <w:bottom w:val="nil"/>
              <w:right w:val="nil"/>
            </w:tcBorders>
            <w:shd w:val="clear" w:color="D9D9D9" w:fill="D9D9D9"/>
            <w:noWrap/>
            <w:vAlign w:val="bottom"/>
            <w:hideMark/>
          </w:tcPr>
          <w:p w14:paraId="56E09401" w14:textId="77777777" w:rsidR="001C6794" w:rsidRPr="001C6794" w:rsidRDefault="001C6794" w:rsidP="001C6794">
            <w:pPr>
              <w:rPr>
                <w:rFonts w:ascii="Calibri" w:eastAsia="Times New Roman" w:hAnsi="Calibri" w:cs="Times New Roman"/>
                <w:color w:val="000000"/>
              </w:rPr>
            </w:pPr>
            <w:r w:rsidRPr="001C6794">
              <w:rPr>
                <w:rFonts w:ascii="Calibri" w:eastAsia="Times New Roman" w:hAnsi="Calibri" w:cs="Times New Roman"/>
                <w:color w:val="000000"/>
              </w:rPr>
              <w:t>Onderdelen gewaarderdeerd tegen fair value</w:t>
            </w:r>
          </w:p>
        </w:tc>
      </w:tr>
      <w:tr w:rsidR="001C6794" w:rsidRPr="001C6794" w14:paraId="43B31E45" w14:textId="77777777" w:rsidTr="001C6794">
        <w:trPr>
          <w:trHeight w:val="300"/>
        </w:trPr>
        <w:tc>
          <w:tcPr>
            <w:tcW w:w="5620" w:type="dxa"/>
            <w:tcBorders>
              <w:top w:val="nil"/>
              <w:left w:val="nil"/>
              <w:bottom w:val="nil"/>
              <w:right w:val="nil"/>
            </w:tcBorders>
            <w:shd w:val="clear" w:color="auto" w:fill="auto"/>
            <w:noWrap/>
            <w:vAlign w:val="bottom"/>
            <w:hideMark/>
          </w:tcPr>
          <w:p w14:paraId="4D2947C5" w14:textId="77777777" w:rsidR="001C6794" w:rsidRPr="001C6794" w:rsidRDefault="001C6794" w:rsidP="001C6794">
            <w:pPr>
              <w:rPr>
                <w:rFonts w:ascii="Calibri" w:eastAsia="Times New Roman" w:hAnsi="Calibri" w:cs="Times New Roman"/>
                <w:color w:val="000000"/>
              </w:rPr>
            </w:pPr>
            <w:r w:rsidRPr="001C6794">
              <w:rPr>
                <w:rFonts w:ascii="Calibri" w:eastAsia="Times New Roman" w:hAnsi="Calibri" w:cs="Times New Roman"/>
                <w:color w:val="000000"/>
              </w:rPr>
              <w:t>Gerealiseerde winsten/verliezen op investeringen</w:t>
            </w:r>
          </w:p>
        </w:tc>
      </w:tr>
      <w:tr w:rsidR="001C6794" w:rsidRPr="001C6794" w14:paraId="28906A75" w14:textId="77777777" w:rsidTr="001C6794">
        <w:trPr>
          <w:trHeight w:val="300"/>
        </w:trPr>
        <w:tc>
          <w:tcPr>
            <w:tcW w:w="5620" w:type="dxa"/>
            <w:tcBorders>
              <w:top w:val="nil"/>
              <w:left w:val="nil"/>
              <w:bottom w:val="nil"/>
              <w:right w:val="nil"/>
            </w:tcBorders>
            <w:shd w:val="clear" w:color="D9D9D9" w:fill="D9D9D9"/>
            <w:noWrap/>
            <w:vAlign w:val="bottom"/>
            <w:hideMark/>
          </w:tcPr>
          <w:p w14:paraId="499D09DE" w14:textId="77777777" w:rsidR="001C6794" w:rsidRPr="001C6794" w:rsidRDefault="001C6794" w:rsidP="001C6794">
            <w:pPr>
              <w:rPr>
                <w:rFonts w:ascii="Calibri" w:eastAsia="Times New Roman" w:hAnsi="Calibri" w:cs="Times New Roman"/>
                <w:color w:val="000000"/>
              </w:rPr>
            </w:pPr>
            <w:r w:rsidRPr="001C6794">
              <w:rPr>
                <w:rFonts w:ascii="Calibri" w:eastAsia="Times New Roman" w:hAnsi="Calibri" w:cs="Times New Roman"/>
                <w:color w:val="000000"/>
              </w:rPr>
              <w:t>Impairment</w:t>
            </w:r>
          </w:p>
        </w:tc>
      </w:tr>
      <w:tr w:rsidR="001C6794" w:rsidRPr="001C6794" w14:paraId="037D6ADB" w14:textId="77777777" w:rsidTr="001C6794">
        <w:trPr>
          <w:trHeight w:val="300"/>
        </w:trPr>
        <w:tc>
          <w:tcPr>
            <w:tcW w:w="5620" w:type="dxa"/>
            <w:tcBorders>
              <w:top w:val="nil"/>
              <w:left w:val="nil"/>
              <w:bottom w:val="nil"/>
              <w:right w:val="nil"/>
            </w:tcBorders>
            <w:shd w:val="clear" w:color="auto" w:fill="auto"/>
            <w:noWrap/>
            <w:vAlign w:val="bottom"/>
            <w:hideMark/>
          </w:tcPr>
          <w:p w14:paraId="4750D80E" w14:textId="77777777" w:rsidR="001C6794" w:rsidRPr="001C6794" w:rsidRDefault="001C6794" w:rsidP="001C6794">
            <w:pPr>
              <w:rPr>
                <w:rFonts w:ascii="Calibri" w:eastAsia="Times New Roman" w:hAnsi="Calibri" w:cs="Times New Roman"/>
                <w:color w:val="000000"/>
              </w:rPr>
            </w:pPr>
            <w:r w:rsidRPr="001C6794">
              <w:rPr>
                <w:rFonts w:ascii="Calibri" w:eastAsia="Times New Roman" w:hAnsi="Calibri" w:cs="Times New Roman"/>
                <w:color w:val="000000"/>
              </w:rPr>
              <w:t>Aandeel in deelnemingen</w:t>
            </w:r>
          </w:p>
        </w:tc>
      </w:tr>
      <w:tr w:rsidR="001C6794" w:rsidRPr="001C6794" w14:paraId="24CB1011" w14:textId="77777777" w:rsidTr="001C6794">
        <w:trPr>
          <w:trHeight w:val="300"/>
        </w:trPr>
        <w:tc>
          <w:tcPr>
            <w:tcW w:w="5620" w:type="dxa"/>
            <w:tcBorders>
              <w:top w:val="nil"/>
              <w:left w:val="nil"/>
              <w:bottom w:val="nil"/>
              <w:right w:val="nil"/>
            </w:tcBorders>
            <w:shd w:val="clear" w:color="D9D9D9" w:fill="D9D9D9"/>
            <w:noWrap/>
            <w:vAlign w:val="bottom"/>
            <w:hideMark/>
          </w:tcPr>
          <w:p w14:paraId="7D78F7E5" w14:textId="77777777" w:rsidR="001C6794" w:rsidRPr="001C6794" w:rsidRDefault="001C6794" w:rsidP="001C6794">
            <w:pPr>
              <w:rPr>
                <w:rFonts w:ascii="Calibri" w:eastAsia="Times New Roman" w:hAnsi="Calibri" w:cs="Times New Roman"/>
                <w:color w:val="000000"/>
              </w:rPr>
            </w:pPr>
            <w:r w:rsidRPr="001C6794">
              <w:rPr>
                <w:rFonts w:ascii="Calibri" w:eastAsia="Times New Roman" w:hAnsi="Calibri" w:cs="Times New Roman"/>
                <w:color w:val="000000"/>
              </w:rPr>
              <w:t>Ander af te dragen inkomen</w:t>
            </w:r>
          </w:p>
        </w:tc>
      </w:tr>
      <w:tr w:rsidR="001C6794" w:rsidRPr="001C6794" w14:paraId="753D1DD0" w14:textId="77777777" w:rsidTr="001C6794">
        <w:trPr>
          <w:trHeight w:val="300"/>
        </w:trPr>
        <w:tc>
          <w:tcPr>
            <w:tcW w:w="5620" w:type="dxa"/>
            <w:tcBorders>
              <w:top w:val="nil"/>
              <w:left w:val="nil"/>
              <w:bottom w:val="single" w:sz="4" w:space="0" w:color="000000"/>
              <w:right w:val="nil"/>
            </w:tcBorders>
            <w:shd w:val="clear" w:color="auto" w:fill="auto"/>
            <w:noWrap/>
            <w:vAlign w:val="bottom"/>
            <w:hideMark/>
          </w:tcPr>
          <w:p w14:paraId="1D342A07" w14:textId="77777777" w:rsidR="001C6794" w:rsidRPr="001C6794" w:rsidRDefault="001C6794" w:rsidP="001C6794">
            <w:pPr>
              <w:rPr>
                <w:rFonts w:ascii="Calibri" w:eastAsia="Times New Roman" w:hAnsi="Calibri" w:cs="Times New Roman"/>
                <w:color w:val="000000"/>
              </w:rPr>
            </w:pPr>
            <w:r w:rsidRPr="001C6794">
              <w:rPr>
                <w:rFonts w:ascii="Calibri" w:eastAsia="Times New Roman" w:hAnsi="Calibri" w:cs="Times New Roman"/>
                <w:color w:val="000000"/>
              </w:rPr>
              <w:t>Inkomen uit gestopte bedrijfsvoering</w:t>
            </w:r>
          </w:p>
        </w:tc>
      </w:tr>
    </w:tbl>
    <w:p w14:paraId="3CEF4508" w14:textId="77777777" w:rsidR="00253740" w:rsidRDefault="00253740" w:rsidP="006569B4">
      <w:pPr>
        <w:spacing w:line="360" w:lineRule="auto"/>
      </w:pPr>
    </w:p>
    <w:p w14:paraId="5376070A" w14:textId="02471041" w:rsidR="00B603C9" w:rsidRDefault="00B603C9" w:rsidP="006569B4">
      <w:pPr>
        <w:spacing w:line="360" w:lineRule="auto"/>
      </w:pPr>
      <w:r>
        <w:t>De ondernemingen die gebruik maken van het onderliggende resultaat staa</w:t>
      </w:r>
      <w:r w:rsidR="001C6794">
        <w:t>n vermeld in de tabel onderaan</w:t>
      </w:r>
      <w:r w:rsidR="006C6653">
        <w:t>. 10</w:t>
      </w:r>
      <w:r w:rsidR="00031EF6">
        <w:t xml:space="preserve"> van de 24</w:t>
      </w:r>
      <w:r>
        <w:t xml:space="preserve"> ondernemingen vermelden een onderliggend resultaat. Door het weglaten van de </w:t>
      </w:r>
      <w:r w:rsidR="005B0C82">
        <w:t xml:space="preserve">bovengenoemde onderdelen geeft een onderneming als het ware een autonoom resultaat weer. Het resultaat onafhankelijk van variabele marktfactoren en inkomen buiten de normale bedrijfsvoering. Bij veel ondernemingen wordt tevens een aparte balans gegeven waarin het onderliggend resultaat, het gewone resultaat en de bovengenoemde onderdelen aangegeven staan, waardoor een duidelijk inzicht gegeven is hoe het onderliggende resultaat tot stand is gekomen. Dit is handig voor de gebruiker en tevens valt uit de bedragen af te leiden of de data betrouwbaar is. </w:t>
      </w:r>
    </w:p>
    <w:p w14:paraId="77AC48CB" w14:textId="77777777" w:rsidR="001C6794" w:rsidRDefault="001C6794" w:rsidP="006569B4">
      <w:pPr>
        <w:spacing w:line="360" w:lineRule="auto"/>
      </w:pPr>
    </w:p>
    <w:p w14:paraId="61B2E7C9" w14:textId="3B3BC0C8" w:rsidR="001C6794" w:rsidRDefault="005B0C82" w:rsidP="006569B4">
      <w:pPr>
        <w:spacing w:line="360" w:lineRule="auto"/>
      </w:pPr>
      <w:r>
        <w:t xml:space="preserve">Ook opvallend is dat het merendeel van de ondernemingen die het onderliggend resultaat </w:t>
      </w:r>
      <w:r w:rsidR="005F6A36">
        <w:t xml:space="preserve">heeft </w:t>
      </w:r>
      <w:r>
        <w:t xml:space="preserve">vermeld dit ook per segment toelicht. </w:t>
      </w:r>
      <w:r w:rsidR="006C6653">
        <w:t>I</w:t>
      </w:r>
      <w:r>
        <w:t xml:space="preserve">n het onderdeel segmentatie wordt extra informatie gegeven met betrekking tot het behaalde resultaat per land of per </w:t>
      </w:r>
      <w:r w:rsidR="00EA171D">
        <w:t>industrie</w:t>
      </w:r>
      <w:r>
        <w:t>.</w:t>
      </w:r>
    </w:p>
    <w:tbl>
      <w:tblPr>
        <w:tblpPr w:leftFromText="180" w:rightFromText="180" w:vertAnchor="page" w:horzAnchor="page" w:tblpX="4426" w:tblpY="3241"/>
        <w:tblW w:w="2223" w:type="dxa"/>
        <w:tblLook w:val="04A0" w:firstRow="1" w:lastRow="0" w:firstColumn="1" w:lastColumn="0" w:noHBand="0" w:noVBand="1"/>
      </w:tblPr>
      <w:tblGrid>
        <w:gridCol w:w="2223"/>
      </w:tblGrid>
      <w:tr w:rsidR="00CE02C9" w:rsidRPr="001C6794" w14:paraId="1941F8D6" w14:textId="77777777" w:rsidTr="00CE02C9">
        <w:trPr>
          <w:trHeight w:val="320"/>
        </w:trPr>
        <w:tc>
          <w:tcPr>
            <w:tcW w:w="2223" w:type="dxa"/>
            <w:tcBorders>
              <w:top w:val="single" w:sz="8" w:space="0" w:color="000000"/>
              <w:left w:val="nil"/>
              <w:bottom w:val="single" w:sz="8" w:space="0" w:color="000000"/>
              <w:right w:val="nil"/>
            </w:tcBorders>
            <w:shd w:val="clear" w:color="auto" w:fill="auto"/>
            <w:noWrap/>
            <w:vAlign w:val="center"/>
            <w:hideMark/>
          </w:tcPr>
          <w:p w14:paraId="70FC4723" w14:textId="77777777" w:rsidR="00CE02C9" w:rsidRPr="001C6794" w:rsidRDefault="00CE02C9" w:rsidP="00CE02C9">
            <w:pPr>
              <w:rPr>
                <w:rFonts w:ascii="Calibri" w:eastAsia="Times New Roman" w:hAnsi="Calibri" w:cs="Times New Roman"/>
                <w:b/>
                <w:bCs/>
                <w:color w:val="000000"/>
              </w:rPr>
            </w:pPr>
            <w:r w:rsidRPr="001C6794">
              <w:rPr>
                <w:rFonts w:ascii="Calibri" w:eastAsia="Times New Roman" w:hAnsi="Calibri" w:cs="Times New Roman"/>
                <w:b/>
                <w:bCs/>
                <w:color w:val="000000"/>
              </w:rPr>
              <w:t>Ondernemingen</w:t>
            </w:r>
          </w:p>
        </w:tc>
      </w:tr>
      <w:tr w:rsidR="00CE02C9" w:rsidRPr="001C6794" w14:paraId="32A26630" w14:textId="77777777" w:rsidTr="00CE02C9">
        <w:trPr>
          <w:trHeight w:val="300"/>
        </w:trPr>
        <w:tc>
          <w:tcPr>
            <w:tcW w:w="2223" w:type="dxa"/>
            <w:tcBorders>
              <w:top w:val="nil"/>
              <w:left w:val="nil"/>
              <w:bottom w:val="nil"/>
              <w:right w:val="nil"/>
            </w:tcBorders>
            <w:shd w:val="clear" w:color="000000" w:fill="D9D9D9"/>
            <w:noWrap/>
            <w:vAlign w:val="center"/>
            <w:hideMark/>
          </w:tcPr>
          <w:p w14:paraId="12F3EB9B" w14:textId="3C0A8D42" w:rsidR="00CE02C9" w:rsidRPr="001C6794" w:rsidRDefault="00CE02C9" w:rsidP="00CE02C9">
            <w:pPr>
              <w:rPr>
                <w:rFonts w:ascii="Calibri" w:eastAsia="Times New Roman" w:hAnsi="Calibri" w:cs="Times New Roman"/>
                <w:color w:val="000000"/>
              </w:rPr>
            </w:pPr>
            <w:r w:rsidRPr="001C6794">
              <w:rPr>
                <w:rFonts w:ascii="Calibri" w:eastAsia="Times New Roman" w:hAnsi="Calibri" w:cs="Times New Roman"/>
                <w:color w:val="000000"/>
              </w:rPr>
              <w:t>Aegon</w:t>
            </w:r>
          </w:p>
        </w:tc>
      </w:tr>
      <w:tr w:rsidR="00CE02C9" w:rsidRPr="001C6794" w14:paraId="282874A0" w14:textId="77777777" w:rsidTr="00CE02C9">
        <w:trPr>
          <w:trHeight w:val="300"/>
        </w:trPr>
        <w:tc>
          <w:tcPr>
            <w:tcW w:w="2223" w:type="dxa"/>
            <w:tcBorders>
              <w:top w:val="nil"/>
              <w:left w:val="nil"/>
              <w:bottom w:val="nil"/>
              <w:right w:val="nil"/>
            </w:tcBorders>
            <w:shd w:val="clear" w:color="auto" w:fill="auto"/>
            <w:noWrap/>
            <w:vAlign w:val="center"/>
            <w:hideMark/>
          </w:tcPr>
          <w:p w14:paraId="1B3700DA" w14:textId="7BD9ED5F" w:rsidR="00CE02C9" w:rsidRPr="001C6794" w:rsidRDefault="00CE02C9" w:rsidP="00CE02C9">
            <w:pPr>
              <w:rPr>
                <w:rFonts w:ascii="Calibri" w:eastAsia="Times New Roman" w:hAnsi="Calibri" w:cs="Times New Roman"/>
                <w:color w:val="000000"/>
              </w:rPr>
            </w:pPr>
            <w:r w:rsidRPr="001C6794">
              <w:rPr>
                <w:rFonts w:ascii="Calibri" w:eastAsia="Times New Roman" w:hAnsi="Calibri" w:cs="Times New Roman"/>
                <w:color w:val="000000"/>
              </w:rPr>
              <w:t>Ahold</w:t>
            </w:r>
          </w:p>
        </w:tc>
      </w:tr>
      <w:tr w:rsidR="00CE02C9" w:rsidRPr="001C6794" w14:paraId="60570FE2" w14:textId="77777777" w:rsidTr="00CE02C9">
        <w:trPr>
          <w:trHeight w:val="300"/>
        </w:trPr>
        <w:tc>
          <w:tcPr>
            <w:tcW w:w="2223" w:type="dxa"/>
            <w:tcBorders>
              <w:top w:val="nil"/>
              <w:left w:val="nil"/>
              <w:bottom w:val="nil"/>
              <w:right w:val="nil"/>
            </w:tcBorders>
            <w:shd w:val="clear" w:color="000000" w:fill="D9D9D9"/>
            <w:noWrap/>
            <w:vAlign w:val="center"/>
            <w:hideMark/>
          </w:tcPr>
          <w:p w14:paraId="330EF844" w14:textId="737685BF" w:rsidR="00CE02C9" w:rsidRPr="001C6794" w:rsidRDefault="00CE02C9" w:rsidP="002173B0">
            <w:pPr>
              <w:rPr>
                <w:rFonts w:ascii="Calibri" w:eastAsia="Times New Roman" w:hAnsi="Calibri" w:cs="Times New Roman"/>
                <w:color w:val="000000"/>
              </w:rPr>
            </w:pPr>
            <w:r>
              <w:rPr>
                <w:rFonts w:ascii="Calibri" w:eastAsia="Times New Roman" w:hAnsi="Calibri" w:cs="Times New Roman"/>
                <w:color w:val="000000"/>
              </w:rPr>
              <w:t>Gemalto</w:t>
            </w:r>
          </w:p>
        </w:tc>
      </w:tr>
      <w:tr w:rsidR="00CE02C9" w:rsidRPr="001C6794" w14:paraId="08F74C3D" w14:textId="77777777" w:rsidTr="00CE02C9">
        <w:trPr>
          <w:trHeight w:val="300"/>
        </w:trPr>
        <w:tc>
          <w:tcPr>
            <w:tcW w:w="2223" w:type="dxa"/>
            <w:tcBorders>
              <w:top w:val="nil"/>
              <w:left w:val="nil"/>
              <w:bottom w:val="nil"/>
              <w:right w:val="nil"/>
            </w:tcBorders>
            <w:shd w:val="clear" w:color="auto" w:fill="auto"/>
            <w:noWrap/>
            <w:vAlign w:val="center"/>
            <w:hideMark/>
          </w:tcPr>
          <w:p w14:paraId="07094060" w14:textId="36694C0B" w:rsidR="00CE02C9" w:rsidRPr="001C6794" w:rsidRDefault="00CE02C9" w:rsidP="002173B0">
            <w:pPr>
              <w:rPr>
                <w:rFonts w:ascii="Calibri" w:eastAsia="Times New Roman" w:hAnsi="Calibri" w:cs="Times New Roman"/>
                <w:color w:val="000000"/>
              </w:rPr>
            </w:pPr>
            <w:r>
              <w:rPr>
                <w:rFonts w:ascii="Calibri" w:eastAsia="Times New Roman" w:hAnsi="Calibri" w:cs="Times New Roman"/>
                <w:color w:val="000000"/>
              </w:rPr>
              <w:t>ING</w:t>
            </w:r>
          </w:p>
        </w:tc>
      </w:tr>
      <w:tr w:rsidR="00CE02C9" w:rsidRPr="001C6794" w14:paraId="02CBF44D" w14:textId="77777777" w:rsidTr="00CE02C9">
        <w:trPr>
          <w:trHeight w:val="300"/>
        </w:trPr>
        <w:tc>
          <w:tcPr>
            <w:tcW w:w="2223" w:type="dxa"/>
            <w:tcBorders>
              <w:top w:val="nil"/>
              <w:left w:val="nil"/>
              <w:bottom w:val="nil"/>
              <w:right w:val="nil"/>
            </w:tcBorders>
            <w:shd w:val="clear" w:color="000000" w:fill="D9D9D9"/>
            <w:noWrap/>
            <w:vAlign w:val="center"/>
            <w:hideMark/>
          </w:tcPr>
          <w:p w14:paraId="12347DD4" w14:textId="0097194B" w:rsidR="00CE02C9" w:rsidRPr="001C6794" w:rsidRDefault="00CE02C9" w:rsidP="002173B0">
            <w:pPr>
              <w:rPr>
                <w:rFonts w:ascii="Calibri" w:eastAsia="Times New Roman" w:hAnsi="Calibri" w:cs="Times New Roman"/>
                <w:color w:val="000000"/>
              </w:rPr>
            </w:pPr>
            <w:r>
              <w:rPr>
                <w:rFonts w:ascii="Calibri" w:eastAsia="Times New Roman" w:hAnsi="Calibri" w:cs="Times New Roman"/>
                <w:color w:val="000000"/>
              </w:rPr>
              <w:t>KPN</w:t>
            </w:r>
          </w:p>
        </w:tc>
      </w:tr>
      <w:tr w:rsidR="00CE02C9" w:rsidRPr="001C6794" w14:paraId="5F6E715C" w14:textId="77777777" w:rsidTr="00CE02C9">
        <w:trPr>
          <w:trHeight w:val="300"/>
        </w:trPr>
        <w:tc>
          <w:tcPr>
            <w:tcW w:w="2223" w:type="dxa"/>
            <w:tcBorders>
              <w:top w:val="nil"/>
              <w:left w:val="nil"/>
              <w:bottom w:val="nil"/>
              <w:right w:val="nil"/>
            </w:tcBorders>
            <w:shd w:val="clear" w:color="auto" w:fill="auto"/>
            <w:noWrap/>
            <w:vAlign w:val="center"/>
            <w:hideMark/>
          </w:tcPr>
          <w:p w14:paraId="6567EFFC" w14:textId="3FB1F6D0" w:rsidR="00CE02C9" w:rsidRPr="001C6794" w:rsidRDefault="00CE02C9" w:rsidP="002173B0">
            <w:pPr>
              <w:rPr>
                <w:rFonts w:ascii="Calibri" w:eastAsia="Times New Roman" w:hAnsi="Calibri" w:cs="Times New Roman"/>
                <w:color w:val="000000"/>
              </w:rPr>
            </w:pPr>
            <w:r>
              <w:rPr>
                <w:rFonts w:ascii="Calibri" w:eastAsia="Times New Roman" w:hAnsi="Calibri" w:cs="Times New Roman"/>
                <w:color w:val="000000"/>
              </w:rPr>
              <w:t>OCI</w:t>
            </w:r>
          </w:p>
        </w:tc>
      </w:tr>
      <w:tr w:rsidR="00CE02C9" w:rsidRPr="001C6794" w14:paraId="3266BA7B" w14:textId="77777777" w:rsidTr="00CE02C9">
        <w:trPr>
          <w:trHeight w:val="300"/>
        </w:trPr>
        <w:tc>
          <w:tcPr>
            <w:tcW w:w="2223" w:type="dxa"/>
            <w:tcBorders>
              <w:top w:val="nil"/>
              <w:left w:val="nil"/>
              <w:bottom w:val="nil"/>
              <w:right w:val="nil"/>
            </w:tcBorders>
            <w:shd w:val="clear" w:color="000000" w:fill="D9D9D9"/>
            <w:noWrap/>
            <w:vAlign w:val="center"/>
            <w:hideMark/>
          </w:tcPr>
          <w:p w14:paraId="2AFFCCF6" w14:textId="2956559E" w:rsidR="00CE02C9" w:rsidRPr="001C6794" w:rsidRDefault="00CE02C9" w:rsidP="002173B0">
            <w:pPr>
              <w:rPr>
                <w:rFonts w:ascii="Calibri" w:eastAsia="Times New Roman" w:hAnsi="Calibri" w:cs="Times New Roman"/>
                <w:color w:val="000000"/>
              </w:rPr>
            </w:pPr>
            <w:r>
              <w:rPr>
                <w:rFonts w:ascii="Calibri" w:eastAsia="Times New Roman" w:hAnsi="Calibri" w:cs="Times New Roman"/>
                <w:color w:val="000000"/>
              </w:rPr>
              <w:t>Randstad</w:t>
            </w:r>
          </w:p>
        </w:tc>
      </w:tr>
      <w:tr w:rsidR="00CE02C9" w:rsidRPr="001C6794" w14:paraId="49450291" w14:textId="77777777" w:rsidTr="00CE02C9">
        <w:trPr>
          <w:trHeight w:val="300"/>
        </w:trPr>
        <w:tc>
          <w:tcPr>
            <w:tcW w:w="2223" w:type="dxa"/>
            <w:tcBorders>
              <w:top w:val="nil"/>
              <w:left w:val="nil"/>
              <w:bottom w:val="nil"/>
              <w:right w:val="nil"/>
            </w:tcBorders>
            <w:shd w:val="clear" w:color="auto" w:fill="auto"/>
            <w:noWrap/>
            <w:vAlign w:val="center"/>
            <w:hideMark/>
          </w:tcPr>
          <w:p w14:paraId="2A0CD49B" w14:textId="701F5B59" w:rsidR="00CE02C9" w:rsidRPr="001C6794" w:rsidRDefault="00CE02C9" w:rsidP="002173B0">
            <w:pPr>
              <w:rPr>
                <w:rFonts w:ascii="Calibri" w:eastAsia="Times New Roman" w:hAnsi="Calibri" w:cs="Times New Roman"/>
                <w:color w:val="000000"/>
              </w:rPr>
            </w:pPr>
            <w:r>
              <w:rPr>
                <w:rFonts w:ascii="Calibri" w:eastAsia="Times New Roman" w:hAnsi="Calibri" w:cs="Times New Roman"/>
                <w:color w:val="000000"/>
              </w:rPr>
              <w:t>Reed Elsevier</w:t>
            </w:r>
          </w:p>
        </w:tc>
      </w:tr>
      <w:tr w:rsidR="00CE02C9" w:rsidRPr="001C6794" w14:paraId="130B7034" w14:textId="77777777" w:rsidTr="00CE02C9">
        <w:trPr>
          <w:trHeight w:val="300"/>
        </w:trPr>
        <w:tc>
          <w:tcPr>
            <w:tcW w:w="2223" w:type="dxa"/>
            <w:tcBorders>
              <w:top w:val="nil"/>
              <w:left w:val="nil"/>
              <w:bottom w:val="nil"/>
              <w:right w:val="nil"/>
            </w:tcBorders>
            <w:shd w:val="clear" w:color="000000" w:fill="D9D9D9"/>
            <w:noWrap/>
            <w:vAlign w:val="center"/>
            <w:hideMark/>
          </w:tcPr>
          <w:p w14:paraId="778060B8" w14:textId="7E005413" w:rsidR="00CE02C9" w:rsidRPr="001C6794" w:rsidRDefault="00CE02C9" w:rsidP="00CE02C9">
            <w:pPr>
              <w:rPr>
                <w:rFonts w:ascii="Calibri" w:eastAsia="Times New Roman" w:hAnsi="Calibri" w:cs="Times New Roman"/>
                <w:color w:val="000000"/>
              </w:rPr>
            </w:pPr>
            <w:r w:rsidRPr="001C6794">
              <w:rPr>
                <w:rFonts w:ascii="Calibri" w:eastAsia="Times New Roman" w:hAnsi="Calibri" w:cs="Times New Roman"/>
                <w:color w:val="000000"/>
              </w:rPr>
              <w:t>TNT</w:t>
            </w:r>
          </w:p>
        </w:tc>
      </w:tr>
      <w:tr w:rsidR="00CE02C9" w:rsidRPr="001C6794" w14:paraId="7144E552" w14:textId="77777777" w:rsidTr="00CE02C9">
        <w:trPr>
          <w:trHeight w:val="320"/>
        </w:trPr>
        <w:tc>
          <w:tcPr>
            <w:tcW w:w="2223" w:type="dxa"/>
            <w:tcBorders>
              <w:top w:val="nil"/>
              <w:left w:val="nil"/>
              <w:bottom w:val="single" w:sz="8" w:space="0" w:color="000000"/>
              <w:right w:val="nil"/>
            </w:tcBorders>
            <w:shd w:val="clear" w:color="auto" w:fill="auto"/>
            <w:noWrap/>
            <w:vAlign w:val="center"/>
            <w:hideMark/>
          </w:tcPr>
          <w:p w14:paraId="38DC2A05" w14:textId="6DA648B9" w:rsidR="00CE02C9" w:rsidRPr="001C6794" w:rsidRDefault="00CE02C9" w:rsidP="00CE02C9">
            <w:pPr>
              <w:rPr>
                <w:rFonts w:ascii="Calibri" w:eastAsia="Times New Roman" w:hAnsi="Calibri" w:cs="Times New Roman"/>
                <w:color w:val="000000"/>
              </w:rPr>
            </w:pPr>
            <w:r w:rsidRPr="001C6794">
              <w:rPr>
                <w:rFonts w:ascii="Calibri" w:eastAsia="Times New Roman" w:hAnsi="Calibri" w:cs="Times New Roman"/>
                <w:color w:val="000000"/>
              </w:rPr>
              <w:t>Wolters-Kluwer</w:t>
            </w:r>
          </w:p>
        </w:tc>
      </w:tr>
    </w:tbl>
    <w:p w14:paraId="27717F92" w14:textId="77777777" w:rsidR="001C6794" w:rsidRDefault="001C6794" w:rsidP="006569B4">
      <w:pPr>
        <w:spacing w:line="360" w:lineRule="auto"/>
      </w:pPr>
    </w:p>
    <w:p w14:paraId="633F2004" w14:textId="77777777" w:rsidR="00B603C9" w:rsidRDefault="00B603C9" w:rsidP="006569B4">
      <w:pPr>
        <w:spacing w:line="360" w:lineRule="auto"/>
      </w:pPr>
    </w:p>
    <w:p w14:paraId="0315CF23" w14:textId="77777777" w:rsidR="001C6794" w:rsidRDefault="001C6794" w:rsidP="006569B4">
      <w:pPr>
        <w:spacing w:line="360" w:lineRule="auto"/>
      </w:pPr>
    </w:p>
    <w:p w14:paraId="76B82E2E" w14:textId="77777777" w:rsidR="001C6794" w:rsidRDefault="001C6794" w:rsidP="006569B4">
      <w:pPr>
        <w:spacing w:line="360" w:lineRule="auto"/>
      </w:pPr>
    </w:p>
    <w:p w14:paraId="12D08AF5" w14:textId="77777777" w:rsidR="001C6794" w:rsidRDefault="001C6794" w:rsidP="006569B4">
      <w:pPr>
        <w:spacing w:line="360" w:lineRule="auto"/>
      </w:pPr>
    </w:p>
    <w:p w14:paraId="656FA74D" w14:textId="77777777" w:rsidR="001C6794" w:rsidRDefault="001C6794" w:rsidP="006569B4">
      <w:pPr>
        <w:spacing w:line="360" w:lineRule="auto"/>
      </w:pPr>
    </w:p>
    <w:p w14:paraId="07722E10" w14:textId="77777777" w:rsidR="001C6794" w:rsidRDefault="001C6794" w:rsidP="006569B4">
      <w:pPr>
        <w:spacing w:line="360" w:lineRule="auto"/>
      </w:pPr>
    </w:p>
    <w:p w14:paraId="78BCE1C7" w14:textId="77777777" w:rsidR="00CE02C9" w:rsidRDefault="00CE02C9" w:rsidP="006569B4">
      <w:pPr>
        <w:spacing w:line="360" w:lineRule="auto"/>
      </w:pPr>
    </w:p>
    <w:p w14:paraId="012E8396" w14:textId="77777777" w:rsidR="00CE02C9" w:rsidRDefault="00CE02C9" w:rsidP="006569B4">
      <w:pPr>
        <w:spacing w:line="360" w:lineRule="auto"/>
      </w:pPr>
    </w:p>
    <w:p w14:paraId="0AE3D971" w14:textId="7C1DC75D" w:rsidR="008D3FD9" w:rsidRPr="002173B0" w:rsidRDefault="00DC5042" w:rsidP="002173B0">
      <w:pPr>
        <w:pStyle w:val="Heading2"/>
        <w:spacing w:line="360" w:lineRule="auto"/>
      </w:pPr>
      <w:bookmarkStart w:id="23" w:name="_Toc425524024"/>
      <w:r>
        <w:t>4.3 Trend</w:t>
      </w:r>
      <w:bookmarkEnd w:id="23"/>
    </w:p>
    <w:p w14:paraId="7024D18F" w14:textId="229F505B" w:rsidR="00A02D8B" w:rsidRDefault="00A02D8B">
      <w:pPr>
        <w:spacing w:line="360" w:lineRule="auto"/>
      </w:pPr>
      <w:r>
        <w:t>Nu de belangrijkste data over 2014 bekend zijn, worden eerdere jaren in behandeling genomen. Op basis van de resultaten uit de vorige paragraaf wordt gekeken hoe consistent de toepassing is van de alternatieve indicatoren vanaf het jaar 2010 en of gesproken kan worden over een trend. De term trend heeft meerdere definities, maar in dit onderzoek wordt uitgegaan van de volgende:</w:t>
      </w:r>
    </w:p>
    <w:p w14:paraId="46220825" w14:textId="77777777" w:rsidR="00A02D8B" w:rsidRDefault="00A02D8B" w:rsidP="006569B4">
      <w:pPr>
        <w:spacing w:line="360" w:lineRule="auto"/>
      </w:pPr>
    </w:p>
    <w:p w14:paraId="54DA6F86" w14:textId="4FC36128" w:rsidR="00A02D8B" w:rsidRDefault="00A02D8B" w:rsidP="006569B4">
      <w:pPr>
        <w:spacing w:line="360" w:lineRule="auto"/>
        <w:rPr>
          <w:i/>
        </w:rPr>
      </w:pPr>
      <w:r w:rsidRPr="00A02D8B">
        <w:rPr>
          <w:i/>
        </w:rPr>
        <w:t>‘Als een koers zich gedurende een langere tijd in een bepaalde, duidelijke richting beweegt spreekt men van een trend’</w:t>
      </w:r>
      <w:r>
        <w:rPr>
          <w:i/>
        </w:rPr>
        <w:t xml:space="preserve"> (Encyclo, 2015).</w:t>
      </w:r>
    </w:p>
    <w:p w14:paraId="54C2A149" w14:textId="77777777" w:rsidR="00727E20" w:rsidRDefault="00727E20" w:rsidP="006569B4">
      <w:pPr>
        <w:spacing w:line="360" w:lineRule="auto"/>
        <w:rPr>
          <w:i/>
        </w:rPr>
      </w:pPr>
    </w:p>
    <w:p w14:paraId="49B2567E" w14:textId="01086048" w:rsidR="00727E20" w:rsidRDefault="00727E20" w:rsidP="006569B4">
      <w:pPr>
        <w:spacing w:line="360" w:lineRule="auto"/>
      </w:pPr>
      <w:r>
        <w:t>In dit geval is de langere tijd de periode van 2010 tot en met 2014 en zal de richting het toenemende of juist afnemende gebruik zijn van de alternatieve indicatoren. Bij het onderzoeken van de trend wordt dezelfde volgorde gebruikt als eerder zodat eerst gekeken wordt naar de vermelding door de onderneming zelf, vervolgens de winst en verliesrekening en afsluitend de vastgestelde indicatoren.</w:t>
      </w:r>
    </w:p>
    <w:p w14:paraId="63A4F0D8" w14:textId="77777777" w:rsidR="00727E20" w:rsidRDefault="00727E20" w:rsidP="006569B4">
      <w:pPr>
        <w:spacing w:line="360" w:lineRule="auto"/>
      </w:pPr>
    </w:p>
    <w:p w14:paraId="425DBD4E" w14:textId="77777777" w:rsidR="001C6794" w:rsidRDefault="001C6794" w:rsidP="006569B4">
      <w:pPr>
        <w:spacing w:line="360" w:lineRule="auto"/>
      </w:pPr>
    </w:p>
    <w:p w14:paraId="21343A98" w14:textId="77777777" w:rsidR="001C6794" w:rsidRDefault="001C6794" w:rsidP="006569B4">
      <w:pPr>
        <w:spacing w:line="360" w:lineRule="auto"/>
      </w:pPr>
    </w:p>
    <w:p w14:paraId="6BB8AA37" w14:textId="77777777" w:rsidR="001C6794" w:rsidRDefault="001C6794" w:rsidP="006569B4">
      <w:pPr>
        <w:spacing w:line="360" w:lineRule="auto"/>
      </w:pPr>
    </w:p>
    <w:p w14:paraId="427DD0C2" w14:textId="1D762EC7" w:rsidR="00727E20" w:rsidRPr="002173B0" w:rsidRDefault="00727E20" w:rsidP="006569B4">
      <w:pPr>
        <w:spacing w:line="360" w:lineRule="auto"/>
        <w:rPr>
          <w:i/>
        </w:rPr>
      </w:pPr>
      <w:r w:rsidRPr="002173B0">
        <w:rPr>
          <w:i/>
        </w:rPr>
        <w:t>Non-GAAP volgens de onderneming.</w:t>
      </w:r>
    </w:p>
    <w:p w14:paraId="0DF3DE6D" w14:textId="6122F623" w:rsidR="00727E20" w:rsidRDefault="00727E20" w:rsidP="006569B4">
      <w:pPr>
        <w:spacing w:line="360" w:lineRule="auto"/>
      </w:pPr>
      <w:r>
        <w:t>De jaren 2010 tot en met 2013 zijn op dezelfde wijze onderzocht als 2014. De uitkomsten hiervan staan in tabel</w:t>
      </w:r>
      <w:r w:rsidR="003055AA">
        <w:t>len 12 en 13. De ondernemingen die de alternatieve indicatoren specifiek vermeldden in 2014 hebben dat op een paar uitzonderingen na ook de voorgaande jaren gedaan.</w:t>
      </w:r>
      <w:r w:rsidR="005364A7">
        <w:t xml:space="preserve"> 3</w:t>
      </w:r>
      <w:r w:rsidR="002C1E86">
        <w:t xml:space="preserve"> ondernemingen</w:t>
      </w:r>
      <w:r w:rsidR="005364A7">
        <w:t xml:space="preserve"> (Delta Lloyd, </w:t>
      </w:r>
      <w:r w:rsidR="002C1E86">
        <w:t>Shell</w:t>
      </w:r>
      <w:r w:rsidR="005364A7">
        <w:t xml:space="preserve"> en Vopak</w:t>
      </w:r>
      <w:r w:rsidR="002C1E86">
        <w:t xml:space="preserve">) hebben in 2014 voor het eerst de alternatieve indicatoren specifiek vermeld. Dit zijn niet erg opvallende resultaten en het geeft aan dat meer </w:t>
      </w:r>
      <w:r w:rsidR="005364A7">
        <w:t>ondernemingen</w:t>
      </w:r>
      <w:r w:rsidR="002C1E86">
        <w:t xml:space="preserve"> het nut zien van het expliciet vermelden van de alternatieve indicatoren. Een opvallende uitkomst is van de onderneming </w:t>
      </w:r>
      <w:r w:rsidR="005364A7">
        <w:t>KPN, die alleen in 2010</w:t>
      </w:r>
      <w:r w:rsidR="002C1E86">
        <w:t xml:space="preserve"> melding maakte van het gebruik van de alternatieve indicatoren en in de andere jaren niet.</w:t>
      </w:r>
      <w:r w:rsidR="005364A7">
        <w:t xml:space="preserve"> Dit is opvallend aangezien</w:t>
      </w:r>
      <w:r w:rsidR="004123E7">
        <w:t xml:space="preserve"> KPN</w:t>
      </w:r>
      <w:r w:rsidR="005364A7">
        <w:t xml:space="preserve"> in 2014 wel de </w:t>
      </w:r>
      <w:r w:rsidR="004123E7">
        <w:t>netto schuld</w:t>
      </w:r>
      <w:r w:rsidR="005364A7">
        <w:t xml:space="preserve"> </w:t>
      </w:r>
      <w:r w:rsidR="004123E7">
        <w:t>heeft</w:t>
      </w:r>
      <w:r w:rsidR="005364A7">
        <w:t xml:space="preserve"> vermeld zoals blijkt uit tabel </w:t>
      </w:r>
      <w:r w:rsidR="00DC46E5">
        <w:t>11.</w:t>
      </w:r>
    </w:p>
    <w:p w14:paraId="79377F7E" w14:textId="63134E1D" w:rsidR="00DC46E5" w:rsidRDefault="00DC46E5" w:rsidP="006569B4">
      <w:pPr>
        <w:spacing w:line="360" w:lineRule="auto"/>
      </w:pPr>
      <w:r>
        <w:t>Ook bij de genoemde indicatoren zijn de resultaten niet opvallend en komen overeen met de ondernemingen. De meest vermelde indicatoren in 2010 tot en met 2013 zijn dezelfde als in 2014 met stabiele aantallen. Alleen in minder genoemde indicatoren uit 2014 zijn afwijkingen te vinden. Dit gaat dan over een onderneming die het ene jaar de indicator wel vermeld en het andere jaar niet.</w:t>
      </w:r>
    </w:p>
    <w:p w14:paraId="76A8AC30" w14:textId="1C2B0FB1" w:rsidR="00DC46E5" w:rsidRDefault="00DC46E5" w:rsidP="006569B4">
      <w:pPr>
        <w:spacing w:line="360" w:lineRule="auto"/>
      </w:pPr>
      <w:r>
        <w:t>Hieruit valt te concluderen dat de ondernemingen die non-Gaap indicatoren specifiek vermelden dit consistent doen en dan vooral de meest voorkomende indicatoren. Van een echte trend is geen sprake.</w:t>
      </w:r>
    </w:p>
    <w:p w14:paraId="1C7052F4" w14:textId="77777777" w:rsidR="00253740" w:rsidRDefault="00253740" w:rsidP="006569B4">
      <w:pPr>
        <w:spacing w:line="360" w:lineRule="auto"/>
      </w:pPr>
    </w:p>
    <w:p w14:paraId="1848BB64" w14:textId="59ED42A9" w:rsidR="00D06DF5" w:rsidRPr="002173B0" w:rsidRDefault="00DC46E5" w:rsidP="006569B4">
      <w:pPr>
        <w:spacing w:line="360" w:lineRule="auto"/>
        <w:rPr>
          <w:i/>
        </w:rPr>
      </w:pPr>
      <w:r w:rsidRPr="002173B0">
        <w:rPr>
          <w:i/>
        </w:rPr>
        <w:t>De winst-en-verliesrekening.</w:t>
      </w:r>
    </w:p>
    <w:p w14:paraId="3EC36D9D" w14:textId="493CA0D1" w:rsidR="00D06DF5" w:rsidRDefault="00D06DF5" w:rsidP="006569B4">
      <w:pPr>
        <w:spacing w:line="360" w:lineRule="auto"/>
      </w:pPr>
      <w:r>
        <w:t xml:space="preserve">Binnen de winst-en-verliesrekening wordt gekeken naar de consistentie in het toepassen van de twee gevonden indicatoren: ‘Diluted’ winst per aandeel en het dividend per aandeel. De resultaten staan gegeven in tabellen 14 en 15. </w:t>
      </w:r>
    </w:p>
    <w:p w14:paraId="2526CBB4" w14:textId="644E3281" w:rsidR="00A02D8B" w:rsidRDefault="00D06DF5" w:rsidP="006569B4">
      <w:pPr>
        <w:spacing w:line="360" w:lineRule="auto"/>
      </w:pPr>
      <w:r>
        <w:t xml:space="preserve">Allereest de ‘diluted’ winst per aandeel. </w:t>
      </w:r>
      <w:r w:rsidR="005F6A36">
        <w:t>É</w:t>
      </w:r>
      <w:r w:rsidR="00DA2D1C">
        <w:t>én</w:t>
      </w:r>
      <w:r w:rsidR="0007178B">
        <w:t xml:space="preserve"> onderneming is toegevoegd aan de lijst, TNT, die alleen in 2010 deze indicator vermeldde. </w:t>
      </w:r>
      <w:r w:rsidR="00D150EF">
        <w:t xml:space="preserve"> A</w:t>
      </w:r>
      <w:r w:rsidR="0007178B">
        <w:t>lle ondernemingen die in 2014 de diluted winst per aandeel vermeldden</w:t>
      </w:r>
      <w:r w:rsidR="00D150EF">
        <w:t xml:space="preserve">, hebben dit ook in 2013, 2012 en 2011 </w:t>
      </w:r>
      <w:r w:rsidR="0007178B">
        <w:t>gedaan.</w:t>
      </w:r>
      <w:r w:rsidR="00D150EF">
        <w:t xml:space="preserve"> In 2010 hebben slechts 2</w:t>
      </w:r>
      <w:r w:rsidR="0007178B">
        <w:t xml:space="preserve"> van deze ondernemingen deze indicator niet vermeld. Deze resultaten geven aan dat het gebruik van de Diluted winst per aandeel consistent is en dat geen sprake is van een grote stijging of daling in het gebruik. Dit betekent dat van een trend geen sprake is.</w:t>
      </w:r>
    </w:p>
    <w:p w14:paraId="1985DAC5" w14:textId="1CB99F75" w:rsidR="00D150EF" w:rsidRDefault="00D150EF" w:rsidP="006569B4">
      <w:pPr>
        <w:spacing w:line="360" w:lineRule="auto"/>
      </w:pPr>
      <w:r>
        <w:t xml:space="preserve">Het aantal bedrijven die het dividend per aandeel vermelden is gestegen met 3 ondernemingen. Dit zijn TNT (2010), Boskalis (2010) en Aegon (2011 &amp; 2012). In 2010 hebben 7 ondernemingen het dividend per aandeel genoemd, in 2011 </w:t>
      </w:r>
      <w:r w:rsidR="005C4E5B">
        <w:t>waren dit 9 ondernemingen, in 2012 is het aantal gestegen naar 11 en in 2013 is dit aantal gelijk gebleven. Wanneer gekeken wordt naar het merendeel van de bedrijven in de tabel zou geconcludeerd kunnen worden dat in de jaren 2010 tot 2014 een lichte trend heeft plaatsgevonden, maar doordat het aantal in 2014 gelijk is aan het aantal uit 2012 en 2013 is</w:t>
      </w:r>
      <w:r w:rsidR="005F6A36">
        <w:t xml:space="preserve"> er</w:t>
      </w:r>
      <w:r w:rsidR="005C4E5B">
        <w:t xml:space="preserve"> uiteindelijk geen sprake van een daadwerkelijke trend.</w:t>
      </w:r>
    </w:p>
    <w:p w14:paraId="205294A9" w14:textId="77777777" w:rsidR="00A93807" w:rsidRDefault="00A93807" w:rsidP="006569B4">
      <w:pPr>
        <w:spacing w:line="360" w:lineRule="auto"/>
      </w:pPr>
    </w:p>
    <w:p w14:paraId="094EA36B" w14:textId="7E233A56" w:rsidR="00B603C9" w:rsidRPr="002173B0" w:rsidRDefault="00A93807" w:rsidP="006569B4">
      <w:pPr>
        <w:spacing w:line="360" w:lineRule="auto"/>
        <w:rPr>
          <w:i/>
        </w:rPr>
      </w:pPr>
      <w:r>
        <w:rPr>
          <w:i/>
        </w:rPr>
        <w:t>Autonome groei.</w:t>
      </w:r>
    </w:p>
    <w:p w14:paraId="28E00688" w14:textId="4D3A92EF" w:rsidR="00B603C9" w:rsidRDefault="009554AE" w:rsidP="006569B4">
      <w:pPr>
        <w:spacing w:line="360" w:lineRule="auto"/>
      </w:pPr>
      <w:r>
        <w:t xml:space="preserve">De resultaten met betrekking tot de autonome groei staan gegeven in tabel 16. In de tabel staan normale percentages, percentages met een sterretje, minnetjes en x’en. De normale percentages zijn de cijfers van de autonome (omzet)groei die een onderneming vermeld in de jaarrekening. Bij slechts 2 ondernemingen wordt deze over de gehele periode consistent vermeld. </w:t>
      </w:r>
    </w:p>
    <w:p w14:paraId="5B23ABAC" w14:textId="7F2629E8" w:rsidR="009554AE" w:rsidRDefault="009554AE" w:rsidP="006569B4">
      <w:pPr>
        <w:spacing w:line="360" w:lineRule="auto"/>
      </w:pPr>
      <w:r>
        <w:t xml:space="preserve">De percentages met een sterretje gaat over de autonome groei van de sales van een onderneming. Dit zijn wat hogere percentages, maar slechts 1 onderneming vermeld deze in plaats van een autonome (omzet)groei. </w:t>
      </w:r>
    </w:p>
    <w:p w14:paraId="7ABA59F3" w14:textId="6F392F7E" w:rsidR="009554AE" w:rsidRDefault="009554AE" w:rsidP="006569B4">
      <w:pPr>
        <w:spacing w:line="360" w:lineRule="auto"/>
      </w:pPr>
      <w:r>
        <w:t>De minnetjes geven aan dat geen autonome groei vermeld is gerelateerd aan het resultaat en de x’en geven aan dat de onderneming wel de autonome groei weergeeft in de jaarrekening, maar niet voor het gehele bedrijf. Dit is bijvoorbeeld de autonome groei voor een sector binnen een onderneming.</w:t>
      </w:r>
    </w:p>
    <w:p w14:paraId="29B3D958" w14:textId="068D814E" w:rsidR="009554AE" w:rsidRDefault="009554AE" w:rsidP="006569B4">
      <w:pPr>
        <w:spacing w:line="360" w:lineRule="auto"/>
      </w:pPr>
      <w:r>
        <w:t xml:space="preserve">Dat in de tabel verschillende soorten zijn onderscheiden van de weergave van de autonome groei zegt veel over de consistentie van de toepassing. Slechts </w:t>
      </w:r>
      <w:r w:rsidR="002D4891">
        <w:t>een paar bedrijven zijn consistent wat opmerkelijk is aangezien deze bedrijven ook negatieve groeiresultaten weergeven. Dit zou een aanleiding kunnen zijn om de autonome groei dan juist achterwege te laten. Van een trend is daardoor ook geen sprake.</w:t>
      </w:r>
    </w:p>
    <w:p w14:paraId="7DA65198" w14:textId="77777777" w:rsidR="002D4891" w:rsidRDefault="002D4891" w:rsidP="006569B4">
      <w:pPr>
        <w:spacing w:line="360" w:lineRule="auto"/>
      </w:pPr>
    </w:p>
    <w:p w14:paraId="2881F97E" w14:textId="77777777" w:rsidR="002173B0" w:rsidRDefault="002173B0" w:rsidP="006569B4">
      <w:pPr>
        <w:spacing w:line="360" w:lineRule="auto"/>
      </w:pPr>
    </w:p>
    <w:p w14:paraId="1D4D212E" w14:textId="77777777" w:rsidR="002173B0" w:rsidRDefault="002173B0" w:rsidP="006569B4">
      <w:pPr>
        <w:spacing w:line="360" w:lineRule="auto"/>
      </w:pPr>
    </w:p>
    <w:p w14:paraId="32FEA359" w14:textId="77777777" w:rsidR="002173B0" w:rsidRDefault="002173B0" w:rsidP="006569B4">
      <w:pPr>
        <w:spacing w:line="360" w:lineRule="auto"/>
      </w:pPr>
    </w:p>
    <w:p w14:paraId="35674DE6" w14:textId="6DCD6BAA" w:rsidR="00B603C9" w:rsidRPr="002173B0" w:rsidRDefault="002D4891" w:rsidP="006569B4">
      <w:pPr>
        <w:spacing w:line="360" w:lineRule="auto"/>
        <w:rPr>
          <w:i/>
        </w:rPr>
      </w:pPr>
      <w:r>
        <w:rPr>
          <w:i/>
        </w:rPr>
        <w:t>Netto schuldpositie.</w:t>
      </w:r>
    </w:p>
    <w:p w14:paraId="572436C3" w14:textId="35F23B48" w:rsidR="00B603C9" w:rsidRPr="006654C6" w:rsidRDefault="002D4891" w:rsidP="006569B4">
      <w:pPr>
        <w:spacing w:line="360" w:lineRule="auto"/>
      </w:pPr>
      <w:r>
        <w:t>De netto schuld werd in 2014 al door het merendeel van de ondernemingen vermeld in de jaarrekening en dat is in de andere jaren hetzelfde gebleven.</w:t>
      </w:r>
      <w:r w:rsidR="002A713F">
        <w:t xml:space="preserve"> Alle ondernemingen die de netto schuld vermeldde in 2014 hebben dit ook in 2010 tot en met 2013 gedaan</w:t>
      </w:r>
      <w:r w:rsidR="002A713F">
        <w:rPr>
          <w:rStyle w:val="FootnoteReference"/>
        </w:rPr>
        <w:footnoteReference w:id="10"/>
      </w:r>
      <w:r w:rsidR="002A713F">
        <w:t>. De toepassing is dus zeer consistent en doordat het dezelfde ondernemingen zijn is geen sprake van een trend.</w:t>
      </w:r>
    </w:p>
    <w:p w14:paraId="2355B840" w14:textId="26F47D45" w:rsidR="00B603C9" w:rsidRPr="009169FA" w:rsidRDefault="009169FA" w:rsidP="006569B4">
      <w:pPr>
        <w:spacing w:line="360" w:lineRule="auto"/>
      </w:pPr>
      <w:r>
        <w:t>Wat betreft de ratio’s zijn de resultaten als volgt.</w:t>
      </w:r>
    </w:p>
    <w:tbl>
      <w:tblPr>
        <w:tblW w:w="9265" w:type="dxa"/>
        <w:tblInd w:w="108" w:type="dxa"/>
        <w:tblLayout w:type="fixed"/>
        <w:tblLook w:val="04A0" w:firstRow="1" w:lastRow="0" w:firstColumn="1" w:lastColumn="0" w:noHBand="0" w:noVBand="1"/>
      </w:tblPr>
      <w:tblGrid>
        <w:gridCol w:w="3261"/>
        <w:gridCol w:w="992"/>
        <w:gridCol w:w="709"/>
        <w:gridCol w:w="850"/>
        <w:gridCol w:w="851"/>
        <w:gridCol w:w="2602"/>
      </w:tblGrid>
      <w:tr w:rsidR="009169FA" w:rsidRPr="009169FA" w14:paraId="0E93C9E7" w14:textId="77777777" w:rsidTr="009169FA">
        <w:trPr>
          <w:trHeight w:val="300"/>
        </w:trPr>
        <w:tc>
          <w:tcPr>
            <w:tcW w:w="3261" w:type="dxa"/>
            <w:tcBorders>
              <w:top w:val="single" w:sz="4" w:space="0" w:color="000000"/>
              <w:left w:val="nil"/>
              <w:bottom w:val="single" w:sz="4" w:space="0" w:color="000000"/>
              <w:right w:val="nil"/>
            </w:tcBorders>
            <w:shd w:val="clear" w:color="auto" w:fill="auto"/>
            <w:noWrap/>
            <w:vAlign w:val="bottom"/>
            <w:hideMark/>
          </w:tcPr>
          <w:p w14:paraId="1569057D" w14:textId="77777777" w:rsidR="009169FA" w:rsidRPr="009169FA" w:rsidRDefault="009169FA" w:rsidP="009169FA">
            <w:pPr>
              <w:rPr>
                <w:rFonts w:ascii="Calibri" w:eastAsia="Times New Roman" w:hAnsi="Calibri" w:cs="Times New Roman"/>
                <w:b/>
                <w:bCs/>
                <w:color w:val="000000"/>
              </w:rPr>
            </w:pPr>
            <w:r w:rsidRPr="009169FA">
              <w:rPr>
                <w:rFonts w:ascii="Calibri" w:eastAsia="Times New Roman" w:hAnsi="Calibri" w:cs="Times New Roman"/>
                <w:b/>
                <w:bCs/>
                <w:color w:val="000000"/>
              </w:rPr>
              <w:t>Ratio</w:t>
            </w:r>
          </w:p>
        </w:tc>
        <w:tc>
          <w:tcPr>
            <w:tcW w:w="992" w:type="dxa"/>
            <w:tcBorders>
              <w:top w:val="single" w:sz="4" w:space="0" w:color="000000"/>
              <w:left w:val="nil"/>
              <w:bottom w:val="single" w:sz="4" w:space="0" w:color="000000"/>
              <w:right w:val="nil"/>
            </w:tcBorders>
            <w:shd w:val="clear" w:color="auto" w:fill="auto"/>
            <w:noWrap/>
            <w:vAlign w:val="bottom"/>
            <w:hideMark/>
          </w:tcPr>
          <w:p w14:paraId="790442A8" w14:textId="77777777" w:rsidR="009169FA" w:rsidRPr="009169FA" w:rsidRDefault="009169FA" w:rsidP="009169FA">
            <w:pPr>
              <w:rPr>
                <w:rFonts w:ascii="Calibri" w:eastAsia="Times New Roman" w:hAnsi="Calibri" w:cs="Times New Roman"/>
                <w:b/>
                <w:bCs/>
                <w:color w:val="000000"/>
              </w:rPr>
            </w:pPr>
            <w:r w:rsidRPr="009169FA">
              <w:rPr>
                <w:rFonts w:ascii="Calibri" w:eastAsia="Times New Roman" w:hAnsi="Calibri" w:cs="Times New Roman"/>
                <w:b/>
                <w:bCs/>
                <w:color w:val="000000"/>
              </w:rPr>
              <w:t>2010</w:t>
            </w:r>
          </w:p>
        </w:tc>
        <w:tc>
          <w:tcPr>
            <w:tcW w:w="709" w:type="dxa"/>
            <w:tcBorders>
              <w:top w:val="single" w:sz="4" w:space="0" w:color="000000"/>
              <w:left w:val="nil"/>
              <w:bottom w:val="single" w:sz="4" w:space="0" w:color="000000"/>
              <w:right w:val="nil"/>
            </w:tcBorders>
            <w:shd w:val="clear" w:color="auto" w:fill="auto"/>
            <w:noWrap/>
            <w:vAlign w:val="bottom"/>
            <w:hideMark/>
          </w:tcPr>
          <w:p w14:paraId="337E145A" w14:textId="77777777" w:rsidR="009169FA" w:rsidRPr="009169FA" w:rsidRDefault="009169FA" w:rsidP="009169FA">
            <w:pPr>
              <w:rPr>
                <w:rFonts w:ascii="Calibri" w:eastAsia="Times New Roman" w:hAnsi="Calibri" w:cs="Times New Roman"/>
                <w:b/>
                <w:bCs/>
                <w:color w:val="000000"/>
              </w:rPr>
            </w:pPr>
            <w:r w:rsidRPr="009169FA">
              <w:rPr>
                <w:rFonts w:ascii="Calibri" w:eastAsia="Times New Roman" w:hAnsi="Calibri" w:cs="Times New Roman"/>
                <w:b/>
                <w:bCs/>
                <w:color w:val="000000"/>
              </w:rPr>
              <w:t>2011</w:t>
            </w:r>
          </w:p>
        </w:tc>
        <w:tc>
          <w:tcPr>
            <w:tcW w:w="850" w:type="dxa"/>
            <w:tcBorders>
              <w:top w:val="single" w:sz="4" w:space="0" w:color="000000"/>
              <w:left w:val="nil"/>
              <w:bottom w:val="single" w:sz="4" w:space="0" w:color="000000"/>
              <w:right w:val="nil"/>
            </w:tcBorders>
            <w:shd w:val="clear" w:color="auto" w:fill="auto"/>
            <w:noWrap/>
            <w:vAlign w:val="bottom"/>
            <w:hideMark/>
          </w:tcPr>
          <w:p w14:paraId="06DF9B23" w14:textId="77777777" w:rsidR="009169FA" w:rsidRPr="009169FA" w:rsidRDefault="009169FA" w:rsidP="009169FA">
            <w:pPr>
              <w:rPr>
                <w:rFonts w:ascii="Calibri" w:eastAsia="Times New Roman" w:hAnsi="Calibri" w:cs="Times New Roman"/>
                <w:b/>
                <w:bCs/>
                <w:color w:val="000000"/>
              </w:rPr>
            </w:pPr>
            <w:r w:rsidRPr="009169FA">
              <w:rPr>
                <w:rFonts w:ascii="Calibri" w:eastAsia="Times New Roman" w:hAnsi="Calibri" w:cs="Times New Roman"/>
                <w:b/>
                <w:bCs/>
                <w:color w:val="000000"/>
              </w:rPr>
              <w:t>2012</w:t>
            </w:r>
          </w:p>
        </w:tc>
        <w:tc>
          <w:tcPr>
            <w:tcW w:w="851" w:type="dxa"/>
            <w:tcBorders>
              <w:top w:val="single" w:sz="4" w:space="0" w:color="000000"/>
              <w:left w:val="nil"/>
              <w:bottom w:val="single" w:sz="4" w:space="0" w:color="000000"/>
              <w:right w:val="nil"/>
            </w:tcBorders>
            <w:shd w:val="clear" w:color="auto" w:fill="auto"/>
            <w:noWrap/>
            <w:vAlign w:val="bottom"/>
            <w:hideMark/>
          </w:tcPr>
          <w:p w14:paraId="4B4F4A68" w14:textId="77777777" w:rsidR="009169FA" w:rsidRPr="009169FA" w:rsidRDefault="009169FA" w:rsidP="009169FA">
            <w:pPr>
              <w:rPr>
                <w:rFonts w:ascii="Calibri" w:eastAsia="Times New Roman" w:hAnsi="Calibri" w:cs="Times New Roman"/>
                <w:b/>
                <w:bCs/>
                <w:color w:val="000000"/>
              </w:rPr>
            </w:pPr>
            <w:r w:rsidRPr="009169FA">
              <w:rPr>
                <w:rFonts w:ascii="Calibri" w:eastAsia="Times New Roman" w:hAnsi="Calibri" w:cs="Times New Roman"/>
                <w:b/>
                <w:bCs/>
                <w:color w:val="000000"/>
              </w:rPr>
              <w:t>2013</w:t>
            </w:r>
          </w:p>
        </w:tc>
        <w:tc>
          <w:tcPr>
            <w:tcW w:w="2602" w:type="dxa"/>
            <w:tcBorders>
              <w:top w:val="single" w:sz="4" w:space="0" w:color="000000"/>
              <w:left w:val="nil"/>
              <w:bottom w:val="single" w:sz="4" w:space="0" w:color="000000"/>
              <w:right w:val="nil"/>
            </w:tcBorders>
            <w:shd w:val="clear" w:color="auto" w:fill="auto"/>
            <w:noWrap/>
            <w:vAlign w:val="bottom"/>
            <w:hideMark/>
          </w:tcPr>
          <w:p w14:paraId="3BE65691" w14:textId="77777777" w:rsidR="009169FA" w:rsidRPr="009169FA" w:rsidRDefault="009169FA" w:rsidP="009169FA">
            <w:pPr>
              <w:rPr>
                <w:rFonts w:ascii="Calibri" w:eastAsia="Times New Roman" w:hAnsi="Calibri" w:cs="Times New Roman"/>
                <w:b/>
                <w:bCs/>
                <w:color w:val="000000"/>
              </w:rPr>
            </w:pPr>
            <w:r w:rsidRPr="009169FA">
              <w:rPr>
                <w:rFonts w:ascii="Calibri" w:eastAsia="Times New Roman" w:hAnsi="Calibri" w:cs="Times New Roman"/>
                <w:b/>
                <w:bCs/>
                <w:color w:val="000000"/>
              </w:rPr>
              <w:t>Aantal x vermeld 2014</w:t>
            </w:r>
          </w:p>
        </w:tc>
      </w:tr>
      <w:tr w:rsidR="009169FA" w:rsidRPr="009169FA" w14:paraId="57FF6006" w14:textId="77777777" w:rsidTr="009169FA">
        <w:trPr>
          <w:trHeight w:val="300"/>
        </w:trPr>
        <w:tc>
          <w:tcPr>
            <w:tcW w:w="3261" w:type="dxa"/>
            <w:tcBorders>
              <w:top w:val="nil"/>
              <w:left w:val="nil"/>
              <w:bottom w:val="nil"/>
              <w:right w:val="nil"/>
            </w:tcBorders>
            <w:shd w:val="clear" w:color="D9D9D9" w:fill="D9D9D9"/>
            <w:noWrap/>
            <w:vAlign w:val="bottom"/>
            <w:hideMark/>
          </w:tcPr>
          <w:p w14:paraId="56B5527F" w14:textId="77777777" w:rsidR="009169FA" w:rsidRPr="009169FA" w:rsidRDefault="009169FA" w:rsidP="009169FA">
            <w:pPr>
              <w:rPr>
                <w:rFonts w:ascii="Calibri" w:eastAsia="Times New Roman" w:hAnsi="Calibri" w:cs="Times New Roman"/>
                <w:color w:val="000000"/>
              </w:rPr>
            </w:pPr>
            <w:r w:rsidRPr="009169FA">
              <w:rPr>
                <w:rFonts w:ascii="Calibri" w:eastAsia="Times New Roman" w:hAnsi="Calibri" w:cs="Times New Roman"/>
                <w:color w:val="000000"/>
              </w:rPr>
              <w:t>Netto Schuld/ EBITDA</w:t>
            </w:r>
          </w:p>
        </w:tc>
        <w:tc>
          <w:tcPr>
            <w:tcW w:w="992" w:type="dxa"/>
            <w:tcBorders>
              <w:top w:val="nil"/>
              <w:left w:val="nil"/>
              <w:bottom w:val="nil"/>
              <w:right w:val="nil"/>
            </w:tcBorders>
            <w:shd w:val="clear" w:color="D9D9D9" w:fill="D9D9D9"/>
            <w:noWrap/>
            <w:vAlign w:val="bottom"/>
            <w:hideMark/>
          </w:tcPr>
          <w:p w14:paraId="052AB918" w14:textId="77777777" w:rsidR="009169FA" w:rsidRPr="009169FA" w:rsidRDefault="009169FA" w:rsidP="009169FA">
            <w:pPr>
              <w:jc w:val="right"/>
              <w:rPr>
                <w:rFonts w:ascii="Calibri" w:eastAsia="Times New Roman" w:hAnsi="Calibri" w:cs="Times New Roman"/>
                <w:color w:val="000000"/>
              </w:rPr>
            </w:pPr>
            <w:r w:rsidRPr="009169FA">
              <w:rPr>
                <w:rFonts w:ascii="Calibri" w:eastAsia="Times New Roman" w:hAnsi="Calibri" w:cs="Times New Roman"/>
                <w:color w:val="000000"/>
              </w:rPr>
              <w:t>9</w:t>
            </w:r>
          </w:p>
        </w:tc>
        <w:tc>
          <w:tcPr>
            <w:tcW w:w="709" w:type="dxa"/>
            <w:tcBorders>
              <w:top w:val="nil"/>
              <w:left w:val="nil"/>
              <w:bottom w:val="nil"/>
              <w:right w:val="nil"/>
            </w:tcBorders>
            <w:shd w:val="clear" w:color="D9D9D9" w:fill="D9D9D9"/>
            <w:noWrap/>
            <w:vAlign w:val="bottom"/>
            <w:hideMark/>
          </w:tcPr>
          <w:p w14:paraId="530B70DC" w14:textId="77777777" w:rsidR="009169FA" w:rsidRPr="009169FA" w:rsidRDefault="009169FA" w:rsidP="009169FA">
            <w:pPr>
              <w:jc w:val="right"/>
              <w:rPr>
                <w:rFonts w:ascii="Calibri" w:eastAsia="Times New Roman" w:hAnsi="Calibri" w:cs="Times New Roman"/>
                <w:color w:val="000000"/>
              </w:rPr>
            </w:pPr>
            <w:r w:rsidRPr="009169FA">
              <w:rPr>
                <w:rFonts w:ascii="Calibri" w:eastAsia="Times New Roman" w:hAnsi="Calibri" w:cs="Times New Roman"/>
                <w:color w:val="000000"/>
              </w:rPr>
              <w:t>8</w:t>
            </w:r>
          </w:p>
        </w:tc>
        <w:tc>
          <w:tcPr>
            <w:tcW w:w="850" w:type="dxa"/>
            <w:tcBorders>
              <w:top w:val="nil"/>
              <w:left w:val="nil"/>
              <w:bottom w:val="nil"/>
              <w:right w:val="nil"/>
            </w:tcBorders>
            <w:shd w:val="clear" w:color="D9D9D9" w:fill="D9D9D9"/>
            <w:noWrap/>
            <w:vAlign w:val="bottom"/>
            <w:hideMark/>
          </w:tcPr>
          <w:p w14:paraId="78F58907" w14:textId="77777777" w:rsidR="009169FA" w:rsidRPr="009169FA" w:rsidRDefault="009169FA" w:rsidP="009169FA">
            <w:pPr>
              <w:jc w:val="right"/>
              <w:rPr>
                <w:rFonts w:ascii="Calibri" w:eastAsia="Times New Roman" w:hAnsi="Calibri" w:cs="Times New Roman"/>
                <w:color w:val="000000"/>
              </w:rPr>
            </w:pPr>
            <w:r w:rsidRPr="009169FA">
              <w:rPr>
                <w:rFonts w:ascii="Calibri" w:eastAsia="Times New Roman" w:hAnsi="Calibri" w:cs="Times New Roman"/>
                <w:color w:val="000000"/>
              </w:rPr>
              <w:t>8</w:t>
            </w:r>
          </w:p>
        </w:tc>
        <w:tc>
          <w:tcPr>
            <w:tcW w:w="851" w:type="dxa"/>
            <w:tcBorders>
              <w:top w:val="nil"/>
              <w:left w:val="nil"/>
              <w:bottom w:val="nil"/>
              <w:right w:val="nil"/>
            </w:tcBorders>
            <w:shd w:val="clear" w:color="D9D9D9" w:fill="D9D9D9"/>
            <w:noWrap/>
            <w:vAlign w:val="bottom"/>
            <w:hideMark/>
          </w:tcPr>
          <w:p w14:paraId="7E96BAF7" w14:textId="77777777" w:rsidR="009169FA" w:rsidRPr="009169FA" w:rsidRDefault="009169FA" w:rsidP="009169FA">
            <w:pPr>
              <w:jc w:val="right"/>
              <w:rPr>
                <w:rFonts w:ascii="Calibri" w:eastAsia="Times New Roman" w:hAnsi="Calibri" w:cs="Times New Roman"/>
                <w:color w:val="000000"/>
              </w:rPr>
            </w:pPr>
            <w:r w:rsidRPr="009169FA">
              <w:rPr>
                <w:rFonts w:ascii="Calibri" w:eastAsia="Times New Roman" w:hAnsi="Calibri" w:cs="Times New Roman"/>
                <w:color w:val="000000"/>
              </w:rPr>
              <w:t>9</w:t>
            </w:r>
          </w:p>
        </w:tc>
        <w:tc>
          <w:tcPr>
            <w:tcW w:w="2602" w:type="dxa"/>
            <w:tcBorders>
              <w:top w:val="nil"/>
              <w:left w:val="nil"/>
              <w:bottom w:val="nil"/>
              <w:right w:val="nil"/>
            </w:tcBorders>
            <w:shd w:val="clear" w:color="D9D9D9" w:fill="D9D9D9"/>
            <w:noWrap/>
            <w:vAlign w:val="bottom"/>
            <w:hideMark/>
          </w:tcPr>
          <w:p w14:paraId="778F8572" w14:textId="77777777" w:rsidR="009169FA" w:rsidRPr="009169FA" w:rsidRDefault="009169FA" w:rsidP="009169FA">
            <w:pPr>
              <w:jc w:val="right"/>
              <w:rPr>
                <w:rFonts w:ascii="Calibri" w:eastAsia="Times New Roman" w:hAnsi="Calibri" w:cs="Times New Roman"/>
                <w:color w:val="000000"/>
              </w:rPr>
            </w:pPr>
            <w:r w:rsidRPr="009169FA">
              <w:rPr>
                <w:rFonts w:ascii="Calibri" w:eastAsia="Times New Roman" w:hAnsi="Calibri" w:cs="Times New Roman"/>
                <w:color w:val="000000"/>
              </w:rPr>
              <w:t>9</w:t>
            </w:r>
          </w:p>
        </w:tc>
      </w:tr>
      <w:tr w:rsidR="009169FA" w:rsidRPr="009169FA" w14:paraId="3A815807" w14:textId="77777777" w:rsidTr="009169FA">
        <w:trPr>
          <w:trHeight w:val="300"/>
        </w:trPr>
        <w:tc>
          <w:tcPr>
            <w:tcW w:w="3261" w:type="dxa"/>
            <w:tcBorders>
              <w:top w:val="nil"/>
              <w:left w:val="nil"/>
              <w:bottom w:val="single" w:sz="4" w:space="0" w:color="000000"/>
              <w:right w:val="nil"/>
            </w:tcBorders>
            <w:shd w:val="clear" w:color="auto" w:fill="auto"/>
            <w:noWrap/>
            <w:vAlign w:val="bottom"/>
            <w:hideMark/>
          </w:tcPr>
          <w:p w14:paraId="7B139886" w14:textId="77777777" w:rsidR="009169FA" w:rsidRPr="009169FA" w:rsidRDefault="009169FA" w:rsidP="009169FA">
            <w:pPr>
              <w:rPr>
                <w:rFonts w:ascii="Calibri" w:eastAsia="Times New Roman" w:hAnsi="Calibri" w:cs="Times New Roman"/>
                <w:color w:val="000000"/>
              </w:rPr>
            </w:pPr>
            <w:r w:rsidRPr="009169FA">
              <w:rPr>
                <w:rFonts w:ascii="Calibri" w:eastAsia="Times New Roman" w:hAnsi="Calibri" w:cs="Times New Roman"/>
                <w:color w:val="000000"/>
              </w:rPr>
              <w:t>Netto Schuld/ Eigen vermogen (+ netto schuld)</w:t>
            </w:r>
          </w:p>
        </w:tc>
        <w:tc>
          <w:tcPr>
            <w:tcW w:w="992" w:type="dxa"/>
            <w:tcBorders>
              <w:top w:val="nil"/>
              <w:left w:val="nil"/>
              <w:bottom w:val="single" w:sz="4" w:space="0" w:color="000000"/>
              <w:right w:val="nil"/>
            </w:tcBorders>
            <w:shd w:val="clear" w:color="auto" w:fill="auto"/>
            <w:noWrap/>
            <w:vAlign w:val="bottom"/>
            <w:hideMark/>
          </w:tcPr>
          <w:p w14:paraId="39CF3E6C" w14:textId="77777777" w:rsidR="009169FA" w:rsidRPr="009169FA" w:rsidRDefault="009169FA" w:rsidP="009169FA">
            <w:pPr>
              <w:jc w:val="right"/>
              <w:rPr>
                <w:rFonts w:ascii="Calibri" w:eastAsia="Times New Roman" w:hAnsi="Calibri" w:cs="Times New Roman"/>
                <w:color w:val="000000"/>
              </w:rPr>
            </w:pPr>
            <w:r w:rsidRPr="009169FA">
              <w:rPr>
                <w:rFonts w:ascii="Calibri" w:eastAsia="Times New Roman" w:hAnsi="Calibri" w:cs="Times New Roman"/>
                <w:color w:val="000000"/>
              </w:rPr>
              <w:t>8</w:t>
            </w:r>
          </w:p>
        </w:tc>
        <w:tc>
          <w:tcPr>
            <w:tcW w:w="709" w:type="dxa"/>
            <w:tcBorders>
              <w:top w:val="nil"/>
              <w:left w:val="nil"/>
              <w:bottom w:val="single" w:sz="4" w:space="0" w:color="000000"/>
              <w:right w:val="nil"/>
            </w:tcBorders>
            <w:shd w:val="clear" w:color="auto" w:fill="auto"/>
            <w:noWrap/>
            <w:vAlign w:val="bottom"/>
            <w:hideMark/>
          </w:tcPr>
          <w:p w14:paraId="5E9A84E2" w14:textId="77777777" w:rsidR="009169FA" w:rsidRPr="009169FA" w:rsidRDefault="009169FA" w:rsidP="009169FA">
            <w:pPr>
              <w:jc w:val="right"/>
              <w:rPr>
                <w:rFonts w:ascii="Calibri" w:eastAsia="Times New Roman" w:hAnsi="Calibri" w:cs="Times New Roman"/>
                <w:color w:val="000000"/>
              </w:rPr>
            </w:pPr>
            <w:r w:rsidRPr="009169FA">
              <w:rPr>
                <w:rFonts w:ascii="Calibri" w:eastAsia="Times New Roman" w:hAnsi="Calibri" w:cs="Times New Roman"/>
                <w:color w:val="000000"/>
              </w:rPr>
              <w:t>7</w:t>
            </w:r>
          </w:p>
        </w:tc>
        <w:tc>
          <w:tcPr>
            <w:tcW w:w="850" w:type="dxa"/>
            <w:tcBorders>
              <w:top w:val="nil"/>
              <w:left w:val="nil"/>
              <w:bottom w:val="single" w:sz="4" w:space="0" w:color="000000"/>
              <w:right w:val="nil"/>
            </w:tcBorders>
            <w:shd w:val="clear" w:color="auto" w:fill="auto"/>
            <w:noWrap/>
            <w:vAlign w:val="bottom"/>
            <w:hideMark/>
          </w:tcPr>
          <w:p w14:paraId="68E8AF29" w14:textId="77777777" w:rsidR="009169FA" w:rsidRPr="009169FA" w:rsidRDefault="009169FA" w:rsidP="009169FA">
            <w:pPr>
              <w:jc w:val="right"/>
              <w:rPr>
                <w:rFonts w:ascii="Calibri" w:eastAsia="Times New Roman" w:hAnsi="Calibri" w:cs="Times New Roman"/>
                <w:color w:val="000000"/>
              </w:rPr>
            </w:pPr>
            <w:r w:rsidRPr="009169FA">
              <w:rPr>
                <w:rFonts w:ascii="Calibri" w:eastAsia="Times New Roman" w:hAnsi="Calibri" w:cs="Times New Roman"/>
                <w:color w:val="000000"/>
              </w:rPr>
              <w:t>7</w:t>
            </w:r>
          </w:p>
        </w:tc>
        <w:tc>
          <w:tcPr>
            <w:tcW w:w="851" w:type="dxa"/>
            <w:tcBorders>
              <w:top w:val="nil"/>
              <w:left w:val="nil"/>
              <w:bottom w:val="single" w:sz="4" w:space="0" w:color="000000"/>
              <w:right w:val="nil"/>
            </w:tcBorders>
            <w:shd w:val="clear" w:color="auto" w:fill="auto"/>
            <w:noWrap/>
            <w:vAlign w:val="bottom"/>
            <w:hideMark/>
          </w:tcPr>
          <w:p w14:paraId="4194A8A9" w14:textId="77777777" w:rsidR="009169FA" w:rsidRPr="009169FA" w:rsidRDefault="009169FA" w:rsidP="009169FA">
            <w:pPr>
              <w:jc w:val="right"/>
              <w:rPr>
                <w:rFonts w:ascii="Calibri" w:eastAsia="Times New Roman" w:hAnsi="Calibri" w:cs="Times New Roman"/>
                <w:color w:val="000000"/>
              </w:rPr>
            </w:pPr>
            <w:r w:rsidRPr="009169FA">
              <w:rPr>
                <w:rFonts w:ascii="Calibri" w:eastAsia="Times New Roman" w:hAnsi="Calibri" w:cs="Times New Roman"/>
                <w:color w:val="000000"/>
              </w:rPr>
              <w:t>7</w:t>
            </w:r>
          </w:p>
        </w:tc>
        <w:tc>
          <w:tcPr>
            <w:tcW w:w="2602" w:type="dxa"/>
            <w:tcBorders>
              <w:top w:val="nil"/>
              <w:left w:val="nil"/>
              <w:bottom w:val="single" w:sz="4" w:space="0" w:color="000000"/>
              <w:right w:val="nil"/>
            </w:tcBorders>
            <w:shd w:val="clear" w:color="auto" w:fill="auto"/>
            <w:noWrap/>
            <w:vAlign w:val="bottom"/>
            <w:hideMark/>
          </w:tcPr>
          <w:p w14:paraId="7F174364" w14:textId="77777777" w:rsidR="009169FA" w:rsidRPr="009169FA" w:rsidRDefault="009169FA" w:rsidP="009169FA">
            <w:pPr>
              <w:jc w:val="right"/>
              <w:rPr>
                <w:rFonts w:ascii="Calibri" w:eastAsia="Times New Roman" w:hAnsi="Calibri" w:cs="Times New Roman"/>
                <w:color w:val="000000"/>
              </w:rPr>
            </w:pPr>
            <w:r w:rsidRPr="009169FA">
              <w:rPr>
                <w:rFonts w:ascii="Calibri" w:eastAsia="Times New Roman" w:hAnsi="Calibri" w:cs="Times New Roman"/>
                <w:color w:val="000000"/>
              </w:rPr>
              <w:t>7</w:t>
            </w:r>
          </w:p>
        </w:tc>
      </w:tr>
    </w:tbl>
    <w:p w14:paraId="28D90C54" w14:textId="77777777" w:rsidR="006654C6" w:rsidRDefault="006654C6" w:rsidP="006569B4">
      <w:pPr>
        <w:spacing w:line="360" w:lineRule="auto"/>
        <w:rPr>
          <w:b/>
        </w:rPr>
      </w:pPr>
    </w:p>
    <w:p w14:paraId="560CB3A4" w14:textId="3B05C3DB" w:rsidR="00B603C9" w:rsidRPr="00253740" w:rsidRDefault="009169FA" w:rsidP="006569B4">
      <w:pPr>
        <w:spacing w:line="360" w:lineRule="auto"/>
      </w:pPr>
      <w:r>
        <w:t>Ook hier is de toepassing consistent te noemen en zijn de bedrijven die de ratio’s gebruiken overeenkomend door de jaren heen.</w:t>
      </w:r>
    </w:p>
    <w:p w14:paraId="405478D7" w14:textId="77777777" w:rsidR="00B603C9" w:rsidRDefault="00B603C9" w:rsidP="006569B4">
      <w:pPr>
        <w:spacing w:line="360" w:lineRule="auto"/>
        <w:rPr>
          <w:b/>
        </w:rPr>
      </w:pPr>
    </w:p>
    <w:p w14:paraId="0F265B70" w14:textId="7CA84CE5" w:rsidR="00B603C9" w:rsidRPr="002173B0" w:rsidRDefault="009169FA" w:rsidP="006569B4">
      <w:pPr>
        <w:spacing w:line="360" w:lineRule="auto"/>
        <w:rPr>
          <w:i/>
        </w:rPr>
      </w:pPr>
      <w:r>
        <w:rPr>
          <w:i/>
        </w:rPr>
        <w:t>Onderliggend resultaat</w:t>
      </w:r>
    </w:p>
    <w:p w14:paraId="69787C61" w14:textId="5F9ADC02" w:rsidR="00CE02C9" w:rsidRDefault="006C6653" w:rsidP="006569B4">
      <w:pPr>
        <w:spacing w:line="360" w:lineRule="auto"/>
      </w:pPr>
      <w:r>
        <w:t xml:space="preserve">Bij het onderliggend resultaat geen verrassende uitkomsten. De resultaten staan in tabel 18 en </w:t>
      </w:r>
      <w:r w:rsidR="005F6A36">
        <w:t xml:space="preserve">in vergelijking </w:t>
      </w:r>
      <w:r>
        <w:t xml:space="preserve">met 2014 zijn geen ondernemingen toegevoegd.  </w:t>
      </w:r>
      <w:r w:rsidR="005F6A36">
        <w:t>É</w:t>
      </w:r>
      <w:r>
        <w:t>én onderneming heeft voor 2014 geen onderliggend resultaat vermeld en één onderneming heeft voor 2012 geen onderliggend resultaat vermeld. Buiten deze twee ondernemingen is het gebruik van de indicator onderliggend resultaat consistent. Doordat in 2012 en in 2014 één onderneming meer gebruik maakte van deze indicator is de toepassing dus toegenomen. Dit zou een minuscule trend kunnen zijn, maar waarschijnlijk is dit geen significante toename.</w:t>
      </w:r>
    </w:p>
    <w:p w14:paraId="4D8E95A7" w14:textId="47648C24" w:rsidR="00B603C9" w:rsidRPr="002173B0" w:rsidRDefault="006C6653" w:rsidP="002173B0">
      <w:pPr>
        <w:pStyle w:val="Heading2"/>
        <w:spacing w:line="360" w:lineRule="auto"/>
      </w:pPr>
      <w:bookmarkStart w:id="24" w:name="_Toc425524025"/>
      <w:r>
        <w:t>4.4 Conclusie</w:t>
      </w:r>
      <w:bookmarkEnd w:id="24"/>
    </w:p>
    <w:p w14:paraId="521FD3CB" w14:textId="4CEB6784" w:rsidR="00EF440E" w:rsidRDefault="00550EE1" w:rsidP="006569B4">
      <w:pPr>
        <w:spacing w:line="360" w:lineRule="auto"/>
      </w:pPr>
      <w:r>
        <w:t>Uit alle resultaten is de belangri</w:t>
      </w:r>
      <w:r w:rsidR="00EF440E">
        <w:t>jkste conclusie dat 23 van de 24</w:t>
      </w:r>
      <w:r>
        <w:t xml:space="preserve"> behandelde ondernemingen gebruik maken van alternatieve prestatie indicatoren. Dit geeft aan dat </w:t>
      </w:r>
      <w:r w:rsidR="00EF440E">
        <w:t xml:space="preserve">het een veelbesproken onderwerp is met een reden. </w:t>
      </w:r>
    </w:p>
    <w:p w14:paraId="7C733FEC" w14:textId="5FFDCDFD" w:rsidR="00550EE1" w:rsidRDefault="00EF440E" w:rsidP="006569B4">
      <w:pPr>
        <w:spacing w:line="360" w:lineRule="auto"/>
      </w:pPr>
      <w:r>
        <w:t xml:space="preserve">Het vermelden van de indicatoren gebeurt niet overal </w:t>
      </w:r>
      <w:r w:rsidR="005F6A36">
        <w:t xml:space="preserve">op dezelfde manier </w:t>
      </w:r>
      <w:r>
        <w:t>en ook binnen dit onderzoek is onderscheid gemaakt. Eerst is onderzocht welke bedrijven zelf al aangeven of ze gebruik maken van de Non-GAAP indicatoren. De helft van de ondernemingen geeft zelf al aan gebruik te maken van de alternatieve indicatoren. Bij deze vermelding geven de ondernemingen aan dat het gaat om Non-GAAP indicatoren die de volgens IFRS voorgeschreven indicatoren niet vervangen maar alleen zorgen voor een duidelijker beeld van de financiële situatie.</w:t>
      </w:r>
      <w:r w:rsidR="00EE5961">
        <w:t xml:space="preserve"> Vervolgens is gekeken naar de afgelopen jaren en hieruit blijkt dat het vermelden van het gebruik van alternatieve indicatoren consistent wordt toegepast, maar van een trend in het vermelden is geen sprake.</w:t>
      </w:r>
    </w:p>
    <w:p w14:paraId="0EEC2D8F" w14:textId="373CA2A6" w:rsidR="00EE5961" w:rsidRDefault="00EE5961" w:rsidP="006569B4">
      <w:pPr>
        <w:spacing w:line="360" w:lineRule="auto"/>
      </w:pPr>
      <w:r>
        <w:t xml:space="preserve">Nadat gekeken is welke ondernemingen het zelf vermelden, </w:t>
      </w:r>
      <w:r w:rsidR="00DA1957">
        <w:t xml:space="preserve">is </w:t>
      </w:r>
      <w:r>
        <w:t xml:space="preserve">onderzocht </w:t>
      </w:r>
      <w:r w:rsidR="00AF7B71">
        <w:t>binnen de winst-en-verliesrekening welke alternatieve indicatoren vermeld worden</w:t>
      </w:r>
      <w:r>
        <w:t>.</w:t>
      </w:r>
      <w:r w:rsidR="00AF7B71">
        <w:t xml:space="preserve"> Uit een vergelijking tussen tabel 6 en de winst-en-verliesrekening van de ondernemingen </w:t>
      </w:r>
      <w:r>
        <w:t xml:space="preserve">kwamen twee indicatoren naar voor: ‘Diluted’ winst per aandeel en het dividend per aandeel. De ‘diluted’ winst per aandeel kwam in 19 van de 24 ondernemingen terug, terwijl het dividend per aandeel door 11 ondernemingen vermeld wordt.  In het geval van de ‘diluted’ winst per aandeel is de toepassing consistent maar geen sprake van een trend. In de jaren 2010 tot en met 2013 is bij het dividend per aandeel wel een lichte stijging geweest, maar doordat </w:t>
      </w:r>
      <w:r w:rsidR="00AF7B71">
        <w:t>in 2014 het aantal gelijk is gebleven is van een trend geen sprake.</w:t>
      </w:r>
    </w:p>
    <w:p w14:paraId="6E7EE631" w14:textId="4BFD6621" w:rsidR="00AF7B71" w:rsidRDefault="00AF7B71" w:rsidP="006569B4">
      <w:pPr>
        <w:spacing w:line="360" w:lineRule="auto"/>
      </w:pPr>
      <w:r>
        <w:t>Buiten de winst-en-verliesrekening is gekozen voor vastgestelde indicatoren. Deze indicatoren zijn volgens eerder onderzoek het meest nuttig voor de gebruiker</w:t>
      </w:r>
      <w:r w:rsidR="00254354">
        <w:t xml:space="preserve"> </w:t>
      </w:r>
      <w:r w:rsidR="00254354">
        <w:fldChar w:fldCharType="begin"/>
      </w:r>
      <w:r w:rsidR="00254354">
        <w:instrText xml:space="preserve"> ADDIN EN.CITE &lt;EndNote&gt;&lt;Cite&gt;&lt;Author&gt;AFM&lt;/Author&gt;&lt;Year&gt;2014&lt;/Year&gt;&lt;IDText&gt;Alternatieve financiële prestatie-indicatoren: Toezicht | Kwaliteit Accountantscontrole &amp;amp; Verslaggeving&lt;/IDText&gt;&lt;DisplayText&gt;(AFM, 2014)&lt;/DisplayText&gt;&lt;record&gt;&lt;dates&gt;&lt;pub-dates&gt;&lt;date&gt;April&lt;/date&gt;&lt;/pub-dates&gt;&lt;year&gt;2014&lt;/year&gt;&lt;/dates&gt;&lt;titles&gt;&lt;title&gt;Alternatieve financiële prestatie-indicatoren: Toezicht | Kwaliteit Accountantscontrole &amp;amp; Verslaggeving&lt;/title&gt;&lt;short-title&gt;Alternatieve financiële prestatie-indicatoren: Toezicht | Kwaliteit Accountantscontrole &amp;amp; Verslaggeving&lt;/short-title&gt;&lt;/titles&gt;&lt;pages&gt;17&lt;/pages&gt;&lt;urls&gt;&lt;pdf-urls&gt;&lt;url&gt;internal-pdf://1967513926/alternatieve-fin-prestatie-indicatoren.pdf&lt;/url&gt;&lt;/pdf-urls&gt;&lt;/urls&gt;&lt;contributors&gt;&lt;authors&gt;&lt;author&gt;AFM&lt;/author&gt;&lt;/authors&gt;&lt;/contributors&gt;&lt;added-date format="utc"&gt;1437391333&lt;/added-date&gt;&lt;pub-location&gt;Amsterdam&lt;/pub-location&gt;&lt;ref-type name="Report"&gt;27&lt;/ref-type&gt;&lt;rec-number&gt;1&lt;/rec-number&gt;&lt;last-updated-date format="utc"&gt;1437391333&lt;/last-updated-date&gt;&lt;/record&gt;&lt;/Cite&gt;&lt;/EndNote&gt;</w:instrText>
      </w:r>
      <w:r w:rsidR="00254354">
        <w:fldChar w:fldCharType="separate"/>
      </w:r>
      <w:r w:rsidR="00254354">
        <w:rPr>
          <w:noProof/>
        </w:rPr>
        <w:t>(AFM, 2014)</w:t>
      </w:r>
      <w:r w:rsidR="00254354">
        <w:fldChar w:fldCharType="end"/>
      </w:r>
      <w:r>
        <w:t>. De vastgestelde indicatoren zijn de Autonome groei, de netto schuldpositie en het onderliggende resultaat.</w:t>
      </w:r>
    </w:p>
    <w:p w14:paraId="2213FC7A" w14:textId="00C3CB11" w:rsidR="00AF7B71" w:rsidRDefault="00AF7B71" w:rsidP="006569B4">
      <w:pPr>
        <w:spacing w:line="360" w:lineRule="auto"/>
      </w:pPr>
      <w:r>
        <w:t>De Autonome groei</w:t>
      </w:r>
      <w:r w:rsidR="00015AFE">
        <w:t xml:space="preserve"> is de groei van een onderneming die zelfstandig wordt behaald. Deze indicator</w:t>
      </w:r>
      <w:r>
        <w:t xml:space="preserve"> wordt door slechts 6 ondernemingen vermeld en heeft de afgelopen jaren ook geen consistente vermelding gekregen door de ondernemingen. De oorzaak hiervan kan zijn dat ondernemingen geen negatieve signalen willen afgeven. Opvallend in het onderzoek naar de trend is dat de ondernemingen die de indicatoren wel consistent vermelden, ook negatieve groeicijfers vermelden.</w:t>
      </w:r>
    </w:p>
    <w:p w14:paraId="7883A977" w14:textId="3534E5C6" w:rsidR="00AF7B71" w:rsidRDefault="00AF7B71" w:rsidP="006569B4">
      <w:pPr>
        <w:spacing w:line="360" w:lineRule="auto"/>
      </w:pPr>
      <w:r>
        <w:t>De netto schuldpositie wordt in tegenstelling tot de autonome groei vaak vermeld.</w:t>
      </w:r>
      <w:r w:rsidR="00015AFE">
        <w:t xml:space="preserve"> De netto schuld is alle rentedragende schulden minus de liquide </w:t>
      </w:r>
      <w:r w:rsidR="00DA2D1C">
        <w:t>middelen</w:t>
      </w:r>
      <w:r w:rsidR="00015AFE">
        <w:t>.</w:t>
      </w:r>
      <w:r>
        <w:t xml:space="preserve"> 18 van de 24 ondernemingen plaatsen de netto schuld in de jaarrekening. De netto schuld wordt regelmatig samen vermeld met ratio’s als netto schuld gedeeld door het eigen vermogen of EBITDA. Deze ratio’s geven de solvabiliteit weer v</w:t>
      </w:r>
      <w:r w:rsidR="00015AFE">
        <w:t>an een onderneming. Het vermelden van zowel de netto schuld als de ratio’s gebeurt zeer consistent en ook hier is geen sprake van een trend.</w:t>
      </w:r>
    </w:p>
    <w:p w14:paraId="778B9F87" w14:textId="2DAB7298" w:rsidR="00015AFE" w:rsidRPr="00550EE1" w:rsidRDefault="00015AFE" w:rsidP="006569B4">
      <w:pPr>
        <w:spacing w:line="360" w:lineRule="auto"/>
      </w:pPr>
      <w:r>
        <w:t xml:space="preserve">Het onderliggend resultaat is een aangepaste versie </w:t>
      </w:r>
      <w:r w:rsidR="009322D0">
        <w:t xml:space="preserve">van </w:t>
      </w:r>
      <w:r>
        <w:t>het resultaat. Meestal is de aanpassing zo dat het resultaat onafhankelijk is van variabele marktfactoren en inkomen buiten de normale bedrijfsvoering, waardoor het voor gebruikers makkelijk te zien is hoe de onderneming zelf presteert. 10 ondernemingen vermelden deze indicator en dit is een lichte stijging ten opzichte van 2011.</w:t>
      </w:r>
    </w:p>
    <w:p w14:paraId="721009D2" w14:textId="77777777" w:rsidR="00B603C9" w:rsidRDefault="00B603C9" w:rsidP="006569B4">
      <w:pPr>
        <w:spacing w:line="360" w:lineRule="auto"/>
        <w:rPr>
          <w:b/>
        </w:rPr>
      </w:pPr>
    </w:p>
    <w:p w14:paraId="6C55BB8A" w14:textId="77777777" w:rsidR="00B603C9" w:rsidRDefault="00B603C9" w:rsidP="006569B4">
      <w:pPr>
        <w:spacing w:line="360" w:lineRule="auto"/>
        <w:rPr>
          <w:b/>
        </w:rPr>
      </w:pPr>
    </w:p>
    <w:p w14:paraId="1D0CA38F" w14:textId="77777777" w:rsidR="00AF0C50" w:rsidRDefault="00AF0C50" w:rsidP="006569B4">
      <w:pPr>
        <w:spacing w:line="360" w:lineRule="auto"/>
        <w:rPr>
          <w:b/>
        </w:rPr>
      </w:pPr>
    </w:p>
    <w:p w14:paraId="6AC9A537" w14:textId="77777777" w:rsidR="00015AFE" w:rsidRDefault="00015AFE" w:rsidP="006569B4">
      <w:pPr>
        <w:spacing w:line="360" w:lineRule="auto"/>
        <w:rPr>
          <w:b/>
        </w:rPr>
      </w:pPr>
    </w:p>
    <w:p w14:paraId="315C3311" w14:textId="77777777" w:rsidR="00DC5042" w:rsidRDefault="00DC5042" w:rsidP="006569B4">
      <w:pPr>
        <w:spacing w:line="360" w:lineRule="auto"/>
        <w:rPr>
          <w:b/>
        </w:rPr>
      </w:pPr>
    </w:p>
    <w:p w14:paraId="582D7691" w14:textId="77777777" w:rsidR="006654C6" w:rsidRDefault="006654C6" w:rsidP="006569B4">
      <w:pPr>
        <w:spacing w:line="360" w:lineRule="auto"/>
        <w:rPr>
          <w:b/>
        </w:rPr>
      </w:pPr>
    </w:p>
    <w:p w14:paraId="632A86BE" w14:textId="77777777" w:rsidR="006654C6" w:rsidRDefault="006654C6" w:rsidP="006569B4">
      <w:pPr>
        <w:spacing w:line="360" w:lineRule="auto"/>
        <w:rPr>
          <w:b/>
        </w:rPr>
      </w:pPr>
    </w:p>
    <w:p w14:paraId="718020B4" w14:textId="77777777" w:rsidR="006654C6" w:rsidRDefault="006654C6" w:rsidP="006569B4">
      <w:pPr>
        <w:spacing w:line="360" w:lineRule="auto"/>
        <w:rPr>
          <w:b/>
        </w:rPr>
      </w:pPr>
    </w:p>
    <w:p w14:paraId="5B7398FE" w14:textId="77777777" w:rsidR="006654C6" w:rsidRDefault="006654C6" w:rsidP="006569B4">
      <w:pPr>
        <w:spacing w:line="360" w:lineRule="auto"/>
        <w:rPr>
          <w:b/>
        </w:rPr>
      </w:pPr>
    </w:p>
    <w:p w14:paraId="7CC12EFF" w14:textId="77777777" w:rsidR="006654C6" w:rsidRDefault="006654C6" w:rsidP="006569B4">
      <w:pPr>
        <w:spacing w:line="360" w:lineRule="auto"/>
        <w:rPr>
          <w:b/>
        </w:rPr>
      </w:pPr>
    </w:p>
    <w:p w14:paraId="1A34EDF7" w14:textId="77777777" w:rsidR="006654C6" w:rsidRDefault="006654C6" w:rsidP="006569B4">
      <w:pPr>
        <w:spacing w:line="360" w:lineRule="auto"/>
        <w:rPr>
          <w:b/>
        </w:rPr>
      </w:pPr>
    </w:p>
    <w:p w14:paraId="7B99E3FC" w14:textId="77777777" w:rsidR="006654C6" w:rsidRDefault="006654C6" w:rsidP="006569B4">
      <w:pPr>
        <w:spacing w:line="360" w:lineRule="auto"/>
        <w:rPr>
          <w:b/>
        </w:rPr>
      </w:pPr>
    </w:p>
    <w:p w14:paraId="59CC30C8" w14:textId="77777777" w:rsidR="006654C6" w:rsidRDefault="006654C6" w:rsidP="006569B4">
      <w:pPr>
        <w:spacing w:line="360" w:lineRule="auto"/>
        <w:rPr>
          <w:b/>
        </w:rPr>
      </w:pPr>
    </w:p>
    <w:p w14:paraId="09785AC7" w14:textId="77777777" w:rsidR="006654C6" w:rsidRDefault="006654C6" w:rsidP="006569B4">
      <w:pPr>
        <w:spacing w:line="360" w:lineRule="auto"/>
        <w:rPr>
          <w:b/>
        </w:rPr>
      </w:pPr>
    </w:p>
    <w:p w14:paraId="693F29E8" w14:textId="77777777" w:rsidR="006654C6" w:rsidRDefault="006654C6" w:rsidP="006569B4">
      <w:pPr>
        <w:spacing w:line="360" w:lineRule="auto"/>
        <w:rPr>
          <w:b/>
        </w:rPr>
      </w:pPr>
    </w:p>
    <w:p w14:paraId="77611166" w14:textId="77777777" w:rsidR="002173B0" w:rsidRDefault="002173B0" w:rsidP="006569B4">
      <w:pPr>
        <w:spacing w:line="360" w:lineRule="auto"/>
        <w:rPr>
          <w:b/>
        </w:rPr>
      </w:pPr>
    </w:p>
    <w:p w14:paraId="61E56B77" w14:textId="77777777" w:rsidR="002173B0" w:rsidRDefault="002173B0" w:rsidP="006569B4">
      <w:pPr>
        <w:spacing w:line="360" w:lineRule="auto"/>
        <w:rPr>
          <w:b/>
        </w:rPr>
      </w:pPr>
    </w:p>
    <w:p w14:paraId="3958A659" w14:textId="77777777" w:rsidR="002173B0" w:rsidRDefault="002173B0" w:rsidP="006569B4">
      <w:pPr>
        <w:spacing w:line="360" w:lineRule="auto"/>
        <w:rPr>
          <w:b/>
        </w:rPr>
      </w:pPr>
    </w:p>
    <w:p w14:paraId="18F27050" w14:textId="77777777" w:rsidR="002173B0" w:rsidRDefault="002173B0" w:rsidP="006569B4">
      <w:pPr>
        <w:spacing w:line="360" w:lineRule="auto"/>
        <w:rPr>
          <w:b/>
        </w:rPr>
      </w:pPr>
    </w:p>
    <w:p w14:paraId="27CB6795" w14:textId="77777777" w:rsidR="002173B0" w:rsidRDefault="002173B0" w:rsidP="006569B4">
      <w:pPr>
        <w:spacing w:line="360" w:lineRule="auto"/>
        <w:rPr>
          <w:b/>
        </w:rPr>
      </w:pPr>
    </w:p>
    <w:p w14:paraId="37378A2A" w14:textId="77777777" w:rsidR="006654C6" w:rsidRDefault="006654C6" w:rsidP="006569B4">
      <w:pPr>
        <w:spacing w:line="360" w:lineRule="auto"/>
        <w:rPr>
          <w:b/>
        </w:rPr>
      </w:pPr>
    </w:p>
    <w:p w14:paraId="00DC7AF9" w14:textId="77777777" w:rsidR="006654C6" w:rsidRDefault="006654C6" w:rsidP="006569B4">
      <w:pPr>
        <w:spacing w:line="360" w:lineRule="auto"/>
        <w:rPr>
          <w:b/>
        </w:rPr>
      </w:pPr>
    </w:p>
    <w:p w14:paraId="1387179E" w14:textId="39B85378" w:rsidR="00DC5042" w:rsidRPr="00DA2D1C" w:rsidRDefault="00DC5042" w:rsidP="006654C6">
      <w:pPr>
        <w:pStyle w:val="Heading1"/>
        <w:tabs>
          <w:tab w:val="left" w:pos="1980"/>
        </w:tabs>
        <w:spacing w:line="360" w:lineRule="auto"/>
      </w:pPr>
      <w:bookmarkStart w:id="25" w:name="_Toc425524026"/>
      <w:r w:rsidRPr="00DA2D1C">
        <w:t xml:space="preserve">Hoofdstuk 5: </w:t>
      </w:r>
      <w:r w:rsidR="001A38C8">
        <w:t>Motieven</w:t>
      </w:r>
      <w:r w:rsidRPr="00DA2D1C">
        <w:t xml:space="preserve"> </w:t>
      </w:r>
      <w:r w:rsidR="001C5BEB">
        <w:t>&amp; Verband</w:t>
      </w:r>
      <w:bookmarkEnd w:id="25"/>
    </w:p>
    <w:p w14:paraId="6CA60210" w14:textId="415193A6" w:rsidR="00DC5042" w:rsidRPr="002173B0" w:rsidRDefault="00DC5042" w:rsidP="002173B0">
      <w:pPr>
        <w:pStyle w:val="Heading2"/>
        <w:spacing w:line="360" w:lineRule="auto"/>
      </w:pPr>
      <w:bookmarkStart w:id="26" w:name="_Toc425524027"/>
      <w:r>
        <w:t>5.1 Inleiding</w:t>
      </w:r>
      <w:bookmarkEnd w:id="26"/>
    </w:p>
    <w:p w14:paraId="6DFB6BDA" w14:textId="6C896D76" w:rsidR="000248D9" w:rsidRDefault="00467B13" w:rsidP="006569B4">
      <w:pPr>
        <w:spacing w:line="360" w:lineRule="auto"/>
      </w:pPr>
      <w:r>
        <w:t xml:space="preserve">In het vorige hoofdstuk is gebleken dat bijna alle ondernemingen alternatieve indicatoren vermelden in de jaarrekening. Dit is niet verplicht volgens de wet en regelgeving waardoor andere motieven een rol spelen. In dit hoofdstuk wordt onderzocht of de ondernemingen motieven geven voor het gebruik van alternatieve indicatoren en wat deze motieven zijn. Buiten de redeneringen van de ondernemingen kunnen nog meer theorieën een rol spelen. In  </w:t>
      </w:r>
      <w:r w:rsidR="000248D9">
        <w:t>hoofdstuk</w:t>
      </w:r>
      <w:r w:rsidR="001C5BEB">
        <w:t xml:space="preserve"> 2</w:t>
      </w:r>
      <w:r>
        <w:t xml:space="preserve"> </w:t>
      </w:r>
      <w:r w:rsidR="001C5BEB">
        <w:t>is</w:t>
      </w:r>
      <w:r>
        <w:t xml:space="preserve"> </w:t>
      </w:r>
      <w:r w:rsidR="007238B8">
        <w:t>de theorie van het institutioneel isomorfisme</w:t>
      </w:r>
      <w:r w:rsidR="00224E71">
        <w:t xml:space="preserve"> van Dimaggio &amp; Powell </w:t>
      </w:r>
      <w:r w:rsidR="00224E71">
        <w:fldChar w:fldCharType="begin"/>
      </w:r>
      <w:r w:rsidR="00224E71">
        <w:instrText xml:space="preserve"> ADDIN EN.CITE &lt;EndNote&gt;&lt;Cite&gt;&lt;Author&gt;DiMaggio&lt;/Author&gt;&lt;Year&gt;1983&lt;/Year&gt;&lt;IDText&gt;The Iron Cage Revisited: Institutional Isomorphism and Collective Rationality in Organizational Fields&lt;/IDText&gt;&lt;DisplayText&gt;(DiMaggio &amp;amp; Powell, 1983)&lt;/DisplayText&gt;&lt;record&gt;&lt;urls&gt;&lt;related-urls&gt;&lt;url&gt;http://www.jstor.org/stable/2095101&lt;/url&gt;&lt;/related-urls&gt;&lt;/urls&gt;&lt;isbn&gt;00031224&lt;/isbn&gt;&lt;titles&gt;&lt;title&gt;The Iron Cage Revisited: Institutional Isomorphism and Collective Rationality in Organizational Fields&lt;/title&gt;&lt;secondary-title&gt;American Sociological Review&lt;/secondary-title&gt;&lt;short-title&gt;The Iron Cage Revisited: Institutional Isomorphism and Collective Rationality in Organizational Fields&lt;/short-title&gt;&lt;/titles&gt;&lt;pages&gt;147-160&lt;/pages&gt;&lt;number&gt;2&lt;/number&gt;&lt;contributors&gt;&lt;authors&gt;&lt;author&gt;DiMaggio, Paul J.&lt;/author&gt;&lt;author&gt;Powell, Walter W.&lt;/author&gt;&lt;/authors&gt;&lt;/contributors&gt;&lt;added-date format="utc"&gt;1437391333&lt;/added-date&gt;&lt;ref-type name="Journal Article"&gt;17&lt;/ref-type&gt;&lt;dates&gt;&lt;year&gt;1983&lt;/year&gt;&lt;/dates&gt;&lt;rec-number&gt;9&lt;/rec-number&gt;&lt;last-updated-date format="utc"&gt;1437391333&lt;/last-updated-date&gt;&lt;electronic-resource-num&gt;10.2307/2095101&lt;/electronic-resource-num&gt;&lt;volume&gt;48&lt;/volume&gt;&lt;/record&gt;&lt;/Cite&gt;&lt;/EndNote&gt;</w:instrText>
      </w:r>
      <w:r w:rsidR="00224E71">
        <w:fldChar w:fldCharType="separate"/>
      </w:r>
      <w:r w:rsidR="00224E71">
        <w:rPr>
          <w:noProof/>
        </w:rPr>
        <w:t>(DiMaggio &amp; Powell, 1983)</w:t>
      </w:r>
      <w:r w:rsidR="00224E71">
        <w:fldChar w:fldCharType="end"/>
      </w:r>
      <w:r w:rsidR="007238B8">
        <w:t xml:space="preserve"> </w:t>
      </w:r>
      <w:r w:rsidR="000248D9">
        <w:t xml:space="preserve">besproken en </w:t>
      </w:r>
      <w:r w:rsidR="001C5BEB">
        <w:t xml:space="preserve">in dit hoofdstuk </w:t>
      </w:r>
      <w:r w:rsidR="000248D9">
        <w:t>wordt onderzocht of deze theorie toepasbaar is op het gebruik</w:t>
      </w:r>
      <w:r w:rsidR="0093525E">
        <w:t xml:space="preserve"> van alternatieve indicatoren</w:t>
      </w:r>
      <w:r w:rsidR="007238B8">
        <w:t xml:space="preserve"> en vooral de motieven</w:t>
      </w:r>
      <w:r w:rsidR="000248D9">
        <w:t xml:space="preserve"> van alternatieve indicatoren. </w:t>
      </w:r>
    </w:p>
    <w:p w14:paraId="0550F3A5" w14:textId="77777777" w:rsidR="0093525E" w:rsidRDefault="000248D9" w:rsidP="0093525E">
      <w:pPr>
        <w:spacing w:line="360" w:lineRule="auto"/>
      </w:pPr>
      <w:r>
        <w:t xml:space="preserve">Allereerst </w:t>
      </w:r>
      <w:r w:rsidR="0093525E">
        <w:t>wordt gekeken naar andere onderzoeken om te kijken wat veel voorkomende motieven zijn voor het vermelden van de alternatieve indicatoren</w:t>
      </w:r>
    </w:p>
    <w:p w14:paraId="7D331D79" w14:textId="6C8DC21D" w:rsidR="000248D9" w:rsidRDefault="0093525E" w:rsidP="006569B4">
      <w:pPr>
        <w:spacing w:line="360" w:lineRule="auto"/>
      </w:pPr>
      <w:r>
        <w:t xml:space="preserve">Vervolgens </w:t>
      </w:r>
      <w:r w:rsidR="000248D9">
        <w:t xml:space="preserve">worden de jaarrekeningen van de ondernemingen onderzocht op motieven of toelichtingen bij het vermelden van de alternatieve indicatoren. </w:t>
      </w:r>
    </w:p>
    <w:p w14:paraId="25EA890B" w14:textId="719A1CF2" w:rsidR="007C028A" w:rsidRPr="002173B0" w:rsidRDefault="000248D9" w:rsidP="006569B4">
      <w:pPr>
        <w:spacing w:line="360" w:lineRule="auto"/>
      </w:pPr>
      <w:r>
        <w:t xml:space="preserve">Vervolgens wordt </w:t>
      </w:r>
      <w:r w:rsidR="007238B8">
        <w:t>het Institutioneel</w:t>
      </w:r>
      <w:r>
        <w:t xml:space="preserve"> isomor</w:t>
      </w:r>
      <w:r w:rsidR="007238B8">
        <w:t>fisme</w:t>
      </w:r>
      <w:r>
        <w:t xml:space="preserve"> toegepast op de ondernemingen in dit onderzoek. Op deze manier wordt onderzocht of een verband bestaat tussen de theorie en het vermelden van de alternatieve indicatoren.</w:t>
      </w:r>
      <w:r w:rsidR="0093525E" w:rsidRPr="0093525E">
        <w:t xml:space="preserve"> </w:t>
      </w:r>
      <w:r w:rsidR="0093525E">
        <w:t>De ondernemingen worden onderverdeeld in verschillende groepen om zo een verband te vinden tussen de motieven van ondernemingen en de theorie.</w:t>
      </w:r>
    </w:p>
    <w:p w14:paraId="3E91FB4F" w14:textId="4055615B" w:rsidR="002362D4" w:rsidRPr="002173B0" w:rsidRDefault="002362D4" w:rsidP="002173B0">
      <w:pPr>
        <w:pStyle w:val="Heading2"/>
        <w:spacing w:line="360" w:lineRule="auto"/>
      </w:pPr>
      <w:bookmarkStart w:id="27" w:name="_Toc425524028"/>
      <w:r>
        <w:t>5.2 Motieven</w:t>
      </w:r>
      <w:bookmarkEnd w:id="27"/>
      <w:r>
        <w:t xml:space="preserve"> </w:t>
      </w:r>
    </w:p>
    <w:p w14:paraId="463DAF18" w14:textId="68BC41C6" w:rsidR="007C028A" w:rsidRDefault="007C028A">
      <w:pPr>
        <w:spacing w:line="360" w:lineRule="auto"/>
      </w:pPr>
      <w:r>
        <w:t>Aangezien niet alle ondernemingen zelf vermelden dat gebruik gemaakt wordt van alternatieve indicatoren in de jaarrekening geven ook niet alle ondernemingen motieven hiervoor. De ondernemingen die behandeld worden zijn de ondernemingen die zelf aangeven dat ze gebruik maken van alternatieve indicatoren. In hoofdstuk 4 is aangetoond dat het in 2014 gaat om 12 bedrijven. Bij deze 12 bedrijven wordt onderzocht welke motieven vermeld staan in de jaarrekening met betrekking tot het gebruik van de alternatieve indicatoren. Voordat dit gebeurt wordt eerst gekeken naar andere onderzoeken en welke motieven bekend zijn met betrekking tot het vermelden van alternatieve indicatoren.</w:t>
      </w:r>
    </w:p>
    <w:p w14:paraId="4CB37516" w14:textId="0F3682B9" w:rsidR="00E01499" w:rsidRDefault="008A3B8D" w:rsidP="00881473">
      <w:pPr>
        <w:spacing w:line="360" w:lineRule="auto"/>
      </w:pPr>
      <w:r>
        <w:t xml:space="preserve">In voorgaande onderzoeken wordt onderscheid gemaakt tussen twee doelen van de alternatieve indicatoren. Namelijk het geven van extra informatie en </w:t>
      </w:r>
      <w:r w:rsidR="0093525E">
        <w:t xml:space="preserve">het </w:t>
      </w:r>
      <w:r>
        <w:t>opportunistisch weergeven van de resultaten.</w:t>
      </w:r>
      <w:r w:rsidR="00E01499">
        <w:t xml:space="preserve"> Uit onderzoek uit 2013 blijkt dat een verband bestaat tussen voorspellingen van analisten en het vermelden van alternatieve indicatoren. De conclusie is dat de vrijheid voor managers in het vermelden van alternatieve indicatoren gebruikt wordt om te voldoen aan de</w:t>
      </w:r>
      <w:r w:rsidR="00B94A5B">
        <w:t xml:space="preserve"> verwachtingen van de analisten</w:t>
      </w:r>
      <w:r w:rsidR="00DA1957">
        <w:t xml:space="preserve"> </w:t>
      </w:r>
      <w:r w:rsidR="00B94A5B">
        <w:fldChar w:fldCharType="begin"/>
      </w:r>
      <w:r w:rsidR="00B94A5B">
        <w:instrText xml:space="preserve"> ADDIN EN.CITE &lt;EndNote&gt;&lt;Cite&gt;&lt;Author&gt;Doyle&lt;/Author&gt;&lt;Year&gt;2013&lt;/Year&gt;&lt;IDText&gt;Do managers define non-GAAP earnings to meet or beat analyst forecasts?&lt;/IDText&gt;&lt;DisplayText&gt;(Doyle, Jennings, &amp;amp; Soliman, 2013)&lt;/DisplayText&gt;&lt;record&gt;&lt;dates&gt;&lt;pub-dates&gt;&lt;date&gt;7//&lt;/date&gt;&lt;/pub-dates&gt;&lt;year&gt;2013&lt;/year&gt;&lt;/dates&gt;&lt;keywords&gt;&lt;keyword&gt;Non-GAAP earnings&lt;/keyword&gt;&lt;keyword&gt;Meet or beat analyst forecasts&lt;/keyword&gt;&lt;keyword&gt;Earnings definition&lt;/keyword&gt;&lt;keyword&gt;Earnings management tools&lt;/keyword&gt;&lt;/keywords&gt;&lt;urls&gt;&lt;related-urls&gt;&lt;url&gt;http://www.sciencedirect.com/science/article/pii/S0165410113000177&lt;/url&gt;&lt;/related-urls&gt;&lt;/urls&gt;&lt;isbn&gt;0165-4101&lt;/isbn&gt;&lt;titles&gt;&lt;title&gt;Do managers define non-GAAP earnings to meet or beat analyst forecasts?&lt;/title&gt;&lt;secondary-title&gt;Journal of Accounting and Economics&lt;/secondary-title&gt;&lt;/titles&gt;&lt;pages&gt;40-56&lt;/pages&gt;&lt;number&gt;1&lt;/number&gt;&lt;contributors&gt;&lt;authors&gt;&lt;author&gt;Doyle, Jeffrey T.&lt;/author&gt;&lt;author&gt;Jennings, Jared N.&lt;/author&gt;&lt;author&gt;Soliman, Mark T.&lt;/author&gt;&lt;/authors&gt;&lt;/contributors&gt;&lt;added-date format="utc"&gt;1437396489&lt;/added-date&gt;&lt;ref-type name="Journal Article"&gt;17&lt;/ref-type&gt;&lt;rec-number&gt;21&lt;/rec-number&gt;&lt;last-updated-date format="utc"&gt;1437571534&lt;/last-updated-date&gt;&lt;electronic-resource-num&gt;http://dx.doi.org/10.1016/j.jacceco.2013.03.002&lt;/electronic-resource-num&gt;&lt;volume&gt;56&lt;/volume&gt;&lt;/record&gt;&lt;/Cite&gt;&lt;/EndNote&gt;</w:instrText>
      </w:r>
      <w:r w:rsidR="00B94A5B">
        <w:fldChar w:fldCharType="separate"/>
      </w:r>
      <w:r w:rsidR="00B94A5B">
        <w:rPr>
          <w:noProof/>
        </w:rPr>
        <w:t>(Doyle, Jennings, &amp; Soliman, 2013)</w:t>
      </w:r>
      <w:r w:rsidR="00B94A5B">
        <w:fldChar w:fldCharType="end"/>
      </w:r>
      <w:r w:rsidR="00B94A5B">
        <w:t xml:space="preserve">. </w:t>
      </w:r>
      <w:r w:rsidR="000A4231">
        <w:t>Uit een eerder onderzoek</w:t>
      </w:r>
      <w:r w:rsidR="00A50629">
        <w:t xml:space="preserve"> uit 2005</w:t>
      </w:r>
      <w:r w:rsidR="000A4231">
        <w:t xml:space="preserve"> was al gebleken dat managers alternatieve in</w:t>
      </w:r>
      <w:r w:rsidR="0093525E">
        <w:t>dicatoren opportunistisch weerge</w:t>
      </w:r>
      <w:r w:rsidR="000A4231">
        <w:t xml:space="preserve">ven door kosten </w:t>
      </w:r>
      <w:r w:rsidR="0093525E">
        <w:t>aan te passen</w:t>
      </w:r>
      <w:r w:rsidR="000A4231">
        <w:t xml:space="preserve"> waardoor </w:t>
      </w:r>
      <w:r w:rsidR="0093525E">
        <w:t>resultaten beter voor de dag ko</w:t>
      </w:r>
      <w:r w:rsidR="000A4231">
        <w:t>men</w:t>
      </w:r>
      <w:r w:rsidR="00B94A5B">
        <w:t xml:space="preserve"> </w:t>
      </w:r>
      <w:r w:rsidR="00B94A5B">
        <w:fldChar w:fldCharType="begin"/>
      </w:r>
      <w:r w:rsidR="00B94A5B">
        <w:instrText xml:space="preserve"> ADDIN EN.CITE &lt;EndNote&gt;&lt;Cite&gt;&lt;Author&gt;Bowen&lt;/Author&gt;&lt;Year&gt;2005&lt;/Year&gt;&lt;IDText&gt;Emphasis on Pro Forma versus GAAP Earnings in Quarterly Press Releases: Determinants, SEC Intervention, and Market Reactions&lt;/IDText&gt;&lt;DisplayText&gt;(Bowen, Davis, &amp;amp; Matsumoto, 2005)&lt;/DisplayText&gt;&lt;record&gt;&lt;dates&gt;&lt;pub-dates&gt;&lt;date&gt;2005/10/01&lt;/date&gt;&lt;/pub-dates&gt;&lt;year&gt;2005&lt;/year&gt;&lt;/dates&gt;&lt;urls&gt;&lt;related-urls&gt;&lt;url&gt;http://dx.doi.org/10.2308/accr.2005.80.4.1011&lt;/url&gt;&lt;/related-urls&gt;&lt;/urls&gt;&lt;isbn&gt;0001-4826&lt;/isbn&gt;&lt;titles&gt;&lt;title&gt;Emphasis on Pro Forma versus GAAP Earnings in Quarterly Press Releases: Determinants, SEC Intervention, and Market Reactions&lt;/title&gt;&lt;secondary-title&gt;The Accounting Review&lt;/secondary-title&gt;&lt;/titles&gt;&lt;pages&gt;1011-1038&lt;/pages&gt;&lt;number&gt;4&lt;/number&gt;&lt;access-date&gt;2015/07/20&lt;/access-date&gt;&lt;contributors&gt;&lt;authors&gt;&lt;author&gt;Bowen, Robert M.&lt;/author&gt;&lt;author&gt;Davis, Angela K.&lt;/author&gt;&lt;author&gt;Matsumoto, Dawn A.&lt;/author&gt;&lt;/authors&gt;&lt;/contributors&gt;&lt;added-date format="utc"&gt;1437399787&lt;/added-date&gt;&lt;ref-type name="Journal Article"&gt;17&lt;/ref-type&gt;&lt;rec-number&gt;22&lt;/rec-number&gt;&lt;publisher&gt;American Accounting Association&lt;/publisher&gt;&lt;last-updated-date format="utc"&gt;1437399787&lt;/last-updated-date&gt;&lt;electronic-resource-num&gt;10.2308/accr.2005.80.4.1011&lt;/electronic-resource-num&gt;&lt;volume&gt;80&lt;/volume&gt;&lt;/record&gt;&lt;/Cite&gt;&lt;/EndNote&gt;</w:instrText>
      </w:r>
      <w:r w:rsidR="00B94A5B">
        <w:fldChar w:fldCharType="separate"/>
      </w:r>
      <w:r w:rsidR="00B94A5B">
        <w:rPr>
          <w:noProof/>
        </w:rPr>
        <w:t>(Bowen, Davis, &amp; Matsumoto, 2005)</w:t>
      </w:r>
      <w:r w:rsidR="00B94A5B">
        <w:fldChar w:fldCharType="end"/>
      </w:r>
      <w:r w:rsidR="00B94A5B">
        <w:t>.</w:t>
      </w:r>
    </w:p>
    <w:p w14:paraId="7E4E4BC5" w14:textId="2FC3FCD6" w:rsidR="00A50629" w:rsidRDefault="00A50629" w:rsidP="00881473">
      <w:pPr>
        <w:spacing w:line="360" w:lineRule="auto"/>
      </w:pPr>
      <w:r>
        <w:t>Ook met betrekking tot transitorische posten i</w:t>
      </w:r>
      <w:r w:rsidR="0093525E">
        <w:t>s onderzoek gedaan naar de achterliggende motieven</w:t>
      </w:r>
      <w:r>
        <w:t xml:space="preserve"> van managers voor het vermelden van alternatieve indicatoren. In het geval van transitorische posten zijn alternatieve indicatoren namelijk informatiever dan de GAAP indicatoren. In dit geval is het vermelden vooral bedoeld om te informeren, desondanks vermeldt een significant deel van de ondernemingen alternatieve indicatoren wanneer het beeld voor de gebruiker positief beïnvloed wordt</w:t>
      </w:r>
      <w:r w:rsidR="00B94A5B">
        <w:t xml:space="preserve"> </w:t>
      </w:r>
      <w:r w:rsidR="00B94A5B">
        <w:fldChar w:fldCharType="begin"/>
      </w:r>
      <w:r w:rsidR="00B94A5B">
        <w:instrText xml:space="preserve"> ADDIN EN.CITE &lt;EndNote&gt;&lt;Cite&gt;&lt;Author&gt;Curtis&lt;/Author&gt;&lt;Year&gt;2013&lt;/Year&gt;&lt;IDText&gt;The disclosure of non-GAAP earnings information in the presence of transitory gains&lt;/IDText&gt;&lt;DisplayText&gt;(Curtis, McVay, &amp;amp; Whipple, 2013)&lt;/DisplayText&gt;&lt;record&gt;&lt;isbn&gt;1558-7967&lt;/isbn&gt;&lt;titles&gt;&lt;title&gt;The disclosure of non-GAAP earnings information in the presence of transitory gains&lt;/title&gt;&lt;secondary-title&gt;The Accounting Review&lt;/secondary-title&gt;&lt;/titles&gt;&lt;pages&gt;933-958&lt;/pages&gt;&lt;number&gt;3&lt;/number&gt;&lt;contributors&gt;&lt;authors&gt;&lt;author&gt;Curtis, Asher B&lt;/author&gt;&lt;author&gt;McVay, Sarah E&lt;/author&gt;&lt;author&gt;Whipple, Benjamin C&lt;/author&gt;&lt;/authors&gt;&lt;/contributors&gt;&lt;added-date format="utc"&gt;1437400675&lt;/added-date&gt;&lt;ref-type name="Journal Article"&gt;17&lt;/ref-type&gt;&lt;dates&gt;&lt;year&gt;2013&lt;/year&gt;&lt;/dates&gt;&lt;rec-number&gt;23&lt;/rec-number&gt;&lt;last-updated-date format="utc"&gt;1437400675&lt;/last-updated-date&gt;&lt;volume&gt;89&lt;/volume&gt;&lt;/record&gt;&lt;/Cite&gt;&lt;/EndNote&gt;</w:instrText>
      </w:r>
      <w:r w:rsidR="00B94A5B">
        <w:fldChar w:fldCharType="separate"/>
      </w:r>
      <w:r w:rsidR="00B94A5B">
        <w:rPr>
          <w:noProof/>
        </w:rPr>
        <w:t>(Curtis, McVay, &amp; Whipple, 2013)</w:t>
      </w:r>
      <w:r w:rsidR="00B94A5B">
        <w:fldChar w:fldCharType="end"/>
      </w:r>
      <w:r w:rsidR="00B94A5B">
        <w:t>.</w:t>
      </w:r>
      <w:r w:rsidR="0031139D">
        <w:t xml:space="preserve"> Een ander artikel zet</w:t>
      </w:r>
      <w:r w:rsidR="0093525E">
        <w:t xml:space="preserve"> verschillende motieven</w:t>
      </w:r>
      <w:r w:rsidR="0031139D">
        <w:t xml:space="preserve">, zowel informatief als opportunistisch, tegenover elkaar. </w:t>
      </w:r>
      <w:r w:rsidR="0093525E">
        <w:t>S</w:t>
      </w:r>
      <w:r w:rsidR="0031139D">
        <w:t>amengevat geven ze de volgende motivaties;</w:t>
      </w:r>
    </w:p>
    <w:p w14:paraId="7E9C7627" w14:textId="77777777" w:rsidR="0031139D" w:rsidRDefault="0031139D" w:rsidP="00881473">
      <w:pPr>
        <w:spacing w:line="360" w:lineRule="auto"/>
      </w:pPr>
    </w:p>
    <w:p w14:paraId="0B001EAA" w14:textId="5203833D" w:rsidR="0031139D" w:rsidRDefault="0031139D" w:rsidP="00881473">
      <w:pPr>
        <w:spacing w:line="360" w:lineRule="auto"/>
      </w:pPr>
      <w:r>
        <w:t>Informatief:</w:t>
      </w:r>
    </w:p>
    <w:p w14:paraId="3F7DA3D9" w14:textId="4E6F9DCF" w:rsidR="0031139D" w:rsidRDefault="0031139D" w:rsidP="00EC0CDD">
      <w:pPr>
        <w:pStyle w:val="ListParagraph"/>
        <w:numPr>
          <w:ilvl w:val="0"/>
          <w:numId w:val="5"/>
        </w:numPr>
        <w:spacing w:line="360" w:lineRule="auto"/>
      </w:pPr>
      <w:r>
        <w:t>Doordat de alternatieve indicatoren vaak aanpassingen zijn van normale indicatoren bestaat een hoge overlapping tussen de twee en geven ze extra informatie.</w:t>
      </w:r>
    </w:p>
    <w:p w14:paraId="2F84D418" w14:textId="16811E99" w:rsidR="0031139D" w:rsidRDefault="0031139D" w:rsidP="00EC0CDD">
      <w:pPr>
        <w:pStyle w:val="ListParagraph"/>
        <w:numPr>
          <w:ilvl w:val="0"/>
          <w:numId w:val="5"/>
        </w:numPr>
        <w:spacing w:line="360" w:lineRule="auto"/>
        <w:rPr>
          <w:rFonts w:eastAsia="Times New Roman" w:cs="Times New Roman"/>
        </w:rPr>
      </w:pPr>
      <w:r>
        <w:rPr>
          <w:rFonts w:eastAsia="Times New Roman" w:cs="Times New Roman"/>
        </w:rPr>
        <w:t>In sommige gevallen (zoals transitorische posten) zijn alternatieve indicatoren relevanter voor een goede weergave dan normale indicatoren. Ook met betrekking tot voorspellingen is dit het geval</w:t>
      </w:r>
      <w:r w:rsidR="00B94A5B">
        <w:rPr>
          <w:rFonts w:eastAsia="Times New Roman" w:cs="Times New Roman"/>
        </w:rPr>
        <w:t xml:space="preserve"> </w:t>
      </w:r>
      <w:r w:rsidR="00B94A5B">
        <w:rPr>
          <w:rFonts w:eastAsia="Times New Roman" w:cs="Times New Roman"/>
        </w:rPr>
        <w:fldChar w:fldCharType="begin"/>
      </w:r>
      <w:r w:rsidR="00B94A5B">
        <w:rPr>
          <w:rFonts w:eastAsia="Times New Roman" w:cs="Times New Roman"/>
        </w:rPr>
        <w:instrText xml:space="preserve"> ADDIN EN.CITE &lt;EndNote&gt;&lt;Cite&gt;&lt;Author&gt;Young&lt;/Author&gt;&lt;Year&gt;2014&lt;/Year&gt;&lt;IDText&gt;The drivers, consequences and policy implications of non-GAAP earnings reporting&lt;/IDText&gt;&lt;DisplayText&gt;(Young, 2014)&lt;/DisplayText&gt;&lt;record&gt;&lt;dates&gt;&lt;pub-dates&gt;&lt;date&gt;2014/07/04&lt;/date&gt;&lt;/pub-dates&gt;&lt;year&gt;2014&lt;/year&gt;&lt;/dates&gt;&lt;urls&gt;&lt;related-urls&gt;&lt;url&gt;http://dx.doi.org/10.1080/00014788.2014.900952&lt;/url&gt;&lt;/related-urls&gt;&lt;/urls&gt;&lt;isbn&gt;0001-4788&lt;/isbn&gt;&lt;titles&gt;&lt;title&gt;The drivers, consequences and policy implications of non-GAAP earnings reporting&lt;/title&gt;&lt;secondary-title&gt;Accounting and Business Research&lt;/secondary-title&gt;&lt;/titles&gt;&lt;pages&gt;444-465&lt;/pages&gt;&lt;number&gt;4&lt;/number&gt;&lt;access-date&gt;2015/07/20&lt;/access-date&gt;&lt;contributors&gt;&lt;authors&gt;&lt;author&gt;Young, Steven&lt;/author&gt;&lt;/authors&gt;&lt;/contributors&gt;&lt;added-date format="utc"&gt;1437401562&lt;/added-date&gt;&lt;ref-type name="Journal Article"&gt;17&lt;/ref-type&gt;&lt;rec-number&gt;24&lt;/rec-number&gt;&lt;publisher&gt;Routledge&lt;/publisher&gt;&lt;last-updated-date format="utc"&gt;1437401562&lt;/last-updated-date&gt;&lt;electronic-resource-num&gt;10.1080/00014788.2014.900952&lt;/electronic-resource-num&gt;&lt;volume&gt;44&lt;/volume&gt;&lt;/record&gt;&lt;/Cite&gt;&lt;/EndNote&gt;</w:instrText>
      </w:r>
      <w:r w:rsidR="00B94A5B">
        <w:rPr>
          <w:rFonts w:eastAsia="Times New Roman" w:cs="Times New Roman"/>
        </w:rPr>
        <w:fldChar w:fldCharType="separate"/>
      </w:r>
      <w:r w:rsidR="00B94A5B">
        <w:rPr>
          <w:rFonts w:eastAsia="Times New Roman" w:cs="Times New Roman"/>
          <w:noProof/>
        </w:rPr>
        <w:t>(Young, 2014)</w:t>
      </w:r>
      <w:r w:rsidR="00B94A5B">
        <w:rPr>
          <w:rFonts w:eastAsia="Times New Roman" w:cs="Times New Roman"/>
        </w:rPr>
        <w:fldChar w:fldCharType="end"/>
      </w:r>
      <w:r w:rsidR="00B94A5B">
        <w:rPr>
          <w:rFonts w:eastAsia="Times New Roman" w:cs="Times New Roman"/>
        </w:rPr>
        <w:t>.</w:t>
      </w:r>
    </w:p>
    <w:p w14:paraId="7F128A8B" w14:textId="77777777" w:rsidR="0031139D" w:rsidRDefault="0031139D" w:rsidP="00EC0CDD">
      <w:pPr>
        <w:spacing w:line="360" w:lineRule="auto"/>
        <w:rPr>
          <w:rFonts w:eastAsia="Times New Roman" w:cs="Times New Roman"/>
        </w:rPr>
      </w:pPr>
    </w:p>
    <w:p w14:paraId="2684BA33" w14:textId="77777777" w:rsidR="002173B0" w:rsidRDefault="002173B0" w:rsidP="00EC0CDD">
      <w:pPr>
        <w:spacing w:line="360" w:lineRule="auto"/>
        <w:rPr>
          <w:rFonts w:eastAsia="Times New Roman" w:cs="Times New Roman"/>
        </w:rPr>
      </w:pPr>
    </w:p>
    <w:p w14:paraId="4CE7FDB5" w14:textId="77777777" w:rsidR="002173B0" w:rsidRDefault="002173B0" w:rsidP="00EC0CDD">
      <w:pPr>
        <w:spacing w:line="360" w:lineRule="auto"/>
        <w:rPr>
          <w:rFonts w:eastAsia="Times New Roman" w:cs="Times New Roman"/>
        </w:rPr>
      </w:pPr>
    </w:p>
    <w:p w14:paraId="707FD09E" w14:textId="46ADD5B2" w:rsidR="0031139D" w:rsidRDefault="0031139D" w:rsidP="00EC0CDD">
      <w:pPr>
        <w:spacing w:line="360" w:lineRule="auto"/>
        <w:rPr>
          <w:rFonts w:eastAsia="Times New Roman" w:cs="Times New Roman"/>
        </w:rPr>
      </w:pPr>
      <w:r>
        <w:rPr>
          <w:rFonts w:eastAsia="Times New Roman" w:cs="Times New Roman"/>
        </w:rPr>
        <w:t>Opportunistisch:</w:t>
      </w:r>
    </w:p>
    <w:p w14:paraId="7273270B" w14:textId="550BE653" w:rsidR="0031139D" w:rsidRPr="00EC0CDD" w:rsidRDefault="0031139D" w:rsidP="00EC0CDD">
      <w:pPr>
        <w:pStyle w:val="ListParagraph"/>
        <w:numPr>
          <w:ilvl w:val="0"/>
          <w:numId w:val="5"/>
        </w:numPr>
        <w:spacing w:line="360" w:lineRule="auto"/>
        <w:rPr>
          <w:rFonts w:eastAsia="Times New Roman" w:cs="Times New Roman"/>
        </w:rPr>
      </w:pPr>
      <w:r w:rsidRPr="00EC0CDD">
        <w:rPr>
          <w:rFonts w:eastAsia="Times New Roman" w:cs="Times New Roman"/>
        </w:rPr>
        <w:t>Alternatieve indicatoren worden vaak gebruikt wanneer de normale indicatoren negatieve resultaten weergeven, zoals een negatieve groei. Een alternatieve vorm van de groei zou dan een positief resultaat kunnen weergeven</w:t>
      </w:r>
      <w:r w:rsidR="00993BFF">
        <w:rPr>
          <w:rFonts w:eastAsia="Times New Roman" w:cs="Times New Roman"/>
        </w:rPr>
        <w:t xml:space="preserve"> </w:t>
      </w:r>
      <w:r w:rsidR="00B94A5B">
        <w:rPr>
          <w:rFonts w:eastAsia="Times New Roman" w:cs="Times New Roman"/>
        </w:rPr>
        <w:fldChar w:fldCharType="begin"/>
      </w:r>
      <w:r w:rsidR="00B94A5B">
        <w:rPr>
          <w:rFonts w:eastAsia="Times New Roman" w:cs="Times New Roman"/>
        </w:rPr>
        <w:instrText xml:space="preserve"> ADDIN EN.CITE &lt;EndNote&gt;&lt;Cite&gt;&lt;Author&gt;Young&lt;/Author&gt;&lt;Year&gt;2014&lt;/Year&gt;&lt;IDText&gt;The drivers, consequences and policy implications of non-GAAP earnings reporting&lt;/IDText&gt;&lt;DisplayText&gt;(Young, 2014)&lt;/DisplayText&gt;&lt;record&gt;&lt;dates&gt;&lt;pub-dates&gt;&lt;date&gt;2014/07/04&lt;/date&gt;&lt;/pub-dates&gt;&lt;year&gt;2014&lt;/year&gt;&lt;/dates&gt;&lt;urls&gt;&lt;related-urls&gt;&lt;url&gt;http://dx.doi.org/10.1080/00014788.2014.900952&lt;/url&gt;&lt;/related-urls&gt;&lt;/urls&gt;&lt;isbn&gt;0001-4788&lt;/isbn&gt;&lt;titles&gt;&lt;title&gt;The drivers, consequences and policy implications of non-GAAP earnings reporting&lt;/title&gt;&lt;secondary-title&gt;Accounting and Business Research&lt;/secondary-title&gt;&lt;/titles&gt;&lt;pages&gt;444-465&lt;/pages&gt;&lt;number&gt;4&lt;/number&gt;&lt;access-date&gt;2015/07/20&lt;/access-date&gt;&lt;contributors&gt;&lt;authors&gt;&lt;author&gt;Young, Steven&lt;/author&gt;&lt;/authors&gt;&lt;/contributors&gt;&lt;added-date format="utc"&gt;1437401562&lt;/added-date&gt;&lt;ref-type name="Journal Article"&gt;17&lt;/ref-type&gt;&lt;rec-number&gt;24&lt;/rec-number&gt;&lt;publisher&gt;Routledge&lt;/publisher&gt;&lt;last-updated-date format="utc"&gt;1437401562&lt;/last-updated-date&gt;&lt;electronic-resource-num&gt;10.1080/00014788.2014.900952&lt;/electronic-resource-num&gt;&lt;volume&gt;44&lt;/volume&gt;&lt;/record&gt;&lt;/Cite&gt;&lt;/EndNote&gt;</w:instrText>
      </w:r>
      <w:r w:rsidR="00B94A5B">
        <w:rPr>
          <w:rFonts w:eastAsia="Times New Roman" w:cs="Times New Roman"/>
        </w:rPr>
        <w:fldChar w:fldCharType="separate"/>
      </w:r>
      <w:r w:rsidR="00B94A5B">
        <w:rPr>
          <w:rFonts w:eastAsia="Times New Roman" w:cs="Times New Roman"/>
          <w:noProof/>
        </w:rPr>
        <w:t>(Young, 2014)</w:t>
      </w:r>
      <w:r w:rsidR="00B94A5B">
        <w:rPr>
          <w:rFonts w:eastAsia="Times New Roman" w:cs="Times New Roman"/>
        </w:rPr>
        <w:fldChar w:fldCharType="end"/>
      </w:r>
    </w:p>
    <w:p w14:paraId="08345FA8" w14:textId="77777777" w:rsidR="0031139D" w:rsidRPr="00EC0CDD" w:rsidRDefault="0031139D" w:rsidP="00EC0CDD">
      <w:pPr>
        <w:pStyle w:val="ListParagraph"/>
        <w:spacing w:line="360" w:lineRule="auto"/>
        <w:rPr>
          <w:rFonts w:eastAsia="Times New Roman" w:cs="Times New Roman"/>
        </w:rPr>
      </w:pPr>
    </w:p>
    <w:p w14:paraId="3BEB5B46" w14:textId="7AFCF805" w:rsidR="00C2248D" w:rsidRPr="00EC0CDD" w:rsidRDefault="00993BFF">
      <w:pPr>
        <w:spacing w:line="360" w:lineRule="auto"/>
      </w:pPr>
      <w:r>
        <w:t>De</w:t>
      </w:r>
      <w:r w:rsidR="0045426A">
        <w:t xml:space="preserve"> voorgaande onderzoeken hebben mogelijke motieven gegeven, nu wordt gekeken of de ondernemingen zelf een motivatie vermelden.</w:t>
      </w:r>
      <w:r w:rsidR="0086784F">
        <w:t xml:space="preserve"> In tabel 19 staan de ondernemingen met hun gegeven motivatie en of toelichting bij de vermelding van de alternatieve indicatoren. Wat opvalt is de oppervlakkigheid van de toelichtingen. Het zijn standaard teksten zonder diepere inhoud en bij een aantal bedrijven ontbreekt een motivatie. Als uitgegaan wordt van deze verklaringen kan geconcludeerd worden dat </w:t>
      </w:r>
      <w:r w:rsidR="00BC65AF">
        <w:t xml:space="preserve">de motivatie vooral bedoeld is om een beter inzicht te geven in de performance van de onderneming. Dit is logisch, want geen enkele onderneming gaat vermelden dat de alternatieve indicatoren gebruikt worden om beter voor de dag te komen. Dit is ook lastig te achterhalen. Wel kan sprake zijn van overname gedrag. Bijvoorbeeld in het geval van Aegon waar in de toelichting staat dat vergelijkbare ondernemingen gelijksoortige alternatieve indicatoren vermelden. </w:t>
      </w:r>
    </w:p>
    <w:p w14:paraId="365D8BD0" w14:textId="55C3CDE7" w:rsidR="00253740" w:rsidRDefault="00452586" w:rsidP="002173B0">
      <w:pPr>
        <w:pStyle w:val="Heading2"/>
        <w:spacing w:line="360" w:lineRule="auto"/>
      </w:pPr>
      <w:bookmarkStart w:id="28" w:name="_Toc425524029"/>
      <w:r>
        <w:t>5.</w:t>
      </w:r>
      <w:r w:rsidR="00E76483">
        <w:t>3</w:t>
      </w:r>
      <w:r>
        <w:t xml:space="preserve"> Verband</w:t>
      </w:r>
      <w:bookmarkEnd w:id="28"/>
      <w:r>
        <w:t xml:space="preserve"> </w:t>
      </w:r>
    </w:p>
    <w:p w14:paraId="7DAC2DA0" w14:textId="193444F0" w:rsidR="00B80317" w:rsidRDefault="00E76483" w:rsidP="006569B4">
      <w:pPr>
        <w:spacing w:line="360" w:lineRule="auto"/>
      </w:pPr>
      <w:r>
        <w:t>In dit onderdeel wordt het verband onderzocht tussen de alternatieve indicatoren, de motieven en het institutioneel isomorfisme</w:t>
      </w:r>
      <w:r w:rsidR="003D5377">
        <w:t>. Per vorm van isomorfisme zal bekeken worden of een overeenkomst bestaat tussen de resultaten en het isomorfisme.</w:t>
      </w:r>
    </w:p>
    <w:p w14:paraId="10FC5330" w14:textId="77777777" w:rsidR="006654C6" w:rsidRDefault="006654C6" w:rsidP="006569B4">
      <w:pPr>
        <w:spacing w:line="360" w:lineRule="auto"/>
      </w:pPr>
    </w:p>
    <w:p w14:paraId="515F3C40" w14:textId="67F754D3" w:rsidR="00B80317" w:rsidRDefault="00B80317" w:rsidP="006569B4">
      <w:pPr>
        <w:spacing w:line="360" w:lineRule="auto"/>
        <w:rPr>
          <w:i/>
        </w:rPr>
      </w:pPr>
      <w:r>
        <w:rPr>
          <w:i/>
        </w:rPr>
        <w:t>Coercive isomorfisme</w:t>
      </w:r>
    </w:p>
    <w:p w14:paraId="3D3CD563" w14:textId="77777777" w:rsidR="006654C6" w:rsidRDefault="00B80317" w:rsidP="006569B4">
      <w:pPr>
        <w:spacing w:line="360" w:lineRule="auto"/>
      </w:pPr>
      <w:r>
        <w:t>Het zogenaamde dwang isomorfisme ontstaat door wet en regelgevingen of andere soorten van druk die uitgeoefend worden op de ondernemingen. In dit geval gaat het onderzoek over alternatieve indicatoren en is een wet en regelgeving juist wat ontbreekt.</w:t>
      </w:r>
      <w:r w:rsidR="0024765D">
        <w:t xml:space="preserve"> Een externe druk die uitgeoefend wordt is dat alternatieve indicatoren een steeds grotere rol gaan spelen. </w:t>
      </w:r>
      <w:r w:rsidR="002D47A8">
        <w:t xml:space="preserve">In hoofdstuk 4 is al aangetoond dat vrijwel iedere onderneming gebruikt maakt van de alternatieve indicatoren, maar dat slechts de helft het specifiek vermeld. De vermelding is de afgelopen jaren </w:t>
      </w:r>
      <w:r w:rsidR="00CC6847">
        <w:t xml:space="preserve">wel toegenomen al was dat minimaal. De verwachting is dat in de </w:t>
      </w:r>
    </w:p>
    <w:p w14:paraId="1E1B0DCA" w14:textId="3A9F7D7F" w:rsidR="00356060" w:rsidRDefault="00CC6847" w:rsidP="006569B4">
      <w:pPr>
        <w:spacing w:line="360" w:lineRule="auto"/>
      </w:pPr>
      <w:r>
        <w:t>toekomst nog meer gericht gekeken gaat worden naar de alternatieve indicatoren</w:t>
      </w:r>
      <w:r w:rsidR="00356060">
        <w:t xml:space="preserve"> en mocht een wet of regelgeving ontstaan, zal dit een vorm coercive isomorfmise opleveren.</w:t>
      </w:r>
    </w:p>
    <w:p w14:paraId="139E41D6" w14:textId="77777777" w:rsidR="006654C6" w:rsidRDefault="006654C6" w:rsidP="006569B4">
      <w:pPr>
        <w:spacing w:line="360" w:lineRule="auto"/>
      </w:pPr>
    </w:p>
    <w:p w14:paraId="2D2A6BA9" w14:textId="4F70F24F" w:rsidR="00356060" w:rsidRDefault="00356060" w:rsidP="006569B4">
      <w:pPr>
        <w:spacing w:line="360" w:lineRule="auto"/>
        <w:rPr>
          <w:i/>
        </w:rPr>
      </w:pPr>
      <w:r>
        <w:rPr>
          <w:i/>
        </w:rPr>
        <w:t>Mimetic isomorfisme</w:t>
      </w:r>
    </w:p>
    <w:p w14:paraId="39507A45" w14:textId="60AE028F" w:rsidR="006654C6" w:rsidRDefault="000C6D37" w:rsidP="006569B4">
      <w:pPr>
        <w:spacing w:line="360" w:lineRule="auto"/>
      </w:pPr>
      <w:r>
        <w:t>Deze vorm komt voort uit onzekerheid en is toepasselijk bij dit onderzoek. Ook nu wordt weer gewezen op de ontbrekende wet en regelgeving, wat leidt tot onzekerheid. In dit geval zouden volgens de theorie ondernemingen zichzelf spiegelen aan andere ondernemingen. Het duidelijkste bewijs dat dit gebeurt is de motivatie van Aegon, die beschrijft dat in de jaarrekeningen van concurrerende bedrijven soortgelijke alternatieve indicatoren gebruikt worden. Tevens wordt beschr</w:t>
      </w:r>
      <w:r w:rsidR="001A38C8">
        <w:t xml:space="preserve">even in de theorie dat het nabootsende gedrag veroorzaakt kan worden door consultancy of accountancybureaus. Dit zou in dit geval betekenen dat ondernemingen met dezelfde accountants dezelfde motieven  gebruiken voor de alternatieve indicatoren. </w:t>
      </w:r>
      <w:r w:rsidR="00B1324C">
        <w:t>In de volgende tabel staan de accountantsbureaus die gebruikt zijn door de ondernemingen.</w:t>
      </w:r>
    </w:p>
    <w:tbl>
      <w:tblPr>
        <w:tblpPr w:leftFromText="180" w:rightFromText="180" w:vertAnchor="page" w:horzAnchor="page" w:tblpX="1906" w:tblpY="9181"/>
        <w:tblW w:w="4518" w:type="dxa"/>
        <w:tblLook w:val="04A0" w:firstRow="1" w:lastRow="0" w:firstColumn="1" w:lastColumn="0" w:noHBand="0" w:noVBand="1"/>
      </w:tblPr>
      <w:tblGrid>
        <w:gridCol w:w="1420"/>
        <w:gridCol w:w="1420"/>
        <w:gridCol w:w="1678"/>
      </w:tblGrid>
      <w:tr w:rsidR="002173B0" w:rsidRPr="00B1324C" w14:paraId="3C29C127" w14:textId="77777777" w:rsidTr="002173B0">
        <w:trPr>
          <w:trHeight w:val="315"/>
        </w:trPr>
        <w:tc>
          <w:tcPr>
            <w:tcW w:w="1420" w:type="dxa"/>
            <w:tcBorders>
              <w:top w:val="single" w:sz="4" w:space="0" w:color="000000"/>
              <w:left w:val="nil"/>
              <w:bottom w:val="single" w:sz="4" w:space="0" w:color="000000"/>
              <w:right w:val="nil"/>
            </w:tcBorders>
            <w:shd w:val="clear" w:color="auto" w:fill="auto"/>
            <w:noWrap/>
            <w:vAlign w:val="bottom"/>
            <w:hideMark/>
          </w:tcPr>
          <w:p w14:paraId="6F9E4914" w14:textId="77777777" w:rsidR="002173B0" w:rsidRPr="00B1324C" w:rsidRDefault="002173B0" w:rsidP="002173B0">
            <w:pPr>
              <w:rPr>
                <w:rFonts w:ascii="Calibri" w:eastAsia="Times New Roman" w:hAnsi="Calibri" w:cs="Times New Roman"/>
                <w:b/>
                <w:bCs/>
                <w:color w:val="000000"/>
              </w:rPr>
            </w:pPr>
            <w:r w:rsidRPr="00B1324C">
              <w:rPr>
                <w:rFonts w:ascii="Calibri" w:eastAsia="Times New Roman" w:hAnsi="Calibri" w:cs="Times New Roman"/>
                <w:b/>
                <w:bCs/>
                <w:color w:val="000000"/>
              </w:rPr>
              <w:t>PWC</w:t>
            </w:r>
          </w:p>
        </w:tc>
        <w:tc>
          <w:tcPr>
            <w:tcW w:w="1420" w:type="dxa"/>
            <w:tcBorders>
              <w:top w:val="single" w:sz="4" w:space="0" w:color="000000"/>
              <w:left w:val="nil"/>
              <w:bottom w:val="single" w:sz="4" w:space="0" w:color="000000"/>
              <w:right w:val="nil"/>
            </w:tcBorders>
            <w:shd w:val="clear" w:color="auto" w:fill="auto"/>
            <w:noWrap/>
            <w:vAlign w:val="bottom"/>
            <w:hideMark/>
          </w:tcPr>
          <w:p w14:paraId="266682F9" w14:textId="77777777" w:rsidR="002173B0" w:rsidRPr="00B1324C" w:rsidRDefault="002173B0" w:rsidP="002173B0">
            <w:pPr>
              <w:rPr>
                <w:rFonts w:ascii="Calibri" w:eastAsia="Times New Roman" w:hAnsi="Calibri" w:cs="Times New Roman"/>
                <w:b/>
                <w:bCs/>
                <w:color w:val="000000"/>
              </w:rPr>
            </w:pPr>
            <w:r w:rsidRPr="00B1324C">
              <w:rPr>
                <w:rFonts w:ascii="Calibri" w:eastAsia="Times New Roman" w:hAnsi="Calibri" w:cs="Times New Roman"/>
                <w:b/>
                <w:bCs/>
                <w:color w:val="000000"/>
              </w:rPr>
              <w:t>EY</w:t>
            </w:r>
          </w:p>
        </w:tc>
        <w:tc>
          <w:tcPr>
            <w:tcW w:w="1678" w:type="dxa"/>
            <w:tcBorders>
              <w:top w:val="single" w:sz="4" w:space="0" w:color="000000"/>
              <w:left w:val="nil"/>
              <w:bottom w:val="single" w:sz="4" w:space="0" w:color="000000"/>
              <w:right w:val="nil"/>
            </w:tcBorders>
            <w:shd w:val="clear" w:color="auto" w:fill="auto"/>
            <w:noWrap/>
            <w:vAlign w:val="bottom"/>
            <w:hideMark/>
          </w:tcPr>
          <w:p w14:paraId="45BB43ED" w14:textId="77777777" w:rsidR="002173B0" w:rsidRPr="00B1324C" w:rsidRDefault="002173B0" w:rsidP="002173B0">
            <w:pPr>
              <w:rPr>
                <w:rFonts w:ascii="Calibri" w:eastAsia="Times New Roman" w:hAnsi="Calibri" w:cs="Times New Roman"/>
                <w:b/>
                <w:bCs/>
                <w:color w:val="000000"/>
              </w:rPr>
            </w:pPr>
            <w:r w:rsidRPr="00B1324C">
              <w:rPr>
                <w:rFonts w:ascii="Calibri" w:eastAsia="Times New Roman" w:hAnsi="Calibri" w:cs="Times New Roman"/>
                <w:b/>
                <w:bCs/>
                <w:color w:val="000000"/>
              </w:rPr>
              <w:t>KPMG</w:t>
            </w:r>
          </w:p>
        </w:tc>
      </w:tr>
      <w:tr w:rsidR="002173B0" w:rsidRPr="00B1324C" w14:paraId="5496B7C8" w14:textId="77777777" w:rsidTr="002173B0">
        <w:trPr>
          <w:trHeight w:val="315"/>
        </w:trPr>
        <w:tc>
          <w:tcPr>
            <w:tcW w:w="1420" w:type="dxa"/>
            <w:tcBorders>
              <w:top w:val="nil"/>
              <w:left w:val="nil"/>
              <w:bottom w:val="nil"/>
              <w:right w:val="nil"/>
            </w:tcBorders>
            <w:shd w:val="clear" w:color="D9D9D9" w:fill="D9D9D9"/>
            <w:noWrap/>
            <w:vAlign w:val="bottom"/>
            <w:hideMark/>
          </w:tcPr>
          <w:p w14:paraId="28E3B7C8" w14:textId="77777777" w:rsidR="002173B0" w:rsidRPr="00B1324C" w:rsidRDefault="002173B0" w:rsidP="002173B0">
            <w:pPr>
              <w:rPr>
                <w:rFonts w:ascii="Calibri" w:eastAsia="Times New Roman" w:hAnsi="Calibri" w:cs="Times New Roman"/>
                <w:color w:val="000000"/>
              </w:rPr>
            </w:pPr>
            <w:r w:rsidRPr="00B1324C">
              <w:rPr>
                <w:rFonts w:ascii="Calibri" w:eastAsia="Times New Roman" w:hAnsi="Calibri" w:cs="Times New Roman"/>
                <w:color w:val="000000"/>
              </w:rPr>
              <w:t>Ahold</w:t>
            </w:r>
          </w:p>
        </w:tc>
        <w:tc>
          <w:tcPr>
            <w:tcW w:w="1420" w:type="dxa"/>
            <w:tcBorders>
              <w:top w:val="nil"/>
              <w:left w:val="nil"/>
              <w:bottom w:val="nil"/>
              <w:right w:val="nil"/>
            </w:tcBorders>
            <w:shd w:val="clear" w:color="D9D9D9" w:fill="D9D9D9"/>
            <w:noWrap/>
            <w:vAlign w:val="bottom"/>
            <w:hideMark/>
          </w:tcPr>
          <w:p w14:paraId="430E397D" w14:textId="77777777" w:rsidR="002173B0" w:rsidRPr="00B1324C" w:rsidRDefault="002173B0" w:rsidP="002173B0">
            <w:pPr>
              <w:rPr>
                <w:rFonts w:ascii="Calibri" w:eastAsia="Times New Roman" w:hAnsi="Calibri" w:cs="Times New Roman"/>
                <w:color w:val="000000"/>
              </w:rPr>
            </w:pPr>
            <w:r w:rsidRPr="00B1324C">
              <w:rPr>
                <w:rFonts w:ascii="Calibri" w:eastAsia="Times New Roman" w:hAnsi="Calibri" w:cs="Times New Roman"/>
                <w:color w:val="000000"/>
              </w:rPr>
              <w:t>Delta Lloyd</w:t>
            </w:r>
          </w:p>
        </w:tc>
        <w:tc>
          <w:tcPr>
            <w:tcW w:w="1678" w:type="dxa"/>
            <w:tcBorders>
              <w:top w:val="nil"/>
              <w:left w:val="nil"/>
              <w:bottom w:val="nil"/>
              <w:right w:val="nil"/>
            </w:tcBorders>
            <w:shd w:val="clear" w:color="D9D9D9" w:fill="D9D9D9"/>
            <w:noWrap/>
            <w:vAlign w:val="bottom"/>
            <w:hideMark/>
          </w:tcPr>
          <w:p w14:paraId="13C05557" w14:textId="77777777" w:rsidR="002173B0" w:rsidRPr="00B1324C" w:rsidRDefault="002173B0" w:rsidP="002173B0">
            <w:pPr>
              <w:rPr>
                <w:rFonts w:ascii="Calibri" w:eastAsia="Times New Roman" w:hAnsi="Calibri" w:cs="Times New Roman"/>
                <w:color w:val="000000"/>
              </w:rPr>
            </w:pPr>
            <w:r w:rsidRPr="00B1324C">
              <w:rPr>
                <w:rFonts w:ascii="Calibri" w:eastAsia="Times New Roman" w:hAnsi="Calibri" w:cs="Times New Roman"/>
                <w:color w:val="000000"/>
              </w:rPr>
              <w:t>Heineken</w:t>
            </w:r>
          </w:p>
        </w:tc>
      </w:tr>
      <w:tr w:rsidR="002173B0" w:rsidRPr="00B1324C" w14:paraId="6F866068" w14:textId="77777777" w:rsidTr="002173B0">
        <w:trPr>
          <w:trHeight w:val="315"/>
        </w:trPr>
        <w:tc>
          <w:tcPr>
            <w:tcW w:w="1420" w:type="dxa"/>
            <w:tcBorders>
              <w:top w:val="nil"/>
              <w:left w:val="nil"/>
              <w:bottom w:val="nil"/>
              <w:right w:val="nil"/>
            </w:tcBorders>
            <w:shd w:val="clear" w:color="auto" w:fill="auto"/>
            <w:noWrap/>
            <w:vAlign w:val="bottom"/>
            <w:hideMark/>
          </w:tcPr>
          <w:p w14:paraId="351550F1" w14:textId="77777777" w:rsidR="002173B0" w:rsidRPr="00B1324C" w:rsidRDefault="002173B0" w:rsidP="002173B0">
            <w:pPr>
              <w:rPr>
                <w:rFonts w:ascii="Calibri" w:eastAsia="Times New Roman" w:hAnsi="Calibri" w:cs="Times New Roman"/>
                <w:color w:val="000000"/>
              </w:rPr>
            </w:pPr>
            <w:r w:rsidRPr="00B1324C">
              <w:rPr>
                <w:rFonts w:ascii="Calibri" w:eastAsia="Times New Roman" w:hAnsi="Calibri" w:cs="Times New Roman"/>
                <w:color w:val="000000"/>
              </w:rPr>
              <w:t>Gemalto</w:t>
            </w:r>
          </w:p>
        </w:tc>
        <w:tc>
          <w:tcPr>
            <w:tcW w:w="1420" w:type="dxa"/>
            <w:tcBorders>
              <w:top w:val="nil"/>
              <w:left w:val="nil"/>
              <w:bottom w:val="nil"/>
              <w:right w:val="nil"/>
            </w:tcBorders>
            <w:shd w:val="clear" w:color="auto" w:fill="auto"/>
            <w:noWrap/>
            <w:vAlign w:val="bottom"/>
            <w:hideMark/>
          </w:tcPr>
          <w:p w14:paraId="0DCF0CDD" w14:textId="77777777" w:rsidR="002173B0" w:rsidRPr="00B1324C" w:rsidRDefault="002173B0" w:rsidP="002173B0">
            <w:pPr>
              <w:rPr>
                <w:rFonts w:ascii="Calibri" w:eastAsia="Times New Roman" w:hAnsi="Calibri" w:cs="Times New Roman"/>
                <w:color w:val="000000"/>
              </w:rPr>
            </w:pPr>
            <w:r w:rsidRPr="00B1324C">
              <w:rPr>
                <w:rFonts w:ascii="Calibri" w:eastAsia="Times New Roman" w:hAnsi="Calibri" w:cs="Times New Roman"/>
                <w:color w:val="000000"/>
              </w:rPr>
              <w:t>ING</w:t>
            </w:r>
          </w:p>
        </w:tc>
        <w:tc>
          <w:tcPr>
            <w:tcW w:w="1678" w:type="dxa"/>
            <w:tcBorders>
              <w:top w:val="nil"/>
              <w:left w:val="nil"/>
              <w:bottom w:val="nil"/>
              <w:right w:val="nil"/>
            </w:tcBorders>
            <w:shd w:val="clear" w:color="auto" w:fill="auto"/>
            <w:noWrap/>
            <w:vAlign w:val="bottom"/>
            <w:hideMark/>
          </w:tcPr>
          <w:p w14:paraId="5B2D2F8F" w14:textId="77777777" w:rsidR="002173B0" w:rsidRPr="00B1324C" w:rsidRDefault="002173B0" w:rsidP="002173B0">
            <w:pPr>
              <w:rPr>
                <w:rFonts w:ascii="Calibri" w:eastAsia="Times New Roman" w:hAnsi="Calibri" w:cs="Times New Roman"/>
                <w:color w:val="000000"/>
              </w:rPr>
            </w:pPr>
            <w:r w:rsidRPr="00B1324C">
              <w:rPr>
                <w:rFonts w:ascii="Calibri" w:eastAsia="Times New Roman" w:hAnsi="Calibri" w:cs="Times New Roman"/>
                <w:color w:val="000000"/>
              </w:rPr>
              <w:t>Philips</w:t>
            </w:r>
          </w:p>
        </w:tc>
      </w:tr>
      <w:tr w:rsidR="002173B0" w:rsidRPr="00B1324C" w14:paraId="4931362D" w14:textId="77777777" w:rsidTr="002173B0">
        <w:trPr>
          <w:trHeight w:val="315"/>
        </w:trPr>
        <w:tc>
          <w:tcPr>
            <w:tcW w:w="1420" w:type="dxa"/>
            <w:tcBorders>
              <w:top w:val="nil"/>
              <w:left w:val="nil"/>
              <w:bottom w:val="nil"/>
              <w:right w:val="nil"/>
            </w:tcBorders>
            <w:shd w:val="clear" w:color="D9D9D9" w:fill="D9D9D9"/>
            <w:noWrap/>
            <w:vAlign w:val="bottom"/>
            <w:hideMark/>
          </w:tcPr>
          <w:p w14:paraId="112D5F5C" w14:textId="77777777" w:rsidR="002173B0" w:rsidRPr="00B1324C" w:rsidRDefault="002173B0" w:rsidP="002173B0">
            <w:pPr>
              <w:rPr>
                <w:rFonts w:ascii="Calibri" w:eastAsia="Times New Roman" w:hAnsi="Calibri" w:cs="Times New Roman"/>
                <w:color w:val="000000"/>
              </w:rPr>
            </w:pPr>
            <w:r w:rsidRPr="00B1324C">
              <w:rPr>
                <w:rFonts w:ascii="Calibri" w:eastAsia="Times New Roman" w:hAnsi="Calibri" w:cs="Times New Roman"/>
                <w:color w:val="000000"/>
              </w:rPr>
              <w:t>Shell</w:t>
            </w:r>
          </w:p>
        </w:tc>
        <w:tc>
          <w:tcPr>
            <w:tcW w:w="1420" w:type="dxa"/>
            <w:tcBorders>
              <w:top w:val="nil"/>
              <w:left w:val="nil"/>
              <w:bottom w:val="nil"/>
              <w:right w:val="nil"/>
            </w:tcBorders>
            <w:shd w:val="clear" w:color="D9D9D9" w:fill="D9D9D9"/>
            <w:noWrap/>
            <w:vAlign w:val="bottom"/>
            <w:hideMark/>
          </w:tcPr>
          <w:p w14:paraId="14AFFD5A" w14:textId="77777777" w:rsidR="002173B0" w:rsidRPr="00B1324C" w:rsidRDefault="002173B0" w:rsidP="002173B0">
            <w:pPr>
              <w:rPr>
                <w:rFonts w:ascii="Calibri" w:eastAsia="Times New Roman" w:hAnsi="Calibri" w:cs="Times New Roman"/>
                <w:color w:val="000000"/>
              </w:rPr>
            </w:pPr>
          </w:p>
        </w:tc>
        <w:tc>
          <w:tcPr>
            <w:tcW w:w="1678" w:type="dxa"/>
            <w:tcBorders>
              <w:top w:val="nil"/>
              <w:left w:val="nil"/>
              <w:bottom w:val="nil"/>
              <w:right w:val="nil"/>
            </w:tcBorders>
            <w:shd w:val="clear" w:color="D9D9D9" w:fill="D9D9D9"/>
            <w:noWrap/>
            <w:vAlign w:val="bottom"/>
            <w:hideMark/>
          </w:tcPr>
          <w:p w14:paraId="3E9730A0" w14:textId="77777777" w:rsidR="002173B0" w:rsidRPr="00B1324C" w:rsidRDefault="002173B0" w:rsidP="002173B0">
            <w:pPr>
              <w:rPr>
                <w:rFonts w:ascii="Calibri" w:eastAsia="Times New Roman" w:hAnsi="Calibri" w:cs="Times New Roman"/>
                <w:color w:val="000000"/>
              </w:rPr>
            </w:pPr>
            <w:r w:rsidRPr="00B1324C">
              <w:rPr>
                <w:rFonts w:ascii="Calibri" w:eastAsia="Times New Roman" w:hAnsi="Calibri" w:cs="Times New Roman"/>
                <w:color w:val="000000"/>
              </w:rPr>
              <w:t>Unilever</w:t>
            </w:r>
          </w:p>
        </w:tc>
      </w:tr>
      <w:tr w:rsidR="002173B0" w:rsidRPr="00B1324C" w14:paraId="12AD4067" w14:textId="77777777" w:rsidTr="002173B0">
        <w:trPr>
          <w:trHeight w:val="315"/>
        </w:trPr>
        <w:tc>
          <w:tcPr>
            <w:tcW w:w="1420" w:type="dxa"/>
            <w:tcBorders>
              <w:top w:val="nil"/>
              <w:left w:val="nil"/>
              <w:bottom w:val="nil"/>
              <w:right w:val="nil"/>
            </w:tcBorders>
            <w:shd w:val="clear" w:color="auto" w:fill="auto"/>
            <w:noWrap/>
            <w:vAlign w:val="bottom"/>
            <w:hideMark/>
          </w:tcPr>
          <w:p w14:paraId="7FF84432" w14:textId="77777777" w:rsidR="002173B0" w:rsidRPr="00B1324C" w:rsidRDefault="002173B0" w:rsidP="002173B0">
            <w:pPr>
              <w:rPr>
                <w:rFonts w:ascii="Calibri" w:eastAsia="Times New Roman" w:hAnsi="Calibri" w:cs="Times New Roman"/>
                <w:color w:val="000000"/>
              </w:rPr>
            </w:pPr>
            <w:r w:rsidRPr="00B1324C">
              <w:rPr>
                <w:rFonts w:ascii="Calibri" w:eastAsia="Times New Roman" w:hAnsi="Calibri" w:cs="Times New Roman"/>
                <w:color w:val="000000"/>
              </w:rPr>
              <w:t>TNT</w:t>
            </w:r>
          </w:p>
        </w:tc>
        <w:tc>
          <w:tcPr>
            <w:tcW w:w="1420" w:type="dxa"/>
            <w:tcBorders>
              <w:top w:val="nil"/>
              <w:left w:val="nil"/>
              <w:bottom w:val="nil"/>
              <w:right w:val="nil"/>
            </w:tcBorders>
            <w:shd w:val="clear" w:color="auto" w:fill="auto"/>
            <w:noWrap/>
            <w:vAlign w:val="bottom"/>
            <w:hideMark/>
          </w:tcPr>
          <w:p w14:paraId="725D28EC" w14:textId="77777777" w:rsidR="002173B0" w:rsidRPr="00B1324C" w:rsidRDefault="002173B0" w:rsidP="002173B0">
            <w:pPr>
              <w:rPr>
                <w:rFonts w:ascii="Calibri" w:eastAsia="Times New Roman" w:hAnsi="Calibri" w:cs="Times New Roman"/>
                <w:color w:val="000000"/>
              </w:rPr>
            </w:pPr>
          </w:p>
        </w:tc>
        <w:tc>
          <w:tcPr>
            <w:tcW w:w="1678" w:type="dxa"/>
            <w:tcBorders>
              <w:top w:val="nil"/>
              <w:left w:val="nil"/>
              <w:bottom w:val="nil"/>
              <w:right w:val="nil"/>
            </w:tcBorders>
            <w:shd w:val="clear" w:color="auto" w:fill="auto"/>
            <w:noWrap/>
            <w:vAlign w:val="bottom"/>
            <w:hideMark/>
          </w:tcPr>
          <w:p w14:paraId="7AF7E230" w14:textId="77777777" w:rsidR="002173B0" w:rsidRPr="00B1324C" w:rsidRDefault="002173B0" w:rsidP="002173B0">
            <w:pPr>
              <w:rPr>
                <w:rFonts w:ascii="Calibri" w:eastAsia="Times New Roman" w:hAnsi="Calibri" w:cs="Times New Roman"/>
                <w:color w:val="000000"/>
              </w:rPr>
            </w:pPr>
            <w:r w:rsidRPr="00B1324C">
              <w:rPr>
                <w:rFonts w:ascii="Calibri" w:eastAsia="Times New Roman" w:hAnsi="Calibri" w:cs="Times New Roman"/>
                <w:color w:val="000000"/>
              </w:rPr>
              <w:t>Wolter Kluwer</w:t>
            </w:r>
          </w:p>
        </w:tc>
      </w:tr>
      <w:tr w:rsidR="002173B0" w:rsidRPr="00B1324C" w14:paraId="60CC2A84" w14:textId="77777777" w:rsidTr="002173B0">
        <w:trPr>
          <w:trHeight w:val="315"/>
        </w:trPr>
        <w:tc>
          <w:tcPr>
            <w:tcW w:w="1420" w:type="dxa"/>
            <w:tcBorders>
              <w:top w:val="nil"/>
              <w:left w:val="nil"/>
              <w:bottom w:val="nil"/>
              <w:right w:val="nil"/>
            </w:tcBorders>
            <w:shd w:val="clear" w:color="D9D9D9" w:fill="D9D9D9"/>
            <w:noWrap/>
            <w:vAlign w:val="bottom"/>
            <w:hideMark/>
          </w:tcPr>
          <w:p w14:paraId="1B8C77BA" w14:textId="77777777" w:rsidR="002173B0" w:rsidRPr="00B1324C" w:rsidRDefault="002173B0" w:rsidP="002173B0">
            <w:pPr>
              <w:rPr>
                <w:rFonts w:ascii="Calibri" w:eastAsia="Times New Roman" w:hAnsi="Calibri" w:cs="Times New Roman"/>
                <w:color w:val="000000"/>
              </w:rPr>
            </w:pPr>
            <w:r w:rsidRPr="00B1324C">
              <w:rPr>
                <w:rFonts w:ascii="Calibri" w:eastAsia="Times New Roman" w:hAnsi="Calibri" w:cs="Times New Roman"/>
                <w:color w:val="000000"/>
              </w:rPr>
              <w:t>Aegon</w:t>
            </w:r>
          </w:p>
        </w:tc>
        <w:tc>
          <w:tcPr>
            <w:tcW w:w="1420" w:type="dxa"/>
            <w:tcBorders>
              <w:top w:val="nil"/>
              <w:left w:val="nil"/>
              <w:bottom w:val="nil"/>
              <w:right w:val="nil"/>
            </w:tcBorders>
            <w:shd w:val="clear" w:color="D9D9D9" w:fill="D9D9D9"/>
            <w:noWrap/>
            <w:vAlign w:val="bottom"/>
            <w:hideMark/>
          </w:tcPr>
          <w:p w14:paraId="76D9D8E8" w14:textId="77777777" w:rsidR="002173B0" w:rsidRPr="00B1324C" w:rsidRDefault="002173B0" w:rsidP="002173B0">
            <w:pPr>
              <w:rPr>
                <w:rFonts w:ascii="Calibri" w:eastAsia="Times New Roman" w:hAnsi="Calibri" w:cs="Times New Roman"/>
                <w:color w:val="000000"/>
              </w:rPr>
            </w:pPr>
          </w:p>
        </w:tc>
        <w:tc>
          <w:tcPr>
            <w:tcW w:w="1678" w:type="dxa"/>
            <w:tcBorders>
              <w:top w:val="nil"/>
              <w:left w:val="nil"/>
              <w:bottom w:val="nil"/>
              <w:right w:val="nil"/>
            </w:tcBorders>
            <w:shd w:val="clear" w:color="D9D9D9" w:fill="D9D9D9"/>
            <w:noWrap/>
            <w:vAlign w:val="bottom"/>
            <w:hideMark/>
          </w:tcPr>
          <w:p w14:paraId="1E634148" w14:textId="77777777" w:rsidR="002173B0" w:rsidRPr="00B1324C" w:rsidRDefault="002173B0" w:rsidP="002173B0">
            <w:pPr>
              <w:rPr>
                <w:rFonts w:ascii="Calibri" w:eastAsia="Times New Roman" w:hAnsi="Calibri" w:cs="Times New Roman"/>
                <w:color w:val="000000"/>
              </w:rPr>
            </w:pPr>
          </w:p>
        </w:tc>
      </w:tr>
      <w:tr w:rsidR="002173B0" w:rsidRPr="00B1324C" w14:paraId="181F952F" w14:textId="77777777" w:rsidTr="002173B0">
        <w:trPr>
          <w:trHeight w:val="315"/>
        </w:trPr>
        <w:tc>
          <w:tcPr>
            <w:tcW w:w="1420" w:type="dxa"/>
            <w:tcBorders>
              <w:top w:val="nil"/>
              <w:left w:val="nil"/>
              <w:bottom w:val="single" w:sz="4" w:space="0" w:color="000000"/>
              <w:right w:val="nil"/>
            </w:tcBorders>
            <w:shd w:val="clear" w:color="auto" w:fill="auto"/>
            <w:noWrap/>
            <w:vAlign w:val="bottom"/>
            <w:hideMark/>
          </w:tcPr>
          <w:p w14:paraId="1387EF1C" w14:textId="77777777" w:rsidR="002173B0" w:rsidRPr="00B1324C" w:rsidRDefault="002173B0" w:rsidP="002173B0">
            <w:pPr>
              <w:rPr>
                <w:rFonts w:ascii="Calibri" w:eastAsia="Times New Roman" w:hAnsi="Calibri" w:cs="Times New Roman"/>
                <w:color w:val="000000"/>
              </w:rPr>
            </w:pPr>
            <w:r w:rsidRPr="00B1324C">
              <w:rPr>
                <w:rFonts w:ascii="Calibri" w:eastAsia="Times New Roman" w:hAnsi="Calibri" w:cs="Times New Roman"/>
                <w:color w:val="000000"/>
              </w:rPr>
              <w:t>Vopak</w:t>
            </w:r>
          </w:p>
        </w:tc>
        <w:tc>
          <w:tcPr>
            <w:tcW w:w="1420" w:type="dxa"/>
            <w:tcBorders>
              <w:top w:val="nil"/>
              <w:left w:val="nil"/>
              <w:bottom w:val="single" w:sz="4" w:space="0" w:color="000000"/>
              <w:right w:val="nil"/>
            </w:tcBorders>
            <w:shd w:val="clear" w:color="auto" w:fill="auto"/>
            <w:noWrap/>
            <w:vAlign w:val="bottom"/>
            <w:hideMark/>
          </w:tcPr>
          <w:p w14:paraId="60ECC0E3" w14:textId="77777777" w:rsidR="002173B0" w:rsidRPr="00B1324C" w:rsidRDefault="002173B0" w:rsidP="002173B0">
            <w:pPr>
              <w:rPr>
                <w:rFonts w:ascii="Calibri" w:eastAsia="Times New Roman" w:hAnsi="Calibri" w:cs="Times New Roman"/>
                <w:color w:val="000000"/>
              </w:rPr>
            </w:pPr>
          </w:p>
        </w:tc>
        <w:tc>
          <w:tcPr>
            <w:tcW w:w="1678" w:type="dxa"/>
            <w:tcBorders>
              <w:top w:val="nil"/>
              <w:left w:val="nil"/>
              <w:bottom w:val="single" w:sz="4" w:space="0" w:color="000000"/>
              <w:right w:val="nil"/>
            </w:tcBorders>
            <w:shd w:val="clear" w:color="auto" w:fill="auto"/>
            <w:noWrap/>
            <w:vAlign w:val="bottom"/>
            <w:hideMark/>
          </w:tcPr>
          <w:p w14:paraId="75B0BBBF" w14:textId="77777777" w:rsidR="002173B0" w:rsidRPr="00B1324C" w:rsidRDefault="002173B0" w:rsidP="002173B0">
            <w:pPr>
              <w:rPr>
                <w:rFonts w:ascii="Calibri" w:eastAsia="Times New Roman" w:hAnsi="Calibri" w:cs="Times New Roman"/>
                <w:color w:val="000000"/>
              </w:rPr>
            </w:pPr>
          </w:p>
        </w:tc>
      </w:tr>
    </w:tbl>
    <w:p w14:paraId="232171FD" w14:textId="77777777" w:rsidR="006654C6" w:rsidRDefault="006654C6" w:rsidP="006569B4">
      <w:pPr>
        <w:spacing w:line="360" w:lineRule="auto"/>
      </w:pPr>
    </w:p>
    <w:p w14:paraId="551EC4D6" w14:textId="77777777" w:rsidR="006654C6" w:rsidRDefault="006654C6" w:rsidP="006569B4">
      <w:pPr>
        <w:spacing w:line="360" w:lineRule="auto"/>
      </w:pPr>
    </w:p>
    <w:p w14:paraId="6C692E56" w14:textId="77777777" w:rsidR="00B1324C" w:rsidRDefault="00B1324C" w:rsidP="006569B4">
      <w:pPr>
        <w:spacing w:line="360" w:lineRule="auto"/>
      </w:pPr>
    </w:p>
    <w:p w14:paraId="7C035006" w14:textId="77777777" w:rsidR="006654C6" w:rsidRDefault="006654C6" w:rsidP="006569B4">
      <w:pPr>
        <w:spacing w:line="360" w:lineRule="auto"/>
      </w:pPr>
    </w:p>
    <w:p w14:paraId="2621F03D" w14:textId="77777777" w:rsidR="006654C6" w:rsidRDefault="006654C6" w:rsidP="006569B4">
      <w:pPr>
        <w:spacing w:line="360" w:lineRule="auto"/>
      </w:pPr>
    </w:p>
    <w:p w14:paraId="53BEFAF2" w14:textId="77777777" w:rsidR="002173B0" w:rsidRDefault="002173B0" w:rsidP="006569B4">
      <w:pPr>
        <w:spacing w:line="360" w:lineRule="auto"/>
      </w:pPr>
    </w:p>
    <w:p w14:paraId="1A238178" w14:textId="3B326154" w:rsidR="00B1324C" w:rsidRDefault="00B1324C" w:rsidP="006569B4">
      <w:pPr>
        <w:spacing w:line="360" w:lineRule="auto"/>
      </w:pPr>
      <w:r>
        <w:t>Door d</w:t>
      </w:r>
      <w:r w:rsidR="004126AC">
        <w:t>e gegevens uit deze tabel</w:t>
      </w:r>
      <w:r>
        <w:t xml:space="preserve"> vervolgens te combineren met tabel 19 blijkt dat onder PWC en EY geen verbanden te vinden zijn </w:t>
      </w:r>
      <w:r w:rsidR="00380DD2">
        <w:t xml:space="preserve">tussen de </w:t>
      </w:r>
      <w:r>
        <w:t>motivaties van de ondernemingen. Onder KPMG is een klein verband te vinden, doordat de motivatie vrij standaard is en neerkomt op het vergroten van de begrijpelijkheid. Duidelijke verbanden zijn in het geval van de accountantsbureaus niet aan te wijzen.</w:t>
      </w:r>
    </w:p>
    <w:p w14:paraId="09E75C6F" w14:textId="77777777" w:rsidR="00B1324C" w:rsidRDefault="00B1324C" w:rsidP="006569B4">
      <w:pPr>
        <w:spacing w:line="360" w:lineRule="auto"/>
      </w:pPr>
    </w:p>
    <w:p w14:paraId="7F0A29F3" w14:textId="77777777" w:rsidR="006654C6" w:rsidRDefault="006654C6" w:rsidP="006569B4">
      <w:pPr>
        <w:spacing w:line="360" w:lineRule="auto"/>
      </w:pPr>
    </w:p>
    <w:p w14:paraId="43F84EA8" w14:textId="77777777" w:rsidR="006654C6" w:rsidRDefault="006654C6" w:rsidP="006569B4">
      <w:pPr>
        <w:spacing w:line="360" w:lineRule="auto"/>
      </w:pPr>
    </w:p>
    <w:p w14:paraId="0BD1B537" w14:textId="0721BCE0" w:rsidR="00B1324C" w:rsidRDefault="00B1324C" w:rsidP="006569B4">
      <w:pPr>
        <w:spacing w:line="360" w:lineRule="auto"/>
        <w:rPr>
          <w:i/>
        </w:rPr>
      </w:pPr>
      <w:r>
        <w:rPr>
          <w:i/>
        </w:rPr>
        <w:t>Normatief isomorfisme</w:t>
      </w:r>
    </w:p>
    <w:p w14:paraId="34579233" w14:textId="16CC96E1" w:rsidR="00B1324C" w:rsidRDefault="00B1324C" w:rsidP="006569B4">
      <w:pPr>
        <w:spacing w:line="360" w:lineRule="auto"/>
      </w:pPr>
      <w:r>
        <w:t>Het normatieve isomorfisme komt dus voor door professionalisering. De theorie geeft hier twee vormen van</w:t>
      </w:r>
      <w:r w:rsidR="004126AC">
        <w:t>:</w:t>
      </w:r>
      <w:r w:rsidR="006654C6">
        <w:t xml:space="preserve"> </w:t>
      </w:r>
      <w:r>
        <w:t xml:space="preserve">door opleiding en door de netwerken. In dit onderzoek speelt de eerste vorm </w:t>
      </w:r>
      <w:r w:rsidR="00C848EB">
        <w:t>geen rol, maar de professionele netwerken kunnen zeker invloed hebben. Hier kunnen de professionele netwerken aangeduid worden als de sectoren waarin de ondernemingen werkzaam zijn. In tabel 5 staan alle ondernemingen gegeven met bijbehorende sector en in de tabel hieronder zijn de ondernemingen die alternatieve indicatoren zelf specifiek aangeven nogmaals verdeeld per sector.</w:t>
      </w:r>
    </w:p>
    <w:p w14:paraId="7D3736A6" w14:textId="77777777" w:rsidR="006654C6" w:rsidRDefault="006654C6" w:rsidP="006569B4">
      <w:pPr>
        <w:spacing w:line="360" w:lineRule="auto"/>
      </w:pPr>
    </w:p>
    <w:tbl>
      <w:tblPr>
        <w:tblpPr w:leftFromText="180" w:rightFromText="180" w:vertAnchor="text" w:horzAnchor="page" w:tblpX="1906" w:tblpY="-259"/>
        <w:tblW w:w="9548" w:type="dxa"/>
        <w:tblLayout w:type="fixed"/>
        <w:tblLook w:val="04A0" w:firstRow="1" w:lastRow="0" w:firstColumn="1" w:lastColumn="0" w:noHBand="0" w:noVBand="1"/>
      </w:tblPr>
      <w:tblGrid>
        <w:gridCol w:w="2480"/>
        <w:gridCol w:w="2850"/>
        <w:gridCol w:w="2316"/>
        <w:gridCol w:w="1902"/>
      </w:tblGrid>
      <w:tr w:rsidR="006654C6" w:rsidRPr="00C848EB" w14:paraId="381C3CF8" w14:textId="77777777" w:rsidTr="006654C6">
        <w:trPr>
          <w:trHeight w:val="439"/>
        </w:trPr>
        <w:tc>
          <w:tcPr>
            <w:tcW w:w="2480" w:type="dxa"/>
            <w:tcBorders>
              <w:top w:val="single" w:sz="4" w:space="0" w:color="000000"/>
              <w:left w:val="nil"/>
              <w:bottom w:val="single" w:sz="4" w:space="0" w:color="000000"/>
              <w:right w:val="nil"/>
            </w:tcBorders>
            <w:shd w:val="clear" w:color="auto" w:fill="auto"/>
            <w:noWrap/>
            <w:vAlign w:val="bottom"/>
            <w:hideMark/>
          </w:tcPr>
          <w:p w14:paraId="03EFD755" w14:textId="77777777" w:rsidR="006654C6" w:rsidRPr="00C848EB" w:rsidRDefault="006654C6" w:rsidP="006654C6">
            <w:pPr>
              <w:rPr>
                <w:rFonts w:ascii="Calibri" w:eastAsia="Times New Roman" w:hAnsi="Calibri" w:cs="Times New Roman"/>
                <w:b/>
                <w:bCs/>
                <w:color w:val="000000"/>
              </w:rPr>
            </w:pPr>
            <w:r w:rsidRPr="00C848EB">
              <w:rPr>
                <w:rFonts w:ascii="Calibri" w:eastAsia="Times New Roman" w:hAnsi="Calibri" w:cs="Times New Roman"/>
                <w:b/>
                <w:bCs/>
                <w:color w:val="000000"/>
              </w:rPr>
              <w:t>Detailhandel/vervoer</w:t>
            </w:r>
          </w:p>
        </w:tc>
        <w:tc>
          <w:tcPr>
            <w:tcW w:w="2850" w:type="dxa"/>
            <w:tcBorders>
              <w:top w:val="single" w:sz="4" w:space="0" w:color="000000"/>
              <w:left w:val="nil"/>
              <w:bottom w:val="single" w:sz="4" w:space="0" w:color="000000"/>
              <w:right w:val="nil"/>
            </w:tcBorders>
            <w:shd w:val="clear" w:color="auto" w:fill="auto"/>
            <w:noWrap/>
            <w:vAlign w:val="bottom"/>
            <w:hideMark/>
          </w:tcPr>
          <w:p w14:paraId="232485AA" w14:textId="77777777" w:rsidR="006654C6" w:rsidRPr="00C848EB" w:rsidRDefault="006654C6" w:rsidP="006654C6">
            <w:pPr>
              <w:rPr>
                <w:rFonts w:ascii="Calibri" w:eastAsia="Times New Roman" w:hAnsi="Calibri" w:cs="Times New Roman"/>
                <w:b/>
                <w:bCs/>
                <w:color w:val="000000"/>
              </w:rPr>
            </w:pPr>
            <w:r w:rsidRPr="00C848EB">
              <w:rPr>
                <w:rFonts w:ascii="Calibri" w:eastAsia="Times New Roman" w:hAnsi="Calibri" w:cs="Times New Roman"/>
                <w:b/>
                <w:bCs/>
                <w:color w:val="000000"/>
              </w:rPr>
              <w:t>Financiële Dienstverlening</w:t>
            </w:r>
          </w:p>
        </w:tc>
        <w:tc>
          <w:tcPr>
            <w:tcW w:w="2316" w:type="dxa"/>
            <w:tcBorders>
              <w:top w:val="single" w:sz="4" w:space="0" w:color="000000"/>
              <w:left w:val="nil"/>
              <w:bottom w:val="single" w:sz="4" w:space="0" w:color="000000"/>
              <w:right w:val="nil"/>
            </w:tcBorders>
            <w:shd w:val="clear" w:color="auto" w:fill="auto"/>
            <w:noWrap/>
            <w:vAlign w:val="bottom"/>
            <w:hideMark/>
          </w:tcPr>
          <w:p w14:paraId="4B287D8F" w14:textId="77777777" w:rsidR="006654C6" w:rsidRPr="00C848EB" w:rsidRDefault="006654C6" w:rsidP="006654C6">
            <w:pPr>
              <w:rPr>
                <w:rFonts w:ascii="Calibri" w:eastAsia="Times New Roman" w:hAnsi="Calibri" w:cs="Times New Roman"/>
                <w:b/>
                <w:bCs/>
                <w:color w:val="000000"/>
              </w:rPr>
            </w:pPr>
            <w:r w:rsidRPr="00C848EB">
              <w:rPr>
                <w:rFonts w:ascii="Calibri" w:eastAsia="Times New Roman" w:hAnsi="Calibri" w:cs="Times New Roman"/>
                <w:b/>
                <w:bCs/>
                <w:color w:val="000000"/>
              </w:rPr>
              <w:t>Energie/elektriciteit</w:t>
            </w:r>
          </w:p>
        </w:tc>
        <w:tc>
          <w:tcPr>
            <w:tcW w:w="1902" w:type="dxa"/>
            <w:tcBorders>
              <w:top w:val="single" w:sz="4" w:space="0" w:color="000000"/>
              <w:left w:val="nil"/>
              <w:bottom w:val="single" w:sz="4" w:space="0" w:color="000000"/>
              <w:right w:val="nil"/>
            </w:tcBorders>
            <w:shd w:val="clear" w:color="auto" w:fill="auto"/>
            <w:noWrap/>
            <w:vAlign w:val="bottom"/>
            <w:hideMark/>
          </w:tcPr>
          <w:p w14:paraId="6B65B6A1" w14:textId="77777777" w:rsidR="006654C6" w:rsidRPr="00C848EB" w:rsidRDefault="006654C6" w:rsidP="006654C6">
            <w:pPr>
              <w:rPr>
                <w:rFonts w:ascii="Calibri" w:eastAsia="Times New Roman" w:hAnsi="Calibri" w:cs="Times New Roman"/>
                <w:b/>
                <w:bCs/>
                <w:color w:val="000000"/>
              </w:rPr>
            </w:pPr>
            <w:r w:rsidRPr="00C848EB">
              <w:rPr>
                <w:rFonts w:ascii="Calibri" w:eastAsia="Times New Roman" w:hAnsi="Calibri" w:cs="Times New Roman"/>
                <w:b/>
                <w:bCs/>
                <w:color w:val="000000"/>
              </w:rPr>
              <w:t>Bouw/industrie</w:t>
            </w:r>
          </w:p>
        </w:tc>
      </w:tr>
      <w:tr w:rsidR="006654C6" w:rsidRPr="00C848EB" w14:paraId="19A9F806" w14:textId="77777777" w:rsidTr="006654C6">
        <w:trPr>
          <w:trHeight w:val="300"/>
        </w:trPr>
        <w:tc>
          <w:tcPr>
            <w:tcW w:w="2480" w:type="dxa"/>
            <w:tcBorders>
              <w:top w:val="nil"/>
              <w:left w:val="nil"/>
              <w:bottom w:val="nil"/>
              <w:right w:val="nil"/>
            </w:tcBorders>
            <w:shd w:val="clear" w:color="D9D9D9" w:fill="D9D9D9"/>
            <w:noWrap/>
            <w:vAlign w:val="bottom"/>
            <w:hideMark/>
          </w:tcPr>
          <w:p w14:paraId="2E5BC0F3" w14:textId="77777777" w:rsidR="006654C6" w:rsidRPr="00C848EB" w:rsidRDefault="006654C6" w:rsidP="006654C6">
            <w:pPr>
              <w:rPr>
                <w:rFonts w:ascii="Calibri" w:eastAsia="Times New Roman" w:hAnsi="Calibri" w:cs="Times New Roman"/>
                <w:color w:val="000000"/>
              </w:rPr>
            </w:pPr>
            <w:r w:rsidRPr="00C848EB">
              <w:rPr>
                <w:rFonts w:ascii="Calibri" w:eastAsia="Times New Roman" w:hAnsi="Calibri" w:cs="Times New Roman"/>
                <w:color w:val="000000"/>
              </w:rPr>
              <w:t>Ahold</w:t>
            </w:r>
          </w:p>
        </w:tc>
        <w:tc>
          <w:tcPr>
            <w:tcW w:w="2850" w:type="dxa"/>
            <w:tcBorders>
              <w:top w:val="nil"/>
              <w:left w:val="nil"/>
              <w:bottom w:val="nil"/>
              <w:right w:val="nil"/>
            </w:tcBorders>
            <w:shd w:val="clear" w:color="D9D9D9" w:fill="D9D9D9"/>
            <w:noWrap/>
            <w:vAlign w:val="bottom"/>
            <w:hideMark/>
          </w:tcPr>
          <w:p w14:paraId="1105EF5D" w14:textId="77777777" w:rsidR="006654C6" w:rsidRPr="00C848EB" w:rsidRDefault="006654C6" w:rsidP="006654C6">
            <w:pPr>
              <w:rPr>
                <w:rFonts w:ascii="Calibri" w:eastAsia="Times New Roman" w:hAnsi="Calibri" w:cs="Times New Roman"/>
                <w:color w:val="000000"/>
              </w:rPr>
            </w:pPr>
            <w:r w:rsidRPr="00C848EB">
              <w:rPr>
                <w:rFonts w:ascii="Calibri" w:eastAsia="Times New Roman" w:hAnsi="Calibri" w:cs="Times New Roman"/>
                <w:color w:val="000000"/>
              </w:rPr>
              <w:t>Delta Lloyd</w:t>
            </w:r>
          </w:p>
        </w:tc>
        <w:tc>
          <w:tcPr>
            <w:tcW w:w="2316" w:type="dxa"/>
            <w:tcBorders>
              <w:top w:val="nil"/>
              <w:left w:val="nil"/>
              <w:bottom w:val="nil"/>
              <w:right w:val="nil"/>
            </w:tcBorders>
            <w:shd w:val="clear" w:color="D9D9D9" w:fill="D9D9D9"/>
            <w:noWrap/>
            <w:vAlign w:val="bottom"/>
            <w:hideMark/>
          </w:tcPr>
          <w:p w14:paraId="2BBC8865" w14:textId="77777777" w:rsidR="006654C6" w:rsidRPr="00C848EB" w:rsidRDefault="006654C6" w:rsidP="006654C6">
            <w:pPr>
              <w:rPr>
                <w:rFonts w:ascii="Calibri" w:eastAsia="Times New Roman" w:hAnsi="Calibri" w:cs="Times New Roman"/>
                <w:color w:val="000000"/>
              </w:rPr>
            </w:pPr>
            <w:r w:rsidRPr="00C848EB">
              <w:rPr>
                <w:rFonts w:ascii="Calibri" w:eastAsia="Times New Roman" w:hAnsi="Calibri" w:cs="Times New Roman"/>
                <w:color w:val="000000"/>
              </w:rPr>
              <w:t>Gemalto</w:t>
            </w:r>
          </w:p>
        </w:tc>
        <w:tc>
          <w:tcPr>
            <w:tcW w:w="1902" w:type="dxa"/>
            <w:tcBorders>
              <w:top w:val="nil"/>
              <w:left w:val="nil"/>
              <w:bottom w:val="nil"/>
              <w:right w:val="nil"/>
            </w:tcBorders>
            <w:shd w:val="clear" w:color="D9D9D9" w:fill="D9D9D9"/>
            <w:noWrap/>
            <w:vAlign w:val="bottom"/>
            <w:hideMark/>
          </w:tcPr>
          <w:p w14:paraId="7AC95AB6" w14:textId="77777777" w:rsidR="006654C6" w:rsidRPr="00C848EB" w:rsidRDefault="006654C6" w:rsidP="006654C6">
            <w:pPr>
              <w:rPr>
                <w:rFonts w:ascii="Calibri" w:eastAsia="Times New Roman" w:hAnsi="Calibri" w:cs="Times New Roman"/>
                <w:color w:val="000000"/>
              </w:rPr>
            </w:pPr>
            <w:r w:rsidRPr="00C848EB">
              <w:rPr>
                <w:rFonts w:ascii="Calibri" w:eastAsia="Times New Roman" w:hAnsi="Calibri" w:cs="Times New Roman"/>
                <w:color w:val="000000"/>
              </w:rPr>
              <w:t>Vopak</w:t>
            </w:r>
          </w:p>
        </w:tc>
      </w:tr>
      <w:tr w:rsidR="006654C6" w:rsidRPr="00C848EB" w14:paraId="70D6DCA9" w14:textId="77777777" w:rsidTr="006654C6">
        <w:trPr>
          <w:trHeight w:val="300"/>
        </w:trPr>
        <w:tc>
          <w:tcPr>
            <w:tcW w:w="2480" w:type="dxa"/>
            <w:tcBorders>
              <w:top w:val="nil"/>
              <w:left w:val="nil"/>
              <w:bottom w:val="nil"/>
              <w:right w:val="nil"/>
            </w:tcBorders>
            <w:shd w:val="clear" w:color="auto" w:fill="auto"/>
            <w:noWrap/>
            <w:vAlign w:val="bottom"/>
            <w:hideMark/>
          </w:tcPr>
          <w:p w14:paraId="289CB40E" w14:textId="77777777" w:rsidR="006654C6" w:rsidRPr="00C848EB" w:rsidRDefault="006654C6" w:rsidP="006654C6">
            <w:pPr>
              <w:rPr>
                <w:rFonts w:ascii="Calibri" w:eastAsia="Times New Roman" w:hAnsi="Calibri" w:cs="Times New Roman"/>
                <w:color w:val="000000"/>
              </w:rPr>
            </w:pPr>
            <w:r w:rsidRPr="00C848EB">
              <w:rPr>
                <w:rFonts w:ascii="Calibri" w:eastAsia="Times New Roman" w:hAnsi="Calibri" w:cs="Times New Roman"/>
                <w:color w:val="000000"/>
              </w:rPr>
              <w:t>Heineken</w:t>
            </w:r>
          </w:p>
        </w:tc>
        <w:tc>
          <w:tcPr>
            <w:tcW w:w="2850" w:type="dxa"/>
            <w:tcBorders>
              <w:top w:val="nil"/>
              <w:left w:val="nil"/>
              <w:bottom w:val="nil"/>
              <w:right w:val="nil"/>
            </w:tcBorders>
            <w:shd w:val="clear" w:color="auto" w:fill="auto"/>
            <w:noWrap/>
            <w:vAlign w:val="bottom"/>
            <w:hideMark/>
          </w:tcPr>
          <w:p w14:paraId="1EB44791" w14:textId="77777777" w:rsidR="006654C6" w:rsidRPr="00C848EB" w:rsidRDefault="006654C6" w:rsidP="006654C6">
            <w:pPr>
              <w:rPr>
                <w:rFonts w:ascii="Calibri" w:eastAsia="Times New Roman" w:hAnsi="Calibri" w:cs="Times New Roman"/>
                <w:color w:val="000000"/>
              </w:rPr>
            </w:pPr>
            <w:r w:rsidRPr="00C848EB">
              <w:rPr>
                <w:rFonts w:ascii="Calibri" w:eastAsia="Times New Roman" w:hAnsi="Calibri" w:cs="Times New Roman"/>
                <w:color w:val="000000"/>
              </w:rPr>
              <w:t>ING</w:t>
            </w:r>
          </w:p>
        </w:tc>
        <w:tc>
          <w:tcPr>
            <w:tcW w:w="2316" w:type="dxa"/>
            <w:tcBorders>
              <w:top w:val="nil"/>
              <w:left w:val="nil"/>
              <w:bottom w:val="nil"/>
              <w:right w:val="nil"/>
            </w:tcBorders>
            <w:shd w:val="clear" w:color="auto" w:fill="auto"/>
            <w:noWrap/>
            <w:vAlign w:val="bottom"/>
            <w:hideMark/>
          </w:tcPr>
          <w:p w14:paraId="052A4E49" w14:textId="77777777" w:rsidR="006654C6" w:rsidRPr="00C848EB" w:rsidRDefault="006654C6" w:rsidP="006654C6">
            <w:pPr>
              <w:rPr>
                <w:rFonts w:ascii="Calibri" w:eastAsia="Times New Roman" w:hAnsi="Calibri" w:cs="Times New Roman"/>
                <w:color w:val="000000"/>
              </w:rPr>
            </w:pPr>
            <w:r w:rsidRPr="00C848EB">
              <w:rPr>
                <w:rFonts w:ascii="Calibri" w:eastAsia="Times New Roman" w:hAnsi="Calibri" w:cs="Times New Roman"/>
                <w:color w:val="000000"/>
              </w:rPr>
              <w:t>Philips</w:t>
            </w:r>
          </w:p>
        </w:tc>
        <w:tc>
          <w:tcPr>
            <w:tcW w:w="1902" w:type="dxa"/>
            <w:tcBorders>
              <w:top w:val="nil"/>
              <w:left w:val="nil"/>
              <w:bottom w:val="nil"/>
              <w:right w:val="nil"/>
            </w:tcBorders>
            <w:shd w:val="clear" w:color="auto" w:fill="auto"/>
            <w:noWrap/>
            <w:vAlign w:val="bottom"/>
            <w:hideMark/>
          </w:tcPr>
          <w:p w14:paraId="4309FA5F" w14:textId="77777777" w:rsidR="006654C6" w:rsidRPr="00C848EB" w:rsidRDefault="006654C6" w:rsidP="006654C6">
            <w:pPr>
              <w:rPr>
                <w:rFonts w:ascii="Calibri" w:eastAsia="Times New Roman" w:hAnsi="Calibri" w:cs="Times New Roman"/>
                <w:color w:val="000000"/>
              </w:rPr>
            </w:pPr>
          </w:p>
        </w:tc>
      </w:tr>
      <w:tr w:rsidR="006654C6" w:rsidRPr="00C848EB" w14:paraId="44AD8438" w14:textId="77777777" w:rsidTr="006654C6">
        <w:trPr>
          <w:trHeight w:val="300"/>
        </w:trPr>
        <w:tc>
          <w:tcPr>
            <w:tcW w:w="2480" w:type="dxa"/>
            <w:tcBorders>
              <w:top w:val="nil"/>
              <w:left w:val="nil"/>
              <w:bottom w:val="nil"/>
              <w:right w:val="nil"/>
            </w:tcBorders>
            <w:shd w:val="clear" w:color="D9D9D9" w:fill="D9D9D9"/>
            <w:noWrap/>
            <w:vAlign w:val="bottom"/>
            <w:hideMark/>
          </w:tcPr>
          <w:p w14:paraId="7DDC2A8A" w14:textId="77777777" w:rsidR="006654C6" w:rsidRPr="00C848EB" w:rsidRDefault="006654C6" w:rsidP="006654C6">
            <w:pPr>
              <w:rPr>
                <w:rFonts w:ascii="Calibri" w:eastAsia="Times New Roman" w:hAnsi="Calibri" w:cs="Times New Roman"/>
                <w:color w:val="000000"/>
              </w:rPr>
            </w:pPr>
            <w:r w:rsidRPr="00C848EB">
              <w:rPr>
                <w:rFonts w:ascii="Calibri" w:eastAsia="Times New Roman" w:hAnsi="Calibri" w:cs="Times New Roman"/>
                <w:color w:val="000000"/>
              </w:rPr>
              <w:t>TNT</w:t>
            </w:r>
          </w:p>
        </w:tc>
        <w:tc>
          <w:tcPr>
            <w:tcW w:w="2850" w:type="dxa"/>
            <w:tcBorders>
              <w:top w:val="nil"/>
              <w:left w:val="nil"/>
              <w:bottom w:val="nil"/>
              <w:right w:val="nil"/>
            </w:tcBorders>
            <w:shd w:val="clear" w:color="D9D9D9" w:fill="D9D9D9"/>
            <w:noWrap/>
            <w:vAlign w:val="bottom"/>
            <w:hideMark/>
          </w:tcPr>
          <w:p w14:paraId="0258E6C0" w14:textId="77777777" w:rsidR="006654C6" w:rsidRPr="00C848EB" w:rsidRDefault="006654C6" w:rsidP="006654C6">
            <w:pPr>
              <w:rPr>
                <w:rFonts w:ascii="Calibri" w:eastAsia="Times New Roman" w:hAnsi="Calibri" w:cs="Times New Roman"/>
                <w:color w:val="000000"/>
              </w:rPr>
            </w:pPr>
            <w:r w:rsidRPr="00C848EB">
              <w:rPr>
                <w:rFonts w:ascii="Calibri" w:eastAsia="Times New Roman" w:hAnsi="Calibri" w:cs="Times New Roman"/>
                <w:color w:val="000000"/>
              </w:rPr>
              <w:t>Aegon</w:t>
            </w:r>
          </w:p>
        </w:tc>
        <w:tc>
          <w:tcPr>
            <w:tcW w:w="2316" w:type="dxa"/>
            <w:tcBorders>
              <w:top w:val="nil"/>
              <w:left w:val="nil"/>
              <w:bottom w:val="nil"/>
              <w:right w:val="nil"/>
            </w:tcBorders>
            <w:shd w:val="clear" w:color="D9D9D9" w:fill="D9D9D9"/>
            <w:noWrap/>
            <w:vAlign w:val="bottom"/>
            <w:hideMark/>
          </w:tcPr>
          <w:p w14:paraId="2798F58B" w14:textId="77777777" w:rsidR="006654C6" w:rsidRPr="00C848EB" w:rsidRDefault="006654C6" w:rsidP="006654C6">
            <w:pPr>
              <w:rPr>
                <w:rFonts w:ascii="Calibri" w:eastAsia="Times New Roman" w:hAnsi="Calibri" w:cs="Times New Roman"/>
                <w:color w:val="000000"/>
              </w:rPr>
            </w:pPr>
            <w:r w:rsidRPr="00C848EB">
              <w:rPr>
                <w:rFonts w:ascii="Calibri" w:eastAsia="Times New Roman" w:hAnsi="Calibri" w:cs="Times New Roman"/>
                <w:color w:val="000000"/>
              </w:rPr>
              <w:t>Shell</w:t>
            </w:r>
          </w:p>
        </w:tc>
        <w:tc>
          <w:tcPr>
            <w:tcW w:w="1902" w:type="dxa"/>
            <w:tcBorders>
              <w:top w:val="nil"/>
              <w:left w:val="nil"/>
              <w:bottom w:val="nil"/>
              <w:right w:val="nil"/>
            </w:tcBorders>
            <w:shd w:val="clear" w:color="D9D9D9" w:fill="D9D9D9"/>
            <w:noWrap/>
            <w:vAlign w:val="bottom"/>
            <w:hideMark/>
          </w:tcPr>
          <w:p w14:paraId="3210AC44" w14:textId="77777777" w:rsidR="006654C6" w:rsidRPr="00C848EB" w:rsidRDefault="006654C6" w:rsidP="006654C6">
            <w:pPr>
              <w:rPr>
                <w:rFonts w:ascii="Calibri" w:eastAsia="Times New Roman" w:hAnsi="Calibri" w:cs="Times New Roman"/>
                <w:color w:val="000000"/>
              </w:rPr>
            </w:pPr>
          </w:p>
        </w:tc>
      </w:tr>
      <w:tr w:rsidR="006654C6" w:rsidRPr="00C848EB" w14:paraId="59E77D96" w14:textId="77777777" w:rsidTr="006654C6">
        <w:trPr>
          <w:trHeight w:val="300"/>
        </w:trPr>
        <w:tc>
          <w:tcPr>
            <w:tcW w:w="2480" w:type="dxa"/>
            <w:tcBorders>
              <w:top w:val="nil"/>
              <w:left w:val="nil"/>
              <w:bottom w:val="nil"/>
              <w:right w:val="nil"/>
            </w:tcBorders>
            <w:shd w:val="clear" w:color="auto" w:fill="auto"/>
            <w:noWrap/>
            <w:vAlign w:val="bottom"/>
            <w:hideMark/>
          </w:tcPr>
          <w:p w14:paraId="4FB6382D" w14:textId="77777777" w:rsidR="006654C6" w:rsidRPr="00C848EB" w:rsidRDefault="006654C6" w:rsidP="006654C6">
            <w:pPr>
              <w:rPr>
                <w:rFonts w:ascii="Calibri" w:eastAsia="Times New Roman" w:hAnsi="Calibri" w:cs="Times New Roman"/>
                <w:color w:val="000000"/>
              </w:rPr>
            </w:pPr>
            <w:r w:rsidRPr="00C848EB">
              <w:rPr>
                <w:rFonts w:ascii="Calibri" w:eastAsia="Times New Roman" w:hAnsi="Calibri" w:cs="Times New Roman"/>
                <w:color w:val="000000"/>
              </w:rPr>
              <w:t>Unilever</w:t>
            </w:r>
          </w:p>
        </w:tc>
        <w:tc>
          <w:tcPr>
            <w:tcW w:w="2850" w:type="dxa"/>
            <w:tcBorders>
              <w:top w:val="nil"/>
              <w:left w:val="nil"/>
              <w:bottom w:val="nil"/>
              <w:right w:val="nil"/>
            </w:tcBorders>
            <w:shd w:val="clear" w:color="auto" w:fill="auto"/>
            <w:noWrap/>
            <w:vAlign w:val="bottom"/>
            <w:hideMark/>
          </w:tcPr>
          <w:p w14:paraId="1C95FC67" w14:textId="77777777" w:rsidR="006654C6" w:rsidRPr="00C848EB" w:rsidRDefault="006654C6" w:rsidP="006654C6">
            <w:pPr>
              <w:rPr>
                <w:rFonts w:ascii="Calibri" w:eastAsia="Times New Roman" w:hAnsi="Calibri" w:cs="Times New Roman"/>
                <w:color w:val="000000"/>
              </w:rPr>
            </w:pPr>
          </w:p>
        </w:tc>
        <w:tc>
          <w:tcPr>
            <w:tcW w:w="2316" w:type="dxa"/>
            <w:tcBorders>
              <w:top w:val="nil"/>
              <w:left w:val="nil"/>
              <w:bottom w:val="nil"/>
              <w:right w:val="nil"/>
            </w:tcBorders>
            <w:shd w:val="clear" w:color="auto" w:fill="auto"/>
            <w:noWrap/>
            <w:vAlign w:val="bottom"/>
            <w:hideMark/>
          </w:tcPr>
          <w:p w14:paraId="4100BE08" w14:textId="77777777" w:rsidR="006654C6" w:rsidRPr="00C848EB" w:rsidRDefault="006654C6" w:rsidP="006654C6">
            <w:pPr>
              <w:rPr>
                <w:rFonts w:ascii="Calibri" w:eastAsia="Times New Roman" w:hAnsi="Calibri" w:cs="Times New Roman"/>
                <w:color w:val="000000"/>
              </w:rPr>
            </w:pPr>
          </w:p>
        </w:tc>
        <w:tc>
          <w:tcPr>
            <w:tcW w:w="1902" w:type="dxa"/>
            <w:tcBorders>
              <w:top w:val="nil"/>
              <w:left w:val="nil"/>
              <w:bottom w:val="nil"/>
              <w:right w:val="nil"/>
            </w:tcBorders>
            <w:shd w:val="clear" w:color="auto" w:fill="auto"/>
            <w:noWrap/>
            <w:vAlign w:val="bottom"/>
            <w:hideMark/>
          </w:tcPr>
          <w:p w14:paraId="5486FEBD" w14:textId="77777777" w:rsidR="006654C6" w:rsidRPr="00C848EB" w:rsidRDefault="006654C6" w:rsidP="006654C6">
            <w:pPr>
              <w:rPr>
                <w:rFonts w:ascii="Calibri" w:eastAsia="Times New Roman" w:hAnsi="Calibri" w:cs="Times New Roman"/>
                <w:color w:val="000000"/>
              </w:rPr>
            </w:pPr>
          </w:p>
        </w:tc>
      </w:tr>
      <w:tr w:rsidR="006654C6" w:rsidRPr="00C848EB" w14:paraId="3ED5A3A9" w14:textId="77777777" w:rsidTr="006654C6">
        <w:trPr>
          <w:trHeight w:val="300"/>
        </w:trPr>
        <w:tc>
          <w:tcPr>
            <w:tcW w:w="2480" w:type="dxa"/>
            <w:tcBorders>
              <w:top w:val="nil"/>
              <w:left w:val="nil"/>
              <w:bottom w:val="single" w:sz="4" w:space="0" w:color="000000"/>
              <w:right w:val="nil"/>
            </w:tcBorders>
            <w:shd w:val="clear" w:color="D9D9D9" w:fill="D9D9D9"/>
            <w:noWrap/>
            <w:vAlign w:val="bottom"/>
            <w:hideMark/>
          </w:tcPr>
          <w:p w14:paraId="20C9D709" w14:textId="77777777" w:rsidR="006654C6" w:rsidRPr="00C848EB" w:rsidRDefault="006654C6" w:rsidP="006654C6">
            <w:pPr>
              <w:rPr>
                <w:rFonts w:ascii="Calibri" w:eastAsia="Times New Roman" w:hAnsi="Calibri" w:cs="Times New Roman"/>
                <w:color w:val="000000"/>
              </w:rPr>
            </w:pPr>
            <w:r w:rsidRPr="00C848EB">
              <w:rPr>
                <w:rFonts w:ascii="Calibri" w:eastAsia="Times New Roman" w:hAnsi="Calibri" w:cs="Times New Roman"/>
                <w:color w:val="000000"/>
              </w:rPr>
              <w:t>Wolters Kluwer</w:t>
            </w:r>
          </w:p>
        </w:tc>
        <w:tc>
          <w:tcPr>
            <w:tcW w:w="2850" w:type="dxa"/>
            <w:tcBorders>
              <w:top w:val="nil"/>
              <w:left w:val="nil"/>
              <w:bottom w:val="single" w:sz="4" w:space="0" w:color="000000"/>
              <w:right w:val="nil"/>
            </w:tcBorders>
            <w:shd w:val="clear" w:color="D9D9D9" w:fill="D9D9D9"/>
            <w:noWrap/>
            <w:vAlign w:val="bottom"/>
            <w:hideMark/>
          </w:tcPr>
          <w:p w14:paraId="7A4B2B30" w14:textId="77777777" w:rsidR="006654C6" w:rsidRPr="00C848EB" w:rsidRDefault="006654C6" w:rsidP="006654C6">
            <w:pPr>
              <w:rPr>
                <w:rFonts w:ascii="Calibri" w:eastAsia="Times New Roman" w:hAnsi="Calibri" w:cs="Times New Roman"/>
                <w:color w:val="000000"/>
              </w:rPr>
            </w:pPr>
          </w:p>
        </w:tc>
        <w:tc>
          <w:tcPr>
            <w:tcW w:w="2316" w:type="dxa"/>
            <w:tcBorders>
              <w:top w:val="nil"/>
              <w:left w:val="nil"/>
              <w:bottom w:val="single" w:sz="4" w:space="0" w:color="000000"/>
              <w:right w:val="nil"/>
            </w:tcBorders>
            <w:shd w:val="clear" w:color="D9D9D9" w:fill="D9D9D9"/>
            <w:noWrap/>
            <w:vAlign w:val="bottom"/>
            <w:hideMark/>
          </w:tcPr>
          <w:p w14:paraId="30C4D61C" w14:textId="77777777" w:rsidR="006654C6" w:rsidRPr="00C848EB" w:rsidRDefault="006654C6" w:rsidP="006654C6">
            <w:pPr>
              <w:rPr>
                <w:rFonts w:ascii="Calibri" w:eastAsia="Times New Roman" w:hAnsi="Calibri" w:cs="Times New Roman"/>
                <w:color w:val="000000"/>
              </w:rPr>
            </w:pPr>
          </w:p>
        </w:tc>
        <w:tc>
          <w:tcPr>
            <w:tcW w:w="1902" w:type="dxa"/>
            <w:tcBorders>
              <w:top w:val="nil"/>
              <w:left w:val="nil"/>
              <w:bottom w:val="single" w:sz="4" w:space="0" w:color="000000"/>
              <w:right w:val="nil"/>
            </w:tcBorders>
            <w:shd w:val="clear" w:color="D9D9D9" w:fill="D9D9D9"/>
            <w:noWrap/>
            <w:vAlign w:val="bottom"/>
            <w:hideMark/>
          </w:tcPr>
          <w:p w14:paraId="0A56CBD0" w14:textId="77777777" w:rsidR="006654C6" w:rsidRPr="00C848EB" w:rsidRDefault="006654C6" w:rsidP="006654C6">
            <w:pPr>
              <w:rPr>
                <w:rFonts w:ascii="Calibri" w:eastAsia="Times New Roman" w:hAnsi="Calibri" w:cs="Times New Roman"/>
                <w:color w:val="000000"/>
              </w:rPr>
            </w:pPr>
          </w:p>
        </w:tc>
      </w:tr>
    </w:tbl>
    <w:p w14:paraId="3DC98C6B" w14:textId="1AA13FD5" w:rsidR="00253740" w:rsidRDefault="00C848EB" w:rsidP="006569B4">
      <w:pPr>
        <w:spacing w:line="360" w:lineRule="auto"/>
      </w:pPr>
      <w:r>
        <w:t xml:space="preserve">Bij het vergelijken van de twee tabellen vallen gelijk wat zaken op. Namelijk dat alle ondernemingen </w:t>
      </w:r>
      <w:r w:rsidR="004126AC">
        <w:t>binnen</w:t>
      </w:r>
      <w:r>
        <w:t xml:space="preserve"> de sectoren </w:t>
      </w:r>
      <w:r w:rsidR="004126AC">
        <w:t>F</w:t>
      </w:r>
      <w:r>
        <w:t xml:space="preserve">inanciële </w:t>
      </w:r>
      <w:r w:rsidR="004126AC">
        <w:t>D</w:t>
      </w:r>
      <w:r>
        <w:t>ienstver</w:t>
      </w:r>
      <w:r w:rsidR="00A857B1">
        <w:t xml:space="preserve">lening en </w:t>
      </w:r>
      <w:r w:rsidR="004126AC">
        <w:t>E</w:t>
      </w:r>
      <w:r w:rsidR="00A857B1">
        <w:t>nergie/</w:t>
      </w:r>
      <w:r w:rsidR="004126AC">
        <w:t>E</w:t>
      </w:r>
      <w:r w:rsidR="00A857B1">
        <w:t>lektriciteit</w:t>
      </w:r>
      <w:r w:rsidR="004126AC">
        <w:t>:</w:t>
      </w:r>
      <w:r w:rsidR="00A857B1">
        <w:t xml:space="preserve"> de alternatieve indicatoren zelf aangeven in de jaarrekening. In het geval van </w:t>
      </w:r>
      <w:r w:rsidR="004126AC">
        <w:t>D</w:t>
      </w:r>
      <w:r w:rsidR="00A857B1">
        <w:t>etailhandel/</w:t>
      </w:r>
      <w:r w:rsidR="004126AC">
        <w:t>V</w:t>
      </w:r>
      <w:r w:rsidR="00A857B1">
        <w:t xml:space="preserve">ervoer ontbreekt slechts 1 onderneming. Dit geeft aan dat ondernemingen binnen deze sectoren het belang zien van het vermelden van alternatieve indicatoren, of zoals de theorie van institutioneel isomorfisme zegt overname gedrag vertonen binnen de professionele netwerken. Ook hier geeft de motivatie van Aegon </w:t>
      </w:r>
      <w:r w:rsidR="00AF13F0">
        <w:t>aan</w:t>
      </w:r>
      <w:r w:rsidR="00A857B1">
        <w:t xml:space="preserve"> dat de theorie in dit geval </w:t>
      </w:r>
      <w:r w:rsidR="00AF13F0">
        <w:t>toepasbaar is.</w:t>
      </w:r>
    </w:p>
    <w:p w14:paraId="0A2FE8E7" w14:textId="4ED8CC0A" w:rsidR="00B00664" w:rsidRDefault="00B00664" w:rsidP="006569B4">
      <w:pPr>
        <w:spacing w:line="360" w:lineRule="auto"/>
      </w:pPr>
      <w:r>
        <w:t>In het geval van de Bouw/Industrie sector, dus alleen de onderneming Vopak, is 2014 het eerste jaar dat de alternatieve indicatoren specifiek vermeld worden.</w:t>
      </w:r>
      <w:r w:rsidR="007238B8">
        <w:t xml:space="preserve"> </w:t>
      </w:r>
      <w:r w:rsidR="00AF13F0">
        <w:t>In de toekomst moet blijken of andere ondernemingen in die sector dit over gaan nemen.</w:t>
      </w:r>
    </w:p>
    <w:p w14:paraId="42D4FCE2" w14:textId="0C32E04C" w:rsidR="007238B8" w:rsidRDefault="007238B8" w:rsidP="002173B0">
      <w:pPr>
        <w:pStyle w:val="Heading2"/>
        <w:spacing w:line="360" w:lineRule="auto"/>
      </w:pPr>
      <w:bookmarkStart w:id="29" w:name="_Toc425524030"/>
      <w:r>
        <w:t>5.5 Conclusie</w:t>
      </w:r>
      <w:bookmarkEnd w:id="29"/>
    </w:p>
    <w:p w14:paraId="7057D223" w14:textId="371A9783" w:rsidR="007238B8" w:rsidRDefault="007238B8">
      <w:pPr>
        <w:spacing w:line="360" w:lineRule="auto"/>
      </w:pPr>
      <w:r>
        <w:t>In dit hoofdstuk is een verband tussen de alternatieve indicatoren</w:t>
      </w:r>
      <w:r w:rsidR="00E76483">
        <w:t>, de motieven</w:t>
      </w:r>
      <w:r>
        <w:t xml:space="preserve"> en het institutioneel isomorfisme onderzocht. Allereerst is gekeken naar eerdere onderzoeken en welke motieven daar genoemd worden voor het gebruik van alternatieve indicatoren.</w:t>
      </w:r>
      <w:r w:rsidR="009B30DC">
        <w:t xml:space="preserve"> Hieruit b</w:t>
      </w:r>
      <w:r w:rsidR="009322D0">
        <w:t>lij</w:t>
      </w:r>
      <w:r w:rsidR="009B30DC">
        <w:t>k</w:t>
      </w:r>
      <w:r w:rsidR="009322D0">
        <w:t>t</w:t>
      </w:r>
      <w:r w:rsidR="009B30DC">
        <w:t xml:space="preserve"> dat twee soorten motieven </w:t>
      </w:r>
      <w:r w:rsidR="00E76483">
        <w:t xml:space="preserve">een rol spelen, </w:t>
      </w:r>
      <w:r w:rsidR="009B30DC">
        <w:t xml:space="preserve">namelijk informatieve motieven en opportunistische motieven. De informatieve motieven </w:t>
      </w:r>
      <w:r w:rsidR="00E76483">
        <w:t>zijn</w:t>
      </w:r>
      <w:r w:rsidR="009B30DC">
        <w:t xml:space="preserve"> bedoeld om te informeren en de opportunistische motieven om een beter beeld te geven dan werkelijk van de onderneming. De voorgaande onderzoeken gingen dan ook veel dieper in op dit onderwerp, want uit de jaarrekeningen van de ondernemingen bleken de motieven oppervlakkig, standaard en in sommige gevallen ontbrak de motivatie. Een andere achterliggende gedachte voor het vermelden is overname gedrag. </w:t>
      </w:r>
      <w:r w:rsidR="00E76483">
        <w:t>In dit</w:t>
      </w:r>
      <w:r w:rsidR="009B30DC">
        <w:t xml:space="preserve"> onderzoek</w:t>
      </w:r>
      <w:r w:rsidR="00E76483">
        <w:t xml:space="preserve"> was het</w:t>
      </w:r>
      <w:r w:rsidR="009B30DC">
        <w:t xml:space="preserve"> wel mogelijk om </w:t>
      </w:r>
      <w:r w:rsidR="00E76483">
        <w:t xml:space="preserve">dit </w:t>
      </w:r>
      <w:r w:rsidR="009B30DC">
        <w:t xml:space="preserve">te </w:t>
      </w:r>
      <w:r w:rsidR="00E76483">
        <w:t>onderzoeken</w:t>
      </w:r>
      <w:r w:rsidR="009B30DC">
        <w:t xml:space="preserve"> en voor dit overname gedrag is het institutioneel isomorfisme gebruikt. </w:t>
      </w:r>
    </w:p>
    <w:p w14:paraId="32116739" w14:textId="1E1A0267" w:rsidR="009B30DC" w:rsidRDefault="00E76483">
      <w:pPr>
        <w:spacing w:line="360" w:lineRule="auto"/>
      </w:pPr>
      <w:r>
        <w:t>De theorie van het institutioneel isomorfisme is in hoofdstuk 2 reeds verklaard.</w:t>
      </w:r>
    </w:p>
    <w:p w14:paraId="27DB0C3B" w14:textId="25143DE4" w:rsidR="007238B8" w:rsidRPr="00EC0CDD" w:rsidRDefault="00E76483">
      <w:pPr>
        <w:spacing w:line="360" w:lineRule="auto"/>
      </w:pPr>
      <w:r>
        <w:t>In dit hoofdstuk is v</w:t>
      </w:r>
      <w:r w:rsidR="009B30DC">
        <w:t xml:space="preserve">oor elke vorm van isomorfisme bekeken of het toepasbaar is op de situatie. In het geval van coercive is dit niet zo, aangezien het </w:t>
      </w:r>
      <w:r>
        <w:t>knelpunt</w:t>
      </w:r>
      <w:r w:rsidR="009B30DC">
        <w:t xml:space="preserve"> van de alternatieve indicatoren </w:t>
      </w:r>
      <w:r>
        <w:t>is</w:t>
      </w:r>
      <w:r w:rsidR="009B30DC">
        <w:t xml:space="preserve"> dat</w:t>
      </w:r>
      <w:r>
        <w:t xml:space="preserve"> een</w:t>
      </w:r>
      <w:r w:rsidR="009B30DC">
        <w:t xml:space="preserve"> wet</w:t>
      </w:r>
      <w:r>
        <w:t>-</w:t>
      </w:r>
      <w:r w:rsidR="009B30DC">
        <w:t xml:space="preserve">en regelgeving ontbreekt. In het geval van mimetic en normatief isomorfisme </w:t>
      </w:r>
      <w:r>
        <w:t>is</w:t>
      </w:r>
      <w:r w:rsidR="009B30DC">
        <w:t xml:space="preserve"> wel een verband gevonden.</w:t>
      </w:r>
      <w:r w:rsidR="007F2942">
        <w:t xml:space="preserve"> Mimetic komt voort uit onzekerheid die in dit geval ontstaat door het ontbreken van een wet</w:t>
      </w:r>
      <w:r>
        <w:t>-</w:t>
      </w:r>
      <w:r w:rsidR="007F2942">
        <w:t xml:space="preserve">en regelgeving. </w:t>
      </w:r>
      <w:r>
        <w:t>Onzekerheid</w:t>
      </w:r>
      <w:r w:rsidR="007F2942">
        <w:t xml:space="preserve"> is een reden waarom ondernemingen zich gaan spiegelen aan andere ondernemingen, zoals in het geval van Aegon. Onder mimetic vallen ook oorzaken als isomorfisme door het gebruik van eenzelfde accountantsbureau, maar dit verband was niet vast te stellen aan de hand van de </w:t>
      </w:r>
      <w:r>
        <w:t>data</w:t>
      </w:r>
      <w:r w:rsidR="007F2942">
        <w:t>. Normatief isomorfisme komt voort uit professionalisering en in dit geval door professionalisering via netwerken van de onderneming. Voor de netwerken is gekeken naar de sectoren waarin de ondernemingen werkzaam zijn en uit de resultaten bleek dat binnen bepaalde sectoren of vrijwel alle ondernemingen de alternatieve indicatoren vermelden, of dat slechts een enkele onderneming deze vermelding maakt. Het verband dat ondernemingen binnen een sector de vermelding ma</w:t>
      </w:r>
      <w:r>
        <w:t>ken</w:t>
      </w:r>
      <w:r w:rsidR="007F2942">
        <w:t>, duidt op normatief isomorfisme.</w:t>
      </w:r>
    </w:p>
    <w:p w14:paraId="781CC740" w14:textId="77777777" w:rsidR="00253740" w:rsidRDefault="00253740" w:rsidP="006569B4">
      <w:pPr>
        <w:spacing w:line="360" w:lineRule="auto"/>
        <w:rPr>
          <w:b/>
        </w:rPr>
      </w:pPr>
    </w:p>
    <w:p w14:paraId="3D6EDE18" w14:textId="77777777" w:rsidR="002173B0" w:rsidRDefault="002173B0" w:rsidP="006569B4">
      <w:pPr>
        <w:spacing w:line="360" w:lineRule="auto"/>
        <w:rPr>
          <w:b/>
        </w:rPr>
      </w:pPr>
    </w:p>
    <w:p w14:paraId="614B029A" w14:textId="77777777" w:rsidR="002173B0" w:rsidRDefault="002173B0" w:rsidP="006569B4">
      <w:pPr>
        <w:spacing w:line="360" w:lineRule="auto"/>
        <w:rPr>
          <w:b/>
        </w:rPr>
      </w:pPr>
    </w:p>
    <w:p w14:paraId="1DFEED86" w14:textId="0E4576EA" w:rsidR="007F2942" w:rsidRPr="00DA2D1C" w:rsidRDefault="007F2942" w:rsidP="00EC0CDD">
      <w:pPr>
        <w:pStyle w:val="Heading1"/>
        <w:rPr>
          <w:rStyle w:val="Heading2Char"/>
          <w:color w:val="345A8A" w:themeColor="accent1" w:themeShade="B5"/>
          <w:sz w:val="32"/>
          <w:szCs w:val="32"/>
        </w:rPr>
      </w:pPr>
      <w:bookmarkStart w:id="30" w:name="_Toc425524031"/>
      <w:r w:rsidRPr="00B94A5B">
        <w:rPr>
          <w:rStyle w:val="Heading2Char"/>
          <w:b/>
          <w:bCs/>
          <w:color w:val="345A8A" w:themeColor="accent1" w:themeShade="B5"/>
          <w:sz w:val="32"/>
          <w:szCs w:val="32"/>
        </w:rPr>
        <w:t xml:space="preserve">Hoofdstuk 6: </w:t>
      </w:r>
      <w:r w:rsidR="55079B4A" w:rsidRPr="00B94A5B">
        <w:rPr>
          <w:rStyle w:val="Heading2Char"/>
          <w:b/>
          <w:bCs/>
          <w:color w:val="345A8A" w:themeColor="accent1" w:themeShade="B5"/>
          <w:sz w:val="32"/>
          <w:szCs w:val="32"/>
        </w:rPr>
        <w:t>Samenvatting</w:t>
      </w:r>
      <w:r w:rsidR="0E4576EA" w:rsidRPr="00B94A5B">
        <w:rPr>
          <w:rStyle w:val="Heading2Char"/>
          <w:b/>
          <w:bCs/>
          <w:color w:val="345A8A" w:themeColor="accent1" w:themeShade="B5"/>
          <w:sz w:val="32"/>
          <w:szCs w:val="32"/>
        </w:rPr>
        <w:t xml:space="preserve"> &amp; Conclusie</w:t>
      </w:r>
      <w:bookmarkEnd w:id="30"/>
    </w:p>
    <w:p w14:paraId="1CAAC985" w14:textId="1731D52F" w:rsidR="0E4576EA" w:rsidRDefault="0E4576EA" w:rsidP="00881473">
      <w:pPr>
        <w:pStyle w:val="Heading2"/>
      </w:pPr>
      <w:bookmarkStart w:id="31" w:name="_Toc425524032"/>
      <w:r w:rsidRPr="0E4576EA">
        <w:t>6.1 Samenvatting</w:t>
      </w:r>
      <w:bookmarkEnd w:id="31"/>
    </w:p>
    <w:p w14:paraId="3F1B9EBB" w14:textId="43061683" w:rsidR="55079B4A" w:rsidRDefault="55079B4A"/>
    <w:p w14:paraId="5F177EBF" w14:textId="12333ADC" w:rsidR="007F2942" w:rsidRDefault="0BAC9645" w:rsidP="006569B4">
      <w:pPr>
        <w:spacing w:line="360" w:lineRule="auto"/>
      </w:pPr>
      <w:r w:rsidRPr="0BAC9645">
        <w:t xml:space="preserve">Om de performance van een onderneming te bepalen wordt gekeken naar de </w:t>
      </w:r>
      <w:r w:rsidR="00224E71" w:rsidRPr="0BAC9645">
        <w:t>financiële</w:t>
      </w:r>
      <w:r w:rsidRPr="0BAC9645">
        <w:t xml:space="preserve"> prestatie indicatoren. Binnen de prestatie indicatoren bestaat een onderscheid tussen de indicatoren voorgeschreven door de General Accepted Accounting Principles (GAAP) en de overige indicatoren. De overige indicatoren worden ook wel aangeduid als alternatieve </w:t>
      </w:r>
      <w:r w:rsidR="00224E71" w:rsidRPr="0BAC9645">
        <w:t>finan</w:t>
      </w:r>
      <w:r w:rsidR="00224E71" w:rsidRPr="4517CD92">
        <w:t>ciële</w:t>
      </w:r>
      <w:r w:rsidR="4517CD92" w:rsidRPr="4517CD92">
        <w:t xml:space="preserve"> indicatoren</w:t>
      </w:r>
      <w:r w:rsidR="1DB00171" w:rsidRPr="4517CD92">
        <w:t xml:space="preserve"> en het is in tegenstelling tot bij de GAAP indicatoren niet verplicht deze op te nemen in de jaarreken</w:t>
      </w:r>
      <w:r w:rsidR="65B8667C" w:rsidRPr="4517CD92">
        <w:t xml:space="preserve">ing. </w:t>
      </w:r>
      <w:r w:rsidR="4517CD92">
        <w:t>Voor de alternatieve in</w:t>
      </w:r>
      <w:r w:rsidR="53BB70EA" w:rsidRPr="53BB70EA">
        <w:t>dicatoren ontbreekt een wet en regelgeving, waardoor het vermelden van deze indicatoren ook kan leiden tot een vertekend beeld in plaats va</w:t>
      </w:r>
      <w:r w:rsidR="1DB00171" w:rsidRPr="1DB00171">
        <w:t>n de gebruiker extra te informeren.</w:t>
      </w:r>
      <w:r w:rsidR="4582615D" w:rsidRPr="1DB00171">
        <w:t xml:space="preserve"> In dit onderzoek wordt bekeken welke Nederlandse beursgenoteerde bedrijv</w:t>
      </w:r>
      <w:r w:rsidR="31C30D07" w:rsidRPr="1DB00171">
        <w:t>en</w:t>
      </w:r>
      <w:r w:rsidR="4EB984D9" w:rsidRPr="0B128A72">
        <w:t xml:space="preserve"> </w:t>
      </w:r>
      <w:r w:rsidR="4EB984D9" w:rsidRPr="1DB00171">
        <w:t>maken van de alternatieve indicatoren</w:t>
      </w:r>
      <w:r w:rsidR="7643A5E5" w:rsidRPr="1DB00171">
        <w:t>. Tevens wordt onderzocht of hier</w:t>
      </w:r>
      <w:r w:rsidR="0B128A72" w:rsidRPr="1DB00171">
        <w:t xml:space="preserve"> een </w:t>
      </w:r>
      <w:r w:rsidR="7643A5E5" w:rsidRPr="1DB00171">
        <w:t xml:space="preserve">trend </w:t>
      </w:r>
      <w:r w:rsidR="0B128A72" w:rsidRPr="1DB00171">
        <w:t xml:space="preserve">in </w:t>
      </w:r>
      <w:r w:rsidR="7643A5E5" w:rsidRPr="1DB00171">
        <w:t xml:space="preserve">is te vinden </w:t>
      </w:r>
      <w:r w:rsidR="31C30D07" w:rsidRPr="1DB00171">
        <w:t>en wat de motieven hiervoor zijn.</w:t>
      </w:r>
    </w:p>
    <w:p w14:paraId="5253CEDD" w14:textId="5E9A9D7B" w:rsidR="5F177EBF" w:rsidRDefault="5F177EBF" w:rsidP="00881473">
      <w:pPr>
        <w:spacing w:line="360" w:lineRule="auto"/>
      </w:pPr>
      <w:r w:rsidRPr="1DB00171">
        <w:t>De GAAP indicatoren zijn dus indicatoren voorgeschreven door de wet en regelgeving. In Nederland is dat Raad van de Jaarverslaggeving. De RJ maakt geb</w:t>
      </w:r>
      <w:r w:rsidR="0C5D85E2" w:rsidRPr="1DB00171">
        <w:t xml:space="preserve">ruik van modellen voor de winst-en-verliesrekening waarin exact vermeld staat wat opgenomen moet worden in winst-en-verliesrekening. </w:t>
      </w:r>
      <w:r w:rsidR="03D3CDA4" w:rsidRPr="1DB00171">
        <w:t>Voor beursgenoteerde bedrijven</w:t>
      </w:r>
      <w:r w:rsidR="0DEF8E20" w:rsidRPr="1DB00171">
        <w:t xml:space="preserve"> moet ook gekeken worden naar IFRS. Onder IFRS bestaan </w:t>
      </w:r>
      <w:r w:rsidR="6A2C04F4" w:rsidRPr="1DB00171">
        <w:t xml:space="preserve">alleen een aantal vaste posten die vermeld moeten worden. Van een alternatieve indicator is sprake wanneer het </w:t>
      </w:r>
      <w:r w:rsidR="6DC94570" w:rsidRPr="1DB00171">
        <w:t xml:space="preserve">niet voldoet aan de gestelde eisen van RJ of IFRS. Alternatieve indicatoren zijn voor een groot deel ook afgeleiden van GAAP indicatoren </w:t>
      </w:r>
      <w:r w:rsidR="2B1FFA3B" w:rsidRPr="1DB00171">
        <w:t>en zijn vooral te vinden in de winst-en-verliesrekening. Daar</w:t>
      </w:r>
      <w:r w:rsidR="00224E71">
        <w:t>naast</w:t>
      </w:r>
      <w:r w:rsidR="2B1FFA3B" w:rsidRPr="1DB00171">
        <w:t xml:space="preserve"> wordt gebruik gemaakt van op zichzelf staande alt</w:t>
      </w:r>
      <w:r w:rsidR="3A6EF3ED" w:rsidRPr="1DB00171">
        <w:t>ernatieve indicatoren, deze zijn vooral te vinden in de toelichting.</w:t>
      </w:r>
    </w:p>
    <w:p w14:paraId="5968E1AB" w14:textId="7DF9D890" w:rsidR="7FBD0FD7" w:rsidRDefault="7FBD0FD7" w:rsidP="00881473">
      <w:pPr>
        <w:spacing w:line="360" w:lineRule="auto"/>
      </w:pPr>
      <w:r>
        <w:t>Naast de RJ en IFRS</w:t>
      </w:r>
      <w:r w:rsidR="161D9085">
        <w:t xml:space="preserve"> zijn nog twee regelgevende instanties van bel</w:t>
      </w:r>
      <w:r w:rsidR="4582615D">
        <w:t>ang voor</w:t>
      </w:r>
      <w:r w:rsidR="31C30D07">
        <w:t xml:space="preserve"> Nederlandse beursgenoteerde ondernemingen. In Nederland is dit de AFM, een toezichthoudend orga</w:t>
      </w:r>
      <w:r w:rsidR="699F10AB">
        <w:t xml:space="preserve">an met als doel dat de </w:t>
      </w:r>
      <w:r w:rsidR="00224E71">
        <w:t>financiële</w:t>
      </w:r>
      <w:r w:rsidR="699F10AB">
        <w:t xml:space="preserve"> markten optimaal functioneren. De AFM heeft in het geval van de alternatieve indicatoren de taak om misbruik tegen te gaan. </w:t>
      </w:r>
      <w:r w:rsidR="27AD036F">
        <w:t>De andere instantie is het IASB, het orgaan wat de IFRS standaarden ontwikkeld.</w:t>
      </w:r>
      <w:r w:rsidR="00A28C51">
        <w:t xml:space="preserve"> De IASB ziet de voordelen van de alternatieve indicatoren, </w:t>
      </w:r>
      <w:r w:rsidR="24006E4C">
        <w:t xml:space="preserve">maar is vooral voorzichtig </w:t>
      </w:r>
      <w:r w:rsidR="4C23A329">
        <w:t>ten opzichte van eventueel misbruik.</w:t>
      </w:r>
    </w:p>
    <w:p w14:paraId="19A86489" w14:textId="11B6515C" w:rsidR="4C23A329" w:rsidRDefault="251E7E48" w:rsidP="00881473">
      <w:pPr>
        <w:spacing w:line="360" w:lineRule="auto"/>
      </w:pPr>
      <w:r>
        <w:t xml:space="preserve">Van alle Nederlandse beursgenoteerde ondernemingen is slechts een enkele onderneming die geen gebruik maakt van alternatieve indicatoren in de jaarrekening. </w:t>
      </w:r>
      <w:r w:rsidR="0007DE6E">
        <w:t>Binnen het onderzoek is onderscheid gemaakt tussen ondernemingen die zelf het gebruik vermelden en ondernemingen die dit niet doen. De helft van de ondernemingen vermeld</w:t>
      </w:r>
      <w:r w:rsidR="4EB984D9">
        <w:t>t het zelf, maar hierin is geen trend te ontdekken.</w:t>
      </w:r>
      <w:r w:rsidR="0B128A72">
        <w:t xml:space="preserve"> Bij de ondernemingen die het niet zelf vermelden is gekeken naar de winst-en</w:t>
      </w:r>
      <w:r w:rsidR="6AA0BAF1">
        <w:t>-verliesrekening en vastgestelde indicatoren op basis van eerder onderzoek.</w:t>
      </w:r>
      <w:r w:rsidR="11B6515C">
        <w:t xml:space="preserve"> Binnen de winst en verliesrekening kwamen twee indicatoren naar voor: Diluted winst per aandeel en het dividend per aandeel. De vastgestelde indicatoren zijn:</w:t>
      </w:r>
    </w:p>
    <w:p w14:paraId="403C4F7F" w14:textId="6CBCA997" w:rsidR="5AEA7565" w:rsidRDefault="5AEA7565" w:rsidP="06E726BD">
      <w:pPr>
        <w:pStyle w:val="ListParagraph"/>
        <w:numPr>
          <w:ilvl w:val="0"/>
          <w:numId w:val="1"/>
        </w:numPr>
        <w:spacing w:line="360" w:lineRule="auto"/>
      </w:pPr>
      <w:r>
        <w:t>Autonome groei; door 25% van de ondernemingen vermeldt, maar di</w:t>
      </w:r>
      <w:r w:rsidR="06E726BD">
        <w:t xml:space="preserve">t gebeurde niet consistent de afgelopen jaren. Dit is de groei die door ondernemingen zelfstandig wordt behaald, dus exclusief </w:t>
      </w:r>
      <w:r w:rsidR="6CBCA997">
        <w:t>acquisities.</w:t>
      </w:r>
    </w:p>
    <w:p w14:paraId="1D0E6455" w14:textId="5AD3D321" w:rsidR="06E726BD" w:rsidRDefault="06E726BD" w:rsidP="00881473">
      <w:pPr>
        <w:pStyle w:val="ListParagraph"/>
        <w:numPr>
          <w:ilvl w:val="0"/>
          <w:numId w:val="1"/>
        </w:numPr>
        <w:spacing w:line="360" w:lineRule="auto"/>
      </w:pPr>
      <w:r>
        <w:t>Netto</w:t>
      </w:r>
      <w:r w:rsidR="6CBCA997">
        <w:t xml:space="preserve"> Schuldpositie; door 75% van de ondernemingen consistent vermeldt.</w:t>
      </w:r>
      <w:r w:rsidR="4149387B">
        <w:t xml:space="preserve"> Dit zijn all</w:t>
      </w:r>
      <w:r w:rsidR="5AD3D321">
        <w:t>e rentedragende schulden minus de liquide middelen.</w:t>
      </w:r>
    </w:p>
    <w:p w14:paraId="477D1A02" w14:textId="5265BB39" w:rsidR="5AD3D321" w:rsidRDefault="5AD3D321" w:rsidP="00881473">
      <w:pPr>
        <w:pStyle w:val="ListParagraph"/>
        <w:numPr>
          <w:ilvl w:val="0"/>
          <w:numId w:val="1"/>
        </w:numPr>
        <w:spacing w:line="360" w:lineRule="auto"/>
      </w:pPr>
      <w:r>
        <w:t xml:space="preserve">Onderliggend resultaat; </w:t>
      </w:r>
      <w:r w:rsidR="009322D0">
        <w:t>o</w:t>
      </w:r>
      <w:r>
        <w:t xml:space="preserve">ngeveer 50% van de ondernemingen vermeld een aanpassing op het behaalde resultaat. Dit is een lichte stijging ten opzichte van </w:t>
      </w:r>
      <w:r w:rsidR="0B48E753">
        <w:t>eerdere jaren.</w:t>
      </w:r>
    </w:p>
    <w:p w14:paraId="0D9E45A9" w14:textId="23C8097D" w:rsidR="0B48E753" w:rsidRDefault="0B48E753" w:rsidP="00881473">
      <w:pPr>
        <w:spacing w:line="360" w:lineRule="auto"/>
      </w:pPr>
      <w:r>
        <w:t xml:space="preserve">De motieven van de ondernemingen voor het vermelden van de alternatieve indicatoren zijn standaard en oppervlakkig. </w:t>
      </w:r>
      <w:r w:rsidR="6C369705">
        <w:t xml:space="preserve">Hier valt geen duidelijke conclusie uit te trekken. Uit </w:t>
      </w:r>
      <w:r w:rsidR="74DFB4E9">
        <w:t>eerdere onderzoeken kw</w:t>
      </w:r>
      <w:r w:rsidR="25637537">
        <w:t>am een onderscheid tussen twee soorten motieven, namelijk informerende en opportunistische. Deze onderzoeken zijn veel dieper ingegaan op de motieven waar dit onderzoek zich vo</w:t>
      </w:r>
      <w:r w:rsidR="6AD79E37">
        <w:t>oral heeft geconcentreerd op het gebruik. Wel is gekeken naar een ander mogelijk motief voor het vermelden van de alternatieve indi</w:t>
      </w:r>
      <w:r w:rsidR="23C8097D">
        <w:t>catoren. Dit is namelijk het overname gedrag aan de hand van het institutioneel isomorfisme.</w:t>
      </w:r>
    </w:p>
    <w:p w14:paraId="62CBBF85" w14:textId="59D5196F" w:rsidR="007F2942" w:rsidRDefault="23C8097D" w:rsidP="006569B4">
      <w:pPr>
        <w:spacing w:line="360" w:lineRule="auto"/>
      </w:pPr>
      <w:r>
        <w:t>Samengevat gaat het bij de theorie van het institutionele isomorfisme om kopieergedrag van ondernemingen. Dit gedrag heeft 3 soorten oorzaken namelijk ‘coercive’, ‘mimetic’ en normatief. Anders gezegd gebeurt het dwangmatig, door onzekerheid of door professionalisering.</w:t>
      </w:r>
    </w:p>
    <w:p w14:paraId="7B8FAA40" w14:textId="15AFBD84" w:rsidR="11329117" w:rsidRDefault="1722B58D" w:rsidP="002173B0">
      <w:pPr>
        <w:spacing w:line="360" w:lineRule="auto"/>
      </w:pPr>
      <w:r w:rsidRPr="4F8F8150">
        <w:t xml:space="preserve"> Voor elke vorm van isomorfisme is bekeken of het toepasbaar is op d</w:t>
      </w:r>
      <w:r w:rsidR="11329117" w:rsidRPr="4F8F8150">
        <w:t xml:space="preserve">it onderzoek. In het geval van coercive is dit niet zo, aangezien het lastige van de alternatieve indicatoren zit in het feit dat wet en regelgeving ontbreekt. In het geval van mimetic en normatief isomorfisme kan wel een verband worden gevonden. Mimetic komt voort uit onzekerheid die in dit geval ontstaat door het ontbreken van een wet en regelgeving. Dit is een reden waarom ondernemingen zich gaan spiegelen aan andere ondernemingen. Normatief isomorfisme komt voort uit professionalisering en in dit geval door professionalisering via netwerken van de onderneming. Voor de netwerken is gekeken naar de sectoren waarin de ondernemingen werkzaam zijn en uit de resultaten </w:t>
      </w:r>
      <w:r w:rsidR="00224E71">
        <w:t>is gebleken</w:t>
      </w:r>
      <w:r w:rsidR="11329117" w:rsidRPr="4F8F8150">
        <w:t xml:space="preserve"> dat binnen bepaalde sectoren of vrijwel alle ondernemingen de alternatieve indicatoren vermelden, of dat slechts een enkele onderneming deze vermelding maakt. Het verband dat ondernemingen binne</w:t>
      </w:r>
      <w:r w:rsidR="00224E71">
        <w:t>n een sector de vermelding maken</w:t>
      </w:r>
      <w:r w:rsidR="11329117" w:rsidRPr="4F8F8150">
        <w:t>, duidt op normatief isomorfisme.</w:t>
      </w:r>
    </w:p>
    <w:p w14:paraId="45F5E4A3" w14:textId="12063631" w:rsidR="4F8F8150" w:rsidRDefault="4F8F8150" w:rsidP="002173B0">
      <w:pPr>
        <w:pStyle w:val="Heading2"/>
        <w:spacing w:line="360" w:lineRule="auto"/>
      </w:pPr>
      <w:bookmarkStart w:id="32" w:name="_Toc425524033"/>
      <w:r w:rsidRPr="4F8F8150">
        <w:t xml:space="preserve">6.2 </w:t>
      </w:r>
      <w:r w:rsidR="0E4576EA">
        <w:t>Conclusie</w:t>
      </w:r>
      <w:r w:rsidR="24460EC1">
        <w:t xml:space="preserve"> en aanbeveling</w:t>
      </w:r>
      <w:bookmarkEnd w:id="32"/>
    </w:p>
    <w:p w14:paraId="5585D470" w14:textId="718E88B6" w:rsidR="23C8097D" w:rsidRDefault="36BC05D6" w:rsidP="00881473">
      <w:pPr>
        <w:spacing w:line="360" w:lineRule="auto"/>
      </w:pPr>
      <w:r>
        <w:t>Concluderend is dat de alternatieve indicatoren bij vrijwel alle ondernemingen een rol spelen en het onderwerp rele</w:t>
      </w:r>
      <w:r w:rsidR="660C4C70" w:rsidRPr="660C4C70">
        <w:t xml:space="preserve">vant is in deze tijd. </w:t>
      </w:r>
      <w:r w:rsidR="009322D0">
        <w:t>D</w:t>
      </w:r>
      <w:r w:rsidR="4B4941DF" w:rsidRPr="660C4C70">
        <w:t xml:space="preserve">at terwijl </w:t>
      </w:r>
      <w:r w:rsidR="660C4C70" w:rsidRPr="660C4C70">
        <w:t>duidelijkheid binnen de wet-en-regelgeving aangaande dit onderwerp ontbreekt</w:t>
      </w:r>
      <w:r w:rsidR="4B4941DF" w:rsidRPr="4C011750">
        <w:t xml:space="preserve">. </w:t>
      </w:r>
      <w:r w:rsidR="4B4941DF" w:rsidRPr="660C4C70">
        <w:t>Doordat deze ontbreekt bestaat ook onduidelijkheid over de motieven van het gebruik. De</w:t>
      </w:r>
      <w:r w:rsidR="4F85050F" w:rsidRPr="4C011750">
        <w:t xml:space="preserve"> </w:t>
      </w:r>
      <w:r w:rsidR="7AFF506C" w:rsidRPr="4B4941DF">
        <w:t>ondernemingen zelf vermelden geen of een standaard motief wat de transparantie niet ten goede komt.</w:t>
      </w:r>
      <w:r w:rsidR="4F85050F" w:rsidRPr="4C011750">
        <w:t xml:space="preserve"> </w:t>
      </w:r>
      <w:r w:rsidR="24460EC1" w:rsidRPr="7AFF506C">
        <w:t>Het echte motief</w:t>
      </w:r>
      <w:r w:rsidR="4F85050F" w:rsidRPr="4C011750">
        <w:t xml:space="preserve"> </w:t>
      </w:r>
      <w:r w:rsidR="24460EC1">
        <w:t xml:space="preserve">is vanuit de jaarrekening niet af te lezen </w:t>
      </w:r>
      <w:r w:rsidR="2D821FD3">
        <w:t xml:space="preserve">en </w:t>
      </w:r>
      <w:r w:rsidR="17C43736">
        <w:t>hiervoor moet een onderzoek dieper ingaan op d</w:t>
      </w:r>
      <w:r w:rsidR="2D821FD3">
        <w:t>i</w:t>
      </w:r>
      <w:r w:rsidR="17C43736">
        <w:t>e kwestie. Wel is een mo</w:t>
      </w:r>
      <w:r w:rsidR="5DB76199">
        <w:t>gelijk mo</w:t>
      </w:r>
      <w:r w:rsidR="17C43736">
        <w:t>tief gevonden aan de hand van het ins</w:t>
      </w:r>
      <w:r w:rsidR="008D3FD9">
        <w:t>titutioneel isomorfisme. O</w:t>
      </w:r>
      <w:r w:rsidR="5DB76199">
        <w:t>ndernemingen</w:t>
      </w:r>
      <w:r w:rsidR="008D3FD9">
        <w:t xml:space="preserve"> vertonen (</w:t>
      </w:r>
      <w:r w:rsidR="5DB76199">
        <w:t>in dit geval door onzekerh</w:t>
      </w:r>
      <w:r w:rsidR="008D3FD9">
        <w:t xml:space="preserve">eid en professionele netwerken) </w:t>
      </w:r>
      <w:r w:rsidR="5DB76199">
        <w:t>overname gedrag met betrekking tot het vermelden van de alternatieve indicator.</w:t>
      </w:r>
      <w:r w:rsidR="0DA97954">
        <w:t xml:space="preserve"> Hierin ontbreekt het in het onderzoek aan diepte wat betreft de motieven, </w:t>
      </w:r>
      <w:r w:rsidR="4C011750">
        <w:t>dit is iets waar in de toekomst meer aandacht aan besteed kan worden.</w:t>
      </w:r>
    </w:p>
    <w:p w14:paraId="308FD167" w14:textId="2053FA15" w:rsidR="4C011750" w:rsidRDefault="4C011750" w:rsidP="00881473">
      <w:pPr>
        <w:spacing w:line="360" w:lineRule="auto"/>
      </w:pPr>
      <w:r>
        <w:t xml:space="preserve">De aanbeveling </w:t>
      </w:r>
      <w:r w:rsidR="6FCCBBBA">
        <w:t>na dit onderzoek is</w:t>
      </w:r>
      <w:r w:rsidRPr="2CD8612D">
        <w:t xml:space="preserve"> </w:t>
      </w:r>
      <w:r w:rsidR="6FCCBBBA">
        <w:t xml:space="preserve">dat weldegelijk een wet en regelgeving ontwikkeld moet worden omtrent de alternatieve indicatoren. Dit omdat het </w:t>
      </w:r>
      <w:r w:rsidR="48F84C86">
        <w:t>gebruik hoog is maar niet altijd om de juiste redenen. M</w:t>
      </w:r>
      <w:r w:rsidR="2DBB26B2">
        <w:t xml:space="preserve">et de wet en regelgeving kan dit gereguleerd worden en zorgen voor extra informatie voor de gebruikers. Ook zou het </w:t>
      </w:r>
      <w:r w:rsidR="1F0F8624">
        <w:t xml:space="preserve">de vergelijkbaarheid tussen ondernemingen vergroten wanneer standaarden worden </w:t>
      </w:r>
      <w:r w:rsidR="008D3FD9">
        <w:t>vastgesteld</w:t>
      </w:r>
      <w:r w:rsidR="1F0F8624">
        <w:t xml:space="preserve"> over de alternatieve indicatoren. Op dit moment worden indicatoren als aangepast inkomen bewerkt op vers</w:t>
      </w:r>
      <w:r w:rsidR="2CD8612D">
        <w:t>chillende manieren terwijl het voor de vergelijkbaarheid en transparantie een s</w:t>
      </w:r>
      <w:r w:rsidR="008D3FD9">
        <w:t xml:space="preserve">tuk beter is wanneer het op gelijke wijze </w:t>
      </w:r>
      <w:r w:rsidR="2CD8612D">
        <w:t>gebeurt.</w:t>
      </w:r>
    </w:p>
    <w:p w14:paraId="78A03484" w14:textId="047BCF7F" w:rsidR="2CD8612D" w:rsidRDefault="2CD8612D" w:rsidP="00881473">
      <w:pPr>
        <w:spacing w:line="360" w:lineRule="auto"/>
      </w:pPr>
      <w:r>
        <w:t>Voor verder onderzoek</w:t>
      </w:r>
      <w:r w:rsidR="6713D9F0">
        <w:t xml:space="preserve"> is het vooral belangrijk dat de motieven worden onderzocht</w:t>
      </w:r>
      <w:r w:rsidR="7C87B04F">
        <w:t xml:space="preserve"> en dat gekeken wordt naar de mogelijke invloed van het invoeren van een wet en regelgeving betreffende de alternatieve indicatoren</w:t>
      </w:r>
      <w:r w:rsidR="047BCF7F">
        <w:t>.</w:t>
      </w:r>
    </w:p>
    <w:p w14:paraId="244AE41F" w14:textId="77777777" w:rsidR="007F2942" w:rsidRDefault="007F2942" w:rsidP="006569B4">
      <w:pPr>
        <w:spacing w:line="360" w:lineRule="auto"/>
        <w:rPr>
          <w:rStyle w:val="Heading2Char"/>
        </w:rPr>
      </w:pPr>
    </w:p>
    <w:p w14:paraId="7AC84F2B" w14:textId="77777777" w:rsidR="00B10195" w:rsidRDefault="00B10195" w:rsidP="006569B4">
      <w:pPr>
        <w:spacing w:line="360" w:lineRule="auto"/>
        <w:rPr>
          <w:rStyle w:val="Heading2Char"/>
        </w:rPr>
      </w:pPr>
    </w:p>
    <w:p w14:paraId="719228B8" w14:textId="77777777" w:rsidR="00B10195" w:rsidRDefault="00B10195" w:rsidP="006569B4">
      <w:pPr>
        <w:spacing w:line="360" w:lineRule="auto"/>
        <w:rPr>
          <w:rStyle w:val="Heading2Char"/>
        </w:rPr>
      </w:pPr>
    </w:p>
    <w:p w14:paraId="0F30FDAD" w14:textId="77777777" w:rsidR="00B10195" w:rsidRDefault="00B10195" w:rsidP="006569B4">
      <w:pPr>
        <w:spacing w:line="360" w:lineRule="auto"/>
        <w:rPr>
          <w:rStyle w:val="Heading2Char"/>
        </w:rPr>
      </w:pPr>
    </w:p>
    <w:p w14:paraId="65809FCD" w14:textId="77777777" w:rsidR="00B10195" w:rsidRDefault="00B10195" w:rsidP="006569B4">
      <w:pPr>
        <w:spacing w:line="360" w:lineRule="auto"/>
        <w:rPr>
          <w:rStyle w:val="Heading2Char"/>
        </w:rPr>
      </w:pPr>
    </w:p>
    <w:p w14:paraId="127F6008" w14:textId="77777777" w:rsidR="00B10195" w:rsidRDefault="00B10195" w:rsidP="006569B4">
      <w:pPr>
        <w:spacing w:line="360" w:lineRule="auto"/>
        <w:rPr>
          <w:rStyle w:val="Heading2Char"/>
        </w:rPr>
      </w:pPr>
    </w:p>
    <w:p w14:paraId="3B93BD3E" w14:textId="77777777" w:rsidR="00B10195" w:rsidRDefault="00B10195" w:rsidP="006569B4">
      <w:pPr>
        <w:spacing w:line="360" w:lineRule="auto"/>
        <w:rPr>
          <w:rStyle w:val="Heading2Char"/>
        </w:rPr>
      </w:pPr>
    </w:p>
    <w:p w14:paraId="2DCFBF0D" w14:textId="77777777" w:rsidR="00B10195" w:rsidRDefault="00B10195" w:rsidP="006569B4">
      <w:pPr>
        <w:spacing w:line="360" w:lineRule="auto"/>
        <w:rPr>
          <w:rStyle w:val="Heading2Char"/>
        </w:rPr>
      </w:pPr>
    </w:p>
    <w:p w14:paraId="15E13329" w14:textId="77777777" w:rsidR="00B10195" w:rsidRDefault="00B10195" w:rsidP="006569B4">
      <w:pPr>
        <w:spacing w:line="360" w:lineRule="auto"/>
        <w:rPr>
          <w:rStyle w:val="Heading2Char"/>
        </w:rPr>
      </w:pPr>
    </w:p>
    <w:p w14:paraId="7B7472C6" w14:textId="77777777" w:rsidR="00B10195" w:rsidRDefault="00B10195" w:rsidP="006569B4">
      <w:pPr>
        <w:spacing w:line="360" w:lineRule="auto"/>
        <w:rPr>
          <w:rStyle w:val="Heading2Char"/>
        </w:rPr>
      </w:pPr>
    </w:p>
    <w:p w14:paraId="3D640FB0" w14:textId="77777777" w:rsidR="00B10195" w:rsidRDefault="00B10195" w:rsidP="006569B4">
      <w:pPr>
        <w:spacing w:line="360" w:lineRule="auto"/>
        <w:rPr>
          <w:rStyle w:val="Heading2Char"/>
        </w:rPr>
      </w:pPr>
    </w:p>
    <w:p w14:paraId="42BAB338" w14:textId="77777777" w:rsidR="00B10195" w:rsidRDefault="00B10195" w:rsidP="006569B4">
      <w:pPr>
        <w:spacing w:line="360" w:lineRule="auto"/>
        <w:rPr>
          <w:rStyle w:val="Heading2Char"/>
        </w:rPr>
      </w:pPr>
    </w:p>
    <w:p w14:paraId="0F7A54D9" w14:textId="77777777" w:rsidR="00B10195" w:rsidRDefault="00B10195" w:rsidP="006569B4">
      <w:pPr>
        <w:spacing w:line="360" w:lineRule="auto"/>
        <w:rPr>
          <w:rStyle w:val="Heading2Char"/>
        </w:rPr>
      </w:pPr>
    </w:p>
    <w:p w14:paraId="6315B2B7" w14:textId="77777777" w:rsidR="00B10195" w:rsidRDefault="00B10195" w:rsidP="006569B4">
      <w:pPr>
        <w:spacing w:line="360" w:lineRule="auto"/>
        <w:rPr>
          <w:rStyle w:val="Heading2Char"/>
        </w:rPr>
      </w:pPr>
    </w:p>
    <w:p w14:paraId="527604ED" w14:textId="77777777" w:rsidR="00B10195" w:rsidRDefault="00B10195" w:rsidP="006569B4">
      <w:pPr>
        <w:spacing w:line="360" w:lineRule="auto"/>
        <w:rPr>
          <w:rStyle w:val="Heading2Char"/>
        </w:rPr>
      </w:pPr>
    </w:p>
    <w:p w14:paraId="14A7C7E6" w14:textId="77777777" w:rsidR="00B10195" w:rsidRDefault="00B10195" w:rsidP="006569B4">
      <w:pPr>
        <w:spacing w:line="360" w:lineRule="auto"/>
        <w:rPr>
          <w:rStyle w:val="Heading2Char"/>
        </w:rPr>
      </w:pPr>
    </w:p>
    <w:p w14:paraId="03AC8731" w14:textId="77777777" w:rsidR="00B10195" w:rsidRDefault="00B10195" w:rsidP="006569B4">
      <w:pPr>
        <w:spacing w:line="360" w:lineRule="auto"/>
        <w:rPr>
          <w:rStyle w:val="Heading2Char"/>
        </w:rPr>
      </w:pPr>
    </w:p>
    <w:p w14:paraId="0CCB24F7" w14:textId="77777777" w:rsidR="00B10195" w:rsidRDefault="00B10195" w:rsidP="006569B4">
      <w:pPr>
        <w:spacing w:line="360" w:lineRule="auto"/>
        <w:rPr>
          <w:rStyle w:val="Heading2Char"/>
        </w:rPr>
      </w:pPr>
    </w:p>
    <w:p w14:paraId="6855DA1D" w14:textId="77777777" w:rsidR="00B10195" w:rsidRDefault="00B10195" w:rsidP="006569B4">
      <w:pPr>
        <w:spacing w:line="360" w:lineRule="auto"/>
        <w:rPr>
          <w:rStyle w:val="Heading2Char"/>
        </w:rPr>
      </w:pPr>
    </w:p>
    <w:p w14:paraId="409D8831" w14:textId="77777777" w:rsidR="00B10195" w:rsidRDefault="00B10195" w:rsidP="006569B4">
      <w:pPr>
        <w:spacing w:line="360" w:lineRule="auto"/>
        <w:rPr>
          <w:rStyle w:val="Heading2Char"/>
        </w:rPr>
      </w:pPr>
    </w:p>
    <w:p w14:paraId="767E8ABA" w14:textId="77777777" w:rsidR="00B10195" w:rsidRDefault="00B10195" w:rsidP="006569B4">
      <w:pPr>
        <w:spacing w:line="360" w:lineRule="auto"/>
        <w:rPr>
          <w:rStyle w:val="Heading2Char"/>
        </w:rPr>
      </w:pPr>
    </w:p>
    <w:p w14:paraId="6F9CF3FC" w14:textId="77777777" w:rsidR="00B10195" w:rsidRDefault="00B10195" w:rsidP="006569B4">
      <w:pPr>
        <w:spacing w:line="360" w:lineRule="auto"/>
        <w:rPr>
          <w:rStyle w:val="Heading2Char"/>
        </w:rPr>
      </w:pPr>
    </w:p>
    <w:p w14:paraId="7348F278" w14:textId="77777777" w:rsidR="00B10195" w:rsidRDefault="00B10195" w:rsidP="006569B4">
      <w:pPr>
        <w:spacing w:line="360" w:lineRule="auto"/>
        <w:rPr>
          <w:rStyle w:val="Heading2Char"/>
        </w:rPr>
      </w:pPr>
    </w:p>
    <w:p w14:paraId="681E47B6" w14:textId="77777777" w:rsidR="007F2942" w:rsidRDefault="007F2942" w:rsidP="006569B4">
      <w:pPr>
        <w:spacing w:line="360" w:lineRule="auto"/>
        <w:rPr>
          <w:rStyle w:val="Heading2Char"/>
        </w:rPr>
      </w:pPr>
    </w:p>
    <w:p w14:paraId="50D8FD01" w14:textId="788E5CC2" w:rsidR="005B501F" w:rsidRPr="00881473" w:rsidRDefault="005B501F" w:rsidP="00881473">
      <w:pPr>
        <w:pStyle w:val="Heading1"/>
        <w:rPr>
          <w:b w:val="0"/>
        </w:rPr>
      </w:pPr>
      <w:bookmarkStart w:id="33" w:name="_Toc425524034"/>
      <w:r w:rsidRPr="00881473">
        <w:rPr>
          <w:rStyle w:val="Heading2Char"/>
          <w:b/>
          <w:bCs/>
          <w:color w:val="345A8A" w:themeColor="accent1" w:themeShade="B5"/>
          <w:sz w:val="32"/>
          <w:szCs w:val="32"/>
        </w:rPr>
        <w:t>Bibliografie</w:t>
      </w:r>
      <w:bookmarkEnd w:id="33"/>
    </w:p>
    <w:p w14:paraId="6973C509" w14:textId="77777777" w:rsidR="00224E71" w:rsidRPr="006103F4" w:rsidRDefault="005B501F" w:rsidP="00224E71">
      <w:pPr>
        <w:pStyle w:val="EndNoteBibliography"/>
        <w:ind w:left="720" w:hanging="720"/>
        <w:rPr>
          <w:noProof/>
          <w:lang w:val="nl-NL"/>
        </w:rPr>
      </w:pPr>
      <w:r>
        <w:fldChar w:fldCharType="begin"/>
      </w:r>
      <w:r w:rsidRPr="00FA29FC">
        <w:rPr>
          <w:lang w:val="nl-NL"/>
        </w:rPr>
        <w:instrText xml:space="preserve"> ADDIN EN.REFLIST </w:instrText>
      </w:r>
      <w:r>
        <w:fldChar w:fldCharType="separate"/>
      </w:r>
      <w:r w:rsidR="00224E71" w:rsidRPr="006103F4">
        <w:rPr>
          <w:noProof/>
          <w:lang w:val="nl-NL"/>
        </w:rPr>
        <w:t xml:space="preserve">AFM. (2014). </w:t>
      </w:r>
      <w:r w:rsidR="00224E71" w:rsidRPr="006103F4">
        <w:rPr>
          <w:i/>
          <w:noProof/>
          <w:lang w:val="nl-NL"/>
        </w:rPr>
        <w:t>Alternatieve financiële prestatie-indicatoren: Toezicht | Kwaliteit Accountantscontrole &amp; Verslaggeving</w:t>
      </w:r>
      <w:r w:rsidR="00224E71" w:rsidRPr="006103F4">
        <w:rPr>
          <w:noProof/>
          <w:lang w:val="nl-NL"/>
        </w:rPr>
        <w:t xml:space="preserve">. Retrieved from Amsterdam: </w:t>
      </w:r>
    </w:p>
    <w:p w14:paraId="4E412861" w14:textId="35041B94" w:rsidR="00224E71" w:rsidRPr="006103F4" w:rsidRDefault="00224E71" w:rsidP="00224E71">
      <w:pPr>
        <w:pStyle w:val="EndNoteBibliography"/>
        <w:ind w:left="720" w:hanging="720"/>
        <w:rPr>
          <w:noProof/>
          <w:lang w:val="nl-NL"/>
        </w:rPr>
      </w:pPr>
      <w:r w:rsidRPr="006103F4">
        <w:rPr>
          <w:noProof/>
          <w:lang w:val="nl-NL"/>
        </w:rPr>
        <w:t xml:space="preserve">AFM. (2015). De Autoriteit Financiële Markten.   Retrieved from </w:t>
      </w:r>
      <w:hyperlink r:id="rId10" w:history="1">
        <w:r w:rsidRPr="00224E71">
          <w:rPr>
            <w:rStyle w:val="Hyperlink"/>
            <w:rFonts w:asciiTheme="minorHAnsi" w:hAnsiTheme="minorHAnsi"/>
            <w:noProof/>
            <w:lang w:val="nl-NL"/>
          </w:rPr>
          <w:t>http://www.afm.nl/nl-nl/over-afm</w:t>
        </w:r>
      </w:hyperlink>
    </w:p>
    <w:p w14:paraId="0A6A6DFB" w14:textId="77777777" w:rsidR="00224E71" w:rsidRPr="006103F4" w:rsidRDefault="00224E71" w:rsidP="00224E71">
      <w:pPr>
        <w:pStyle w:val="EndNoteBibliography"/>
        <w:ind w:left="720" w:hanging="720"/>
        <w:rPr>
          <w:noProof/>
          <w:lang w:val="nl-NL"/>
        </w:rPr>
      </w:pPr>
      <w:r w:rsidRPr="006103F4">
        <w:rPr>
          <w:noProof/>
          <w:lang w:val="nl-NL"/>
        </w:rPr>
        <w:t xml:space="preserve">Backhuijs, J. B., Blommaert, J. B. B. R. G. B. J. M. J., Bosman, R. G., &amp; Camfferman, C. (2004). </w:t>
      </w:r>
      <w:r w:rsidRPr="006103F4">
        <w:rPr>
          <w:i/>
          <w:noProof/>
          <w:lang w:val="nl-NL"/>
        </w:rPr>
        <w:t>Het jaar 2003 verslagen: onderzoek jaarverslaggeving Nederlandse ondernemingen</w:t>
      </w:r>
      <w:r w:rsidRPr="006103F4">
        <w:rPr>
          <w:noProof/>
          <w:lang w:val="nl-NL"/>
        </w:rPr>
        <w:t>: Kluwer.</w:t>
      </w:r>
    </w:p>
    <w:p w14:paraId="72ECA243" w14:textId="77777777" w:rsidR="00224E71" w:rsidRPr="006103F4" w:rsidRDefault="00224E71" w:rsidP="00224E71">
      <w:pPr>
        <w:pStyle w:val="EndNoteBibliography"/>
        <w:ind w:left="720" w:hanging="720"/>
        <w:rPr>
          <w:noProof/>
          <w:lang w:val="nl-NL"/>
        </w:rPr>
      </w:pPr>
      <w:r w:rsidRPr="006103F4">
        <w:rPr>
          <w:noProof/>
          <w:lang w:val="nl-NL"/>
        </w:rPr>
        <w:t xml:space="preserve">Bowen, R. M., Davis, A. K., &amp; Matsumoto, D. A. (2005). </w:t>
      </w:r>
      <w:r w:rsidRPr="00224E71">
        <w:rPr>
          <w:noProof/>
        </w:rPr>
        <w:t xml:space="preserve">Emphasis on Pro Forma versus GAAP Earnings in Quarterly Press Releases: Determinants, SEC Intervention, and Market Reactions. </w:t>
      </w:r>
      <w:r w:rsidRPr="006103F4">
        <w:rPr>
          <w:i/>
          <w:noProof/>
          <w:lang w:val="nl-NL"/>
        </w:rPr>
        <w:t>The Accounting Review, 80</w:t>
      </w:r>
      <w:r w:rsidRPr="006103F4">
        <w:rPr>
          <w:noProof/>
          <w:lang w:val="nl-NL"/>
        </w:rPr>
        <w:t>(4), 1011-1038. doi:10.2308/accr.2005.80.4.1011</w:t>
      </w:r>
    </w:p>
    <w:p w14:paraId="230D6D77" w14:textId="77777777" w:rsidR="00224E71" w:rsidRPr="006103F4" w:rsidRDefault="00224E71" w:rsidP="00224E71">
      <w:pPr>
        <w:pStyle w:val="EndNoteBibliography"/>
        <w:ind w:left="720" w:hanging="720"/>
        <w:rPr>
          <w:noProof/>
          <w:lang w:val="nl-NL"/>
        </w:rPr>
      </w:pPr>
      <w:r w:rsidRPr="006103F4">
        <w:rPr>
          <w:noProof/>
          <w:lang w:val="nl-NL"/>
        </w:rPr>
        <w:t xml:space="preserve">Brouwer, A. (2007). EXTERNE VERSLAGGEVING - Rapportage over prestaties in de Europesche Unie: Babylonische spraakverwarring? </w:t>
      </w:r>
      <w:r w:rsidRPr="006103F4">
        <w:rPr>
          <w:i/>
          <w:noProof/>
          <w:lang w:val="nl-NL"/>
        </w:rPr>
        <w:t>Maandblad voor accountancy en bedrijfseconomie : MAB, 81</w:t>
      </w:r>
      <w:r w:rsidRPr="006103F4">
        <w:rPr>
          <w:noProof/>
          <w:lang w:val="nl-NL"/>
        </w:rPr>
        <w:t xml:space="preserve">(6), 259-268. </w:t>
      </w:r>
    </w:p>
    <w:p w14:paraId="420AF08D" w14:textId="77777777" w:rsidR="00224E71" w:rsidRPr="006103F4" w:rsidRDefault="00224E71" w:rsidP="00224E71">
      <w:pPr>
        <w:pStyle w:val="EndNoteBibliography"/>
        <w:ind w:left="720" w:hanging="720"/>
        <w:rPr>
          <w:noProof/>
          <w:lang w:val="nl-NL"/>
        </w:rPr>
      </w:pPr>
      <w:r w:rsidRPr="006103F4">
        <w:rPr>
          <w:noProof/>
          <w:lang w:val="nl-NL"/>
        </w:rPr>
        <w:t xml:space="preserve">Brouwer, A. (2013). Alternatieve winstbegrippen: zegen of zonde? </w:t>
      </w:r>
      <w:r w:rsidRPr="006103F4">
        <w:rPr>
          <w:i/>
          <w:noProof/>
          <w:lang w:val="nl-NL"/>
        </w:rPr>
        <w:t>Spotlight</w:t>
      </w:r>
      <w:r w:rsidRPr="006103F4">
        <w:rPr>
          <w:noProof/>
          <w:lang w:val="nl-NL"/>
        </w:rPr>
        <w:t xml:space="preserve">(3), 3. </w:t>
      </w:r>
    </w:p>
    <w:p w14:paraId="56FEFCB4" w14:textId="77777777" w:rsidR="00224E71" w:rsidRPr="006103F4" w:rsidRDefault="00224E71" w:rsidP="00224E71">
      <w:pPr>
        <w:pStyle w:val="EndNoteBibliography"/>
        <w:ind w:left="720" w:hanging="720"/>
        <w:rPr>
          <w:noProof/>
          <w:lang w:val="nl-NL"/>
        </w:rPr>
      </w:pPr>
      <w:r w:rsidRPr="006103F4">
        <w:rPr>
          <w:noProof/>
          <w:lang w:val="nl-NL"/>
        </w:rPr>
        <w:t xml:space="preserve">Böhmer, S., Hoogendoorn, M. N., &amp; Kruit, R. (2014). </w:t>
      </w:r>
      <w:r w:rsidRPr="006103F4">
        <w:rPr>
          <w:i/>
          <w:noProof/>
          <w:lang w:val="nl-NL"/>
        </w:rPr>
        <w:t>Handboek jaarrekening 2014</w:t>
      </w:r>
      <w:r w:rsidRPr="006103F4">
        <w:rPr>
          <w:noProof/>
          <w:lang w:val="nl-NL"/>
        </w:rPr>
        <w:t>: Kluwer.</w:t>
      </w:r>
    </w:p>
    <w:p w14:paraId="7760D210" w14:textId="77777777" w:rsidR="00224E71" w:rsidRPr="00224E71" w:rsidRDefault="00224E71" w:rsidP="00224E71">
      <w:pPr>
        <w:pStyle w:val="EndNoteBibliography"/>
        <w:ind w:left="720" w:hanging="720"/>
        <w:rPr>
          <w:noProof/>
        </w:rPr>
      </w:pPr>
      <w:r w:rsidRPr="00224E71">
        <w:rPr>
          <w:noProof/>
        </w:rPr>
        <w:t xml:space="preserve">Curtis, A. B., McVay, S. E., &amp; Whipple, B. C. (2013). The disclosure of non-GAAP earnings information in the presence of transitory gains. </w:t>
      </w:r>
      <w:r w:rsidRPr="00224E71">
        <w:rPr>
          <w:i/>
          <w:noProof/>
        </w:rPr>
        <w:t>The Accounting Review, 89</w:t>
      </w:r>
      <w:r w:rsidRPr="00224E71">
        <w:rPr>
          <w:noProof/>
        </w:rPr>
        <w:t xml:space="preserve">(3), 933-958. </w:t>
      </w:r>
    </w:p>
    <w:p w14:paraId="6CA3B2E5" w14:textId="77777777" w:rsidR="00224E71" w:rsidRPr="00224E71" w:rsidRDefault="00224E71" w:rsidP="00224E71">
      <w:pPr>
        <w:pStyle w:val="EndNoteBibliography"/>
        <w:ind w:left="720" w:hanging="720"/>
        <w:rPr>
          <w:noProof/>
        </w:rPr>
      </w:pPr>
      <w:r w:rsidRPr="00224E71">
        <w:rPr>
          <w:noProof/>
        </w:rPr>
        <w:t xml:space="preserve">Deloitte. (2014). IFRS Informatiebrief. (25), 16. </w:t>
      </w:r>
    </w:p>
    <w:p w14:paraId="754BEE8F" w14:textId="77777777" w:rsidR="00224E71" w:rsidRPr="00224E71" w:rsidRDefault="00224E71" w:rsidP="00224E71">
      <w:pPr>
        <w:pStyle w:val="EndNoteBibliography"/>
        <w:ind w:left="720" w:hanging="720"/>
        <w:rPr>
          <w:noProof/>
        </w:rPr>
      </w:pPr>
      <w:r w:rsidRPr="00224E71">
        <w:rPr>
          <w:noProof/>
        </w:rPr>
        <w:t xml:space="preserve">DiMaggio, P. J., &amp; Powell, W. W. (1983). The Iron Cage Revisited: Institutional Isomorphism and Collective Rationality in Organizational Fields. </w:t>
      </w:r>
      <w:r w:rsidRPr="00224E71">
        <w:rPr>
          <w:i/>
          <w:noProof/>
        </w:rPr>
        <w:t>American Sociological Review, 48</w:t>
      </w:r>
      <w:r w:rsidRPr="00224E71">
        <w:rPr>
          <w:noProof/>
        </w:rPr>
        <w:t>(2), 147-160. doi:10.2307/2095101</w:t>
      </w:r>
    </w:p>
    <w:p w14:paraId="425D25B3" w14:textId="696094F0" w:rsidR="00224E71" w:rsidRPr="00224E71" w:rsidRDefault="00224E71" w:rsidP="00224E71">
      <w:pPr>
        <w:pStyle w:val="EndNoteBibliography"/>
        <w:ind w:left="720" w:hanging="720"/>
        <w:rPr>
          <w:noProof/>
        </w:rPr>
      </w:pPr>
      <w:r w:rsidRPr="00224E71">
        <w:rPr>
          <w:noProof/>
        </w:rPr>
        <w:t xml:space="preserve">Doyle, J. T., Jennings, J. N., &amp; Soliman, M. T. (2013). Do managers define non-GAAP earnings to meet or beat analyst forecasts? </w:t>
      </w:r>
      <w:r w:rsidRPr="00224E71">
        <w:rPr>
          <w:i/>
          <w:noProof/>
        </w:rPr>
        <w:t>Journal of Accounting and Economics, 56</w:t>
      </w:r>
      <w:r w:rsidRPr="00224E71">
        <w:rPr>
          <w:noProof/>
        </w:rPr>
        <w:t>(1), 40-56. doi:</w:t>
      </w:r>
      <w:hyperlink r:id="rId11" w:history="1">
        <w:r w:rsidRPr="006103F4">
          <w:rPr>
            <w:rStyle w:val="Hyperlink"/>
            <w:rFonts w:asciiTheme="minorHAnsi" w:hAnsiTheme="minorHAnsi"/>
            <w:noProof/>
          </w:rPr>
          <w:t>http://dx.doi.org/10.1016/j.jacceco.2013.03.002</w:t>
        </w:r>
      </w:hyperlink>
    </w:p>
    <w:p w14:paraId="561CC49F" w14:textId="77777777" w:rsidR="00224E71" w:rsidRPr="00224E71" w:rsidRDefault="00224E71" w:rsidP="00224E71">
      <w:pPr>
        <w:pStyle w:val="EndNoteBibliography"/>
        <w:ind w:left="720" w:hanging="720"/>
        <w:rPr>
          <w:noProof/>
        </w:rPr>
      </w:pPr>
      <w:r w:rsidRPr="00224E71">
        <w:rPr>
          <w:noProof/>
        </w:rPr>
        <w:t>Hoogervorst, H. (2015). Mind the Gap [Press release]</w:t>
      </w:r>
    </w:p>
    <w:p w14:paraId="0AAA84D1" w14:textId="2A14D258" w:rsidR="00224E71" w:rsidRPr="00224E71" w:rsidRDefault="00224E71" w:rsidP="00224E71">
      <w:pPr>
        <w:pStyle w:val="EndNoteBibliography"/>
        <w:ind w:left="720" w:hanging="720"/>
        <w:rPr>
          <w:noProof/>
        </w:rPr>
      </w:pPr>
      <w:r w:rsidRPr="00224E71">
        <w:rPr>
          <w:noProof/>
        </w:rPr>
        <w:t xml:space="preserve">IASB. (2015). About the IFRS Foundation and the IASB.   Retrieved from </w:t>
      </w:r>
      <w:hyperlink r:id="rId12" w:history="1">
        <w:r w:rsidRPr="006103F4">
          <w:rPr>
            <w:rStyle w:val="Hyperlink"/>
            <w:rFonts w:asciiTheme="minorHAnsi" w:hAnsiTheme="minorHAnsi"/>
            <w:noProof/>
          </w:rPr>
          <w:t>http://www.ifrs.org/About-us/Pages/IFRS-Foundation-and-IASB.aspx</w:t>
        </w:r>
      </w:hyperlink>
    </w:p>
    <w:p w14:paraId="7C8CACE1" w14:textId="77777777" w:rsidR="00224E71" w:rsidRPr="006103F4" w:rsidRDefault="00224E71" w:rsidP="00224E71">
      <w:pPr>
        <w:pStyle w:val="EndNoteBibliography"/>
        <w:ind w:left="720" w:hanging="720"/>
        <w:rPr>
          <w:noProof/>
          <w:lang w:val="nl-NL"/>
        </w:rPr>
      </w:pPr>
      <w:r w:rsidRPr="00224E71">
        <w:rPr>
          <w:noProof/>
        </w:rPr>
        <w:t xml:space="preserve">Knoops, C., &amp; Backhijs, J. (2011). </w:t>
      </w:r>
      <w:r w:rsidRPr="006103F4">
        <w:rPr>
          <w:noProof/>
          <w:lang w:val="nl-NL"/>
        </w:rPr>
        <w:t xml:space="preserve">Keuzes en alternatieven in de presentaties van de primaire overzichten onder IFRS. </w:t>
      </w:r>
      <w:r w:rsidRPr="006103F4">
        <w:rPr>
          <w:i/>
          <w:noProof/>
          <w:lang w:val="nl-NL"/>
        </w:rPr>
        <w:t>Maandblad voor accountancy en bedrijfseconomie: MAB, 85</w:t>
      </w:r>
      <w:r w:rsidRPr="006103F4">
        <w:rPr>
          <w:noProof/>
          <w:lang w:val="nl-NL"/>
        </w:rPr>
        <w:t xml:space="preserve">(12), 589-609. </w:t>
      </w:r>
    </w:p>
    <w:p w14:paraId="6069DCD6" w14:textId="77777777" w:rsidR="00224E71" w:rsidRPr="006103F4" w:rsidRDefault="00224E71" w:rsidP="00224E71">
      <w:pPr>
        <w:pStyle w:val="EndNoteBibliography"/>
        <w:ind w:left="720" w:hanging="720"/>
        <w:rPr>
          <w:noProof/>
          <w:lang w:val="nl-NL"/>
        </w:rPr>
      </w:pPr>
      <w:r w:rsidRPr="006103F4">
        <w:rPr>
          <w:noProof/>
          <w:lang w:val="nl-NL"/>
        </w:rPr>
        <w:t xml:space="preserve">Marseille, E., &amp; Vergoossen, R. (2005). Het gebruik van alternatieve financiële prestatie-indicatoren in persberichten. </w:t>
      </w:r>
      <w:r w:rsidRPr="006103F4">
        <w:rPr>
          <w:i/>
          <w:noProof/>
          <w:lang w:val="nl-NL"/>
        </w:rPr>
        <w:t>Maandblad voor Accountancy en Bedrijfseconomie, 79</w:t>
      </w:r>
      <w:r w:rsidRPr="006103F4">
        <w:rPr>
          <w:noProof/>
          <w:lang w:val="nl-NL"/>
        </w:rPr>
        <w:t xml:space="preserve">(5), 196-205. </w:t>
      </w:r>
    </w:p>
    <w:p w14:paraId="7CB749B1" w14:textId="710A1D85" w:rsidR="00224E71" w:rsidRPr="00224E71" w:rsidRDefault="00224E71" w:rsidP="00224E71">
      <w:pPr>
        <w:pStyle w:val="EndNoteBibliography"/>
        <w:ind w:left="720" w:hanging="720"/>
        <w:rPr>
          <w:noProof/>
        </w:rPr>
      </w:pPr>
      <w:r w:rsidRPr="006103F4">
        <w:rPr>
          <w:noProof/>
          <w:lang w:val="nl-NL"/>
        </w:rPr>
        <w:t xml:space="preserve">RJ. (2015). Raad voor de Jaarverslaggeving.   </w:t>
      </w:r>
      <w:r w:rsidRPr="00224E71">
        <w:rPr>
          <w:noProof/>
        </w:rPr>
        <w:t xml:space="preserve">Retrieved from </w:t>
      </w:r>
      <w:hyperlink r:id="rId13" w:history="1">
        <w:r w:rsidRPr="006103F4">
          <w:rPr>
            <w:rStyle w:val="Hyperlink"/>
            <w:rFonts w:asciiTheme="minorHAnsi" w:hAnsiTheme="minorHAnsi"/>
            <w:noProof/>
          </w:rPr>
          <w:t>http://www.rjnet.nl/</w:t>
        </w:r>
      </w:hyperlink>
    </w:p>
    <w:p w14:paraId="07E87FBD" w14:textId="77777777" w:rsidR="00224E71" w:rsidRPr="00224E71" w:rsidRDefault="00224E71" w:rsidP="00224E71">
      <w:pPr>
        <w:pStyle w:val="EndNoteBibliography"/>
        <w:ind w:left="720" w:hanging="720"/>
        <w:rPr>
          <w:noProof/>
        </w:rPr>
      </w:pPr>
      <w:r w:rsidRPr="00224E71">
        <w:rPr>
          <w:noProof/>
        </w:rPr>
        <w:t xml:space="preserve">Young, S. (2014). The drivers, consequences and policy implications of non-GAAP earnings reporting. </w:t>
      </w:r>
      <w:r w:rsidRPr="00224E71">
        <w:rPr>
          <w:i/>
          <w:noProof/>
        </w:rPr>
        <w:t>Accounting and Business Research, 44</w:t>
      </w:r>
      <w:r w:rsidRPr="00224E71">
        <w:rPr>
          <w:noProof/>
        </w:rPr>
        <w:t>(4), 444-465. doi:10.1080/00014788.2014.900952</w:t>
      </w:r>
    </w:p>
    <w:p w14:paraId="7835F38F" w14:textId="1E92FC5F" w:rsidR="00887521" w:rsidRDefault="005B501F" w:rsidP="006569B4">
      <w:pPr>
        <w:spacing w:line="360" w:lineRule="auto"/>
      </w:pPr>
      <w:r>
        <w:fldChar w:fldCharType="end"/>
      </w:r>
    </w:p>
    <w:p w14:paraId="161858C2" w14:textId="77777777" w:rsidR="00026850" w:rsidRDefault="00026850" w:rsidP="006569B4">
      <w:pPr>
        <w:spacing w:line="360" w:lineRule="auto"/>
      </w:pPr>
    </w:p>
    <w:p w14:paraId="59A12168" w14:textId="77777777" w:rsidR="00034A9A" w:rsidRDefault="00034A9A" w:rsidP="006569B4">
      <w:pPr>
        <w:spacing w:line="360" w:lineRule="auto"/>
      </w:pPr>
    </w:p>
    <w:p w14:paraId="1585EA69" w14:textId="3F9A8EB6" w:rsidR="00026850" w:rsidRDefault="00224E71" w:rsidP="00AF13F0">
      <w:pPr>
        <w:pStyle w:val="Heading1"/>
        <w:rPr>
          <w:rStyle w:val="Heading2Char"/>
        </w:rPr>
      </w:pPr>
      <w:bookmarkStart w:id="34" w:name="_Toc425524035"/>
      <w:r>
        <w:rPr>
          <w:rStyle w:val="Heading2Char"/>
        </w:rPr>
        <w:t>Bijlage</w:t>
      </w:r>
      <w:bookmarkEnd w:id="34"/>
    </w:p>
    <w:p w14:paraId="52C9DB3B" w14:textId="77777777" w:rsidR="00224E71" w:rsidRPr="00881473" w:rsidRDefault="00224E71" w:rsidP="00AF13F0"/>
    <w:p w14:paraId="05A49BEF" w14:textId="77777777" w:rsidR="00026850" w:rsidRDefault="00026850" w:rsidP="00AF13F0">
      <w:pPr>
        <w:spacing w:line="360" w:lineRule="auto"/>
        <w:rPr>
          <w:b/>
        </w:rPr>
      </w:pPr>
      <w:r>
        <w:rPr>
          <w:b/>
        </w:rPr>
        <w:t>Tabel 1</w:t>
      </w:r>
    </w:p>
    <w:p w14:paraId="16FEC84A" w14:textId="77777777" w:rsidR="00026850" w:rsidRDefault="00026850" w:rsidP="00AF13F0">
      <w:pPr>
        <w:spacing w:line="360" w:lineRule="auto"/>
      </w:pPr>
      <w:r w:rsidRPr="00A45148">
        <w:rPr>
          <w:noProof/>
          <w:lang w:eastAsia="nl-NL"/>
        </w:rPr>
        <w:drawing>
          <wp:inline distT="0" distB="0" distL="0" distR="0" wp14:anchorId="06E931A4" wp14:editId="3B220F8F">
            <wp:extent cx="4343400" cy="694118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43730" cy="6941713"/>
                    </a:xfrm>
                    <a:prstGeom prst="rect">
                      <a:avLst/>
                    </a:prstGeom>
                    <a:noFill/>
                    <a:ln>
                      <a:noFill/>
                    </a:ln>
                  </pic:spPr>
                </pic:pic>
              </a:graphicData>
            </a:graphic>
          </wp:inline>
        </w:drawing>
      </w:r>
    </w:p>
    <w:p w14:paraId="475675A8" w14:textId="77777777" w:rsidR="00026850" w:rsidRDefault="00026850" w:rsidP="00AF13F0">
      <w:pPr>
        <w:spacing w:line="360" w:lineRule="auto"/>
      </w:pPr>
    </w:p>
    <w:p w14:paraId="5AEC7F67" w14:textId="77777777" w:rsidR="00026850" w:rsidRDefault="00026850" w:rsidP="00AF13F0">
      <w:pPr>
        <w:spacing w:line="360" w:lineRule="auto"/>
      </w:pPr>
    </w:p>
    <w:p w14:paraId="3DE0764C" w14:textId="77777777" w:rsidR="00026850" w:rsidRDefault="00026850" w:rsidP="00AF13F0">
      <w:pPr>
        <w:spacing w:line="360" w:lineRule="auto"/>
      </w:pPr>
    </w:p>
    <w:p w14:paraId="67272051" w14:textId="77777777" w:rsidR="00026850" w:rsidRDefault="00026850" w:rsidP="00AF13F0">
      <w:pPr>
        <w:spacing w:line="360" w:lineRule="auto"/>
      </w:pPr>
    </w:p>
    <w:p w14:paraId="5A2F1F94" w14:textId="3AC3C928" w:rsidR="00026850" w:rsidRDefault="00026850" w:rsidP="00AF13F0">
      <w:pPr>
        <w:spacing w:line="360" w:lineRule="auto"/>
      </w:pPr>
    </w:p>
    <w:p w14:paraId="418BFA07" w14:textId="6845D5FC" w:rsidR="00026850" w:rsidRPr="00043B89" w:rsidRDefault="00026850" w:rsidP="00AF13F0">
      <w:pPr>
        <w:spacing w:line="360" w:lineRule="auto"/>
        <w:rPr>
          <w:b/>
        </w:rPr>
      </w:pPr>
      <w:r>
        <w:rPr>
          <w:b/>
        </w:rPr>
        <w:t>Tabel 2.</w:t>
      </w:r>
    </w:p>
    <w:p w14:paraId="3203ABA5" w14:textId="77777777" w:rsidR="00026850" w:rsidRDefault="00026850" w:rsidP="00AF13F0">
      <w:pPr>
        <w:spacing w:line="360" w:lineRule="auto"/>
      </w:pPr>
      <w:r w:rsidRPr="00A45148">
        <w:rPr>
          <w:noProof/>
          <w:lang w:eastAsia="nl-NL"/>
        </w:rPr>
        <w:drawing>
          <wp:inline distT="0" distB="0" distL="0" distR="0" wp14:anchorId="24BBB685" wp14:editId="5055D06D">
            <wp:extent cx="4110404" cy="1943100"/>
            <wp:effectExtent l="0" t="0" r="4445"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111776" cy="1943749"/>
                    </a:xfrm>
                    <a:prstGeom prst="rect">
                      <a:avLst/>
                    </a:prstGeom>
                    <a:noFill/>
                    <a:ln>
                      <a:noFill/>
                    </a:ln>
                  </pic:spPr>
                </pic:pic>
              </a:graphicData>
            </a:graphic>
          </wp:inline>
        </w:drawing>
      </w:r>
    </w:p>
    <w:p w14:paraId="51DCAF42" w14:textId="77777777" w:rsidR="00026850" w:rsidRDefault="00026850" w:rsidP="00AF13F0">
      <w:pPr>
        <w:spacing w:line="360" w:lineRule="auto"/>
      </w:pPr>
    </w:p>
    <w:p w14:paraId="26E1B072" w14:textId="77777777" w:rsidR="00AF13F0" w:rsidRDefault="00AF13F0" w:rsidP="00AF13F0">
      <w:pPr>
        <w:spacing w:line="360" w:lineRule="auto"/>
        <w:rPr>
          <w:b/>
        </w:rPr>
      </w:pPr>
    </w:p>
    <w:p w14:paraId="1A3C5A69" w14:textId="190BECF3" w:rsidR="00026850" w:rsidRPr="00FB0E81" w:rsidRDefault="00FB0E81" w:rsidP="00AF13F0">
      <w:pPr>
        <w:spacing w:line="360" w:lineRule="auto"/>
        <w:rPr>
          <w:b/>
        </w:rPr>
      </w:pPr>
      <w:r w:rsidRPr="00FB0E81">
        <w:rPr>
          <w:b/>
        </w:rPr>
        <w:t>Tabel 3</w:t>
      </w:r>
    </w:p>
    <w:p w14:paraId="1865230C" w14:textId="3B6A3336" w:rsidR="00026850" w:rsidRDefault="00FB0E81" w:rsidP="00AF13F0">
      <w:pPr>
        <w:spacing w:line="360" w:lineRule="auto"/>
      </w:pPr>
      <w:r>
        <w:rPr>
          <w:noProof/>
          <w:lang w:eastAsia="nl-NL"/>
        </w:rPr>
        <w:drawing>
          <wp:inline distT="0" distB="0" distL="0" distR="0" wp14:anchorId="743B765B" wp14:editId="283875CC">
            <wp:extent cx="4445000" cy="3721100"/>
            <wp:effectExtent l="0" t="0" r="0" b="12700"/>
            <wp:docPr id="4" name="Picture 4" descr="Macintosh HD:private:var:folders:l3:jn0qywkx6d52g9mhd6twfvsm0000gn:T:TemporaryItems:Organogram-2012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private:var:folders:l3:jn0qywkx6d52g9mhd6twfvsm0000gn:T:TemporaryItems:Organogram-2012_web.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45000" cy="3721100"/>
                    </a:xfrm>
                    <a:prstGeom prst="rect">
                      <a:avLst/>
                    </a:prstGeom>
                    <a:noFill/>
                    <a:ln>
                      <a:noFill/>
                    </a:ln>
                  </pic:spPr>
                </pic:pic>
              </a:graphicData>
            </a:graphic>
          </wp:inline>
        </w:drawing>
      </w:r>
    </w:p>
    <w:p w14:paraId="4C7CAE6E" w14:textId="77777777" w:rsidR="00196EE9" w:rsidRDefault="00196EE9" w:rsidP="00AF13F0">
      <w:pPr>
        <w:spacing w:line="360" w:lineRule="auto"/>
      </w:pPr>
    </w:p>
    <w:p w14:paraId="0408D2BC" w14:textId="77777777" w:rsidR="00034A9A" w:rsidRDefault="00034A9A" w:rsidP="00AF13F0">
      <w:pPr>
        <w:spacing w:line="360" w:lineRule="auto"/>
      </w:pPr>
    </w:p>
    <w:p w14:paraId="6189298C" w14:textId="77777777" w:rsidR="00034A9A" w:rsidRDefault="00034A9A" w:rsidP="00AF13F0">
      <w:pPr>
        <w:spacing w:line="360" w:lineRule="auto"/>
      </w:pPr>
    </w:p>
    <w:p w14:paraId="660BC2FD" w14:textId="77777777" w:rsidR="00034A9A" w:rsidRDefault="00034A9A" w:rsidP="00AF13F0">
      <w:pPr>
        <w:spacing w:line="360" w:lineRule="auto"/>
      </w:pPr>
    </w:p>
    <w:p w14:paraId="6C4449A9" w14:textId="77777777" w:rsidR="00034A9A" w:rsidRDefault="00034A9A" w:rsidP="00AF13F0">
      <w:pPr>
        <w:spacing w:line="360" w:lineRule="auto"/>
      </w:pPr>
    </w:p>
    <w:p w14:paraId="12CACBDD" w14:textId="77777777" w:rsidR="00034A9A" w:rsidRDefault="00034A9A" w:rsidP="00AF13F0">
      <w:pPr>
        <w:spacing w:line="360" w:lineRule="auto"/>
      </w:pPr>
    </w:p>
    <w:p w14:paraId="08FB8D51" w14:textId="77777777" w:rsidR="00034A9A" w:rsidRDefault="00034A9A" w:rsidP="00AF13F0">
      <w:pPr>
        <w:spacing w:line="360" w:lineRule="auto"/>
      </w:pPr>
    </w:p>
    <w:p w14:paraId="35692076" w14:textId="77777777" w:rsidR="00034A9A" w:rsidRDefault="00034A9A" w:rsidP="00AF13F0">
      <w:pPr>
        <w:spacing w:line="360" w:lineRule="auto"/>
        <w:rPr>
          <w:b/>
        </w:rPr>
      </w:pPr>
    </w:p>
    <w:p w14:paraId="08177F67" w14:textId="17BA1C12" w:rsidR="00196EE9" w:rsidRDefault="00196EE9" w:rsidP="00AF13F0">
      <w:pPr>
        <w:spacing w:line="360" w:lineRule="auto"/>
        <w:rPr>
          <w:b/>
        </w:rPr>
      </w:pPr>
      <w:r>
        <w:rPr>
          <w:b/>
        </w:rPr>
        <w:t xml:space="preserve">Bijlage 4.1 </w:t>
      </w:r>
    </w:p>
    <w:p w14:paraId="663C92D7" w14:textId="6B8ADBA2" w:rsidR="00196EE9" w:rsidRDefault="00196EE9" w:rsidP="00AF13F0">
      <w:pPr>
        <w:spacing w:line="360" w:lineRule="auto"/>
        <w:rPr>
          <w:b/>
        </w:rPr>
      </w:pPr>
      <w:r>
        <w:rPr>
          <w:b/>
          <w:noProof/>
          <w:lang w:eastAsia="nl-NL"/>
        </w:rPr>
        <w:drawing>
          <wp:inline distT="0" distB="0" distL="0" distR="0" wp14:anchorId="36C49938" wp14:editId="2ACCA660">
            <wp:extent cx="5270500" cy="4596475"/>
            <wp:effectExtent l="0" t="0" r="0" b="1270"/>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0500" cy="4596475"/>
                    </a:xfrm>
                    <a:prstGeom prst="rect">
                      <a:avLst/>
                    </a:prstGeom>
                    <a:noFill/>
                    <a:ln>
                      <a:noFill/>
                    </a:ln>
                  </pic:spPr>
                </pic:pic>
              </a:graphicData>
            </a:graphic>
          </wp:inline>
        </w:drawing>
      </w:r>
    </w:p>
    <w:p w14:paraId="59D39A8E" w14:textId="25DD2662" w:rsidR="00196EE9" w:rsidRDefault="00196EE9" w:rsidP="00AF13F0">
      <w:pPr>
        <w:spacing w:line="360" w:lineRule="auto"/>
        <w:rPr>
          <w:b/>
        </w:rPr>
      </w:pPr>
      <w:r>
        <w:rPr>
          <w:b/>
        </w:rPr>
        <w:t>Bijlage 4.2</w:t>
      </w:r>
    </w:p>
    <w:p w14:paraId="37F46476" w14:textId="562739F1" w:rsidR="00196EE9" w:rsidRDefault="00196EE9" w:rsidP="00AF13F0">
      <w:pPr>
        <w:spacing w:line="360" w:lineRule="auto"/>
        <w:rPr>
          <w:b/>
        </w:rPr>
      </w:pPr>
      <w:r>
        <w:rPr>
          <w:b/>
          <w:noProof/>
          <w:lang w:eastAsia="nl-NL"/>
        </w:rPr>
        <w:drawing>
          <wp:inline distT="0" distB="0" distL="0" distR="0" wp14:anchorId="2D48083E" wp14:editId="55D977E9">
            <wp:extent cx="5270500" cy="964769"/>
            <wp:effectExtent l="0" t="0" r="0" b="635"/>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0500" cy="964769"/>
                    </a:xfrm>
                    <a:prstGeom prst="rect">
                      <a:avLst/>
                    </a:prstGeom>
                    <a:noFill/>
                    <a:ln>
                      <a:noFill/>
                    </a:ln>
                  </pic:spPr>
                </pic:pic>
              </a:graphicData>
            </a:graphic>
          </wp:inline>
        </w:drawing>
      </w:r>
    </w:p>
    <w:p w14:paraId="37A0E273" w14:textId="77777777" w:rsidR="00B56A79" w:rsidRDefault="00B56A79" w:rsidP="00AF13F0">
      <w:pPr>
        <w:spacing w:line="360" w:lineRule="auto"/>
        <w:rPr>
          <w:b/>
        </w:rPr>
      </w:pPr>
    </w:p>
    <w:p w14:paraId="321C3A7B" w14:textId="77777777" w:rsidR="00B56A79" w:rsidRDefault="00B56A79" w:rsidP="00AF13F0">
      <w:pPr>
        <w:spacing w:line="360" w:lineRule="auto"/>
        <w:rPr>
          <w:b/>
        </w:rPr>
      </w:pPr>
    </w:p>
    <w:p w14:paraId="7FFC5F50" w14:textId="77777777" w:rsidR="00B56A79" w:rsidRDefault="00B56A79" w:rsidP="00AF13F0">
      <w:pPr>
        <w:spacing w:line="360" w:lineRule="auto"/>
        <w:rPr>
          <w:b/>
        </w:rPr>
      </w:pPr>
    </w:p>
    <w:p w14:paraId="0FE19014" w14:textId="77777777" w:rsidR="00B56A79" w:rsidRDefault="00B56A79" w:rsidP="00AF13F0">
      <w:pPr>
        <w:spacing w:line="360" w:lineRule="auto"/>
        <w:rPr>
          <w:b/>
        </w:rPr>
      </w:pPr>
    </w:p>
    <w:p w14:paraId="5B61073C" w14:textId="77777777" w:rsidR="00B56A79" w:rsidRDefault="00B56A79" w:rsidP="00AF13F0">
      <w:pPr>
        <w:spacing w:line="360" w:lineRule="auto"/>
        <w:rPr>
          <w:b/>
        </w:rPr>
      </w:pPr>
    </w:p>
    <w:p w14:paraId="345F7CF0" w14:textId="77777777" w:rsidR="00B56A79" w:rsidRDefault="00B56A79" w:rsidP="00AF13F0">
      <w:pPr>
        <w:spacing w:line="360" w:lineRule="auto"/>
        <w:rPr>
          <w:b/>
        </w:rPr>
      </w:pPr>
    </w:p>
    <w:p w14:paraId="75E73A59" w14:textId="77777777" w:rsidR="00253740" w:rsidRDefault="00253740" w:rsidP="00AF13F0">
      <w:pPr>
        <w:spacing w:line="360" w:lineRule="auto"/>
        <w:rPr>
          <w:b/>
        </w:rPr>
      </w:pPr>
    </w:p>
    <w:p w14:paraId="15A61912" w14:textId="0B36B3A2" w:rsidR="008863EC" w:rsidRDefault="008863EC" w:rsidP="00AF13F0">
      <w:pPr>
        <w:spacing w:line="360" w:lineRule="auto"/>
        <w:rPr>
          <w:b/>
        </w:rPr>
      </w:pPr>
      <w:r>
        <w:rPr>
          <w:b/>
        </w:rPr>
        <w:t>Tabel 5</w:t>
      </w:r>
    </w:p>
    <w:tbl>
      <w:tblPr>
        <w:tblW w:w="8844" w:type="dxa"/>
        <w:tblInd w:w="93" w:type="dxa"/>
        <w:tblLook w:val="04A0" w:firstRow="1" w:lastRow="0" w:firstColumn="1" w:lastColumn="0" w:noHBand="0" w:noVBand="1"/>
      </w:tblPr>
      <w:tblGrid>
        <w:gridCol w:w="2269"/>
        <w:gridCol w:w="3422"/>
        <w:gridCol w:w="3153"/>
      </w:tblGrid>
      <w:tr w:rsidR="00B56A79" w:rsidRPr="00B56A79" w14:paraId="673D383F" w14:textId="77777777" w:rsidTr="00EF440E">
        <w:trPr>
          <w:trHeight w:val="299"/>
        </w:trPr>
        <w:tc>
          <w:tcPr>
            <w:tcW w:w="2269" w:type="dxa"/>
            <w:tcBorders>
              <w:top w:val="nil"/>
              <w:left w:val="nil"/>
              <w:bottom w:val="single" w:sz="12" w:space="0" w:color="FFFFFF"/>
              <w:right w:val="single" w:sz="4" w:space="0" w:color="FFFFFF"/>
            </w:tcBorders>
            <w:shd w:val="clear" w:color="4F81BD" w:fill="4F81BD"/>
            <w:noWrap/>
            <w:vAlign w:val="bottom"/>
            <w:hideMark/>
          </w:tcPr>
          <w:p w14:paraId="32A8777A" w14:textId="77777777" w:rsidR="00B56A79" w:rsidRPr="00B56A79" w:rsidRDefault="00B56A79" w:rsidP="00AF13F0">
            <w:pPr>
              <w:rPr>
                <w:rFonts w:ascii="Calibri" w:eastAsia="Times New Roman" w:hAnsi="Calibri" w:cs="Times New Roman"/>
                <w:b/>
                <w:bCs/>
                <w:color w:val="FFFFFF"/>
              </w:rPr>
            </w:pPr>
            <w:r w:rsidRPr="00B56A79">
              <w:rPr>
                <w:rFonts w:ascii="Calibri" w:eastAsia="Times New Roman" w:hAnsi="Calibri" w:cs="Times New Roman"/>
                <w:b/>
                <w:bCs/>
                <w:color w:val="FFFFFF"/>
              </w:rPr>
              <w:t>Onderneming</w:t>
            </w:r>
          </w:p>
        </w:tc>
        <w:tc>
          <w:tcPr>
            <w:tcW w:w="3422" w:type="dxa"/>
            <w:tcBorders>
              <w:top w:val="nil"/>
              <w:left w:val="single" w:sz="4" w:space="0" w:color="FFFFFF"/>
              <w:bottom w:val="single" w:sz="12" w:space="0" w:color="FFFFFF"/>
              <w:right w:val="single" w:sz="4" w:space="0" w:color="FFFFFF"/>
            </w:tcBorders>
            <w:shd w:val="clear" w:color="4F81BD" w:fill="4F81BD"/>
            <w:noWrap/>
            <w:vAlign w:val="bottom"/>
            <w:hideMark/>
          </w:tcPr>
          <w:p w14:paraId="03FC56DF" w14:textId="77777777" w:rsidR="00B56A79" w:rsidRPr="00B56A79" w:rsidRDefault="00B56A79" w:rsidP="00AF13F0">
            <w:pPr>
              <w:rPr>
                <w:rFonts w:ascii="Calibri" w:eastAsia="Times New Roman" w:hAnsi="Calibri" w:cs="Times New Roman"/>
                <w:b/>
                <w:bCs/>
                <w:color w:val="FFFFFF"/>
              </w:rPr>
            </w:pPr>
            <w:r w:rsidRPr="00B56A79">
              <w:rPr>
                <w:rFonts w:ascii="Calibri" w:eastAsia="Times New Roman" w:hAnsi="Calibri" w:cs="Times New Roman"/>
                <w:b/>
                <w:bCs/>
                <w:color w:val="FFFFFF"/>
              </w:rPr>
              <w:t>Werkzaamheden</w:t>
            </w:r>
          </w:p>
        </w:tc>
        <w:tc>
          <w:tcPr>
            <w:tcW w:w="3153" w:type="dxa"/>
            <w:tcBorders>
              <w:top w:val="nil"/>
              <w:left w:val="single" w:sz="4" w:space="0" w:color="FFFFFF"/>
              <w:bottom w:val="single" w:sz="12" w:space="0" w:color="FFFFFF"/>
              <w:right w:val="nil"/>
            </w:tcBorders>
            <w:shd w:val="clear" w:color="4F81BD" w:fill="4F81BD"/>
            <w:noWrap/>
            <w:vAlign w:val="bottom"/>
            <w:hideMark/>
          </w:tcPr>
          <w:p w14:paraId="029D4A6F" w14:textId="77777777" w:rsidR="00B56A79" w:rsidRPr="00B56A79" w:rsidRDefault="00B56A79" w:rsidP="00AF13F0">
            <w:pPr>
              <w:rPr>
                <w:rFonts w:ascii="Calibri" w:eastAsia="Times New Roman" w:hAnsi="Calibri" w:cs="Times New Roman"/>
                <w:b/>
                <w:bCs/>
                <w:color w:val="FFFFFF"/>
              </w:rPr>
            </w:pPr>
            <w:r w:rsidRPr="00B56A79">
              <w:rPr>
                <w:rFonts w:ascii="Calibri" w:eastAsia="Times New Roman" w:hAnsi="Calibri" w:cs="Times New Roman"/>
                <w:b/>
                <w:bCs/>
                <w:color w:val="FFFFFF"/>
              </w:rPr>
              <w:t>Sector</w:t>
            </w:r>
          </w:p>
        </w:tc>
      </w:tr>
      <w:tr w:rsidR="00B56A79" w:rsidRPr="00B56A79" w14:paraId="091860B6"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B8CCE4" w:fill="B8CCE4"/>
            <w:noWrap/>
            <w:vAlign w:val="bottom"/>
            <w:hideMark/>
          </w:tcPr>
          <w:p w14:paraId="32A3C45F" w14:textId="0BF3EEE3"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1. </w:t>
            </w:r>
            <w:r w:rsidR="00B56A79" w:rsidRPr="00B56A79">
              <w:rPr>
                <w:rFonts w:ascii="Calibri" w:eastAsia="Times New Roman" w:hAnsi="Calibri" w:cs="Times New Roman"/>
                <w:b/>
                <w:bCs/>
                <w:color w:val="000000"/>
              </w:rPr>
              <w:t>Aalberts</w:t>
            </w:r>
          </w:p>
        </w:tc>
        <w:tc>
          <w:tcPr>
            <w:tcW w:w="342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FB1482D"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Industriële componenten</w:t>
            </w:r>
          </w:p>
        </w:tc>
        <w:tc>
          <w:tcPr>
            <w:tcW w:w="3153" w:type="dxa"/>
            <w:tcBorders>
              <w:top w:val="single" w:sz="4" w:space="0" w:color="FFFFFF"/>
              <w:left w:val="single" w:sz="4" w:space="0" w:color="FFFFFF"/>
              <w:bottom w:val="single" w:sz="4" w:space="0" w:color="FFFFFF"/>
              <w:right w:val="nil"/>
            </w:tcBorders>
            <w:shd w:val="clear" w:color="B8CCE4" w:fill="B8CCE4"/>
            <w:noWrap/>
            <w:vAlign w:val="bottom"/>
            <w:hideMark/>
          </w:tcPr>
          <w:p w14:paraId="5F2AD41E"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Industrie/Bouw</w:t>
            </w:r>
          </w:p>
        </w:tc>
      </w:tr>
      <w:tr w:rsidR="00B56A79" w:rsidRPr="00B56A79" w14:paraId="67F4A68E"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DCE6F1" w:fill="DCE6F1"/>
            <w:noWrap/>
            <w:vAlign w:val="bottom"/>
            <w:hideMark/>
          </w:tcPr>
          <w:p w14:paraId="0742E97B" w14:textId="7D16474F"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2. </w:t>
            </w:r>
            <w:r w:rsidR="00B56A79" w:rsidRPr="00B56A79">
              <w:rPr>
                <w:rFonts w:ascii="Calibri" w:eastAsia="Times New Roman" w:hAnsi="Calibri" w:cs="Times New Roman"/>
                <w:b/>
                <w:bCs/>
                <w:color w:val="000000"/>
              </w:rPr>
              <w:t>Aegon</w:t>
            </w:r>
          </w:p>
        </w:tc>
        <w:tc>
          <w:tcPr>
            <w:tcW w:w="342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D03D27A"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Verzekeringen</w:t>
            </w:r>
          </w:p>
        </w:tc>
        <w:tc>
          <w:tcPr>
            <w:tcW w:w="3153" w:type="dxa"/>
            <w:tcBorders>
              <w:top w:val="single" w:sz="4" w:space="0" w:color="FFFFFF"/>
              <w:left w:val="single" w:sz="4" w:space="0" w:color="FFFFFF"/>
              <w:bottom w:val="single" w:sz="4" w:space="0" w:color="FFFFFF"/>
              <w:right w:val="nil"/>
            </w:tcBorders>
            <w:shd w:val="clear" w:color="DCE6F1" w:fill="DCE6F1"/>
            <w:noWrap/>
            <w:vAlign w:val="bottom"/>
            <w:hideMark/>
          </w:tcPr>
          <w:p w14:paraId="06AE4E0B"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Financiële dienstverlening</w:t>
            </w:r>
          </w:p>
        </w:tc>
      </w:tr>
      <w:tr w:rsidR="00B56A79" w:rsidRPr="00B56A79" w14:paraId="608D2292"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B8CCE4" w:fill="B8CCE4"/>
            <w:noWrap/>
            <w:vAlign w:val="bottom"/>
            <w:hideMark/>
          </w:tcPr>
          <w:p w14:paraId="2FA67605" w14:textId="5ABA9C6E"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3. </w:t>
            </w:r>
            <w:r w:rsidR="00B56A79" w:rsidRPr="00B56A79">
              <w:rPr>
                <w:rFonts w:ascii="Calibri" w:eastAsia="Times New Roman" w:hAnsi="Calibri" w:cs="Times New Roman"/>
                <w:b/>
                <w:bCs/>
                <w:color w:val="000000"/>
              </w:rPr>
              <w:t>Ahold</w:t>
            </w:r>
          </w:p>
        </w:tc>
        <w:tc>
          <w:tcPr>
            <w:tcW w:w="342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00A6EE4"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Detailhandel</w:t>
            </w:r>
          </w:p>
        </w:tc>
        <w:tc>
          <w:tcPr>
            <w:tcW w:w="3153" w:type="dxa"/>
            <w:tcBorders>
              <w:top w:val="single" w:sz="4" w:space="0" w:color="FFFFFF"/>
              <w:left w:val="single" w:sz="4" w:space="0" w:color="FFFFFF"/>
              <w:bottom w:val="single" w:sz="4" w:space="0" w:color="FFFFFF"/>
              <w:right w:val="nil"/>
            </w:tcBorders>
            <w:shd w:val="clear" w:color="B8CCE4" w:fill="B8CCE4"/>
            <w:noWrap/>
            <w:vAlign w:val="bottom"/>
            <w:hideMark/>
          </w:tcPr>
          <w:p w14:paraId="4B4CE8D5"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Detailhandel/vervoer</w:t>
            </w:r>
          </w:p>
        </w:tc>
      </w:tr>
      <w:tr w:rsidR="00B56A79" w:rsidRPr="00B56A79" w14:paraId="17DD6596"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DCE6F1" w:fill="DCE6F1"/>
            <w:noWrap/>
            <w:vAlign w:val="bottom"/>
            <w:hideMark/>
          </w:tcPr>
          <w:p w14:paraId="21742A29" w14:textId="4410162E"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4. </w:t>
            </w:r>
            <w:r w:rsidR="00B56A79" w:rsidRPr="00B56A79">
              <w:rPr>
                <w:rFonts w:ascii="Calibri" w:eastAsia="Times New Roman" w:hAnsi="Calibri" w:cs="Times New Roman"/>
                <w:b/>
                <w:bCs/>
                <w:color w:val="000000"/>
              </w:rPr>
              <w:t>Air France - KLM</w:t>
            </w:r>
          </w:p>
        </w:tc>
        <w:tc>
          <w:tcPr>
            <w:tcW w:w="342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08228B0"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Luchtvaart</w:t>
            </w:r>
          </w:p>
        </w:tc>
        <w:tc>
          <w:tcPr>
            <w:tcW w:w="3153" w:type="dxa"/>
            <w:tcBorders>
              <w:top w:val="single" w:sz="4" w:space="0" w:color="FFFFFF"/>
              <w:left w:val="single" w:sz="4" w:space="0" w:color="FFFFFF"/>
              <w:bottom w:val="single" w:sz="4" w:space="0" w:color="FFFFFF"/>
              <w:right w:val="nil"/>
            </w:tcBorders>
            <w:shd w:val="clear" w:color="DCE6F1" w:fill="DCE6F1"/>
            <w:noWrap/>
            <w:vAlign w:val="bottom"/>
            <w:hideMark/>
          </w:tcPr>
          <w:p w14:paraId="1C5F877C"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Luchtvaart</w:t>
            </w:r>
          </w:p>
        </w:tc>
      </w:tr>
      <w:tr w:rsidR="00B56A79" w:rsidRPr="00B56A79" w14:paraId="640D402F"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B8CCE4" w:fill="B8CCE4"/>
            <w:noWrap/>
            <w:vAlign w:val="bottom"/>
            <w:hideMark/>
          </w:tcPr>
          <w:p w14:paraId="238ED9B0" w14:textId="382FC3F8"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5. </w:t>
            </w:r>
            <w:r w:rsidR="00B56A79" w:rsidRPr="00B56A79">
              <w:rPr>
                <w:rFonts w:ascii="Calibri" w:eastAsia="Times New Roman" w:hAnsi="Calibri" w:cs="Times New Roman"/>
                <w:b/>
                <w:bCs/>
                <w:color w:val="000000"/>
              </w:rPr>
              <w:t>Akzo Nobel</w:t>
            </w:r>
          </w:p>
        </w:tc>
        <w:tc>
          <w:tcPr>
            <w:tcW w:w="342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A41FAE2"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Speciale chemicaliën</w:t>
            </w:r>
          </w:p>
        </w:tc>
        <w:tc>
          <w:tcPr>
            <w:tcW w:w="3153" w:type="dxa"/>
            <w:tcBorders>
              <w:top w:val="single" w:sz="4" w:space="0" w:color="FFFFFF"/>
              <w:left w:val="single" w:sz="4" w:space="0" w:color="FFFFFF"/>
              <w:bottom w:val="single" w:sz="4" w:space="0" w:color="FFFFFF"/>
              <w:right w:val="nil"/>
            </w:tcBorders>
            <w:shd w:val="clear" w:color="B8CCE4" w:fill="B8CCE4"/>
            <w:noWrap/>
            <w:vAlign w:val="bottom"/>
            <w:hideMark/>
          </w:tcPr>
          <w:p w14:paraId="10428C4E"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Industrie/Bouw</w:t>
            </w:r>
          </w:p>
        </w:tc>
      </w:tr>
      <w:tr w:rsidR="00B56A79" w:rsidRPr="00B56A79" w14:paraId="26FC0C2C"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DCE6F1" w:fill="DCE6F1"/>
            <w:noWrap/>
            <w:vAlign w:val="bottom"/>
            <w:hideMark/>
          </w:tcPr>
          <w:p w14:paraId="6B643F96" w14:textId="1B7DD218"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6. </w:t>
            </w:r>
            <w:r w:rsidR="00B56A79" w:rsidRPr="00B56A79">
              <w:rPr>
                <w:rFonts w:ascii="Calibri" w:eastAsia="Times New Roman" w:hAnsi="Calibri" w:cs="Times New Roman"/>
                <w:b/>
                <w:bCs/>
                <w:color w:val="000000"/>
              </w:rPr>
              <w:t>ArcelorMittal</w:t>
            </w:r>
          </w:p>
        </w:tc>
        <w:tc>
          <w:tcPr>
            <w:tcW w:w="342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FE848A3"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Staal</w:t>
            </w:r>
          </w:p>
        </w:tc>
        <w:tc>
          <w:tcPr>
            <w:tcW w:w="3153" w:type="dxa"/>
            <w:tcBorders>
              <w:top w:val="single" w:sz="4" w:space="0" w:color="FFFFFF"/>
              <w:left w:val="single" w:sz="4" w:space="0" w:color="FFFFFF"/>
              <w:bottom w:val="single" w:sz="4" w:space="0" w:color="FFFFFF"/>
              <w:right w:val="nil"/>
            </w:tcBorders>
            <w:shd w:val="clear" w:color="DCE6F1" w:fill="DCE6F1"/>
            <w:noWrap/>
            <w:vAlign w:val="bottom"/>
            <w:hideMark/>
          </w:tcPr>
          <w:p w14:paraId="0D378BD4"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Industrie/Bouw</w:t>
            </w:r>
          </w:p>
        </w:tc>
      </w:tr>
      <w:tr w:rsidR="00B56A79" w:rsidRPr="00B56A79" w14:paraId="78C54068"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B8CCE4" w:fill="B8CCE4"/>
            <w:noWrap/>
            <w:vAlign w:val="bottom"/>
            <w:hideMark/>
          </w:tcPr>
          <w:p w14:paraId="2E6BCAC1" w14:textId="44F1A3C2"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7. </w:t>
            </w:r>
            <w:r w:rsidR="00B56A79" w:rsidRPr="00B56A79">
              <w:rPr>
                <w:rFonts w:ascii="Calibri" w:eastAsia="Times New Roman" w:hAnsi="Calibri" w:cs="Times New Roman"/>
                <w:b/>
                <w:bCs/>
                <w:color w:val="000000"/>
              </w:rPr>
              <w:t>ASML</w:t>
            </w:r>
          </w:p>
        </w:tc>
        <w:tc>
          <w:tcPr>
            <w:tcW w:w="342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84E0EA0"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Halfgeleiders</w:t>
            </w:r>
          </w:p>
        </w:tc>
        <w:tc>
          <w:tcPr>
            <w:tcW w:w="3153" w:type="dxa"/>
            <w:tcBorders>
              <w:top w:val="single" w:sz="4" w:space="0" w:color="FFFFFF"/>
              <w:left w:val="single" w:sz="4" w:space="0" w:color="FFFFFF"/>
              <w:bottom w:val="single" w:sz="4" w:space="0" w:color="FFFFFF"/>
              <w:right w:val="nil"/>
            </w:tcBorders>
            <w:shd w:val="clear" w:color="B8CCE4" w:fill="B8CCE4"/>
            <w:noWrap/>
            <w:vAlign w:val="bottom"/>
            <w:hideMark/>
          </w:tcPr>
          <w:p w14:paraId="6593F906"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Industrie/Bouw</w:t>
            </w:r>
          </w:p>
        </w:tc>
      </w:tr>
      <w:tr w:rsidR="00B56A79" w:rsidRPr="00B56A79" w14:paraId="78D64EA5"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DCE6F1" w:fill="DCE6F1"/>
            <w:noWrap/>
            <w:vAlign w:val="bottom"/>
            <w:hideMark/>
          </w:tcPr>
          <w:p w14:paraId="4244BED5" w14:textId="0524166F"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8. </w:t>
            </w:r>
            <w:r w:rsidR="00B56A79" w:rsidRPr="00B56A79">
              <w:rPr>
                <w:rFonts w:ascii="Calibri" w:eastAsia="Times New Roman" w:hAnsi="Calibri" w:cs="Times New Roman"/>
                <w:b/>
                <w:bCs/>
                <w:color w:val="000000"/>
              </w:rPr>
              <w:t>Boskalis</w:t>
            </w:r>
          </w:p>
        </w:tc>
        <w:tc>
          <w:tcPr>
            <w:tcW w:w="342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259BE54"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Baggermaatschappij</w:t>
            </w:r>
          </w:p>
        </w:tc>
        <w:tc>
          <w:tcPr>
            <w:tcW w:w="3153" w:type="dxa"/>
            <w:tcBorders>
              <w:top w:val="single" w:sz="4" w:space="0" w:color="FFFFFF"/>
              <w:left w:val="single" w:sz="4" w:space="0" w:color="FFFFFF"/>
              <w:bottom w:val="single" w:sz="4" w:space="0" w:color="FFFFFF"/>
              <w:right w:val="nil"/>
            </w:tcBorders>
            <w:shd w:val="clear" w:color="DCE6F1" w:fill="DCE6F1"/>
            <w:noWrap/>
            <w:vAlign w:val="bottom"/>
            <w:hideMark/>
          </w:tcPr>
          <w:p w14:paraId="27E78B43"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Industrie/Bouw</w:t>
            </w:r>
          </w:p>
        </w:tc>
      </w:tr>
      <w:tr w:rsidR="00B56A79" w:rsidRPr="00B56A79" w14:paraId="3DDC4626"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B8CCE4" w:fill="B8CCE4"/>
            <w:noWrap/>
            <w:vAlign w:val="bottom"/>
            <w:hideMark/>
          </w:tcPr>
          <w:p w14:paraId="509410D1" w14:textId="547D4257"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9. </w:t>
            </w:r>
            <w:r w:rsidR="00B56A79" w:rsidRPr="00B56A79">
              <w:rPr>
                <w:rFonts w:ascii="Calibri" w:eastAsia="Times New Roman" w:hAnsi="Calibri" w:cs="Times New Roman"/>
                <w:b/>
                <w:bCs/>
                <w:color w:val="000000"/>
              </w:rPr>
              <w:t>Delta Lloyd</w:t>
            </w:r>
          </w:p>
        </w:tc>
        <w:tc>
          <w:tcPr>
            <w:tcW w:w="342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B560BF3"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Financiële Dienstverlening</w:t>
            </w:r>
          </w:p>
        </w:tc>
        <w:tc>
          <w:tcPr>
            <w:tcW w:w="3153" w:type="dxa"/>
            <w:tcBorders>
              <w:top w:val="single" w:sz="4" w:space="0" w:color="FFFFFF"/>
              <w:left w:val="single" w:sz="4" w:space="0" w:color="FFFFFF"/>
              <w:bottom w:val="single" w:sz="4" w:space="0" w:color="FFFFFF"/>
              <w:right w:val="nil"/>
            </w:tcBorders>
            <w:shd w:val="clear" w:color="B8CCE4" w:fill="B8CCE4"/>
            <w:noWrap/>
            <w:vAlign w:val="bottom"/>
            <w:hideMark/>
          </w:tcPr>
          <w:p w14:paraId="0F1543F2"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Financiële dienstverlening</w:t>
            </w:r>
          </w:p>
        </w:tc>
      </w:tr>
      <w:tr w:rsidR="00B56A79" w:rsidRPr="00B56A79" w14:paraId="4A1DFFC0"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DCE6F1" w:fill="DCE6F1"/>
            <w:noWrap/>
            <w:vAlign w:val="bottom"/>
            <w:hideMark/>
          </w:tcPr>
          <w:p w14:paraId="467BF23A" w14:textId="6466EF47"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10. </w:t>
            </w:r>
            <w:r w:rsidR="00B56A79" w:rsidRPr="00B56A79">
              <w:rPr>
                <w:rFonts w:ascii="Calibri" w:eastAsia="Times New Roman" w:hAnsi="Calibri" w:cs="Times New Roman"/>
                <w:b/>
                <w:bCs/>
                <w:color w:val="000000"/>
              </w:rPr>
              <w:t>DSM</w:t>
            </w:r>
          </w:p>
        </w:tc>
        <w:tc>
          <w:tcPr>
            <w:tcW w:w="342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C086D6B"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Chemicaliën</w:t>
            </w:r>
          </w:p>
        </w:tc>
        <w:tc>
          <w:tcPr>
            <w:tcW w:w="3153" w:type="dxa"/>
            <w:tcBorders>
              <w:top w:val="single" w:sz="4" w:space="0" w:color="FFFFFF"/>
              <w:left w:val="single" w:sz="4" w:space="0" w:color="FFFFFF"/>
              <w:bottom w:val="single" w:sz="4" w:space="0" w:color="FFFFFF"/>
              <w:right w:val="nil"/>
            </w:tcBorders>
            <w:shd w:val="clear" w:color="DCE6F1" w:fill="DCE6F1"/>
            <w:noWrap/>
            <w:vAlign w:val="bottom"/>
            <w:hideMark/>
          </w:tcPr>
          <w:p w14:paraId="0A5A6D41"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Industrie/Bouw</w:t>
            </w:r>
          </w:p>
        </w:tc>
      </w:tr>
      <w:tr w:rsidR="00B56A79" w:rsidRPr="00B56A79" w14:paraId="1C98936D"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B8CCE4" w:fill="B8CCE4"/>
            <w:noWrap/>
            <w:vAlign w:val="bottom"/>
            <w:hideMark/>
          </w:tcPr>
          <w:p w14:paraId="7BE937DF" w14:textId="5BF6514E"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11. </w:t>
            </w:r>
            <w:r w:rsidR="00B56A79" w:rsidRPr="00B56A79">
              <w:rPr>
                <w:rFonts w:ascii="Calibri" w:eastAsia="Times New Roman" w:hAnsi="Calibri" w:cs="Times New Roman"/>
                <w:b/>
                <w:bCs/>
                <w:color w:val="000000"/>
              </w:rPr>
              <w:t>Gemalto</w:t>
            </w:r>
          </w:p>
        </w:tc>
        <w:tc>
          <w:tcPr>
            <w:tcW w:w="342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D115F05"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Electronica</w:t>
            </w:r>
          </w:p>
        </w:tc>
        <w:tc>
          <w:tcPr>
            <w:tcW w:w="3153" w:type="dxa"/>
            <w:tcBorders>
              <w:top w:val="single" w:sz="4" w:space="0" w:color="FFFFFF"/>
              <w:left w:val="single" w:sz="4" w:space="0" w:color="FFFFFF"/>
              <w:bottom w:val="single" w:sz="4" w:space="0" w:color="FFFFFF"/>
              <w:right w:val="nil"/>
            </w:tcBorders>
            <w:shd w:val="clear" w:color="B8CCE4" w:fill="B8CCE4"/>
            <w:noWrap/>
            <w:vAlign w:val="bottom"/>
            <w:hideMark/>
          </w:tcPr>
          <w:p w14:paraId="5E772A24"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Electronica/Energie</w:t>
            </w:r>
          </w:p>
        </w:tc>
      </w:tr>
      <w:tr w:rsidR="00B56A79" w:rsidRPr="00B56A79" w14:paraId="54C3E7B2"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DCE6F1" w:fill="DCE6F1"/>
            <w:noWrap/>
            <w:vAlign w:val="bottom"/>
            <w:hideMark/>
          </w:tcPr>
          <w:p w14:paraId="245C891A" w14:textId="139A075D"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12. </w:t>
            </w:r>
            <w:r w:rsidR="00B56A79" w:rsidRPr="00B56A79">
              <w:rPr>
                <w:rFonts w:ascii="Calibri" w:eastAsia="Times New Roman" w:hAnsi="Calibri" w:cs="Times New Roman"/>
                <w:b/>
                <w:bCs/>
                <w:color w:val="000000"/>
              </w:rPr>
              <w:t>Heineken</w:t>
            </w:r>
          </w:p>
        </w:tc>
        <w:tc>
          <w:tcPr>
            <w:tcW w:w="342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D046F62"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Drank</w:t>
            </w:r>
          </w:p>
        </w:tc>
        <w:tc>
          <w:tcPr>
            <w:tcW w:w="3153" w:type="dxa"/>
            <w:tcBorders>
              <w:top w:val="single" w:sz="4" w:space="0" w:color="FFFFFF"/>
              <w:left w:val="single" w:sz="4" w:space="0" w:color="FFFFFF"/>
              <w:bottom w:val="single" w:sz="4" w:space="0" w:color="FFFFFF"/>
              <w:right w:val="nil"/>
            </w:tcBorders>
            <w:shd w:val="clear" w:color="DCE6F1" w:fill="DCE6F1"/>
            <w:noWrap/>
            <w:vAlign w:val="bottom"/>
            <w:hideMark/>
          </w:tcPr>
          <w:p w14:paraId="7E31BA45"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Detailhandel/vervoer</w:t>
            </w:r>
          </w:p>
        </w:tc>
      </w:tr>
      <w:tr w:rsidR="00B56A79" w:rsidRPr="00B56A79" w14:paraId="65AD386D"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B8CCE4" w:fill="B8CCE4"/>
            <w:noWrap/>
            <w:vAlign w:val="bottom"/>
            <w:hideMark/>
          </w:tcPr>
          <w:p w14:paraId="7A9C709A" w14:textId="17192F17"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13. </w:t>
            </w:r>
            <w:r w:rsidR="00B56A79" w:rsidRPr="00B56A79">
              <w:rPr>
                <w:rFonts w:ascii="Calibri" w:eastAsia="Times New Roman" w:hAnsi="Calibri" w:cs="Times New Roman"/>
                <w:b/>
                <w:bCs/>
                <w:color w:val="000000"/>
              </w:rPr>
              <w:t>ING</w:t>
            </w:r>
          </w:p>
        </w:tc>
        <w:tc>
          <w:tcPr>
            <w:tcW w:w="342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E98B516"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Financiële Dienstverlening</w:t>
            </w:r>
          </w:p>
        </w:tc>
        <w:tc>
          <w:tcPr>
            <w:tcW w:w="3153" w:type="dxa"/>
            <w:tcBorders>
              <w:top w:val="single" w:sz="4" w:space="0" w:color="FFFFFF"/>
              <w:left w:val="single" w:sz="4" w:space="0" w:color="FFFFFF"/>
              <w:bottom w:val="single" w:sz="4" w:space="0" w:color="FFFFFF"/>
              <w:right w:val="nil"/>
            </w:tcBorders>
            <w:shd w:val="clear" w:color="B8CCE4" w:fill="B8CCE4"/>
            <w:noWrap/>
            <w:vAlign w:val="bottom"/>
            <w:hideMark/>
          </w:tcPr>
          <w:p w14:paraId="2367F19F"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Financiële dienstverlening</w:t>
            </w:r>
          </w:p>
        </w:tc>
      </w:tr>
      <w:tr w:rsidR="00B56A79" w:rsidRPr="00B56A79" w14:paraId="255CB6BA"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DCE6F1" w:fill="DCE6F1"/>
            <w:noWrap/>
            <w:vAlign w:val="bottom"/>
            <w:hideMark/>
          </w:tcPr>
          <w:p w14:paraId="415A9B5E" w14:textId="3C303097"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14. </w:t>
            </w:r>
            <w:r w:rsidR="00B56A79" w:rsidRPr="00B56A79">
              <w:rPr>
                <w:rFonts w:ascii="Calibri" w:eastAsia="Times New Roman" w:hAnsi="Calibri" w:cs="Times New Roman"/>
                <w:b/>
                <w:bCs/>
                <w:color w:val="000000"/>
              </w:rPr>
              <w:t>KPN</w:t>
            </w:r>
          </w:p>
        </w:tc>
        <w:tc>
          <w:tcPr>
            <w:tcW w:w="342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C0742F5" w14:textId="22AABB5D" w:rsidR="00B56A79" w:rsidRPr="00B56A79" w:rsidRDefault="009322D0" w:rsidP="00AF13F0">
            <w:pPr>
              <w:rPr>
                <w:rFonts w:ascii="Calibri" w:eastAsia="Times New Roman" w:hAnsi="Calibri" w:cs="Times New Roman"/>
                <w:color w:val="000000"/>
              </w:rPr>
            </w:pPr>
            <w:r w:rsidRPr="00B56A79">
              <w:rPr>
                <w:rFonts w:ascii="Calibri" w:eastAsia="Times New Roman" w:hAnsi="Calibri" w:cs="Times New Roman"/>
                <w:color w:val="000000"/>
              </w:rPr>
              <w:t>T</w:t>
            </w:r>
            <w:r w:rsidR="00B56A79" w:rsidRPr="00B56A79">
              <w:rPr>
                <w:rFonts w:ascii="Calibri" w:eastAsia="Times New Roman" w:hAnsi="Calibri" w:cs="Times New Roman"/>
                <w:color w:val="000000"/>
              </w:rPr>
              <w:t>elecommunicatie</w:t>
            </w:r>
          </w:p>
        </w:tc>
        <w:tc>
          <w:tcPr>
            <w:tcW w:w="3153" w:type="dxa"/>
            <w:tcBorders>
              <w:top w:val="single" w:sz="4" w:space="0" w:color="FFFFFF"/>
              <w:left w:val="single" w:sz="4" w:space="0" w:color="FFFFFF"/>
              <w:bottom w:val="single" w:sz="4" w:space="0" w:color="FFFFFF"/>
              <w:right w:val="nil"/>
            </w:tcBorders>
            <w:shd w:val="clear" w:color="DCE6F1" w:fill="DCE6F1"/>
            <w:noWrap/>
            <w:vAlign w:val="bottom"/>
            <w:hideMark/>
          </w:tcPr>
          <w:p w14:paraId="4DA09ABA"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Telecommunicatie</w:t>
            </w:r>
          </w:p>
        </w:tc>
      </w:tr>
      <w:tr w:rsidR="00B56A79" w:rsidRPr="00B56A79" w14:paraId="4C728723"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B8CCE4" w:fill="B8CCE4"/>
            <w:noWrap/>
            <w:vAlign w:val="bottom"/>
            <w:hideMark/>
          </w:tcPr>
          <w:p w14:paraId="70DAB949" w14:textId="1FC4E347"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15. </w:t>
            </w:r>
            <w:r w:rsidR="00B56A79" w:rsidRPr="00B56A79">
              <w:rPr>
                <w:rFonts w:ascii="Calibri" w:eastAsia="Times New Roman" w:hAnsi="Calibri" w:cs="Times New Roman"/>
                <w:b/>
                <w:bCs/>
                <w:color w:val="000000"/>
              </w:rPr>
              <w:t>OCI</w:t>
            </w:r>
          </w:p>
        </w:tc>
        <w:tc>
          <w:tcPr>
            <w:tcW w:w="342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2031CCF"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Meststoffen en Bouw</w:t>
            </w:r>
          </w:p>
        </w:tc>
        <w:tc>
          <w:tcPr>
            <w:tcW w:w="3153" w:type="dxa"/>
            <w:tcBorders>
              <w:top w:val="single" w:sz="4" w:space="0" w:color="FFFFFF"/>
              <w:left w:val="single" w:sz="4" w:space="0" w:color="FFFFFF"/>
              <w:bottom w:val="single" w:sz="4" w:space="0" w:color="FFFFFF"/>
              <w:right w:val="nil"/>
            </w:tcBorders>
            <w:shd w:val="clear" w:color="B8CCE4" w:fill="B8CCE4"/>
            <w:noWrap/>
            <w:vAlign w:val="bottom"/>
            <w:hideMark/>
          </w:tcPr>
          <w:p w14:paraId="1C74EB45"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Industrie/Bouw</w:t>
            </w:r>
          </w:p>
        </w:tc>
      </w:tr>
      <w:tr w:rsidR="00B56A79" w:rsidRPr="00B56A79" w14:paraId="4B3FB502"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DCE6F1" w:fill="DCE6F1"/>
            <w:noWrap/>
            <w:vAlign w:val="bottom"/>
            <w:hideMark/>
          </w:tcPr>
          <w:p w14:paraId="60B73815" w14:textId="5F4FED23"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16. </w:t>
            </w:r>
            <w:r w:rsidR="00B56A79" w:rsidRPr="00B56A79">
              <w:rPr>
                <w:rFonts w:ascii="Calibri" w:eastAsia="Times New Roman" w:hAnsi="Calibri" w:cs="Times New Roman"/>
                <w:b/>
                <w:bCs/>
                <w:color w:val="000000"/>
              </w:rPr>
              <w:t>Philips</w:t>
            </w:r>
          </w:p>
        </w:tc>
        <w:tc>
          <w:tcPr>
            <w:tcW w:w="342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FEF6CD2"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Electronica</w:t>
            </w:r>
          </w:p>
        </w:tc>
        <w:tc>
          <w:tcPr>
            <w:tcW w:w="3153" w:type="dxa"/>
            <w:tcBorders>
              <w:top w:val="single" w:sz="4" w:space="0" w:color="FFFFFF"/>
              <w:left w:val="single" w:sz="4" w:space="0" w:color="FFFFFF"/>
              <w:bottom w:val="single" w:sz="4" w:space="0" w:color="FFFFFF"/>
              <w:right w:val="nil"/>
            </w:tcBorders>
            <w:shd w:val="clear" w:color="DCE6F1" w:fill="DCE6F1"/>
            <w:noWrap/>
            <w:vAlign w:val="bottom"/>
            <w:hideMark/>
          </w:tcPr>
          <w:p w14:paraId="4F2EA368"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Electronica/Energie</w:t>
            </w:r>
          </w:p>
        </w:tc>
      </w:tr>
      <w:tr w:rsidR="00B56A79" w:rsidRPr="00B56A79" w14:paraId="2F56D65B"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B8CCE4" w:fill="B8CCE4"/>
            <w:noWrap/>
            <w:vAlign w:val="bottom"/>
            <w:hideMark/>
          </w:tcPr>
          <w:p w14:paraId="660FDA9A" w14:textId="18494975"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17. </w:t>
            </w:r>
            <w:r w:rsidR="00B56A79" w:rsidRPr="00B56A79">
              <w:rPr>
                <w:rFonts w:ascii="Calibri" w:eastAsia="Times New Roman" w:hAnsi="Calibri" w:cs="Times New Roman"/>
                <w:b/>
                <w:bCs/>
                <w:color w:val="000000"/>
              </w:rPr>
              <w:t>Randstad</w:t>
            </w:r>
          </w:p>
        </w:tc>
        <w:tc>
          <w:tcPr>
            <w:tcW w:w="342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9422DBA"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Uitzendonderneming</w:t>
            </w:r>
          </w:p>
        </w:tc>
        <w:tc>
          <w:tcPr>
            <w:tcW w:w="3153" w:type="dxa"/>
            <w:tcBorders>
              <w:top w:val="single" w:sz="4" w:space="0" w:color="FFFFFF"/>
              <w:left w:val="single" w:sz="4" w:space="0" w:color="FFFFFF"/>
              <w:bottom w:val="single" w:sz="4" w:space="0" w:color="FFFFFF"/>
              <w:right w:val="nil"/>
            </w:tcBorders>
            <w:shd w:val="clear" w:color="B8CCE4" w:fill="B8CCE4"/>
            <w:noWrap/>
            <w:vAlign w:val="bottom"/>
            <w:hideMark/>
          </w:tcPr>
          <w:p w14:paraId="4AE0DBA3"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Uitzendonderneming</w:t>
            </w:r>
          </w:p>
        </w:tc>
      </w:tr>
      <w:tr w:rsidR="00B56A79" w:rsidRPr="00B56A79" w14:paraId="699C0F9A"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DCE6F1" w:fill="DCE6F1"/>
            <w:noWrap/>
            <w:vAlign w:val="bottom"/>
            <w:hideMark/>
          </w:tcPr>
          <w:p w14:paraId="316A283E" w14:textId="4E93DD01"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18. </w:t>
            </w:r>
            <w:r w:rsidR="00B56A79" w:rsidRPr="00B56A79">
              <w:rPr>
                <w:rFonts w:ascii="Calibri" w:eastAsia="Times New Roman" w:hAnsi="Calibri" w:cs="Times New Roman"/>
                <w:b/>
                <w:bCs/>
                <w:color w:val="000000"/>
              </w:rPr>
              <w:t>Reed Elsevier</w:t>
            </w:r>
          </w:p>
        </w:tc>
        <w:tc>
          <w:tcPr>
            <w:tcW w:w="342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0969B6E"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Uitgeverij</w:t>
            </w:r>
          </w:p>
        </w:tc>
        <w:tc>
          <w:tcPr>
            <w:tcW w:w="3153" w:type="dxa"/>
            <w:tcBorders>
              <w:top w:val="single" w:sz="4" w:space="0" w:color="FFFFFF"/>
              <w:left w:val="single" w:sz="4" w:space="0" w:color="FFFFFF"/>
              <w:bottom w:val="single" w:sz="4" w:space="0" w:color="FFFFFF"/>
              <w:right w:val="nil"/>
            </w:tcBorders>
            <w:shd w:val="clear" w:color="DCE6F1" w:fill="DCE6F1"/>
            <w:noWrap/>
            <w:vAlign w:val="bottom"/>
            <w:hideMark/>
          </w:tcPr>
          <w:p w14:paraId="3CD59AAF"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Detailhandel/vervoer</w:t>
            </w:r>
          </w:p>
        </w:tc>
      </w:tr>
      <w:tr w:rsidR="00B56A79" w:rsidRPr="00B56A79" w14:paraId="7694CA6B"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B8CCE4" w:fill="B8CCE4"/>
            <w:noWrap/>
            <w:vAlign w:val="bottom"/>
            <w:hideMark/>
          </w:tcPr>
          <w:p w14:paraId="230F7398" w14:textId="19923E7D"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19. </w:t>
            </w:r>
            <w:r w:rsidR="00B56A79" w:rsidRPr="00B56A79">
              <w:rPr>
                <w:rFonts w:ascii="Calibri" w:eastAsia="Times New Roman" w:hAnsi="Calibri" w:cs="Times New Roman"/>
                <w:b/>
                <w:bCs/>
                <w:color w:val="000000"/>
              </w:rPr>
              <w:t>Royal Dutch Shell</w:t>
            </w:r>
          </w:p>
        </w:tc>
        <w:tc>
          <w:tcPr>
            <w:tcW w:w="342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2D2503C"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Energie</w:t>
            </w:r>
          </w:p>
        </w:tc>
        <w:tc>
          <w:tcPr>
            <w:tcW w:w="3153" w:type="dxa"/>
            <w:tcBorders>
              <w:top w:val="single" w:sz="4" w:space="0" w:color="FFFFFF"/>
              <w:left w:val="single" w:sz="4" w:space="0" w:color="FFFFFF"/>
              <w:bottom w:val="single" w:sz="4" w:space="0" w:color="FFFFFF"/>
              <w:right w:val="nil"/>
            </w:tcBorders>
            <w:shd w:val="clear" w:color="B8CCE4" w:fill="B8CCE4"/>
            <w:noWrap/>
            <w:vAlign w:val="bottom"/>
            <w:hideMark/>
          </w:tcPr>
          <w:p w14:paraId="795CC23E"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Electronica/Energie</w:t>
            </w:r>
          </w:p>
        </w:tc>
      </w:tr>
      <w:tr w:rsidR="00B56A79" w:rsidRPr="00B56A79" w14:paraId="18826AD7"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DCE6F1" w:fill="DCE6F1"/>
            <w:noWrap/>
            <w:vAlign w:val="bottom"/>
            <w:hideMark/>
          </w:tcPr>
          <w:p w14:paraId="45265B7D" w14:textId="1A74140F"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20. </w:t>
            </w:r>
            <w:r w:rsidR="00B56A79" w:rsidRPr="00B56A79">
              <w:rPr>
                <w:rFonts w:ascii="Calibri" w:eastAsia="Times New Roman" w:hAnsi="Calibri" w:cs="Times New Roman"/>
                <w:b/>
                <w:bCs/>
                <w:color w:val="000000"/>
              </w:rPr>
              <w:t>TNT Express</w:t>
            </w:r>
          </w:p>
        </w:tc>
        <w:tc>
          <w:tcPr>
            <w:tcW w:w="342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B90A48C"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Vervoer van documenten</w:t>
            </w:r>
          </w:p>
        </w:tc>
        <w:tc>
          <w:tcPr>
            <w:tcW w:w="3153" w:type="dxa"/>
            <w:tcBorders>
              <w:top w:val="single" w:sz="4" w:space="0" w:color="FFFFFF"/>
              <w:left w:val="single" w:sz="4" w:space="0" w:color="FFFFFF"/>
              <w:bottom w:val="single" w:sz="4" w:space="0" w:color="FFFFFF"/>
              <w:right w:val="nil"/>
            </w:tcBorders>
            <w:shd w:val="clear" w:color="DCE6F1" w:fill="DCE6F1"/>
            <w:noWrap/>
            <w:vAlign w:val="bottom"/>
            <w:hideMark/>
          </w:tcPr>
          <w:p w14:paraId="27057C68"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Detailhandel/vervoer</w:t>
            </w:r>
          </w:p>
        </w:tc>
      </w:tr>
      <w:tr w:rsidR="00B56A79" w:rsidRPr="00B56A79" w14:paraId="013BC1DB"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B8CCE4" w:fill="B8CCE4"/>
            <w:noWrap/>
            <w:vAlign w:val="bottom"/>
            <w:hideMark/>
          </w:tcPr>
          <w:p w14:paraId="5E497167" w14:textId="552467E1"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21. </w:t>
            </w:r>
            <w:r w:rsidR="00B56A79" w:rsidRPr="00B56A79">
              <w:rPr>
                <w:rFonts w:ascii="Calibri" w:eastAsia="Times New Roman" w:hAnsi="Calibri" w:cs="Times New Roman"/>
                <w:b/>
                <w:bCs/>
                <w:color w:val="000000"/>
              </w:rPr>
              <w:t>Unibail-Rodamco</w:t>
            </w:r>
          </w:p>
        </w:tc>
        <w:tc>
          <w:tcPr>
            <w:tcW w:w="342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2905835"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Vastgoed</w:t>
            </w:r>
          </w:p>
        </w:tc>
        <w:tc>
          <w:tcPr>
            <w:tcW w:w="3153" w:type="dxa"/>
            <w:tcBorders>
              <w:top w:val="single" w:sz="4" w:space="0" w:color="FFFFFF"/>
              <w:left w:val="single" w:sz="4" w:space="0" w:color="FFFFFF"/>
              <w:bottom w:val="single" w:sz="4" w:space="0" w:color="FFFFFF"/>
              <w:right w:val="nil"/>
            </w:tcBorders>
            <w:shd w:val="clear" w:color="B8CCE4" w:fill="B8CCE4"/>
            <w:noWrap/>
            <w:vAlign w:val="bottom"/>
            <w:hideMark/>
          </w:tcPr>
          <w:p w14:paraId="3694B049"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Vastgoed</w:t>
            </w:r>
          </w:p>
        </w:tc>
      </w:tr>
      <w:tr w:rsidR="00B56A79" w:rsidRPr="00B56A79" w14:paraId="5C2424A9"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DCE6F1" w:fill="DCE6F1"/>
            <w:noWrap/>
            <w:vAlign w:val="bottom"/>
            <w:hideMark/>
          </w:tcPr>
          <w:p w14:paraId="6C88A029" w14:textId="1B11F2F3"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22. </w:t>
            </w:r>
            <w:r w:rsidR="00B56A79" w:rsidRPr="00B56A79">
              <w:rPr>
                <w:rFonts w:ascii="Calibri" w:eastAsia="Times New Roman" w:hAnsi="Calibri" w:cs="Times New Roman"/>
                <w:b/>
                <w:bCs/>
                <w:color w:val="000000"/>
              </w:rPr>
              <w:t>Unilever</w:t>
            </w:r>
          </w:p>
        </w:tc>
        <w:tc>
          <w:tcPr>
            <w:tcW w:w="342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075282D"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Voedingsmiddelen</w:t>
            </w:r>
          </w:p>
        </w:tc>
        <w:tc>
          <w:tcPr>
            <w:tcW w:w="3153" w:type="dxa"/>
            <w:tcBorders>
              <w:top w:val="single" w:sz="4" w:space="0" w:color="FFFFFF"/>
              <w:left w:val="single" w:sz="4" w:space="0" w:color="FFFFFF"/>
              <w:bottom w:val="single" w:sz="4" w:space="0" w:color="FFFFFF"/>
              <w:right w:val="nil"/>
            </w:tcBorders>
            <w:shd w:val="clear" w:color="DCE6F1" w:fill="DCE6F1"/>
            <w:noWrap/>
            <w:vAlign w:val="bottom"/>
            <w:hideMark/>
          </w:tcPr>
          <w:p w14:paraId="39931F4A"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Detailhandel/vervoer</w:t>
            </w:r>
          </w:p>
        </w:tc>
      </w:tr>
      <w:tr w:rsidR="00B56A79" w:rsidRPr="00B56A79" w14:paraId="6208DE90" w14:textId="77777777" w:rsidTr="00EF440E">
        <w:trPr>
          <w:trHeight w:val="299"/>
        </w:trPr>
        <w:tc>
          <w:tcPr>
            <w:tcW w:w="2269" w:type="dxa"/>
            <w:tcBorders>
              <w:top w:val="single" w:sz="4" w:space="0" w:color="FFFFFF"/>
              <w:left w:val="nil"/>
              <w:bottom w:val="single" w:sz="4" w:space="0" w:color="FFFFFF"/>
              <w:right w:val="single" w:sz="4" w:space="0" w:color="FFFFFF"/>
            </w:tcBorders>
            <w:shd w:val="clear" w:color="B8CCE4" w:fill="B8CCE4"/>
            <w:noWrap/>
            <w:vAlign w:val="bottom"/>
            <w:hideMark/>
          </w:tcPr>
          <w:p w14:paraId="719F4BDF" w14:textId="48DDB076"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23. </w:t>
            </w:r>
            <w:r w:rsidR="00B56A79" w:rsidRPr="00B56A79">
              <w:rPr>
                <w:rFonts w:ascii="Calibri" w:eastAsia="Times New Roman" w:hAnsi="Calibri" w:cs="Times New Roman"/>
                <w:b/>
                <w:bCs/>
                <w:color w:val="000000"/>
              </w:rPr>
              <w:t>Vopak</w:t>
            </w:r>
          </w:p>
        </w:tc>
        <w:tc>
          <w:tcPr>
            <w:tcW w:w="342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72E9A1C"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opslag chemische producten</w:t>
            </w:r>
          </w:p>
        </w:tc>
        <w:tc>
          <w:tcPr>
            <w:tcW w:w="3153" w:type="dxa"/>
            <w:tcBorders>
              <w:top w:val="single" w:sz="4" w:space="0" w:color="FFFFFF"/>
              <w:left w:val="single" w:sz="4" w:space="0" w:color="FFFFFF"/>
              <w:bottom w:val="single" w:sz="4" w:space="0" w:color="FFFFFF"/>
              <w:right w:val="nil"/>
            </w:tcBorders>
            <w:shd w:val="clear" w:color="B8CCE4" w:fill="B8CCE4"/>
            <w:noWrap/>
            <w:vAlign w:val="bottom"/>
            <w:hideMark/>
          </w:tcPr>
          <w:p w14:paraId="21DACD76"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Industrie/Bouw</w:t>
            </w:r>
          </w:p>
        </w:tc>
      </w:tr>
      <w:tr w:rsidR="00B56A79" w:rsidRPr="00B56A79" w14:paraId="2DD3F669" w14:textId="77777777" w:rsidTr="00EF440E">
        <w:trPr>
          <w:trHeight w:val="299"/>
        </w:trPr>
        <w:tc>
          <w:tcPr>
            <w:tcW w:w="2269" w:type="dxa"/>
            <w:tcBorders>
              <w:top w:val="single" w:sz="4" w:space="0" w:color="FFFFFF"/>
              <w:left w:val="nil"/>
              <w:bottom w:val="nil"/>
              <w:right w:val="single" w:sz="4" w:space="0" w:color="FFFFFF"/>
            </w:tcBorders>
            <w:shd w:val="clear" w:color="DCE6F1" w:fill="DCE6F1"/>
            <w:noWrap/>
            <w:vAlign w:val="bottom"/>
            <w:hideMark/>
          </w:tcPr>
          <w:p w14:paraId="094F2B15" w14:textId="7BC76A64" w:rsidR="00B56A79" w:rsidRPr="00B56A79" w:rsidRDefault="00EF440E"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24. </w:t>
            </w:r>
            <w:r w:rsidR="00B56A79" w:rsidRPr="00B56A79">
              <w:rPr>
                <w:rFonts w:ascii="Calibri" w:eastAsia="Times New Roman" w:hAnsi="Calibri" w:cs="Times New Roman"/>
                <w:b/>
                <w:bCs/>
                <w:color w:val="000000"/>
              </w:rPr>
              <w:t>Wolters Kluwer</w:t>
            </w:r>
          </w:p>
        </w:tc>
        <w:tc>
          <w:tcPr>
            <w:tcW w:w="3422" w:type="dxa"/>
            <w:tcBorders>
              <w:top w:val="single" w:sz="4" w:space="0" w:color="FFFFFF"/>
              <w:left w:val="single" w:sz="4" w:space="0" w:color="FFFFFF"/>
              <w:bottom w:val="nil"/>
              <w:right w:val="single" w:sz="4" w:space="0" w:color="FFFFFF"/>
            </w:tcBorders>
            <w:shd w:val="clear" w:color="DCE6F1" w:fill="DCE6F1"/>
            <w:noWrap/>
            <w:vAlign w:val="bottom"/>
            <w:hideMark/>
          </w:tcPr>
          <w:p w14:paraId="3D348644"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Uitgeverij</w:t>
            </w:r>
          </w:p>
        </w:tc>
        <w:tc>
          <w:tcPr>
            <w:tcW w:w="3153" w:type="dxa"/>
            <w:tcBorders>
              <w:top w:val="single" w:sz="4" w:space="0" w:color="FFFFFF"/>
              <w:left w:val="single" w:sz="4" w:space="0" w:color="FFFFFF"/>
              <w:bottom w:val="nil"/>
              <w:right w:val="nil"/>
            </w:tcBorders>
            <w:shd w:val="clear" w:color="DCE6F1" w:fill="DCE6F1"/>
            <w:noWrap/>
            <w:vAlign w:val="bottom"/>
            <w:hideMark/>
          </w:tcPr>
          <w:p w14:paraId="230FBD0A" w14:textId="77777777" w:rsidR="00B56A79" w:rsidRPr="00B56A79" w:rsidRDefault="00B56A79" w:rsidP="00AF13F0">
            <w:pPr>
              <w:rPr>
                <w:rFonts w:ascii="Calibri" w:eastAsia="Times New Roman" w:hAnsi="Calibri" w:cs="Times New Roman"/>
                <w:color w:val="000000"/>
              </w:rPr>
            </w:pPr>
            <w:r w:rsidRPr="00B56A79">
              <w:rPr>
                <w:rFonts w:ascii="Calibri" w:eastAsia="Times New Roman" w:hAnsi="Calibri" w:cs="Times New Roman"/>
                <w:color w:val="000000"/>
              </w:rPr>
              <w:t>Detailhandel/vervoer</w:t>
            </w:r>
          </w:p>
        </w:tc>
      </w:tr>
    </w:tbl>
    <w:p w14:paraId="71E933C9" w14:textId="77777777" w:rsidR="00B56A79" w:rsidRDefault="00B56A79" w:rsidP="00AF13F0">
      <w:pPr>
        <w:spacing w:line="360" w:lineRule="auto"/>
        <w:rPr>
          <w:b/>
        </w:rPr>
      </w:pPr>
    </w:p>
    <w:p w14:paraId="31D96D1D" w14:textId="77777777" w:rsidR="008863EC" w:rsidRDefault="008863EC" w:rsidP="00AF13F0">
      <w:pPr>
        <w:spacing w:line="360" w:lineRule="auto"/>
        <w:rPr>
          <w:b/>
        </w:rPr>
      </w:pPr>
    </w:p>
    <w:p w14:paraId="7D3BADA0" w14:textId="77777777" w:rsidR="008863EC" w:rsidRDefault="008863EC" w:rsidP="00AF13F0">
      <w:pPr>
        <w:spacing w:line="360" w:lineRule="auto"/>
        <w:rPr>
          <w:b/>
        </w:rPr>
      </w:pPr>
    </w:p>
    <w:p w14:paraId="7580D546" w14:textId="77777777" w:rsidR="008863EC" w:rsidRDefault="008863EC" w:rsidP="00AF13F0">
      <w:pPr>
        <w:spacing w:line="360" w:lineRule="auto"/>
        <w:rPr>
          <w:b/>
        </w:rPr>
      </w:pPr>
    </w:p>
    <w:p w14:paraId="32A1D6C4" w14:textId="77777777" w:rsidR="008863EC" w:rsidRDefault="008863EC" w:rsidP="00AF13F0">
      <w:pPr>
        <w:spacing w:line="360" w:lineRule="auto"/>
        <w:rPr>
          <w:b/>
        </w:rPr>
      </w:pPr>
    </w:p>
    <w:p w14:paraId="6015D683" w14:textId="54CEA81B" w:rsidR="004123E7" w:rsidRDefault="008863EC" w:rsidP="00AF13F0">
      <w:pPr>
        <w:spacing w:line="360" w:lineRule="auto"/>
        <w:rPr>
          <w:b/>
        </w:rPr>
      </w:pPr>
      <w:r>
        <w:rPr>
          <w:b/>
          <w:noProof/>
          <w:lang w:eastAsia="nl-NL"/>
        </w:rPr>
        <mc:AlternateContent>
          <mc:Choice Requires="wps">
            <w:drawing>
              <wp:anchor distT="0" distB="0" distL="114300" distR="114300" simplePos="0" relativeHeight="251660288" behindDoc="0" locked="0" layoutInCell="1" allowOverlap="1" wp14:anchorId="3E0B9E3E" wp14:editId="26E49913">
                <wp:simplePos x="0" y="0"/>
                <wp:positionH relativeFrom="column">
                  <wp:posOffset>0</wp:posOffset>
                </wp:positionH>
                <wp:positionV relativeFrom="paragraph">
                  <wp:posOffset>342900</wp:posOffset>
                </wp:positionV>
                <wp:extent cx="6057900" cy="5486400"/>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6057900" cy="54864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4D0A197" w14:textId="77777777" w:rsidR="002173B0" w:rsidRDefault="002173B0" w:rsidP="004A40E7">
                            <w:pPr>
                              <w:pBdr>
                                <w:bottom w:val="single" w:sz="4" w:space="1" w:color="auto"/>
                              </w:pBdr>
                              <w:rPr>
                                <w:b/>
                                <w:sz w:val="26"/>
                                <w:szCs w:val="26"/>
                              </w:rPr>
                            </w:pPr>
                            <w:r w:rsidRPr="00AA7141">
                              <w:rPr>
                                <w:b/>
                                <w:sz w:val="26"/>
                                <w:szCs w:val="26"/>
                              </w:rPr>
                              <w:t>Opzet winst-en-verliesrekening.</w:t>
                            </w:r>
                          </w:p>
                          <w:p w14:paraId="42D3EABB" w14:textId="77777777" w:rsidR="002173B0" w:rsidRDefault="002173B0" w:rsidP="004A40E7">
                            <w:pPr>
                              <w:rPr>
                                <w:b/>
                              </w:rPr>
                            </w:pPr>
                          </w:p>
                          <w:p w14:paraId="56E0EFB5" w14:textId="77777777" w:rsidR="002173B0" w:rsidRDefault="002173B0" w:rsidP="004A40E7">
                            <w:pPr>
                              <w:rPr>
                                <w:b/>
                              </w:rPr>
                            </w:pPr>
                            <w:r>
                              <w:rPr>
                                <w:b/>
                              </w:rPr>
                              <w:t>Omzet</w:t>
                            </w:r>
                            <w:r>
                              <w:rPr>
                                <w:b/>
                              </w:rPr>
                              <w:tab/>
                            </w:r>
                            <w:r>
                              <w:rPr>
                                <w:b/>
                              </w:rPr>
                              <w:tab/>
                            </w:r>
                            <w:r>
                              <w:rPr>
                                <w:b/>
                              </w:rPr>
                              <w:tab/>
                            </w:r>
                            <w:r>
                              <w:rPr>
                                <w:b/>
                              </w:rPr>
                              <w:tab/>
                            </w:r>
                            <w:r>
                              <w:rPr>
                                <w:b/>
                              </w:rPr>
                              <w:tab/>
                            </w:r>
                            <w:r>
                              <w:rPr>
                                <w:b/>
                              </w:rPr>
                              <w:tab/>
                            </w:r>
                            <w:r>
                              <w:rPr>
                                <w:b/>
                              </w:rPr>
                              <w:tab/>
                            </w:r>
                            <w:r>
                              <w:rPr>
                                <w:b/>
                              </w:rPr>
                              <w:tab/>
                            </w:r>
                            <w:r>
                              <w:rPr>
                                <w:b/>
                              </w:rPr>
                              <w:tab/>
                              <w:t>x</w:t>
                            </w:r>
                          </w:p>
                          <w:p w14:paraId="0E58E28D" w14:textId="77777777" w:rsidR="002173B0" w:rsidRDefault="002173B0" w:rsidP="004A40E7">
                            <w:pPr>
                              <w:rPr>
                                <w:b/>
                              </w:rPr>
                            </w:pPr>
                          </w:p>
                          <w:p w14:paraId="02F7EF01" w14:textId="77777777" w:rsidR="002173B0" w:rsidRDefault="002173B0" w:rsidP="004A40E7">
                            <w:r>
                              <w:t>Kostenpost Materiaal</w:t>
                            </w:r>
                            <w:r>
                              <w:tab/>
                            </w:r>
                            <w:r>
                              <w:tab/>
                            </w:r>
                            <w:r>
                              <w:tab/>
                            </w:r>
                            <w:r>
                              <w:tab/>
                            </w:r>
                            <w:r>
                              <w:tab/>
                            </w:r>
                            <w:r>
                              <w:tab/>
                              <w:t>x</w:t>
                            </w:r>
                          </w:p>
                          <w:p w14:paraId="7C989A2E" w14:textId="77777777" w:rsidR="002173B0" w:rsidRDefault="002173B0" w:rsidP="004A40E7">
                            <w:r>
                              <w:t>Kostenpost Personeelskosten</w:t>
                            </w:r>
                            <w:r>
                              <w:tab/>
                            </w:r>
                            <w:r>
                              <w:tab/>
                            </w:r>
                            <w:r>
                              <w:tab/>
                            </w:r>
                            <w:r>
                              <w:tab/>
                            </w:r>
                            <w:r>
                              <w:tab/>
                              <w:t>x</w:t>
                            </w:r>
                          </w:p>
                          <w:p w14:paraId="055FC5FC" w14:textId="77777777" w:rsidR="002173B0" w:rsidRDefault="002173B0" w:rsidP="004A40E7">
                            <w:r>
                              <w:t>Kostenpost Afschrijvingen</w:t>
                            </w:r>
                            <w:r>
                              <w:tab/>
                            </w:r>
                            <w:r>
                              <w:tab/>
                            </w:r>
                            <w:r>
                              <w:tab/>
                            </w:r>
                            <w:r>
                              <w:tab/>
                            </w:r>
                            <w:r>
                              <w:tab/>
                            </w:r>
                            <w:r>
                              <w:tab/>
                              <w:t>x</w:t>
                            </w:r>
                          </w:p>
                          <w:p w14:paraId="463B14E9" w14:textId="77777777" w:rsidR="002173B0" w:rsidRDefault="002173B0" w:rsidP="004A40E7">
                            <w:r>
                              <w:t>Kostenpost Amortisatie</w:t>
                            </w:r>
                            <w:r>
                              <w:tab/>
                            </w:r>
                            <w:r>
                              <w:tab/>
                            </w:r>
                            <w:r>
                              <w:tab/>
                            </w:r>
                            <w:r>
                              <w:tab/>
                            </w:r>
                            <w:r>
                              <w:tab/>
                            </w:r>
                            <w:r>
                              <w:tab/>
                              <w:t>x</w:t>
                            </w:r>
                          </w:p>
                          <w:p w14:paraId="639E099B" w14:textId="77777777" w:rsidR="002173B0" w:rsidRDefault="002173B0" w:rsidP="004A40E7">
                            <w:r>
                              <w:t>Kostenpost Anders</w:t>
                            </w:r>
                            <w:r>
                              <w:tab/>
                            </w:r>
                            <w:r>
                              <w:tab/>
                            </w:r>
                            <w:r>
                              <w:tab/>
                            </w:r>
                            <w:r>
                              <w:tab/>
                            </w:r>
                            <w:r>
                              <w:tab/>
                            </w:r>
                            <w:r>
                              <w:tab/>
                            </w:r>
                            <w:r>
                              <w:tab/>
                              <w:t>x</w:t>
                            </w:r>
                          </w:p>
                          <w:p w14:paraId="40E36CC7" w14:textId="77777777" w:rsidR="002173B0" w:rsidRDefault="002173B0" w:rsidP="004A40E7">
                            <w:pPr>
                              <w:pBdr>
                                <w:top w:val="single" w:sz="4" w:space="1" w:color="auto"/>
                                <w:bottom w:val="single" w:sz="4" w:space="1" w:color="auto"/>
                              </w:pBdr>
                              <w:rPr>
                                <w:b/>
                              </w:rPr>
                            </w:pPr>
                            <w:r>
                              <w:rPr>
                                <w:b/>
                              </w:rPr>
                              <w:t>Totale operationele kosten</w:t>
                            </w:r>
                            <w:r>
                              <w:rPr>
                                <w:b/>
                              </w:rPr>
                              <w:tab/>
                            </w:r>
                            <w:r>
                              <w:rPr>
                                <w:b/>
                              </w:rPr>
                              <w:tab/>
                            </w:r>
                            <w:r>
                              <w:rPr>
                                <w:b/>
                              </w:rPr>
                              <w:tab/>
                            </w:r>
                            <w:r>
                              <w:rPr>
                                <w:b/>
                              </w:rPr>
                              <w:tab/>
                            </w:r>
                            <w:r>
                              <w:rPr>
                                <w:b/>
                              </w:rPr>
                              <w:tab/>
                              <w:t>x</w:t>
                            </w:r>
                          </w:p>
                          <w:p w14:paraId="6FD0F697" w14:textId="77777777" w:rsidR="002173B0" w:rsidRDefault="002173B0" w:rsidP="004A40E7">
                            <w:pPr>
                              <w:rPr>
                                <w:b/>
                              </w:rPr>
                            </w:pPr>
                          </w:p>
                          <w:p w14:paraId="3E90F910" w14:textId="77777777" w:rsidR="002173B0" w:rsidRDefault="002173B0" w:rsidP="004A40E7">
                            <w:pPr>
                              <w:rPr>
                                <w:b/>
                              </w:rPr>
                            </w:pPr>
                            <w:r w:rsidRPr="00AA7141">
                              <w:rPr>
                                <w:b/>
                              </w:rPr>
                              <w:t xml:space="preserve">Operationele Winst </w:t>
                            </w:r>
                            <w:r>
                              <w:rPr>
                                <w:b/>
                              </w:rPr>
                              <w:tab/>
                            </w:r>
                            <w:r>
                              <w:rPr>
                                <w:b/>
                              </w:rPr>
                              <w:tab/>
                            </w:r>
                            <w:r>
                              <w:rPr>
                                <w:b/>
                              </w:rPr>
                              <w:tab/>
                            </w:r>
                            <w:r>
                              <w:rPr>
                                <w:b/>
                              </w:rPr>
                              <w:tab/>
                            </w:r>
                            <w:r>
                              <w:rPr>
                                <w:b/>
                              </w:rPr>
                              <w:tab/>
                            </w:r>
                            <w:r>
                              <w:rPr>
                                <w:b/>
                              </w:rPr>
                              <w:tab/>
                              <w:t>x</w:t>
                            </w:r>
                          </w:p>
                          <w:p w14:paraId="5AAFBE8A" w14:textId="77777777" w:rsidR="002173B0" w:rsidRDefault="002173B0" w:rsidP="004A40E7">
                            <w:pPr>
                              <w:rPr>
                                <w:b/>
                              </w:rPr>
                            </w:pPr>
                          </w:p>
                          <w:p w14:paraId="232DAB45" w14:textId="77777777" w:rsidR="002173B0" w:rsidRDefault="002173B0" w:rsidP="004A40E7">
                            <w:r>
                              <w:t>Kostenpost interest</w:t>
                            </w:r>
                            <w:r>
                              <w:tab/>
                            </w:r>
                            <w:r>
                              <w:tab/>
                            </w:r>
                            <w:r>
                              <w:tab/>
                            </w:r>
                            <w:r>
                              <w:tab/>
                            </w:r>
                            <w:r>
                              <w:tab/>
                            </w:r>
                            <w:r>
                              <w:tab/>
                            </w:r>
                            <w:r>
                              <w:tab/>
                              <w:t>x</w:t>
                            </w:r>
                          </w:p>
                          <w:p w14:paraId="2A104890" w14:textId="77777777" w:rsidR="002173B0" w:rsidRDefault="002173B0" w:rsidP="004A40E7">
                            <w:r>
                              <w:t>Kostenpost Valuta omrekenresultaat</w:t>
                            </w:r>
                            <w:r>
                              <w:tab/>
                            </w:r>
                            <w:r>
                              <w:tab/>
                            </w:r>
                            <w:r>
                              <w:tab/>
                            </w:r>
                            <w:r>
                              <w:tab/>
                              <w:t>x</w:t>
                            </w:r>
                          </w:p>
                          <w:p w14:paraId="4DBC95A0" w14:textId="77777777" w:rsidR="002173B0" w:rsidRDefault="002173B0" w:rsidP="004A40E7">
                            <w:r>
                              <w:t>Kostenpost Derivaten</w:t>
                            </w:r>
                            <w:r>
                              <w:tab/>
                            </w:r>
                            <w:r>
                              <w:tab/>
                            </w:r>
                            <w:r>
                              <w:tab/>
                            </w:r>
                            <w:r>
                              <w:tab/>
                            </w:r>
                            <w:r>
                              <w:tab/>
                            </w:r>
                            <w:r>
                              <w:tab/>
                              <w:t>x</w:t>
                            </w:r>
                          </w:p>
                          <w:p w14:paraId="56C508BE" w14:textId="77777777" w:rsidR="002173B0" w:rsidRDefault="002173B0" w:rsidP="004A40E7">
                            <w:r>
                              <w:t>Kostenpost Pensioenen</w:t>
                            </w:r>
                            <w:r>
                              <w:tab/>
                            </w:r>
                            <w:r>
                              <w:tab/>
                            </w:r>
                            <w:r>
                              <w:tab/>
                            </w:r>
                            <w:r>
                              <w:tab/>
                            </w:r>
                            <w:r>
                              <w:tab/>
                            </w:r>
                            <w:r>
                              <w:tab/>
                              <w:t>x</w:t>
                            </w:r>
                          </w:p>
                          <w:p w14:paraId="5FED5742" w14:textId="77777777" w:rsidR="002173B0" w:rsidRDefault="002173B0" w:rsidP="004A40E7">
                            <w:pPr>
                              <w:pBdr>
                                <w:top w:val="single" w:sz="4" w:space="1" w:color="auto"/>
                                <w:bottom w:val="single" w:sz="4" w:space="1" w:color="auto"/>
                              </w:pBdr>
                              <w:rPr>
                                <w:b/>
                              </w:rPr>
                            </w:pPr>
                            <w:r w:rsidRPr="00377F33">
                              <w:rPr>
                                <w:b/>
                              </w:rPr>
                              <w:t>Totale Financieringskosten</w:t>
                            </w:r>
                            <w:r>
                              <w:rPr>
                                <w:b/>
                              </w:rPr>
                              <w:tab/>
                            </w:r>
                            <w:r>
                              <w:rPr>
                                <w:b/>
                              </w:rPr>
                              <w:tab/>
                            </w:r>
                            <w:r>
                              <w:rPr>
                                <w:b/>
                              </w:rPr>
                              <w:tab/>
                            </w:r>
                            <w:r>
                              <w:rPr>
                                <w:b/>
                              </w:rPr>
                              <w:tab/>
                            </w:r>
                            <w:r>
                              <w:rPr>
                                <w:b/>
                              </w:rPr>
                              <w:tab/>
                              <w:t>x</w:t>
                            </w:r>
                          </w:p>
                          <w:p w14:paraId="2F3970F2" w14:textId="77777777" w:rsidR="002173B0" w:rsidRDefault="002173B0" w:rsidP="004A40E7">
                            <w:pPr>
                              <w:rPr>
                                <w:b/>
                              </w:rPr>
                            </w:pPr>
                          </w:p>
                          <w:p w14:paraId="49AEB1F4" w14:textId="77777777" w:rsidR="002173B0" w:rsidRDefault="002173B0" w:rsidP="004A40E7">
                            <w:pPr>
                              <w:rPr>
                                <w:b/>
                              </w:rPr>
                            </w:pPr>
                            <w:r>
                              <w:rPr>
                                <w:b/>
                              </w:rPr>
                              <w:t>Winst voor Belasting</w:t>
                            </w:r>
                            <w:r>
                              <w:rPr>
                                <w:b/>
                              </w:rPr>
                              <w:tab/>
                            </w:r>
                            <w:r>
                              <w:rPr>
                                <w:b/>
                              </w:rPr>
                              <w:tab/>
                            </w:r>
                            <w:r>
                              <w:rPr>
                                <w:b/>
                              </w:rPr>
                              <w:tab/>
                            </w:r>
                            <w:r>
                              <w:rPr>
                                <w:b/>
                              </w:rPr>
                              <w:tab/>
                            </w:r>
                            <w:r>
                              <w:rPr>
                                <w:b/>
                              </w:rPr>
                              <w:tab/>
                            </w:r>
                            <w:r>
                              <w:rPr>
                                <w:b/>
                              </w:rPr>
                              <w:tab/>
                              <w:t>x</w:t>
                            </w:r>
                          </w:p>
                          <w:p w14:paraId="4DEDC6C4" w14:textId="77777777" w:rsidR="002173B0" w:rsidRDefault="002173B0" w:rsidP="004A40E7">
                            <w:r>
                              <w:t>Belasting</w:t>
                            </w:r>
                            <w:r>
                              <w:tab/>
                            </w:r>
                            <w:r>
                              <w:tab/>
                            </w:r>
                            <w:r>
                              <w:tab/>
                            </w:r>
                            <w:r>
                              <w:tab/>
                            </w:r>
                            <w:r>
                              <w:tab/>
                            </w:r>
                            <w:r>
                              <w:tab/>
                            </w:r>
                            <w:r>
                              <w:tab/>
                            </w:r>
                            <w:r>
                              <w:tab/>
                              <w:t>x</w:t>
                            </w:r>
                          </w:p>
                          <w:p w14:paraId="35EF20F9" w14:textId="77777777" w:rsidR="002173B0" w:rsidRDefault="002173B0" w:rsidP="004A40E7"/>
                          <w:p w14:paraId="31D0CD25" w14:textId="77777777" w:rsidR="002173B0" w:rsidRDefault="002173B0" w:rsidP="004A40E7">
                            <w:pPr>
                              <w:pBdr>
                                <w:top w:val="single" w:sz="4" w:space="1" w:color="auto"/>
                                <w:bottom w:val="single" w:sz="4" w:space="1" w:color="auto"/>
                              </w:pBdr>
                              <w:rPr>
                                <w:b/>
                              </w:rPr>
                            </w:pPr>
                            <w:r>
                              <w:rPr>
                                <w:b/>
                              </w:rPr>
                              <w:t>Netto winst na belasting</w:t>
                            </w:r>
                            <w:r>
                              <w:rPr>
                                <w:b/>
                              </w:rPr>
                              <w:tab/>
                            </w:r>
                            <w:r>
                              <w:rPr>
                                <w:b/>
                              </w:rPr>
                              <w:tab/>
                            </w:r>
                            <w:r>
                              <w:rPr>
                                <w:b/>
                              </w:rPr>
                              <w:tab/>
                            </w:r>
                            <w:r>
                              <w:rPr>
                                <w:b/>
                              </w:rPr>
                              <w:tab/>
                            </w:r>
                            <w:r>
                              <w:rPr>
                                <w:b/>
                              </w:rPr>
                              <w:tab/>
                            </w:r>
                            <w:r>
                              <w:rPr>
                                <w:b/>
                              </w:rPr>
                              <w:tab/>
                              <w:t>x</w:t>
                            </w:r>
                          </w:p>
                          <w:p w14:paraId="325AD25E" w14:textId="77777777" w:rsidR="002173B0" w:rsidRDefault="002173B0" w:rsidP="004A40E7">
                            <w:pPr>
                              <w:pBdr>
                                <w:top w:val="single" w:sz="4" w:space="1" w:color="auto"/>
                              </w:pBdr>
                              <w:rPr>
                                <w:b/>
                              </w:rPr>
                            </w:pPr>
                          </w:p>
                          <w:p w14:paraId="61453664" w14:textId="77777777" w:rsidR="002173B0" w:rsidRDefault="002173B0" w:rsidP="004A40E7">
                            <w:pPr>
                              <w:pBdr>
                                <w:top w:val="single" w:sz="4" w:space="1" w:color="auto"/>
                              </w:pBdr>
                              <w:rPr>
                                <w:b/>
                              </w:rPr>
                            </w:pPr>
                            <w:r>
                              <w:rPr>
                                <w:b/>
                              </w:rPr>
                              <w:t>Verdeling</w:t>
                            </w:r>
                          </w:p>
                          <w:p w14:paraId="374476CA" w14:textId="77777777" w:rsidR="002173B0" w:rsidRDefault="002173B0" w:rsidP="004A40E7">
                            <w:pPr>
                              <w:pBdr>
                                <w:top w:val="single" w:sz="4" w:space="1" w:color="auto"/>
                              </w:pBdr>
                            </w:pPr>
                            <w:r>
                              <w:t>Aandeelhouders</w:t>
                            </w:r>
                          </w:p>
                          <w:p w14:paraId="588E02C4" w14:textId="77777777" w:rsidR="002173B0" w:rsidRDefault="002173B0" w:rsidP="004A40E7">
                            <w:pPr>
                              <w:pBdr>
                                <w:top w:val="single" w:sz="4" w:space="1" w:color="auto"/>
                              </w:pBdr>
                            </w:pPr>
                            <w:r>
                              <w:t>Deelnemingen</w:t>
                            </w:r>
                          </w:p>
                          <w:p w14:paraId="5B0CFBCF" w14:textId="77777777" w:rsidR="002173B0" w:rsidRDefault="002173B0" w:rsidP="004A40E7">
                            <w:pPr>
                              <w:pBdr>
                                <w:top w:val="single" w:sz="4" w:space="1" w:color="auto"/>
                              </w:pBdr>
                            </w:pPr>
                          </w:p>
                          <w:p w14:paraId="1C250F8A" w14:textId="77777777" w:rsidR="002173B0" w:rsidRPr="00377F33" w:rsidRDefault="002173B0" w:rsidP="004A40E7">
                            <w:pPr>
                              <w:pBdr>
                                <w:top w:val="single" w:sz="4" w:space="1" w:color="auto"/>
                              </w:pBdr>
                              <w:rPr>
                                <w:b/>
                              </w:rPr>
                            </w:pPr>
                            <w:r>
                              <w:rPr>
                                <w:b/>
                              </w:rPr>
                              <w:t xml:space="preserve">Winst per Aandeel                                          </w:t>
                            </w:r>
                          </w:p>
                          <w:p w14:paraId="54D1E4B8" w14:textId="77777777" w:rsidR="002173B0" w:rsidRDefault="002173B0" w:rsidP="004A40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5" o:spid="_x0000_s1026" type="#_x0000_t202" style="position:absolute;margin-left:0;margin-top:27pt;width:477pt;height:6in;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" filled="f" stroked="f">
                <v:textbox>
                  <w:txbxContent>
                    <w:p w14:paraId="34D0A197" w14:textId="77777777" w:rsidR="006654C6" w:rsidRDefault="006654C6" w:rsidP="004A40E7">
                      <w:pPr>
                        <w:pBdr>
                          <w:bottom w:val="single" w:sz="4" w:space="1" w:color="auto"/>
                        </w:pBdr>
                        <w:rPr>
                          <w:b/>
                          <w:sz w:val="26"/>
                          <w:szCs w:val="26"/>
                        </w:rPr>
                      </w:pPr>
                      <w:r w:rsidRPr="00AA7141">
                        <w:rPr>
                          <w:b/>
                          <w:sz w:val="26"/>
                          <w:szCs w:val="26"/>
                        </w:rPr>
                        <w:t>Opzet winst-en-verliesrekening.</w:t>
                      </w:r>
                    </w:p>
                    <w:p w14:paraId="42D3EABB" w14:textId="77777777" w:rsidR="006654C6" w:rsidRDefault="006654C6" w:rsidP="004A40E7">
                      <w:pPr>
                        <w:rPr>
                          <w:b/>
                        </w:rPr>
                      </w:pPr>
                    </w:p>
                    <w:p w14:paraId="56E0EFB5" w14:textId="77777777" w:rsidR="006654C6" w:rsidRDefault="006654C6" w:rsidP="004A40E7">
                      <w:pPr>
                        <w:rPr>
                          <w:b/>
                        </w:rPr>
                      </w:pPr>
                      <w:r>
                        <w:rPr>
                          <w:b/>
                        </w:rPr>
                        <w:t>Omzet</w:t>
                      </w:r>
                      <w:r>
                        <w:rPr>
                          <w:b/>
                        </w:rPr>
                        <w:tab/>
                      </w:r>
                      <w:r>
                        <w:rPr>
                          <w:b/>
                        </w:rPr>
                        <w:tab/>
                      </w:r>
                      <w:r>
                        <w:rPr>
                          <w:b/>
                        </w:rPr>
                        <w:tab/>
                      </w:r>
                      <w:r>
                        <w:rPr>
                          <w:b/>
                        </w:rPr>
                        <w:tab/>
                      </w:r>
                      <w:r>
                        <w:rPr>
                          <w:b/>
                        </w:rPr>
                        <w:tab/>
                      </w:r>
                      <w:r>
                        <w:rPr>
                          <w:b/>
                        </w:rPr>
                        <w:tab/>
                      </w:r>
                      <w:r>
                        <w:rPr>
                          <w:b/>
                        </w:rPr>
                        <w:tab/>
                      </w:r>
                      <w:r>
                        <w:rPr>
                          <w:b/>
                        </w:rPr>
                        <w:tab/>
                      </w:r>
                      <w:r>
                        <w:rPr>
                          <w:b/>
                        </w:rPr>
                        <w:tab/>
                        <w:t>x</w:t>
                      </w:r>
                    </w:p>
                    <w:p w14:paraId="0E58E28D" w14:textId="77777777" w:rsidR="006654C6" w:rsidRDefault="006654C6" w:rsidP="004A40E7">
                      <w:pPr>
                        <w:rPr>
                          <w:b/>
                        </w:rPr>
                      </w:pPr>
                    </w:p>
                    <w:p w14:paraId="02F7EF01" w14:textId="77777777" w:rsidR="006654C6" w:rsidRDefault="006654C6" w:rsidP="004A40E7">
                      <w:r>
                        <w:t>Kostenpost Materiaal</w:t>
                      </w:r>
                      <w:r>
                        <w:tab/>
                      </w:r>
                      <w:r>
                        <w:tab/>
                      </w:r>
                      <w:r>
                        <w:tab/>
                      </w:r>
                      <w:r>
                        <w:tab/>
                      </w:r>
                      <w:r>
                        <w:tab/>
                      </w:r>
                      <w:r>
                        <w:tab/>
                        <w:t>x</w:t>
                      </w:r>
                    </w:p>
                    <w:p w14:paraId="7C989A2E" w14:textId="77777777" w:rsidR="006654C6" w:rsidRDefault="006654C6" w:rsidP="004A40E7">
                      <w:r>
                        <w:t>Kostenpost Personeelskosten</w:t>
                      </w:r>
                      <w:r>
                        <w:tab/>
                      </w:r>
                      <w:r>
                        <w:tab/>
                      </w:r>
                      <w:r>
                        <w:tab/>
                      </w:r>
                      <w:r>
                        <w:tab/>
                      </w:r>
                      <w:r>
                        <w:tab/>
                        <w:t>x</w:t>
                      </w:r>
                    </w:p>
                    <w:p w14:paraId="055FC5FC" w14:textId="77777777" w:rsidR="006654C6" w:rsidRDefault="006654C6" w:rsidP="004A40E7">
                      <w:r>
                        <w:t>Kostenpost Afschrijvingen</w:t>
                      </w:r>
                      <w:r>
                        <w:tab/>
                      </w:r>
                      <w:r>
                        <w:tab/>
                      </w:r>
                      <w:r>
                        <w:tab/>
                      </w:r>
                      <w:r>
                        <w:tab/>
                      </w:r>
                      <w:r>
                        <w:tab/>
                      </w:r>
                      <w:r>
                        <w:tab/>
                        <w:t>x</w:t>
                      </w:r>
                    </w:p>
                    <w:p w14:paraId="463B14E9" w14:textId="77777777" w:rsidR="006654C6" w:rsidRDefault="006654C6" w:rsidP="004A40E7">
                      <w:r>
                        <w:t>Kostenpost Amortisatie</w:t>
                      </w:r>
                      <w:r>
                        <w:tab/>
                      </w:r>
                      <w:r>
                        <w:tab/>
                      </w:r>
                      <w:r>
                        <w:tab/>
                      </w:r>
                      <w:r>
                        <w:tab/>
                      </w:r>
                      <w:r>
                        <w:tab/>
                      </w:r>
                      <w:r>
                        <w:tab/>
                        <w:t>x</w:t>
                      </w:r>
                    </w:p>
                    <w:p w14:paraId="639E099B" w14:textId="77777777" w:rsidR="006654C6" w:rsidRDefault="006654C6" w:rsidP="004A40E7">
                      <w:r>
                        <w:t>Kostenpost Anders</w:t>
                      </w:r>
                      <w:r>
                        <w:tab/>
                      </w:r>
                      <w:r>
                        <w:tab/>
                      </w:r>
                      <w:r>
                        <w:tab/>
                      </w:r>
                      <w:r>
                        <w:tab/>
                      </w:r>
                      <w:r>
                        <w:tab/>
                      </w:r>
                      <w:r>
                        <w:tab/>
                      </w:r>
                      <w:r>
                        <w:tab/>
                        <w:t>x</w:t>
                      </w:r>
                    </w:p>
                    <w:p w14:paraId="40E36CC7" w14:textId="77777777" w:rsidR="006654C6" w:rsidRDefault="006654C6" w:rsidP="004A40E7">
                      <w:pPr>
                        <w:pBdr>
                          <w:top w:val="single" w:sz="4" w:space="1" w:color="auto"/>
                          <w:bottom w:val="single" w:sz="4" w:space="1" w:color="auto"/>
                        </w:pBdr>
                        <w:rPr>
                          <w:b/>
                        </w:rPr>
                      </w:pPr>
                      <w:r>
                        <w:rPr>
                          <w:b/>
                        </w:rPr>
                        <w:t>Totale operationele kosten</w:t>
                      </w:r>
                      <w:r>
                        <w:rPr>
                          <w:b/>
                        </w:rPr>
                        <w:tab/>
                      </w:r>
                      <w:r>
                        <w:rPr>
                          <w:b/>
                        </w:rPr>
                        <w:tab/>
                      </w:r>
                      <w:r>
                        <w:rPr>
                          <w:b/>
                        </w:rPr>
                        <w:tab/>
                      </w:r>
                      <w:r>
                        <w:rPr>
                          <w:b/>
                        </w:rPr>
                        <w:tab/>
                      </w:r>
                      <w:r>
                        <w:rPr>
                          <w:b/>
                        </w:rPr>
                        <w:tab/>
                        <w:t>x</w:t>
                      </w:r>
                    </w:p>
                    <w:p w14:paraId="6FD0F697" w14:textId="77777777" w:rsidR="006654C6" w:rsidRDefault="006654C6" w:rsidP="004A40E7">
                      <w:pPr>
                        <w:rPr>
                          <w:b/>
                        </w:rPr>
                      </w:pPr>
                    </w:p>
                    <w:p w14:paraId="3E90F910" w14:textId="77777777" w:rsidR="006654C6" w:rsidRDefault="006654C6" w:rsidP="004A40E7">
                      <w:pPr>
                        <w:rPr>
                          <w:b/>
                        </w:rPr>
                      </w:pPr>
                      <w:r w:rsidRPr="00AA7141">
                        <w:rPr>
                          <w:b/>
                        </w:rPr>
                        <w:t xml:space="preserve">Operationele Winst </w:t>
                      </w:r>
                      <w:r>
                        <w:rPr>
                          <w:b/>
                        </w:rPr>
                        <w:tab/>
                      </w:r>
                      <w:r>
                        <w:rPr>
                          <w:b/>
                        </w:rPr>
                        <w:tab/>
                      </w:r>
                      <w:r>
                        <w:rPr>
                          <w:b/>
                        </w:rPr>
                        <w:tab/>
                      </w:r>
                      <w:r>
                        <w:rPr>
                          <w:b/>
                        </w:rPr>
                        <w:tab/>
                      </w:r>
                      <w:r>
                        <w:rPr>
                          <w:b/>
                        </w:rPr>
                        <w:tab/>
                      </w:r>
                      <w:r>
                        <w:rPr>
                          <w:b/>
                        </w:rPr>
                        <w:tab/>
                        <w:t>x</w:t>
                      </w:r>
                    </w:p>
                    <w:p w14:paraId="5AAFBE8A" w14:textId="77777777" w:rsidR="006654C6" w:rsidRDefault="006654C6" w:rsidP="004A40E7">
                      <w:pPr>
                        <w:rPr>
                          <w:b/>
                        </w:rPr>
                      </w:pPr>
                    </w:p>
                    <w:p w14:paraId="232DAB45" w14:textId="77777777" w:rsidR="006654C6" w:rsidRDefault="006654C6" w:rsidP="004A40E7">
                      <w:r>
                        <w:t>Kostenpost interest</w:t>
                      </w:r>
                      <w:r>
                        <w:tab/>
                      </w:r>
                      <w:r>
                        <w:tab/>
                      </w:r>
                      <w:r>
                        <w:tab/>
                      </w:r>
                      <w:r>
                        <w:tab/>
                      </w:r>
                      <w:r>
                        <w:tab/>
                      </w:r>
                      <w:r>
                        <w:tab/>
                      </w:r>
                      <w:r>
                        <w:tab/>
                        <w:t>x</w:t>
                      </w:r>
                    </w:p>
                    <w:p w14:paraId="2A104890" w14:textId="77777777" w:rsidR="006654C6" w:rsidRDefault="006654C6" w:rsidP="004A40E7">
                      <w:r>
                        <w:t>Kostenpost Valuta omrekenresultaat</w:t>
                      </w:r>
                      <w:r>
                        <w:tab/>
                      </w:r>
                      <w:r>
                        <w:tab/>
                      </w:r>
                      <w:r>
                        <w:tab/>
                      </w:r>
                      <w:r>
                        <w:tab/>
                        <w:t>x</w:t>
                      </w:r>
                    </w:p>
                    <w:p w14:paraId="4DBC95A0" w14:textId="77777777" w:rsidR="006654C6" w:rsidRDefault="006654C6" w:rsidP="004A40E7">
                      <w:r>
                        <w:t>Kostenpost Derivaten</w:t>
                      </w:r>
                      <w:r>
                        <w:tab/>
                      </w:r>
                      <w:r>
                        <w:tab/>
                      </w:r>
                      <w:r>
                        <w:tab/>
                      </w:r>
                      <w:r>
                        <w:tab/>
                      </w:r>
                      <w:r>
                        <w:tab/>
                      </w:r>
                      <w:r>
                        <w:tab/>
                        <w:t>x</w:t>
                      </w:r>
                    </w:p>
                    <w:p w14:paraId="56C508BE" w14:textId="77777777" w:rsidR="006654C6" w:rsidRDefault="006654C6" w:rsidP="004A40E7">
                      <w:r>
                        <w:t>Kostenpost Pensioenen</w:t>
                      </w:r>
                      <w:r>
                        <w:tab/>
                      </w:r>
                      <w:r>
                        <w:tab/>
                      </w:r>
                      <w:r>
                        <w:tab/>
                      </w:r>
                      <w:r>
                        <w:tab/>
                      </w:r>
                      <w:r>
                        <w:tab/>
                      </w:r>
                      <w:r>
                        <w:tab/>
                        <w:t>x</w:t>
                      </w:r>
                    </w:p>
                    <w:p w14:paraId="5FED5742" w14:textId="77777777" w:rsidR="006654C6" w:rsidRDefault="006654C6" w:rsidP="004A40E7">
                      <w:pPr>
                        <w:pBdr>
                          <w:top w:val="single" w:sz="4" w:space="1" w:color="auto"/>
                          <w:bottom w:val="single" w:sz="4" w:space="1" w:color="auto"/>
                        </w:pBdr>
                        <w:rPr>
                          <w:b/>
                        </w:rPr>
                      </w:pPr>
                      <w:r w:rsidRPr="00377F33">
                        <w:rPr>
                          <w:b/>
                        </w:rPr>
                        <w:t>Totale Financieringskosten</w:t>
                      </w:r>
                      <w:r>
                        <w:rPr>
                          <w:b/>
                        </w:rPr>
                        <w:tab/>
                      </w:r>
                      <w:r>
                        <w:rPr>
                          <w:b/>
                        </w:rPr>
                        <w:tab/>
                      </w:r>
                      <w:r>
                        <w:rPr>
                          <w:b/>
                        </w:rPr>
                        <w:tab/>
                      </w:r>
                      <w:r>
                        <w:rPr>
                          <w:b/>
                        </w:rPr>
                        <w:tab/>
                      </w:r>
                      <w:r>
                        <w:rPr>
                          <w:b/>
                        </w:rPr>
                        <w:tab/>
                        <w:t>x</w:t>
                      </w:r>
                    </w:p>
                    <w:p w14:paraId="2F3970F2" w14:textId="77777777" w:rsidR="006654C6" w:rsidRDefault="006654C6" w:rsidP="004A40E7">
                      <w:pPr>
                        <w:rPr>
                          <w:b/>
                        </w:rPr>
                      </w:pPr>
                    </w:p>
                    <w:p w14:paraId="49AEB1F4" w14:textId="77777777" w:rsidR="006654C6" w:rsidRDefault="006654C6" w:rsidP="004A40E7">
                      <w:pPr>
                        <w:rPr>
                          <w:b/>
                        </w:rPr>
                      </w:pPr>
                      <w:r>
                        <w:rPr>
                          <w:b/>
                        </w:rPr>
                        <w:t>Winst voor Belasting</w:t>
                      </w:r>
                      <w:r>
                        <w:rPr>
                          <w:b/>
                        </w:rPr>
                        <w:tab/>
                      </w:r>
                      <w:r>
                        <w:rPr>
                          <w:b/>
                        </w:rPr>
                        <w:tab/>
                      </w:r>
                      <w:r>
                        <w:rPr>
                          <w:b/>
                        </w:rPr>
                        <w:tab/>
                      </w:r>
                      <w:r>
                        <w:rPr>
                          <w:b/>
                        </w:rPr>
                        <w:tab/>
                      </w:r>
                      <w:r>
                        <w:rPr>
                          <w:b/>
                        </w:rPr>
                        <w:tab/>
                      </w:r>
                      <w:r>
                        <w:rPr>
                          <w:b/>
                        </w:rPr>
                        <w:tab/>
                        <w:t>x</w:t>
                      </w:r>
                    </w:p>
                    <w:p w14:paraId="4DEDC6C4" w14:textId="77777777" w:rsidR="006654C6" w:rsidRDefault="006654C6" w:rsidP="004A40E7">
                      <w:r>
                        <w:t>Belasting</w:t>
                      </w:r>
                      <w:r>
                        <w:tab/>
                      </w:r>
                      <w:r>
                        <w:tab/>
                      </w:r>
                      <w:r>
                        <w:tab/>
                      </w:r>
                      <w:r>
                        <w:tab/>
                      </w:r>
                      <w:r>
                        <w:tab/>
                      </w:r>
                      <w:r>
                        <w:tab/>
                      </w:r>
                      <w:r>
                        <w:tab/>
                      </w:r>
                      <w:r>
                        <w:tab/>
                        <w:t>x</w:t>
                      </w:r>
                    </w:p>
                    <w:p w14:paraId="35EF20F9" w14:textId="77777777" w:rsidR="006654C6" w:rsidRDefault="006654C6" w:rsidP="004A40E7"/>
                    <w:p w14:paraId="31D0CD25" w14:textId="77777777" w:rsidR="006654C6" w:rsidRDefault="006654C6" w:rsidP="004A40E7">
                      <w:pPr>
                        <w:pBdr>
                          <w:top w:val="single" w:sz="4" w:space="1" w:color="auto"/>
                          <w:bottom w:val="single" w:sz="4" w:space="1" w:color="auto"/>
                        </w:pBdr>
                        <w:rPr>
                          <w:b/>
                        </w:rPr>
                      </w:pPr>
                      <w:r>
                        <w:rPr>
                          <w:b/>
                        </w:rPr>
                        <w:t>Netto winst na belasting</w:t>
                      </w:r>
                      <w:r>
                        <w:rPr>
                          <w:b/>
                        </w:rPr>
                        <w:tab/>
                      </w:r>
                      <w:r>
                        <w:rPr>
                          <w:b/>
                        </w:rPr>
                        <w:tab/>
                      </w:r>
                      <w:r>
                        <w:rPr>
                          <w:b/>
                        </w:rPr>
                        <w:tab/>
                      </w:r>
                      <w:r>
                        <w:rPr>
                          <w:b/>
                        </w:rPr>
                        <w:tab/>
                      </w:r>
                      <w:r>
                        <w:rPr>
                          <w:b/>
                        </w:rPr>
                        <w:tab/>
                      </w:r>
                      <w:r>
                        <w:rPr>
                          <w:b/>
                        </w:rPr>
                        <w:tab/>
                        <w:t>x</w:t>
                      </w:r>
                    </w:p>
                    <w:p w14:paraId="325AD25E" w14:textId="77777777" w:rsidR="006654C6" w:rsidRDefault="006654C6" w:rsidP="004A40E7">
                      <w:pPr>
                        <w:pBdr>
                          <w:top w:val="single" w:sz="4" w:space="1" w:color="auto"/>
                        </w:pBdr>
                        <w:rPr>
                          <w:b/>
                        </w:rPr>
                      </w:pPr>
                    </w:p>
                    <w:p w14:paraId="61453664" w14:textId="77777777" w:rsidR="006654C6" w:rsidRDefault="006654C6" w:rsidP="004A40E7">
                      <w:pPr>
                        <w:pBdr>
                          <w:top w:val="single" w:sz="4" w:space="1" w:color="auto"/>
                        </w:pBdr>
                        <w:rPr>
                          <w:b/>
                        </w:rPr>
                      </w:pPr>
                      <w:r>
                        <w:rPr>
                          <w:b/>
                        </w:rPr>
                        <w:t>Verdeling</w:t>
                      </w:r>
                    </w:p>
                    <w:p w14:paraId="374476CA" w14:textId="77777777" w:rsidR="006654C6" w:rsidRDefault="006654C6" w:rsidP="004A40E7">
                      <w:pPr>
                        <w:pBdr>
                          <w:top w:val="single" w:sz="4" w:space="1" w:color="auto"/>
                        </w:pBdr>
                      </w:pPr>
                      <w:r>
                        <w:t>Aandeelhouders</w:t>
                      </w:r>
                    </w:p>
                    <w:p w14:paraId="588E02C4" w14:textId="77777777" w:rsidR="006654C6" w:rsidRDefault="006654C6" w:rsidP="004A40E7">
                      <w:pPr>
                        <w:pBdr>
                          <w:top w:val="single" w:sz="4" w:space="1" w:color="auto"/>
                        </w:pBdr>
                      </w:pPr>
                      <w:r>
                        <w:t>Deelnemingen</w:t>
                      </w:r>
                    </w:p>
                    <w:p w14:paraId="5B0CFBCF" w14:textId="77777777" w:rsidR="006654C6" w:rsidRDefault="006654C6" w:rsidP="004A40E7">
                      <w:pPr>
                        <w:pBdr>
                          <w:top w:val="single" w:sz="4" w:space="1" w:color="auto"/>
                        </w:pBdr>
                      </w:pPr>
                    </w:p>
                    <w:p w14:paraId="1C250F8A" w14:textId="77777777" w:rsidR="006654C6" w:rsidRPr="00377F33" w:rsidRDefault="006654C6" w:rsidP="004A40E7">
                      <w:pPr>
                        <w:pBdr>
                          <w:top w:val="single" w:sz="4" w:space="1" w:color="auto"/>
                        </w:pBdr>
                        <w:rPr>
                          <w:b/>
                        </w:rPr>
                      </w:pPr>
                      <w:r>
                        <w:rPr>
                          <w:b/>
                        </w:rPr>
                        <w:t xml:space="preserve">Winst per Aandeel                                          </w:t>
                      </w:r>
                    </w:p>
                    <w:p w14:paraId="54D1E4B8" w14:textId="77777777" w:rsidR="006654C6" w:rsidRDefault="006654C6" w:rsidP="004A40E7"/>
                  </w:txbxContent>
                </v:textbox>
                <w10:wrap type="square"/>
              </v:shape>
            </w:pict>
          </mc:Fallback>
        </mc:AlternateContent>
      </w:r>
      <w:r>
        <w:rPr>
          <w:b/>
        </w:rPr>
        <w:t>Tabel 6</w:t>
      </w:r>
    </w:p>
    <w:p w14:paraId="2AD137B5" w14:textId="77777777" w:rsidR="00AF13F0" w:rsidRDefault="00AF13F0" w:rsidP="00AF13F0">
      <w:pPr>
        <w:spacing w:line="360" w:lineRule="auto"/>
        <w:rPr>
          <w:b/>
        </w:rPr>
      </w:pPr>
    </w:p>
    <w:p w14:paraId="3752F15F" w14:textId="77777777" w:rsidR="00AF13F0" w:rsidRDefault="00AF13F0" w:rsidP="00AF13F0">
      <w:pPr>
        <w:spacing w:line="360" w:lineRule="auto"/>
        <w:rPr>
          <w:b/>
        </w:rPr>
      </w:pPr>
    </w:p>
    <w:p w14:paraId="0402A275" w14:textId="77777777" w:rsidR="00AF13F0" w:rsidRDefault="00AF13F0" w:rsidP="00AF13F0">
      <w:pPr>
        <w:spacing w:line="360" w:lineRule="auto"/>
        <w:rPr>
          <w:b/>
        </w:rPr>
      </w:pPr>
    </w:p>
    <w:p w14:paraId="741F06EB" w14:textId="77777777" w:rsidR="00AF13F0" w:rsidRDefault="00AF13F0" w:rsidP="00AF13F0">
      <w:pPr>
        <w:spacing w:line="360" w:lineRule="auto"/>
        <w:rPr>
          <w:b/>
        </w:rPr>
      </w:pPr>
    </w:p>
    <w:p w14:paraId="655949D9" w14:textId="77777777" w:rsidR="00AF13F0" w:rsidRDefault="00AF13F0" w:rsidP="00AF13F0">
      <w:pPr>
        <w:spacing w:line="360" w:lineRule="auto"/>
        <w:rPr>
          <w:b/>
        </w:rPr>
      </w:pPr>
    </w:p>
    <w:p w14:paraId="2D72FA00" w14:textId="77777777" w:rsidR="00AF13F0" w:rsidRDefault="00AF13F0" w:rsidP="00AF13F0">
      <w:pPr>
        <w:spacing w:line="360" w:lineRule="auto"/>
        <w:rPr>
          <w:b/>
        </w:rPr>
      </w:pPr>
    </w:p>
    <w:p w14:paraId="2EEDA89E" w14:textId="77777777" w:rsidR="00AF13F0" w:rsidRDefault="00AF13F0" w:rsidP="00AF13F0">
      <w:pPr>
        <w:spacing w:line="360" w:lineRule="auto"/>
        <w:rPr>
          <w:b/>
        </w:rPr>
      </w:pPr>
    </w:p>
    <w:p w14:paraId="6E6A8E56" w14:textId="77777777" w:rsidR="00AF13F0" w:rsidRDefault="00AF13F0" w:rsidP="00AF13F0">
      <w:pPr>
        <w:spacing w:line="360" w:lineRule="auto"/>
        <w:rPr>
          <w:b/>
        </w:rPr>
      </w:pPr>
    </w:p>
    <w:p w14:paraId="08E36A63" w14:textId="77777777" w:rsidR="00AF13F0" w:rsidRDefault="00AF13F0" w:rsidP="00AF13F0">
      <w:pPr>
        <w:spacing w:line="360" w:lineRule="auto"/>
        <w:rPr>
          <w:b/>
        </w:rPr>
      </w:pPr>
    </w:p>
    <w:p w14:paraId="1775163C" w14:textId="77777777" w:rsidR="00AF13F0" w:rsidRDefault="00AF13F0" w:rsidP="00AF13F0">
      <w:pPr>
        <w:spacing w:line="360" w:lineRule="auto"/>
        <w:rPr>
          <w:b/>
        </w:rPr>
      </w:pPr>
    </w:p>
    <w:p w14:paraId="01E2AD1B" w14:textId="77777777" w:rsidR="00AF13F0" w:rsidRDefault="00AF13F0" w:rsidP="00AF13F0">
      <w:pPr>
        <w:spacing w:line="360" w:lineRule="auto"/>
        <w:rPr>
          <w:b/>
        </w:rPr>
      </w:pPr>
    </w:p>
    <w:p w14:paraId="1E7263F3" w14:textId="7FC86FAD" w:rsidR="003C268F" w:rsidRDefault="003C268F" w:rsidP="00AF13F0">
      <w:pPr>
        <w:spacing w:line="360" w:lineRule="auto"/>
        <w:rPr>
          <w:b/>
        </w:rPr>
      </w:pPr>
      <w:r>
        <w:rPr>
          <w:b/>
        </w:rPr>
        <w:t>Tabel 7</w:t>
      </w:r>
    </w:p>
    <w:tbl>
      <w:tblPr>
        <w:tblW w:w="7880" w:type="dxa"/>
        <w:tblInd w:w="93" w:type="dxa"/>
        <w:tblLook w:val="04A0" w:firstRow="1" w:lastRow="0" w:firstColumn="1" w:lastColumn="0" w:noHBand="0" w:noVBand="1"/>
      </w:tblPr>
      <w:tblGrid>
        <w:gridCol w:w="5740"/>
        <w:gridCol w:w="2140"/>
      </w:tblGrid>
      <w:tr w:rsidR="001C3C09" w:rsidRPr="001C3C09" w14:paraId="1912DD03" w14:textId="77777777" w:rsidTr="001C3C09">
        <w:trPr>
          <w:trHeight w:val="300"/>
        </w:trPr>
        <w:tc>
          <w:tcPr>
            <w:tcW w:w="5740" w:type="dxa"/>
            <w:tcBorders>
              <w:top w:val="single" w:sz="4" w:space="0" w:color="000000"/>
              <w:left w:val="nil"/>
              <w:bottom w:val="single" w:sz="4" w:space="0" w:color="000000"/>
              <w:right w:val="nil"/>
            </w:tcBorders>
            <w:shd w:val="clear" w:color="auto" w:fill="auto"/>
            <w:noWrap/>
            <w:vAlign w:val="bottom"/>
            <w:hideMark/>
          </w:tcPr>
          <w:p w14:paraId="06F045DD" w14:textId="77777777" w:rsidR="001C3C09" w:rsidRPr="001C3C09" w:rsidRDefault="001C3C09" w:rsidP="00AF13F0">
            <w:pPr>
              <w:rPr>
                <w:rFonts w:ascii="Calibri" w:eastAsia="Times New Roman" w:hAnsi="Calibri" w:cs="Times New Roman"/>
                <w:b/>
                <w:bCs/>
                <w:color w:val="000000"/>
              </w:rPr>
            </w:pPr>
            <w:r w:rsidRPr="001C3C09">
              <w:rPr>
                <w:rFonts w:ascii="Calibri" w:eastAsia="Times New Roman" w:hAnsi="Calibri" w:cs="Times New Roman"/>
                <w:b/>
                <w:bCs/>
                <w:color w:val="000000"/>
              </w:rPr>
              <w:t>Non-Gaap indicator algemeen</w:t>
            </w:r>
          </w:p>
        </w:tc>
        <w:tc>
          <w:tcPr>
            <w:tcW w:w="2140" w:type="dxa"/>
            <w:tcBorders>
              <w:top w:val="single" w:sz="4" w:space="0" w:color="000000"/>
              <w:left w:val="nil"/>
              <w:bottom w:val="single" w:sz="4" w:space="0" w:color="000000"/>
              <w:right w:val="nil"/>
            </w:tcBorders>
            <w:shd w:val="clear" w:color="auto" w:fill="auto"/>
            <w:noWrap/>
            <w:vAlign w:val="bottom"/>
            <w:hideMark/>
          </w:tcPr>
          <w:p w14:paraId="4AB4E71B" w14:textId="77777777" w:rsidR="001C3C09" w:rsidRPr="001C3C09" w:rsidRDefault="001C3C09" w:rsidP="00AF13F0">
            <w:pPr>
              <w:rPr>
                <w:rFonts w:ascii="Calibri" w:eastAsia="Times New Roman" w:hAnsi="Calibri" w:cs="Times New Roman"/>
                <w:b/>
                <w:bCs/>
                <w:color w:val="000000"/>
              </w:rPr>
            </w:pPr>
            <w:r w:rsidRPr="001C3C09">
              <w:rPr>
                <w:rFonts w:ascii="Calibri" w:eastAsia="Times New Roman" w:hAnsi="Calibri" w:cs="Times New Roman"/>
                <w:b/>
                <w:bCs/>
                <w:color w:val="000000"/>
              </w:rPr>
              <w:t>aantal x vermeld</w:t>
            </w:r>
          </w:p>
        </w:tc>
      </w:tr>
      <w:tr w:rsidR="001C3C09" w:rsidRPr="001C3C09" w14:paraId="678EB04C" w14:textId="77777777" w:rsidTr="001C3C09">
        <w:trPr>
          <w:trHeight w:val="300"/>
        </w:trPr>
        <w:tc>
          <w:tcPr>
            <w:tcW w:w="5740" w:type="dxa"/>
            <w:tcBorders>
              <w:top w:val="nil"/>
              <w:left w:val="nil"/>
              <w:bottom w:val="nil"/>
              <w:right w:val="nil"/>
            </w:tcBorders>
            <w:shd w:val="clear" w:color="D9D9D9" w:fill="D9D9D9"/>
            <w:noWrap/>
            <w:vAlign w:val="bottom"/>
            <w:hideMark/>
          </w:tcPr>
          <w:p w14:paraId="03B58CA4"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Adjusted income</w:t>
            </w:r>
          </w:p>
        </w:tc>
        <w:tc>
          <w:tcPr>
            <w:tcW w:w="2140" w:type="dxa"/>
            <w:tcBorders>
              <w:top w:val="nil"/>
              <w:left w:val="nil"/>
              <w:bottom w:val="nil"/>
              <w:right w:val="nil"/>
            </w:tcBorders>
            <w:shd w:val="clear" w:color="D9D9D9" w:fill="D9D9D9"/>
            <w:noWrap/>
            <w:vAlign w:val="bottom"/>
            <w:hideMark/>
          </w:tcPr>
          <w:p w14:paraId="66E12D2B" w14:textId="5871E168" w:rsidR="001C3C09" w:rsidRPr="001C3C09" w:rsidRDefault="005364A7" w:rsidP="00AF13F0">
            <w:pPr>
              <w:rPr>
                <w:rFonts w:ascii="Calibri" w:eastAsia="Times New Roman" w:hAnsi="Calibri" w:cs="Times New Roman"/>
                <w:color w:val="000000"/>
              </w:rPr>
            </w:pPr>
            <w:r>
              <w:rPr>
                <w:rFonts w:ascii="Calibri" w:eastAsia="Times New Roman" w:hAnsi="Calibri" w:cs="Times New Roman"/>
                <w:color w:val="000000"/>
              </w:rPr>
              <w:t>6</w:t>
            </w:r>
          </w:p>
        </w:tc>
      </w:tr>
      <w:tr w:rsidR="001C3C09" w:rsidRPr="001C3C09" w14:paraId="6ACE21F1" w14:textId="77777777" w:rsidTr="001C3C09">
        <w:trPr>
          <w:trHeight w:val="300"/>
        </w:trPr>
        <w:tc>
          <w:tcPr>
            <w:tcW w:w="5740" w:type="dxa"/>
            <w:tcBorders>
              <w:top w:val="nil"/>
              <w:left w:val="nil"/>
              <w:bottom w:val="nil"/>
              <w:right w:val="nil"/>
            </w:tcBorders>
            <w:shd w:val="clear" w:color="auto" w:fill="auto"/>
            <w:noWrap/>
            <w:vAlign w:val="bottom"/>
            <w:hideMark/>
          </w:tcPr>
          <w:p w14:paraId="680E401A"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Free cash flows</w:t>
            </w:r>
          </w:p>
        </w:tc>
        <w:tc>
          <w:tcPr>
            <w:tcW w:w="2140" w:type="dxa"/>
            <w:tcBorders>
              <w:top w:val="nil"/>
              <w:left w:val="nil"/>
              <w:bottom w:val="nil"/>
              <w:right w:val="nil"/>
            </w:tcBorders>
            <w:shd w:val="clear" w:color="auto" w:fill="auto"/>
            <w:noWrap/>
            <w:vAlign w:val="bottom"/>
            <w:hideMark/>
          </w:tcPr>
          <w:p w14:paraId="05BE2640"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3</w:t>
            </w:r>
          </w:p>
        </w:tc>
      </w:tr>
      <w:tr w:rsidR="001C3C09" w:rsidRPr="001C3C09" w14:paraId="1E80700C" w14:textId="77777777" w:rsidTr="001C3C09">
        <w:trPr>
          <w:trHeight w:val="300"/>
        </w:trPr>
        <w:tc>
          <w:tcPr>
            <w:tcW w:w="5740" w:type="dxa"/>
            <w:tcBorders>
              <w:top w:val="nil"/>
              <w:left w:val="nil"/>
              <w:bottom w:val="nil"/>
              <w:right w:val="nil"/>
            </w:tcBorders>
            <w:shd w:val="clear" w:color="D9D9D9" w:fill="D9D9D9"/>
            <w:noWrap/>
            <w:vAlign w:val="bottom"/>
            <w:hideMark/>
          </w:tcPr>
          <w:p w14:paraId="00F8F957"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Net debt</w:t>
            </w:r>
          </w:p>
        </w:tc>
        <w:tc>
          <w:tcPr>
            <w:tcW w:w="2140" w:type="dxa"/>
            <w:tcBorders>
              <w:top w:val="nil"/>
              <w:left w:val="nil"/>
              <w:bottom w:val="nil"/>
              <w:right w:val="nil"/>
            </w:tcBorders>
            <w:shd w:val="clear" w:color="D9D9D9" w:fill="D9D9D9"/>
            <w:noWrap/>
            <w:vAlign w:val="bottom"/>
            <w:hideMark/>
          </w:tcPr>
          <w:p w14:paraId="6A82298A"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3</w:t>
            </w:r>
          </w:p>
        </w:tc>
      </w:tr>
      <w:tr w:rsidR="001C3C09" w:rsidRPr="001C3C09" w14:paraId="305B060D" w14:textId="77777777" w:rsidTr="001C3C09">
        <w:trPr>
          <w:trHeight w:val="300"/>
        </w:trPr>
        <w:tc>
          <w:tcPr>
            <w:tcW w:w="5740" w:type="dxa"/>
            <w:tcBorders>
              <w:top w:val="nil"/>
              <w:left w:val="nil"/>
              <w:bottom w:val="nil"/>
              <w:right w:val="nil"/>
            </w:tcBorders>
            <w:shd w:val="clear" w:color="auto" w:fill="auto"/>
            <w:noWrap/>
            <w:vAlign w:val="bottom"/>
            <w:hideMark/>
          </w:tcPr>
          <w:p w14:paraId="4057444A"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Comparable sales (growth)</w:t>
            </w:r>
          </w:p>
        </w:tc>
        <w:tc>
          <w:tcPr>
            <w:tcW w:w="2140" w:type="dxa"/>
            <w:tcBorders>
              <w:top w:val="nil"/>
              <w:left w:val="nil"/>
              <w:bottom w:val="nil"/>
              <w:right w:val="nil"/>
            </w:tcBorders>
            <w:shd w:val="clear" w:color="auto" w:fill="auto"/>
            <w:noWrap/>
            <w:vAlign w:val="bottom"/>
            <w:hideMark/>
          </w:tcPr>
          <w:p w14:paraId="6EE3B31B"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2</w:t>
            </w:r>
          </w:p>
        </w:tc>
      </w:tr>
      <w:tr w:rsidR="001C3C09" w:rsidRPr="001C3C09" w14:paraId="6042935C" w14:textId="77777777" w:rsidTr="001C3C09">
        <w:trPr>
          <w:trHeight w:val="300"/>
        </w:trPr>
        <w:tc>
          <w:tcPr>
            <w:tcW w:w="5740" w:type="dxa"/>
            <w:tcBorders>
              <w:top w:val="nil"/>
              <w:left w:val="nil"/>
              <w:bottom w:val="nil"/>
              <w:right w:val="nil"/>
            </w:tcBorders>
            <w:shd w:val="clear" w:color="D9D9D9" w:fill="D9D9D9"/>
            <w:noWrap/>
            <w:vAlign w:val="bottom"/>
            <w:hideMark/>
          </w:tcPr>
          <w:p w14:paraId="2F03E249"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Gross rent</w:t>
            </w:r>
          </w:p>
        </w:tc>
        <w:tc>
          <w:tcPr>
            <w:tcW w:w="2140" w:type="dxa"/>
            <w:tcBorders>
              <w:top w:val="nil"/>
              <w:left w:val="nil"/>
              <w:bottom w:val="nil"/>
              <w:right w:val="nil"/>
            </w:tcBorders>
            <w:shd w:val="clear" w:color="D9D9D9" w:fill="D9D9D9"/>
            <w:noWrap/>
            <w:vAlign w:val="bottom"/>
            <w:hideMark/>
          </w:tcPr>
          <w:p w14:paraId="430CE1E3"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1</w:t>
            </w:r>
          </w:p>
        </w:tc>
      </w:tr>
      <w:tr w:rsidR="001C3C09" w:rsidRPr="001C3C09" w14:paraId="0C7FFEB5" w14:textId="77777777" w:rsidTr="001C3C09">
        <w:trPr>
          <w:trHeight w:val="300"/>
        </w:trPr>
        <w:tc>
          <w:tcPr>
            <w:tcW w:w="5740" w:type="dxa"/>
            <w:tcBorders>
              <w:top w:val="nil"/>
              <w:left w:val="nil"/>
              <w:bottom w:val="nil"/>
              <w:right w:val="nil"/>
            </w:tcBorders>
            <w:shd w:val="clear" w:color="auto" w:fill="auto"/>
            <w:noWrap/>
            <w:vAlign w:val="bottom"/>
            <w:hideMark/>
          </w:tcPr>
          <w:p w14:paraId="751C1EB7" w14:textId="30FAE70C" w:rsidR="001C3C09" w:rsidRPr="001C3C09" w:rsidRDefault="009322D0" w:rsidP="00AF13F0">
            <w:pPr>
              <w:rPr>
                <w:rFonts w:ascii="Calibri" w:eastAsia="Times New Roman" w:hAnsi="Calibri" w:cs="Times New Roman"/>
                <w:color w:val="000000"/>
              </w:rPr>
            </w:pPr>
            <w:r w:rsidRPr="001C3C09">
              <w:rPr>
                <w:rFonts w:ascii="Calibri" w:eastAsia="Times New Roman" w:hAnsi="Calibri" w:cs="Times New Roman"/>
                <w:color w:val="000000"/>
              </w:rPr>
              <w:t>L</w:t>
            </w:r>
            <w:r w:rsidR="001C3C09" w:rsidRPr="001C3C09">
              <w:rPr>
                <w:rFonts w:ascii="Calibri" w:eastAsia="Times New Roman" w:hAnsi="Calibri" w:cs="Times New Roman"/>
                <w:color w:val="000000"/>
              </w:rPr>
              <w:t>iquidity</w:t>
            </w:r>
          </w:p>
        </w:tc>
        <w:tc>
          <w:tcPr>
            <w:tcW w:w="2140" w:type="dxa"/>
            <w:tcBorders>
              <w:top w:val="nil"/>
              <w:left w:val="nil"/>
              <w:bottom w:val="nil"/>
              <w:right w:val="nil"/>
            </w:tcBorders>
            <w:shd w:val="clear" w:color="auto" w:fill="auto"/>
            <w:noWrap/>
            <w:vAlign w:val="bottom"/>
            <w:hideMark/>
          </w:tcPr>
          <w:p w14:paraId="52D33AB4"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1</w:t>
            </w:r>
          </w:p>
        </w:tc>
      </w:tr>
      <w:tr w:rsidR="001C3C09" w:rsidRPr="001C3C09" w14:paraId="14BE52B2" w14:textId="77777777" w:rsidTr="001C3C09">
        <w:trPr>
          <w:trHeight w:val="300"/>
        </w:trPr>
        <w:tc>
          <w:tcPr>
            <w:tcW w:w="5740" w:type="dxa"/>
            <w:tcBorders>
              <w:top w:val="nil"/>
              <w:left w:val="nil"/>
              <w:bottom w:val="nil"/>
              <w:right w:val="nil"/>
            </w:tcBorders>
            <w:shd w:val="clear" w:color="D9D9D9" w:fill="D9D9D9"/>
            <w:noWrap/>
            <w:vAlign w:val="bottom"/>
            <w:hideMark/>
          </w:tcPr>
          <w:p w14:paraId="255B2E23" w14:textId="77777777" w:rsidR="001C3C09" w:rsidRPr="00FA29FC" w:rsidRDefault="001C3C09" w:rsidP="00AF13F0">
            <w:pPr>
              <w:rPr>
                <w:rFonts w:ascii="Calibri" w:eastAsia="Times New Roman" w:hAnsi="Calibri" w:cs="Times New Roman"/>
                <w:color w:val="000000"/>
                <w:lang w:val="en-GB"/>
              </w:rPr>
            </w:pPr>
            <w:r w:rsidRPr="00FA29FC">
              <w:rPr>
                <w:rFonts w:ascii="Calibri" w:eastAsia="Times New Roman" w:hAnsi="Calibri" w:cs="Times New Roman"/>
                <w:color w:val="000000"/>
                <w:lang w:val="en-GB"/>
              </w:rPr>
              <w:t>Net lease adjusted debt/EBITDAR</w:t>
            </w:r>
          </w:p>
        </w:tc>
        <w:tc>
          <w:tcPr>
            <w:tcW w:w="2140" w:type="dxa"/>
            <w:tcBorders>
              <w:top w:val="nil"/>
              <w:left w:val="nil"/>
              <w:bottom w:val="nil"/>
              <w:right w:val="nil"/>
            </w:tcBorders>
            <w:shd w:val="clear" w:color="D9D9D9" w:fill="D9D9D9"/>
            <w:noWrap/>
            <w:vAlign w:val="bottom"/>
            <w:hideMark/>
          </w:tcPr>
          <w:p w14:paraId="3605BA06"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1</w:t>
            </w:r>
          </w:p>
        </w:tc>
      </w:tr>
      <w:tr w:rsidR="001C3C09" w:rsidRPr="001C3C09" w14:paraId="61C68F85" w14:textId="77777777" w:rsidTr="001C3C09">
        <w:trPr>
          <w:trHeight w:val="300"/>
        </w:trPr>
        <w:tc>
          <w:tcPr>
            <w:tcW w:w="5740" w:type="dxa"/>
            <w:tcBorders>
              <w:top w:val="nil"/>
              <w:left w:val="nil"/>
              <w:bottom w:val="nil"/>
              <w:right w:val="nil"/>
            </w:tcBorders>
            <w:shd w:val="clear" w:color="auto" w:fill="auto"/>
            <w:noWrap/>
            <w:vAlign w:val="bottom"/>
            <w:hideMark/>
          </w:tcPr>
          <w:p w14:paraId="64773A53"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Net sales local currency</w:t>
            </w:r>
          </w:p>
        </w:tc>
        <w:tc>
          <w:tcPr>
            <w:tcW w:w="2140" w:type="dxa"/>
            <w:tcBorders>
              <w:top w:val="nil"/>
              <w:left w:val="nil"/>
              <w:bottom w:val="nil"/>
              <w:right w:val="nil"/>
            </w:tcBorders>
            <w:shd w:val="clear" w:color="auto" w:fill="auto"/>
            <w:noWrap/>
            <w:vAlign w:val="bottom"/>
            <w:hideMark/>
          </w:tcPr>
          <w:p w14:paraId="4D055CD1"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1</w:t>
            </w:r>
          </w:p>
        </w:tc>
      </w:tr>
      <w:tr w:rsidR="001C3C09" w:rsidRPr="001C3C09" w14:paraId="4160DC20" w14:textId="77777777" w:rsidTr="001C3C09">
        <w:trPr>
          <w:trHeight w:val="300"/>
        </w:trPr>
        <w:tc>
          <w:tcPr>
            <w:tcW w:w="5740" w:type="dxa"/>
            <w:tcBorders>
              <w:top w:val="nil"/>
              <w:left w:val="nil"/>
              <w:bottom w:val="nil"/>
              <w:right w:val="nil"/>
            </w:tcBorders>
            <w:shd w:val="clear" w:color="D9D9D9" w:fill="D9D9D9"/>
            <w:noWrap/>
            <w:vAlign w:val="bottom"/>
            <w:hideMark/>
          </w:tcPr>
          <w:p w14:paraId="197CDA1A"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Total shareholder returns</w:t>
            </w:r>
          </w:p>
        </w:tc>
        <w:tc>
          <w:tcPr>
            <w:tcW w:w="2140" w:type="dxa"/>
            <w:tcBorders>
              <w:top w:val="nil"/>
              <w:left w:val="nil"/>
              <w:bottom w:val="nil"/>
              <w:right w:val="nil"/>
            </w:tcBorders>
            <w:shd w:val="clear" w:color="D9D9D9" w:fill="D9D9D9"/>
            <w:noWrap/>
            <w:vAlign w:val="bottom"/>
            <w:hideMark/>
          </w:tcPr>
          <w:p w14:paraId="65C7E9CA"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1</w:t>
            </w:r>
          </w:p>
        </w:tc>
      </w:tr>
      <w:tr w:rsidR="001C3C09" w:rsidRPr="001C3C09" w14:paraId="39708966" w14:textId="77777777" w:rsidTr="001C3C09">
        <w:trPr>
          <w:trHeight w:val="300"/>
        </w:trPr>
        <w:tc>
          <w:tcPr>
            <w:tcW w:w="5740" w:type="dxa"/>
            <w:tcBorders>
              <w:top w:val="nil"/>
              <w:left w:val="nil"/>
              <w:bottom w:val="nil"/>
              <w:right w:val="nil"/>
            </w:tcBorders>
            <w:shd w:val="clear" w:color="auto" w:fill="auto"/>
            <w:noWrap/>
            <w:vAlign w:val="bottom"/>
            <w:hideMark/>
          </w:tcPr>
          <w:p w14:paraId="3BE98720" w14:textId="77777777" w:rsidR="001C3C09" w:rsidRPr="00FA29FC" w:rsidRDefault="001C3C09" w:rsidP="00AF13F0">
            <w:pPr>
              <w:rPr>
                <w:rFonts w:ascii="Calibri" w:eastAsia="Times New Roman" w:hAnsi="Calibri" w:cs="Times New Roman"/>
                <w:color w:val="000000"/>
                <w:lang w:val="en-GB"/>
              </w:rPr>
            </w:pPr>
            <w:r w:rsidRPr="00FA29FC">
              <w:rPr>
                <w:rFonts w:ascii="Calibri" w:eastAsia="Times New Roman" w:hAnsi="Calibri" w:cs="Times New Roman"/>
                <w:color w:val="000000"/>
                <w:lang w:val="en-GB"/>
              </w:rPr>
              <w:t>Operational result after tax- and non controlling interest</w:t>
            </w:r>
          </w:p>
        </w:tc>
        <w:tc>
          <w:tcPr>
            <w:tcW w:w="2140" w:type="dxa"/>
            <w:tcBorders>
              <w:top w:val="nil"/>
              <w:left w:val="nil"/>
              <w:bottom w:val="nil"/>
              <w:right w:val="nil"/>
            </w:tcBorders>
            <w:shd w:val="clear" w:color="auto" w:fill="auto"/>
            <w:noWrap/>
            <w:vAlign w:val="bottom"/>
            <w:hideMark/>
          </w:tcPr>
          <w:p w14:paraId="08F1A5C1"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1</w:t>
            </w:r>
          </w:p>
        </w:tc>
      </w:tr>
      <w:tr w:rsidR="001C3C09" w:rsidRPr="001C3C09" w14:paraId="6A2CF315" w14:textId="77777777" w:rsidTr="001C3C09">
        <w:trPr>
          <w:trHeight w:val="300"/>
        </w:trPr>
        <w:tc>
          <w:tcPr>
            <w:tcW w:w="5740" w:type="dxa"/>
            <w:tcBorders>
              <w:top w:val="nil"/>
              <w:left w:val="nil"/>
              <w:bottom w:val="nil"/>
              <w:right w:val="nil"/>
            </w:tcBorders>
            <w:shd w:val="clear" w:color="D9D9D9" w:fill="D9D9D9"/>
            <w:noWrap/>
            <w:vAlign w:val="bottom"/>
            <w:hideMark/>
          </w:tcPr>
          <w:p w14:paraId="2D53CEF2" w14:textId="62398582"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EBIT</w:t>
            </w:r>
            <w:r w:rsidR="005364A7">
              <w:rPr>
                <w:rFonts w:ascii="Calibri" w:eastAsia="Times New Roman" w:hAnsi="Calibri" w:cs="Times New Roman"/>
                <w:color w:val="000000"/>
              </w:rPr>
              <w:t xml:space="preserve"> (underlying)</w:t>
            </w:r>
          </w:p>
        </w:tc>
        <w:tc>
          <w:tcPr>
            <w:tcW w:w="2140" w:type="dxa"/>
            <w:tcBorders>
              <w:top w:val="nil"/>
              <w:left w:val="nil"/>
              <w:bottom w:val="nil"/>
              <w:right w:val="nil"/>
            </w:tcBorders>
            <w:shd w:val="clear" w:color="D9D9D9" w:fill="D9D9D9"/>
            <w:noWrap/>
            <w:vAlign w:val="bottom"/>
            <w:hideMark/>
          </w:tcPr>
          <w:p w14:paraId="0336D8EF" w14:textId="10994004" w:rsidR="001C3C09" w:rsidRPr="001C3C09" w:rsidRDefault="005364A7" w:rsidP="00AF13F0">
            <w:pPr>
              <w:rPr>
                <w:rFonts w:ascii="Calibri" w:eastAsia="Times New Roman" w:hAnsi="Calibri" w:cs="Times New Roman"/>
                <w:color w:val="000000"/>
              </w:rPr>
            </w:pPr>
            <w:r>
              <w:rPr>
                <w:rFonts w:ascii="Calibri" w:eastAsia="Times New Roman" w:hAnsi="Calibri" w:cs="Times New Roman"/>
                <w:color w:val="000000"/>
              </w:rPr>
              <w:t>2</w:t>
            </w:r>
          </w:p>
        </w:tc>
      </w:tr>
      <w:tr w:rsidR="001C3C09" w:rsidRPr="001C3C09" w14:paraId="0B694077" w14:textId="77777777" w:rsidTr="001C3C09">
        <w:trPr>
          <w:trHeight w:val="300"/>
        </w:trPr>
        <w:tc>
          <w:tcPr>
            <w:tcW w:w="5740" w:type="dxa"/>
            <w:tcBorders>
              <w:top w:val="nil"/>
              <w:left w:val="nil"/>
              <w:bottom w:val="nil"/>
              <w:right w:val="nil"/>
            </w:tcBorders>
            <w:shd w:val="clear" w:color="auto" w:fill="auto"/>
            <w:noWrap/>
            <w:vAlign w:val="bottom"/>
            <w:hideMark/>
          </w:tcPr>
          <w:p w14:paraId="5976578D"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EBIT before exceptional items</w:t>
            </w:r>
          </w:p>
        </w:tc>
        <w:tc>
          <w:tcPr>
            <w:tcW w:w="2140" w:type="dxa"/>
            <w:tcBorders>
              <w:top w:val="nil"/>
              <w:left w:val="nil"/>
              <w:bottom w:val="nil"/>
              <w:right w:val="nil"/>
            </w:tcBorders>
            <w:shd w:val="clear" w:color="auto" w:fill="auto"/>
            <w:noWrap/>
            <w:vAlign w:val="bottom"/>
            <w:hideMark/>
          </w:tcPr>
          <w:p w14:paraId="2C09B4C9"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1</w:t>
            </w:r>
          </w:p>
        </w:tc>
      </w:tr>
      <w:tr w:rsidR="001C3C09" w:rsidRPr="001C3C09" w14:paraId="57212F0C" w14:textId="77777777" w:rsidTr="001C3C09">
        <w:trPr>
          <w:trHeight w:val="300"/>
        </w:trPr>
        <w:tc>
          <w:tcPr>
            <w:tcW w:w="5740" w:type="dxa"/>
            <w:tcBorders>
              <w:top w:val="nil"/>
              <w:left w:val="nil"/>
              <w:bottom w:val="nil"/>
              <w:right w:val="nil"/>
            </w:tcBorders>
            <w:shd w:val="clear" w:color="D9D9D9" w:fill="D9D9D9"/>
            <w:noWrap/>
            <w:vAlign w:val="bottom"/>
            <w:hideMark/>
          </w:tcPr>
          <w:p w14:paraId="5FDAC69B"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Net operating capital</w:t>
            </w:r>
          </w:p>
        </w:tc>
        <w:tc>
          <w:tcPr>
            <w:tcW w:w="2140" w:type="dxa"/>
            <w:tcBorders>
              <w:top w:val="nil"/>
              <w:left w:val="nil"/>
              <w:bottom w:val="nil"/>
              <w:right w:val="nil"/>
            </w:tcBorders>
            <w:shd w:val="clear" w:color="D9D9D9" w:fill="D9D9D9"/>
            <w:noWrap/>
            <w:vAlign w:val="bottom"/>
            <w:hideMark/>
          </w:tcPr>
          <w:p w14:paraId="67021D0B"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1</w:t>
            </w:r>
          </w:p>
        </w:tc>
      </w:tr>
      <w:tr w:rsidR="001C3C09" w:rsidRPr="001C3C09" w14:paraId="3B235F31" w14:textId="77777777" w:rsidTr="001C3C09">
        <w:trPr>
          <w:trHeight w:val="300"/>
        </w:trPr>
        <w:tc>
          <w:tcPr>
            <w:tcW w:w="5740" w:type="dxa"/>
            <w:tcBorders>
              <w:top w:val="nil"/>
              <w:left w:val="nil"/>
              <w:bottom w:val="nil"/>
              <w:right w:val="nil"/>
            </w:tcBorders>
            <w:shd w:val="clear" w:color="auto" w:fill="auto"/>
            <w:noWrap/>
            <w:vAlign w:val="bottom"/>
            <w:hideMark/>
          </w:tcPr>
          <w:p w14:paraId="2F16C976"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EBITA</w:t>
            </w:r>
          </w:p>
        </w:tc>
        <w:tc>
          <w:tcPr>
            <w:tcW w:w="2140" w:type="dxa"/>
            <w:tcBorders>
              <w:top w:val="nil"/>
              <w:left w:val="nil"/>
              <w:bottom w:val="nil"/>
              <w:right w:val="nil"/>
            </w:tcBorders>
            <w:shd w:val="clear" w:color="auto" w:fill="auto"/>
            <w:noWrap/>
            <w:vAlign w:val="bottom"/>
            <w:hideMark/>
          </w:tcPr>
          <w:p w14:paraId="183B6F23"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1</w:t>
            </w:r>
          </w:p>
        </w:tc>
      </w:tr>
      <w:tr w:rsidR="001C3C09" w:rsidRPr="001C3C09" w14:paraId="57BF93EA" w14:textId="77777777" w:rsidTr="001C3C09">
        <w:trPr>
          <w:trHeight w:val="300"/>
        </w:trPr>
        <w:tc>
          <w:tcPr>
            <w:tcW w:w="5740" w:type="dxa"/>
            <w:tcBorders>
              <w:top w:val="nil"/>
              <w:left w:val="nil"/>
              <w:bottom w:val="nil"/>
              <w:right w:val="nil"/>
            </w:tcBorders>
            <w:shd w:val="clear" w:color="D9D9D9" w:fill="D9D9D9"/>
            <w:noWrap/>
            <w:vAlign w:val="bottom"/>
            <w:hideMark/>
          </w:tcPr>
          <w:p w14:paraId="5707AD98"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(Net) capital investment</w:t>
            </w:r>
          </w:p>
        </w:tc>
        <w:tc>
          <w:tcPr>
            <w:tcW w:w="2140" w:type="dxa"/>
            <w:tcBorders>
              <w:top w:val="nil"/>
              <w:left w:val="nil"/>
              <w:bottom w:val="nil"/>
              <w:right w:val="nil"/>
            </w:tcBorders>
            <w:shd w:val="clear" w:color="D9D9D9" w:fill="D9D9D9"/>
            <w:noWrap/>
            <w:vAlign w:val="bottom"/>
            <w:hideMark/>
          </w:tcPr>
          <w:p w14:paraId="5C9B9568"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1</w:t>
            </w:r>
          </w:p>
        </w:tc>
      </w:tr>
      <w:tr w:rsidR="001C3C09" w:rsidRPr="001C3C09" w14:paraId="6E120FB3" w14:textId="77777777" w:rsidTr="001C3C09">
        <w:trPr>
          <w:trHeight w:val="300"/>
        </w:trPr>
        <w:tc>
          <w:tcPr>
            <w:tcW w:w="5740" w:type="dxa"/>
            <w:tcBorders>
              <w:top w:val="nil"/>
              <w:left w:val="nil"/>
              <w:bottom w:val="nil"/>
              <w:right w:val="nil"/>
            </w:tcBorders>
            <w:shd w:val="clear" w:color="auto" w:fill="auto"/>
            <w:noWrap/>
            <w:vAlign w:val="bottom"/>
            <w:hideMark/>
          </w:tcPr>
          <w:p w14:paraId="6B9A6FBE"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Underlying sales growth</w:t>
            </w:r>
          </w:p>
        </w:tc>
        <w:tc>
          <w:tcPr>
            <w:tcW w:w="2140" w:type="dxa"/>
            <w:tcBorders>
              <w:top w:val="nil"/>
              <w:left w:val="nil"/>
              <w:bottom w:val="nil"/>
              <w:right w:val="nil"/>
            </w:tcBorders>
            <w:shd w:val="clear" w:color="auto" w:fill="auto"/>
            <w:noWrap/>
            <w:vAlign w:val="bottom"/>
            <w:hideMark/>
          </w:tcPr>
          <w:p w14:paraId="1EBDAFE8"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1</w:t>
            </w:r>
          </w:p>
        </w:tc>
      </w:tr>
      <w:tr w:rsidR="001C3C09" w:rsidRPr="001C3C09" w14:paraId="6481AEC5" w14:textId="77777777" w:rsidTr="001C3C09">
        <w:trPr>
          <w:trHeight w:val="300"/>
        </w:trPr>
        <w:tc>
          <w:tcPr>
            <w:tcW w:w="5740" w:type="dxa"/>
            <w:tcBorders>
              <w:top w:val="nil"/>
              <w:left w:val="nil"/>
              <w:bottom w:val="nil"/>
              <w:right w:val="nil"/>
            </w:tcBorders>
            <w:shd w:val="clear" w:color="D9D9D9" w:fill="D9D9D9"/>
            <w:noWrap/>
            <w:vAlign w:val="bottom"/>
            <w:hideMark/>
          </w:tcPr>
          <w:p w14:paraId="45F13D9D"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Underlying volume growth</w:t>
            </w:r>
          </w:p>
        </w:tc>
        <w:tc>
          <w:tcPr>
            <w:tcW w:w="2140" w:type="dxa"/>
            <w:tcBorders>
              <w:top w:val="nil"/>
              <w:left w:val="nil"/>
              <w:bottom w:val="nil"/>
              <w:right w:val="nil"/>
            </w:tcBorders>
            <w:shd w:val="clear" w:color="D9D9D9" w:fill="D9D9D9"/>
            <w:noWrap/>
            <w:vAlign w:val="bottom"/>
            <w:hideMark/>
          </w:tcPr>
          <w:p w14:paraId="52D585FA"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1</w:t>
            </w:r>
          </w:p>
        </w:tc>
      </w:tr>
      <w:tr w:rsidR="001C3C09" w:rsidRPr="001C3C09" w14:paraId="7E773F62" w14:textId="77777777" w:rsidTr="001C3C09">
        <w:trPr>
          <w:trHeight w:val="300"/>
        </w:trPr>
        <w:tc>
          <w:tcPr>
            <w:tcW w:w="5740" w:type="dxa"/>
            <w:tcBorders>
              <w:top w:val="nil"/>
              <w:left w:val="nil"/>
              <w:bottom w:val="nil"/>
              <w:right w:val="nil"/>
            </w:tcBorders>
            <w:shd w:val="clear" w:color="auto" w:fill="auto"/>
            <w:noWrap/>
            <w:vAlign w:val="bottom"/>
            <w:hideMark/>
          </w:tcPr>
          <w:p w14:paraId="5E1AAB6F"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Core operating profit</w:t>
            </w:r>
          </w:p>
        </w:tc>
        <w:tc>
          <w:tcPr>
            <w:tcW w:w="2140" w:type="dxa"/>
            <w:tcBorders>
              <w:top w:val="nil"/>
              <w:left w:val="nil"/>
              <w:bottom w:val="nil"/>
              <w:right w:val="nil"/>
            </w:tcBorders>
            <w:shd w:val="clear" w:color="auto" w:fill="auto"/>
            <w:noWrap/>
            <w:vAlign w:val="bottom"/>
            <w:hideMark/>
          </w:tcPr>
          <w:p w14:paraId="402FA26E"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1</w:t>
            </w:r>
          </w:p>
        </w:tc>
      </w:tr>
      <w:tr w:rsidR="001C3C09" w:rsidRPr="001C3C09" w14:paraId="1BD73C86" w14:textId="77777777" w:rsidTr="001C3C09">
        <w:trPr>
          <w:trHeight w:val="300"/>
        </w:trPr>
        <w:tc>
          <w:tcPr>
            <w:tcW w:w="5740" w:type="dxa"/>
            <w:tcBorders>
              <w:top w:val="nil"/>
              <w:left w:val="nil"/>
              <w:bottom w:val="single" w:sz="4" w:space="0" w:color="000000"/>
              <w:right w:val="nil"/>
            </w:tcBorders>
            <w:shd w:val="clear" w:color="D9D9D9" w:fill="D9D9D9"/>
            <w:noWrap/>
            <w:vAlign w:val="bottom"/>
            <w:hideMark/>
          </w:tcPr>
          <w:p w14:paraId="3FC7823F"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Core earnings per share</w:t>
            </w:r>
          </w:p>
        </w:tc>
        <w:tc>
          <w:tcPr>
            <w:tcW w:w="2140" w:type="dxa"/>
            <w:tcBorders>
              <w:top w:val="nil"/>
              <w:left w:val="nil"/>
              <w:bottom w:val="single" w:sz="4" w:space="0" w:color="000000"/>
              <w:right w:val="nil"/>
            </w:tcBorders>
            <w:shd w:val="clear" w:color="D9D9D9" w:fill="D9D9D9"/>
            <w:noWrap/>
            <w:vAlign w:val="bottom"/>
            <w:hideMark/>
          </w:tcPr>
          <w:p w14:paraId="63DC773D"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1</w:t>
            </w:r>
          </w:p>
        </w:tc>
      </w:tr>
      <w:tr w:rsidR="001C3C09" w:rsidRPr="001C3C09" w14:paraId="1BEC1222" w14:textId="77777777" w:rsidTr="001C3C09">
        <w:trPr>
          <w:trHeight w:val="300"/>
        </w:trPr>
        <w:tc>
          <w:tcPr>
            <w:tcW w:w="5740" w:type="dxa"/>
            <w:tcBorders>
              <w:top w:val="single" w:sz="4" w:space="0" w:color="000000"/>
              <w:left w:val="nil"/>
              <w:bottom w:val="single" w:sz="4" w:space="0" w:color="000000"/>
              <w:right w:val="nil"/>
            </w:tcBorders>
            <w:shd w:val="clear" w:color="auto" w:fill="auto"/>
            <w:noWrap/>
            <w:vAlign w:val="bottom"/>
            <w:hideMark/>
          </w:tcPr>
          <w:p w14:paraId="2B39A098" w14:textId="77777777" w:rsidR="001C3C09" w:rsidRPr="001C3C09" w:rsidRDefault="001C3C09" w:rsidP="00AF13F0">
            <w:pPr>
              <w:rPr>
                <w:rFonts w:ascii="Calibri" w:eastAsia="Times New Roman" w:hAnsi="Calibri" w:cs="Times New Roman"/>
                <w:b/>
                <w:bCs/>
                <w:color w:val="000000"/>
              </w:rPr>
            </w:pPr>
            <w:r w:rsidRPr="001C3C09">
              <w:rPr>
                <w:rFonts w:ascii="Calibri" w:eastAsia="Times New Roman" w:hAnsi="Calibri" w:cs="Times New Roman"/>
                <w:b/>
                <w:bCs/>
                <w:color w:val="000000"/>
              </w:rPr>
              <w:t>Non-GAAP indicator bedrijfsspecifiek</w:t>
            </w:r>
          </w:p>
        </w:tc>
        <w:tc>
          <w:tcPr>
            <w:tcW w:w="2140" w:type="dxa"/>
            <w:tcBorders>
              <w:top w:val="single" w:sz="4" w:space="0" w:color="000000"/>
              <w:left w:val="nil"/>
              <w:bottom w:val="single" w:sz="4" w:space="0" w:color="000000"/>
              <w:right w:val="nil"/>
            </w:tcBorders>
            <w:shd w:val="clear" w:color="auto" w:fill="auto"/>
            <w:noWrap/>
            <w:vAlign w:val="bottom"/>
            <w:hideMark/>
          </w:tcPr>
          <w:p w14:paraId="5CD2BEBC" w14:textId="77777777" w:rsidR="001C3C09" w:rsidRPr="001C3C09" w:rsidRDefault="001C3C09" w:rsidP="00AF13F0">
            <w:pPr>
              <w:rPr>
                <w:rFonts w:ascii="Calibri" w:eastAsia="Times New Roman" w:hAnsi="Calibri" w:cs="Times New Roman"/>
                <w:b/>
                <w:bCs/>
                <w:color w:val="000000"/>
              </w:rPr>
            </w:pPr>
            <w:r w:rsidRPr="001C3C09">
              <w:rPr>
                <w:rFonts w:ascii="Calibri" w:eastAsia="Times New Roman" w:hAnsi="Calibri" w:cs="Times New Roman"/>
                <w:b/>
                <w:bCs/>
                <w:color w:val="000000"/>
              </w:rPr>
              <w:t>aantal x vermeld</w:t>
            </w:r>
          </w:p>
        </w:tc>
      </w:tr>
      <w:tr w:rsidR="001C3C09" w:rsidRPr="001C3C09" w14:paraId="77F6E081" w14:textId="77777777" w:rsidTr="001C3C09">
        <w:trPr>
          <w:trHeight w:val="300"/>
        </w:trPr>
        <w:tc>
          <w:tcPr>
            <w:tcW w:w="5740" w:type="dxa"/>
            <w:tcBorders>
              <w:top w:val="nil"/>
              <w:left w:val="nil"/>
              <w:bottom w:val="nil"/>
              <w:right w:val="nil"/>
            </w:tcBorders>
            <w:shd w:val="clear" w:color="D9D9D9" w:fill="D9D9D9"/>
            <w:noWrap/>
            <w:vAlign w:val="bottom"/>
            <w:hideMark/>
          </w:tcPr>
          <w:p w14:paraId="4A80620A"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Corporate center costs</w:t>
            </w:r>
          </w:p>
        </w:tc>
        <w:tc>
          <w:tcPr>
            <w:tcW w:w="2140" w:type="dxa"/>
            <w:tcBorders>
              <w:top w:val="nil"/>
              <w:left w:val="nil"/>
              <w:bottom w:val="nil"/>
              <w:right w:val="nil"/>
            </w:tcBorders>
            <w:shd w:val="clear" w:color="D9D9D9" w:fill="D9D9D9"/>
            <w:noWrap/>
            <w:vAlign w:val="bottom"/>
            <w:hideMark/>
          </w:tcPr>
          <w:p w14:paraId="3A3E029C"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1</w:t>
            </w:r>
          </w:p>
        </w:tc>
      </w:tr>
      <w:tr w:rsidR="001C3C09" w:rsidRPr="001C3C09" w14:paraId="586A93E4" w14:textId="77777777" w:rsidTr="001C3C09">
        <w:trPr>
          <w:trHeight w:val="300"/>
        </w:trPr>
        <w:tc>
          <w:tcPr>
            <w:tcW w:w="5740" w:type="dxa"/>
            <w:tcBorders>
              <w:top w:val="nil"/>
              <w:left w:val="nil"/>
              <w:bottom w:val="nil"/>
              <w:right w:val="nil"/>
            </w:tcBorders>
            <w:shd w:val="clear" w:color="auto" w:fill="auto"/>
            <w:noWrap/>
            <w:vAlign w:val="bottom"/>
            <w:hideMark/>
          </w:tcPr>
          <w:p w14:paraId="550F99CA" w14:textId="77777777" w:rsidR="001C3C09" w:rsidRPr="00FA29FC" w:rsidRDefault="001C3C09" w:rsidP="00AF13F0">
            <w:pPr>
              <w:rPr>
                <w:rFonts w:ascii="Calibri" w:eastAsia="Times New Roman" w:hAnsi="Calibri" w:cs="Times New Roman"/>
                <w:color w:val="000000"/>
                <w:lang w:val="en-GB"/>
              </w:rPr>
            </w:pPr>
            <w:r w:rsidRPr="00FA29FC">
              <w:rPr>
                <w:rFonts w:ascii="Calibri" w:eastAsia="Times New Roman" w:hAnsi="Calibri" w:cs="Times New Roman"/>
                <w:color w:val="000000"/>
                <w:lang w:val="en-GB"/>
              </w:rPr>
              <w:t>Identical sales excl. Gasoline net sales</w:t>
            </w:r>
          </w:p>
        </w:tc>
        <w:tc>
          <w:tcPr>
            <w:tcW w:w="2140" w:type="dxa"/>
            <w:tcBorders>
              <w:top w:val="nil"/>
              <w:left w:val="nil"/>
              <w:bottom w:val="nil"/>
              <w:right w:val="nil"/>
            </w:tcBorders>
            <w:shd w:val="clear" w:color="auto" w:fill="auto"/>
            <w:noWrap/>
            <w:vAlign w:val="bottom"/>
            <w:hideMark/>
          </w:tcPr>
          <w:p w14:paraId="528BCDFF"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1</w:t>
            </w:r>
          </w:p>
        </w:tc>
      </w:tr>
      <w:tr w:rsidR="001C3C09" w:rsidRPr="001C3C09" w14:paraId="1DA6C72B" w14:textId="77777777" w:rsidTr="001C3C09">
        <w:trPr>
          <w:trHeight w:val="300"/>
        </w:trPr>
        <w:tc>
          <w:tcPr>
            <w:tcW w:w="5740" w:type="dxa"/>
            <w:tcBorders>
              <w:top w:val="nil"/>
              <w:left w:val="nil"/>
              <w:bottom w:val="nil"/>
              <w:right w:val="nil"/>
            </w:tcBorders>
            <w:shd w:val="clear" w:color="D9D9D9" w:fill="D9D9D9"/>
            <w:noWrap/>
            <w:vAlign w:val="bottom"/>
            <w:hideMark/>
          </w:tcPr>
          <w:p w14:paraId="0BB86D05" w14:textId="77777777" w:rsidR="001C3C09" w:rsidRPr="00FA29FC" w:rsidRDefault="001C3C09" w:rsidP="00AF13F0">
            <w:pPr>
              <w:rPr>
                <w:rFonts w:ascii="Calibri" w:eastAsia="Times New Roman" w:hAnsi="Calibri" w:cs="Times New Roman"/>
                <w:color w:val="000000"/>
                <w:lang w:val="en-GB"/>
              </w:rPr>
            </w:pPr>
            <w:r w:rsidRPr="00FA29FC">
              <w:rPr>
                <w:rFonts w:ascii="Calibri" w:eastAsia="Times New Roman" w:hAnsi="Calibri" w:cs="Times New Roman"/>
                <w:color w:val="000000"/>
                <w:lang w:val="en-GB"/>
              </w:rPr>
              <w:t>Identical sales excl VAT tobacco sales</w:t>
            </w:r>
          </w:p>
        </w:tc>
        <w:tc>
          <w:tcPr>
            <w:tcW w:w="2140" w:type="dxa"/>
            <w:tcBorders>
              <w:top w:val="nil"/>
              <w:left w:val="nil"/>
              <w:bottom w:val="nil"/>
              <w:right w:val="nil"/>
            </w:tcBorders>
            <w:shd w:val="clear" w:color="D9D9D9" w:fill="D9D9D9"/>
            <w:noWrap/>
            <w:vAlign w:val="bottom"/>
            <w:hideMark/>
          </w:tcPr>
          <w:p w14:paraId="3D3B0E77"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1</w:t>
            </w:r>
          </w:p>
        </w:tc>
      </w:tr>
      <w:tr w:rsidR="001C3C09" w:rsidRPr="001C3C09" w14:paraId="5693EAA1" w14:textId="77777777" w:rsidTr="001C3C09">
        <w:trPr>
          <w:trHeight w:val="300"/>
        </w:trPr>
        <w:tc>
          <w:tcPr>
            <w:tcW w:w="5740" w:type="dxa"/>
            <w:tcBorders>
              <w:top w:val="nil"/>
              <w:left w:val="nil"/>
              <w:bottom w:val="single" w:sz="4" w:space="0" w:color="000000"/>
              <w:right w:val="nil"/>
            </w:tcBorders>
            <w:shd w:val="clear" w:color="auto" w:fill="auto"/>
            <w:noWrap/>
            <w:vAlign w:val="bottom"/>
            <w:hideMark/>
          </w:tcPr>
          <w:p w14:paraId="22339198"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Net consumer sales online</w:t>
            </w:r>
          </w:p>
        </w:tc>
        <w:tc>
          <w:tcPr>
            <w:tcW w:w="2140" w:type="dxa"/>
            <w:tcBorders>
              <w:top w:val="nil"/>
              <w:left w:val="nil"/>
              <w:bottom w:val="single" w:sz="4" w:space="0" w:color="000000"/>
              <w:right w:val="nil"/>
            </w:tcBorders>
            <w:shd w:val="clear" w:color="auto" w:fill="auto"/>
            <w:noWrap/>
            <w:vAlign w:val="bottom"/>
            <w:hideMark/>
          </w:tcPr>
          <w:p w14:paraId="2F6526F2" w14:textId="77777777" w:rsidR="001C3C09" w:rsidRPr="001C3C09" w:rsidRDefault="001C3C09" w:rsidP="00AF13F0">
            <w:pPr>
              <w:rPr>
                <w:rFonts w:ascii="Calibri" w:eastAsia="Times New Roman" w:hAnsi="Calibri" w:cs="Times New Roman"/>
                <w:color w:val="000000"/>
              </w:rPr>
            </w:pPr>
            <w:r w:rsidRPr="001C3C09">
              <w:rPr>
                <w:rFonts w:ascii="Calibri" w:eastAsia="Times New Roman" w:hAnsi="Calibri" w:cs="Times New Roman"/>
                <w:color w:val="000000"/>
              </w:rPr>
              <w:t>1</w:t>
            </w:r>
          </w:p>
        </w:tc>
      </w:tr>
    </w:tbl>
    <w:p w14:paraId="701785D9" w14:textId="77777777" w:rsidR="00AF13F0" w:rsidRDefault="00AF13F0" w:rsidP="00AF13F0">
      <w:pPr>
        <w:spacing w:line="360" w:lineRule="auto"/>
        <w:rPr>
          <w:b/>
        </w:rPr>
      </w:pPr>
    </w:p>
    <w:p w14:paraId="5176DA02" w14:textId="77777777" w:rsidR="00AF13F0" w:rsidRDefault="00AF13F0" w:rsidP="00AF13F0">
      <w:pPr>
        <w:spacing w:line="360" w:lineRule="auto"/>
        <w:rPr>
          <w:b/>
        </w:rPr>
      </w:pPr>
    </w:p>
    <w:p w14:paraId="5796592A" w14:textId="77777777" w:rsidR="00AF13F0" w:rsidRDefault="00AF13F0" w:rsidP="00AF13F0">
      <w:pPr>
        <w:spacing w:line="360" w:lineRule="auto"/>
        <w:rPr>
          <w:b/>
        </w:rPr>
      </w:pPr>
    </w:p>
    <w:p w14:paraId="3DE78350" w14:textId="77777777" w:rsidR="00AF13F0" w:rsidRDefault="00AF13F0" w:rsidP="00AF13F0">
      <w:pPr>
        <w:spacing w:line="360" w:lineRule="auto"/>
        <w:rPr>
          <w:b/>
        </w:rPr>
      </w:pPr>
    </w:p>
    <w:p w14:paraId="75A572D8" w14:textId="77777777" w:rsidR="00AF13F0" w:rsidRDefault="00AF13F0" w:rsidP="00AF13F0">
      <w:pPr>
        <w:spacing w:line="360" w:lineRule="auto"/>
        <w:rPr>
          <w:b/>
        </w:rPr>
      </w:pPr>
    </w:p>
    <w:p w14:paraId="6733C00D" w14:textId="77777777" w:rsidR="00AF13F0" w:rsidRDefault="00AF13F0" w:rsidP="00AF13F0">
      <w:pPr>
        <w:spacing w:line="360" w:lineRule="auto"/>
        <w:rPr>
          <w:b/>
        </w:rPr>
      </w:pPr>
    </w:p>
    <w:p w14:paraId="475BAF07" w14:textId="77777777" w:rsidR="00AF13F0" w:rsidRDefault="00AF13F0" w:rsidP="00AF13F0">
      <w:pPr>
        <w:spacing w:line="360" w:lineRule="auto"/>
        <w:rPr>
          <w:b/>
        </w:rPr>
      </w:pPr>
    </w:p>
    <w:p w14:paraId="2356867F" w14:textId="77777777" w:rsidR="00AF13F0" w:rsidRDefault="00AF13F0" w:rsidP="00AF13F0">
      <w:pPr>
        <w:spacing w:line="360" w:lineRule="auto"/>
        <w:rPr>
          <w:b/>
        </w:rPr>
      </w:pPr>
    </w:p>
    <w:p w14:paraId="49727FA4" w14:textId="77777777" w:rsidR="00AF13F0" w:rsidRDefault="00AF13F0" w:rsidP="00AF13F0">
      <w:pPr>
        <w:spacing w:line="360" w:lineRule="auto"/>
        <w:rPr>
          <w:b/>
        </w:rPr>
      </w:pPr>
    </w:p>
    <w:p w14:paraId="489797AF" w14:textId="77777777" w:rsidR="00AF13F0" w:rsidRDefault="00AF13F0" w:rsidP="00AF13F0">
      <w:pPr>
        <w:spacing w:line="360" w:lineRule="auto"/>
        <w:rPr>
          <w:b/>
        </w:rPr>
      </w:pPr>
    </w:p>
    <w:p w14:paraId="7AA2FDFF" w14:textId="77777777" w:rsidR="00AF13F0" w:rsidRDefault="00AF13F0" w:rsidP="00AF13F0">
      <w:pPr>
        <w:spacing w:line="360" w:lineRule="auto"/>
        <w:rPr>
          <w:b/>
        </w:rPr>
      </w:pPr>
    </w:p>
    <w:p w14:paraId="59F70F47" w14:textId="77777777" w:rsidR="00AF13F0" w:rsidRDefault="00AF13F0" w:rsidP="00AF13F0">
      <w:pPr>
        <w:spacing w:line="360" w:lineRule="auto"/>
        <w:rPr>
          <w:b/>
        </w:rPr>
      </w:pPr>
    </w:p>
    <w:p w14:paraId="76120981" w14:textId="77777777" w:rsidR="00AF13F0" w:rsidRDefault="00AF13F0" w:rsidP="00AF13F0">
      <w:pPr>
        <w:spacing w:line="360" w:lineRule="auto"/>
        <w:rPr>
          <w:b/>
        </w:rPr>
      </w:pPr>
    </w:p>
    <w:p w14:paraId="2D039D97" w14:textId="77777777" w:rsidR="00AF13F0" w:rsidRDefault="00AF13F0" w:rsidP="00AF13F0">
      <w:pPr>
        <w:spacing w:line="360" w:lineRule="auto"/>
        <w:rPr>
          <w:b/>
        </w:rPr>
      </w:pPr>
    </w:p>
    <w:p w14:paraId="3DED3FEC" w14:textId="00559952" w:rsidR="000E6931" w:rsidRDefault="00034A9A" w:rsidP="00AF13F0">
      <w:pPr>
        <w:spacing w:line="360" w:lineRule="auto"/>
        <w:rPr>
          <w:b/>
        </w:rPr>
      </w:pPr>
      <w:r>
        <w:rPr>
          <w:b/>
        </w:rPr>
        <w:t>Tabel 8</w:t>
      </w:r>
      <w:r>
        <w:rPr>
          <w:b/>
        </w:rPr>
        <w:tab/>
      </w:r>
      <w:r>
        <w:rPr>
          <w:b/>
        </w:rPr>
        <w:tab/>
      </w:r>
      <w:r>
        <w:rPr>
          <w:b/>
        </w:rPr>
        <w:tab/>
      </w:r>
      <w:r>
        <w:rPr>
          <w:b/>
        </w:rPr>
        <w:tab/>
      </w:r>
      <w:r>
        <w:rPr>
          <w:b/>
        </w:rPr>
        <w:tab/>
      </w:r>
      <w:r>
        <w:rPr>
          <w:b/>
        </w:rPr>
        <w:tab/>
        <w:t xml:space="preserve"> </w:t>
      </w:r>
    </w:p>
    <w:tbl>
      <w:tblPr>
        <w:tblW w:w="8565" w:type="dxa"/>
        <w:tblLook w:val="04A0" w:firstRow="1" w:lastRow="0" w:firstColumn="1" w:lastColumn="0" w:noHBand="0" w:noVBand="1"/>
      </w:tblPr>
      <w:tblGrid>
        <w:gridCol w:w="103"/>
        <w:gridCol w:w="3113"/>
        <w:gridCol w:w="103"/>
        <w:gridCol w:w="5143"/>
        <w:gridCol w:w="103"/>
      </w:tblGrid>
      <w:tr w:rsidR="00034A9A" w:rsidRPr="00034A9A" w14:paraId="5C5D4E10" w14:textId="77777777" w:rsidTr="004123E7">
        <w:trPr>
          <w:gridBefore w:val="1"/>
          <w:wBefore w:w="103" w:type="dxa"/>
          <w:trHeight w:val="302"/>
        </w:trPr>
        <w:tc>
          <w:tcPr>
            <w:tcW w:w="3216" w:type="dxa"/>
            <w:gridSpan w:val="2"/>
            <w:tcBorders>
              <w:top w:val="single" w:sz="4" w:space="0" w:color="000000"/>
              <w:left w:val="nil"/>
              <w:bottom w:val="single" w:sz="4" w:space="0" w:color="000000"/>
              <w:right w:val="nil"/>
            </w:tcBorders>
            <w:shd w:val="clear" w:color="auto" w:fill="auto"/>
            <w:noWrap/>
            <w:vAlign w:val="bottom"/>
            <w:hideMark/>
          </w:tcPr>
          <w:p w14:paraId="1870952F" w14:textId="77777777" w:rsidR="00034A9A" w:rsidRPr="00034A9A" w:rsidRDefault="00034A9A" w:rsidP="00AF13F0">
            <w:pPr>
              <w:rPr>
                <w:rFonts w:ascii="Calibri" w:eastAsia="Times New Roman" w:hAnsi="Calibri" w:cs="Times New Roman"/>
                <w:b/>
                <w:bCs/>
                <w:color w:val="000000"/>
              </w:rPr>
            </w:pPr>
            <w:r w:rsidRPr="00034A9A">
              <w:rPr>
                <w:rFonts w:ascii="Calibri" w:eastAsia="Times New Roman" w:hAnsi="Calibri" w:cs="Times New Roman"/>
                <w:b/>
                <w:bCs/>
                <w:color w:val="000000"/>
              </w:rPr>
              <w:t>Alternatieve indicator</w:t>
            </w:r>
          </w:p>
        </w:tc>
        <w:tc>
          <w:tcPr>
            <w:tcW w:w="5246" w:type="dxa"/>
            <w:gridSpan w:val="2"/>
            <w:tcBorders>
              <w:top w:val="single" w:sz="4" w:space="0" w:color="000000"/>
              <w:left w:val="nil"/>
              <w:bottom w:val="single" w:sz="4" w:space="0" w:color="000000"/>
              <w:right w:val="nil"/>
            </w:tcBorders>
            <w:shd w:val="clear" w:color="auto" w:fill="auto"/>
            <w:noWrap/>
            <w:vAlign w:val="bottom"/>
            <w:hideMark/>
          </w:tcPr>
          <w:p w14:paraId="3217F6A1" w14:textId="77777777" w:rsidR="00034A9A" w:rsidRPr="00034A9A" w:rsidRDefault="00034A9A" w:rsidP="00AF13F0">
            <w:pPr>
              <w:rPr>
                <w:rFonts w:ascii="Calibri" w:eastAsia="Times New Roman" w:hAnsi="Calibri" w:cs="Times New Roman"/>
                <w:b/>
                <w:bCs/>
                <w:color w:val="000000"/>
              </w:rPr>
            </w:pPr>
            <w:r w:rsidRPr="00034A9A">
              <w:rPr>
                <w:rFonts w:ascii="Calibri" w:eastAsia="Times New Roman" w:hAnsi="Calibri" w:cs="Times New Roman"/>
                <w:b/>
                <w:bCs/>
                <w:color w:val="000000"/>
              </w:rPr>
              <w:t>Bedrijf</w:t>
            </w:r>
          </w:p>
        </w:tc>
      </w:tr>
      <w:tr w:rsidR="00034A9A" w:rsidRPr="00034A9A" w14:paraId="0A66A978" w14:textId="77777777" w:rsidTr="004123E7">
        <w:trPr>
          <w:gridBefore w:val="1"/>
          <w:wBefore w:w="103" w:type="dxa"/>
          <w:trHeight w:val="302"/>
        </w:trPr>
        <w:tc>
          <w:tcPr>
            <w:tcW w:w="3216" w:type="dxa"/>
            <w:gridSpan w:val="2"/>
            <w:tcBorders>
              <w:top w:val="nil"/>
              <w:left w:val="nil"/>
              <w:bottom w:val="nil"/>
              <w:right w:val="nil"/>
            </w:tcBorders>
            <w:shd w:val="clear" w:color="D9D9D9" w:fill="D9D9D9"/>
            <w:noWrap/>
            <w:vAlign w:val="bottom"/>
            <w:hideMark/>
          </w:tcPr>
          <w:p w14:paraId="028891E9" w14:textId="77777777" w:rsidR="00034A9A" w:rsidRPr="00034A9A" w:rsidRDefault="00034A9A" w:rsidP="00AF13F0">
            <w:pPr>
              <w:rPr>
                <w:rFonts w:ascii="Calibri" w:eastAsia="Times New Roman" w:hAnsi="Calibri" w:cs="Times New Roman"/>
                <w:b/>
                <w:bCs/>
                <w:color w:val="000000"/>
              </w:rPr>
            </w:pPr>
            <w:r w:rsidRPr="00034A9A">
              <w:rPr>
                <w:rFonts w:ascii="Calibri" w:eastAsia="Times New Roman" w:hAnsi="Calibri" w:cs="Times New Roman"/>
                <w:b/>
                <w:bCs/>
                <w:color w:val="000000"/>
              </w:rPr>
              <w:t>Winst per aandeel - Diluted</w:t>
            </w:r>
          </w:p>
        </w:tc>
        <w:tc>
          <w:tcPr>
            <w:tcW w:w="5246" w:type="dxa"/>
            <w:gridSpan w:val="2"/>
            <w:tcBorders>
              <w:top w:val="nil"/>
              <w:left w:val="nil"/>
              <w:bottom w:val="nil"/>
              <w:right w:val="nil"/>
            </w:tcBorders>
            <w:shd w:val="clear" w:color="D9D9D9" w:fill="D9D9D9"/>
            <w:noWrap/>
            <w:vAlign w:val="bottom"/>
            <w:hideMark/>
          </w:tcPr>
          <w:p w14:paraId="4C523FCE" w14:textId="77777777" w:rsidR="00034A9A" w:rsidRPr="00034A9A" w:rsidRDefault="00034A9A" w:rsidP="00AF13F0">
            <w:pPr>
              <w:rPr>
                <w:rFonts w:ascii="Calibri" w:eastAsia="Times New Roman" w:hAnsi="Calibri" w:cs="Times New Roman"/>
                <w:color w:val="000000"/>
              </w:rPr>
            </w:pPr>
            <w:r w:rsidRPr="00034A9A">
              <w:rPr>
                <w:rFonts w:ascii="Calibri" w:eastAsia="Times New Roman" w:hAnsi="Calibri" w:cs="Times New Roman"/>
                <w:color w:val="000000"/>
              </w:rPr>
              <w:t>Aalberts</w:t>
            </w:r>
          </w:p>
        </w:tc>
      </w:tr>
      <w:tr w:rsidR="00034A9A" w:rsidRPr="00034A9A" w14:paraId="3CAF0FB9" w14:textId="77777777" w:rsidTr="004123E7">
        <w:trPr>
          <w:gridBefore w:val="1"/>
          <w:wBefore w:w="103" w:type="dxa"/>
          <w:trHeight w:val="302"/>
        </w:trPr>
        <w:tc>
          <w:tcPr>
            <w:tcW w:w="3216" w:type="dxa"/>
            <w:gridSpan w:val="2"/>
            <w:tcBorders>
              <w:top w:val="nil"/>
              <w:left w:val="nil"/>
              <w:bottom w:val="nil"/>
              <w:right w:val="nil"/>
            </w:tcBorders>
            <w:shd w:val="clear" w:color="auto" w:fill="auto"/>
            <w:noWrap/>
            <w:vAlign w:val="bottom"/>
            <w:hideMark/>
          </w:tcPr>
          <w:p w14:paraId="1F800CBB" w14:textId="77777777" w:rsidR="00034A9A" w:rsidRPr="00034A9A" w:rsidRDefault="00034A9A" w:rsidP="00AF13F0">
            <w:pPr>
              <w:rPr>
                <w:rFonts w:ascii="Calibri" w:eastAsia="Times New Roman" w:hAnsi="Calibri" w:cs="Times New Roman"/>
                <w:color w:val="000000"/>
              </w:rPr>
            </w:pPr>
          </w:p>
        </w:tc>
        <w:tc>
          <w:tcPr>
            <w:tcW w:w="5246" w:type="dxa"/>
            <w:gridSpan w:val="2"/>
            <w:tcBorders>
              <w:top w:val="nil"/>
              <w:left w:val="nil"/>
              <w:bottom w:val="nil"/>
              <w:right w:val="nil"/>
            </w:tcBorders>
            <w:shd w:val="clear" w:color="auto" w:fill="auto"/>
            <w:noWrap/>
            <w:vAlign w:val="bottom"/>
            <w:hideMark/>
          </w:tcPr>
          <w:p w14:paraId="0E7514E3" w14:textId="77777777" w:rsidR="00034A9A" w:rsidRPr="00034A9A" w:rsidRDefault="00034A9A" w:rsidP="00AF13F0">
            <w:pPr>
              <w:rPr>
                <w:rFonts w:ascii="Calibri" w:eastAsia="Times New Roman" w:hAnsi="Calibri" w:cs="Times New Roman"/>
                <w:color w:val="000000"/>
              </w:rPr>
            </w:pPr>
            <w:r w:rsidRPr="00034A9A">
              <w:rPr>
                <w:rFonts w:ascii="Calibri" w:eastAsia="Times New Roman" w:hAnsi="Calibri" w:cs="Times New Roman"/>
                <w:color w:val="000000"/>
              </w:rPr>
              <w:t>Aegon</w:t>
            </w:r>
          </w:p>
        </w:tc>
      </w:tr>
      <w:tr w:rsidR="00034A9A" w:rsidRPr="00034A9A" w14:paraId="14C224D7" w14:textId="77777777" w:rsidTr="004123E7">
        <w:trPr>
          <w:gridBefore w:val="1"/>
          <w:wBefore w:w="103" w:type="dxa"/>
          <w:trHeight w:val="302"/>
        </w:trPr>
        <w:tc>
          <w:tcPr>
            <w:tcW w:w="3216" w:type="dxa"/>
            <w:gridSpan w:val="2"/>
            <w:tcBorders>
              <w:top w:val="nil"/>
              <w:left w:val="nil"/>
              <w:bottom w:val="nil"/>
              <w:right w:val="nil"/>
            </w:tcBorders>
            <w:shd w:val="clear" w:color="D9D9D9" w:fill="D9D9D9"/>
            <w:noWrap/>
            <w:vAlign w:val="bottom"/>
            <w:hideMark/>
          </w:tcPr>
          <w:p w14:paraId="22FAFC15" w14:textId="77777777" w:rsidR="00034A9A" w:rsidRPr="00034A9A" w:rsidRDefault="00034A9A" w:rsidP="00AF13F0">
            <w:pPr>
              <w:rPr>
                <w:rFonts w:ascii="Calibri" w:eastAsia="Times New Roman" w:hAnsi="Calibri" w:cs="Times New Roman"/>
                <w:color w:val="000000"/>
              </w:rPr>
            </w:pPr>
          </w:p>
        </w:tc>
        <w:tc>
          <w:tcPr>
            <w:tcW w:w="5246" w:type="dxa"/>
            <w:gridSpan w:val="2"/>
            <w:tcBorders>
              <w:top w:val="nil"/>
              <w:left w:val="nil"/>
              <w:bottom w:val="nil"/>
              <w:right w:val="nil"/>
            </w:tcBorders>
            <w:shd w:val="clear" w:color="D9D9D9" w:fill="D9D9D9"/>
            <w:noWrap/>
            <w:vAlign w:val="bottom"/>
            <w:hideMark/>
          </w:tcPr>
          <w:p w14:paraId="11A57D3C" w14:textId="77777777" w:rsidR="00034A9A" w:rsidRPr="00034A9A" w:rsidRDefault="00034A9A" w:rsidP="00AF13F0">
            <w:pPr>
              <w:rPr>
                <w:rFonts w:ascii="Calibri" w:eastAsia="Times New Roman" w:hAnsi="Calibri" w:cs="Times New Roman"/>
                <w:color w:val="000000"/>
              </w:rPr>
            </w:pPr>
            <w:r w:rsidRPr="00034A9A">
              <w:rPr>
                <w:rFonts w:ascii="Calibri" w:eastAsia="Times New Roman" w:hAnsi="Calibri" w:cs="Times New Roman"/>
                <w:color w:val="000000"/>
              </w:rPr>
              <w:t>Ahold</w:t>
            </w:r>
          </w:p>
        </w:tc>
      </w:tr>
      <w:tr w:rsidR="00034A9A" w:rsidRPr="00034A9A" w14:paraId="23389BB6" w14:textId="77777777" w:rsidTr="004123E7">
        <w:trPr>
          <w:gridBefore w:val="1"/>
          <w:wBefore w:w="103" w:type="dxa"/>
          <w:trHeight w:val="302"/>
        </w:trPr>
        <w:tc>
          <w:tcPr>
            <w:tcW w:w="3216" w:type="dxa"/>
            <w:gridSpan w:val="2"/>
            <w:tcBorders>
              <w:top w:val="nil"/>
              <w:left w:val="nil"/>
              <w:bottom w:val="nil"/>
              <w:right w:val="nil"/>
            </w:tcBorders>
            <w:shd w:val="clear" w:color="auto" w:fill="auto"/>
            <w:noWrap/>
            <w:vAlign w:val="bottom"/>
            <w:hideMark/>
          </w:tcPr>
          <w:p w14:paraId="770C0EDD" w14:textId="77777777" w:rsidR="00034A9A" w:rsidRPr="00034A9A" w:rsidRDefault="00034A9A" w:rsidP="00AF13F0">
            <w:pPr>
              <w:rPr>
                <w:rFonts w:ascii="Calibri" w:eastAsia="Times New Roman" w:hAnsi="Calibri" w:cs="Times New Roman"/>
                <w:color w:val="000000"/>
              </w:rPr>
            </w:pPr>
          </w:p>
        </w:tc>
        <w:tc>
          <w:tcPr>
            <w:tcW w:w="5246" w:type="dxa"/>
            <w:gridSpan w:val="2"/>
            <w:tcBorders>
              <w:top w:val="nil"/>
              <w:left w:val="nil"/>
              <w:bottom w:val="nil"/>
              <w:right w:val="nil"/>
            </w:tcBorders>
            <w:shd w:val="clear" w:color="auto" w:fill="auto"/>
            <w:noWrap/>
            <w:vAlign w:val="bottom"/>
            <w:hideMark/>
          </w:tcPr>
          <w:p w14:paraId="24A32E6C" w14:textId="77777777" w:rsidR="00034A9A" w:rsidRPr="00034A9A" w:rsidRDefault="00034A9A" w:rsidP="00AF13F0">
            <w:pPr>
              <w:rPr>
                <w:rFonts w:ascii="Calibri" w:eastAsia="Times New Roman" w:hAnsi="Calibri" w:cs="Times New Roman"/>
                <w:color w:val="000000"/>
              </w:rPr>
            </w:pPr>
            <w:r w:rsidRPr="00034A9A">
              <w:rPr>
                <w:rFonts w:ascii="Calibri" w:eastAsia="Times New Roman" w:hAnsi="Calibri" w:cs="Times New Roman"/>
                <w:color w:val="000000"/>
              </w:rPr>
              <w:t>Akzo Nobel</w:t>
            </w:r>
          </w:p>
        </w:tc>
      </w:tr>
      <w:tr w:rsidR="00034A9A" w:rsidRPr="00034A9A" w14:paraId="2784EF44" w14:textId="77777777" w:rsidTr="004123E7">
        <w:trPr>
          <w:gridBefore w:val="1"/>
          <w:wBefore w:w="103" w:type="dxa"/>
          <w:trHeight w:val="302"/>
        </w:trPr>
        <w:tc>
          <w:tcPr>
            <w:tcW w:w="3216" w:type="dxa"/>
            <w:gridSpan w:val="2"/>
            <w:tcBorders>
              <w:top w:val="nil"/>
              <w:left w:val="nil"/>
              <w:bottom w:val="nil"/>
              <w:right w:val="nil"/>
            </w:tcBorders>
            <w:shd w:val="clear" w:color="D9D9D9" w:fill="D9D9D9"/>
            <w:noWrap/>
            <w:vAlign w:val="bottom"/>
            <w:hideMark/>
          </w:tcPr>
          <w:p w14:paraId="4DBA4A9E" w14:textId="77777777" w:rsidR="00034A9A" w:rsidRPr="00034A9A" w:rsidRDefault="00034A9A" w:rsidP="00AF13F0">
            <w:pPr>
              <w:rPr>
                <w:rFonts w:ascii="Calibri" w:eastAsia="Times New Roman" w:hAnsi="Calibri" w:cs="Times New Roman"/>
                <w:color w:val="000000"/>
              </w:rPr>
            </w:pPr>
          </w:p>
        </w:tc>
        <w:tc>
          <w:tcPr>
            <w:tcW w:w="5246" w:type="dxa"/>
            <w:gridSpan w:val="2"/>
            <w:tcBorders>
              <w:top w:val="nil"/>
              <w:left w:val="nil"/>
              <w:bottom w:val="nil"/>
              <w:right w:val="nil"/>
            </w:tcBorders>
            <w:shd w:val="clear" w:color="D9D9D9" w:fill="D9D9D9"/>
            <w:noWrap/>
            <w:vAlign w:val="bottom"/>
            <w:hideMark/>
          </w:tcPr>
          <w:p w14:paraId="7ECD5D65" w14:textId="77777777" w:rsidR="00034A9A" w:rsidRPr="00034A9A" w:rsidRDefault="00034A9A" w:rsidP="00AF13F0">
            <w:pPr>
              <w:rPr>
                <w:rFonts w:ascii="Calibri" w:eastAsia="Times New Roman" w:hAnsi="Calibri" w:cs="Times New Roman"/>
                <w:color w:val="000000"/>
              </w:rPr>
            </w:pPr>
            <w:r w:rsidRPr="00034A9A">
              <w:rPr>
                <w:rFonts w:ascii="Calibri" w:eastAsia="Times New Roman" w:hAnsi="Calibri" w:cs="Times New Roman"/>
                <w:color w:val="000000"/>
              </w:rPr>
              <w:t>ArcelorMittal</w:t>
            </w:r>
          </w:p>
        </w:tc>
      </w:tr>
      <w:tr w:rsidR="00034A9A" w:rsidRPr="00034A9A" w14:paraId="3239D833" w14:textId="77777777" w:rsidTr="004123E7">
        <w:trPr>
          <w:gridBefore w:val="1"/>
          <w:wBefore w:w="103" w:type="dxa"/>
          <w:trHeight w:val="302"/>
        </w:trPr>
        <w:tc>
          <w:tcPr>
            <w:tcW w:w="3216" w:type="dxa"/>
            <w:gridSpan w:val="2"/>
            <w:tcBorders>
              <w:top w:val="nil"/>
              <w:left w:val="nil"/>
              <w:bottom w:val="nil"/>
              <w:right w:val="nil"/>
            </w:tcBorders>
            <w:shd w:val="clear" w:color="auto" w:fill="auto"/>
            <w:noWrap/>
            <w:vAlign w:val="bottom"/>
            <w:hideMark/>
          </w:tcPr>
          <w:p w14:paraId="31DBDC0B" w14:textId="77777777" w:rsidR="00034A9A" w:rsidRPr="00034A9A" w:rsidRDefault="00034A9A" w:rsidP="00AF13F0">
            <w:pPr>
              <w:rPr>
                <w:rFonts w:ascii="Calibri" w:eastAsia="Times New Roman" w:hAnsi="Calibri" w:cs="Times New Roman"/>
                <w:color w:val="000000"/>
              </w:rPr>
            </w:pPr>
          </w:p>
        </w:tc>
        <w:tc>
          <w:tcPr>
            <w:tcW w:w="5246" w:type="dxa"/>
            <w:gridSpan w:val="2"/>
            <w:tcBorders>
              <w:top w:val="nil"/>
              <w:left w:val="nil"/>
              <w:bottom w:val="nil"/>
              <w:right w:val="nil"/>
            </w:tcBorders>
            <w:shd w:val="clear" w:color="auto" w:fill="auto"/>
            <w:noWrap/>
            <w:vAlign w:val="bottom"/>
            <w:hideMark/>
          </w:tcPr>
          <w:p w14:paraId="5A9571C1" w14:textId="77777777" w:rsidR="00034A9A" w:rsidRPr="00034A9A" w:rsidRDefault="00034A9A" w:rsidP="00AF13F0">
            <w:pPr>
              <w:rPr>
                <w:rFonts w:ascii="Calibri" w:eastAsia="Times New Roman" w:hAnsi="Calibri" w:cs="Times New Roman"/>
                <w:color w:val="000000"/>
              </w:rPr>
            </w:pPr>
            <w:r w:rsidRPr="00034A9A">
              <w:rPr>
                <w:rFonts w:ascii="Calibri" w:eastAsia="Times New Roman" w:hAnsi="Calibri" w:cs="Times New Roman"/>
                <w:color w:val="000000"/>
              </w:rPr>
              <w:t>Boskalis</w:t>
            </w:r>
          </w:p>
        </w:tc>
      </w:tr>
      <w:tr w:rsidR="00034A9A" w:rsidRPr="00034A9A" w14:paraId="3416E8A3" w14:textId="77777777" w:rsidTr="004123E7">
        <w:trPr>
          <w:gridBefore w:val="1"/>
          <w:wBefore w:w="103" w:type="dxa"/>
          <w:trHeight w:val="302"/>
        </w:trPr>
        <w:tc>
          <w:tcPr>
            <w:tcW w:w="3216" w:type="dxa"/>
            <w:gridSpan w:val="2"/>
            <w:tcBorders>
              <w:top w:val="nil"/>
              <w:left w:val="nil"/>
              <w:bottom w:val="nil"/>
              <w:right w:val="nil"/>
            </w:tcBorders>
            <w:shd w:val="clear" w:color="D9D9D9" w:fill="D9D9D9"/>
            <w:noWrap/>
            <w:vAlign w:val="bottom"/>
            <w:hideMark/>
          </w:tcPr>
          <w:p w14:paraId="7027E342" w14:textId="77777777" w:rsidR="00034A9A" w:rsidRPr="00034A9A" w:rsidRDefault="00034A9A" w:rsidP="00AF13F0">
            <w:pPr>
              <w:rPr>
                <w:rFonts w:ascii="Calibri" w:eastAsia="Times New Roman" w:hAnsi="Calibri" w:cs="Times New Roman"/>
                <w:color w:val="000000"/>
              </w:rPr>
            </w:pPr>
          </w:p>
        </w:tc>
        <w:tc>
          <w:tcPr>
            <w:tcW w:w="5246" w:type="dxa"/>
            <w:gridSpan w:val="2"/>
            <w:tcBorders>
              <w:top w:val="nil"/>
              <w:left w:val="nil"/>
              <w:bottom w:val="nil"/>
              <w:right w:val="nil"/>
            </w:tcBorders>
            <w:shd w:val="clear" w:color="D9D9D9" w:fill="D9D9D9"/>
            <w:noWrap/>
            <w:vAlign w:val="bottom"/>
            <w:hideMark/>
          </w:tcPr>
          <w:p w14:paraId="454646CC" w14:textId="77777777" w:rsidR="00034A9A" w:rsidRPr="00034A9A" w:rsidRDefault="00034A9A" w:rsidP="00AF13F0">
            <w:pPr>
              <w:rPr>
                <w:rFonts w:ascii="Calibri" w:eastAsia="Times New Roman" w:hAnsi="Calibri" w:cs="Times New Roman"/>
                <w:color w:val="000000"/>
              </w:rPr>
            </w:pPr>
            <w:r w:rsidRPr="00034A9A">
              <w:rPr>
                <w:rFonts w:ascii="Calibri" w:eastAsia="Times New Roman" w:hAnsi="Calibri" w:cs="Times New Roman"/>
                <w:color w:val="000000"/>
              </w:rPr>
              <w:t>Delta Lloyd</w:t>
            </w:r>
          </w:p>
        </w:tc>
      </w:tr>
      <w:tr w:rsidR="00034A9A" w:rsidRPr="00034A9A" w14:paraId="429BBD2A" w14:textId="77777777" w:rsidTr="004123E7">
        <w:trPr>
          <w:gridBefore w:val="1"/>
          <w:wBefore w:w="103" w:type="dxa"/>
          <w:trHeight w:val="302"/>
        </w:trPr>
        <w:tc>
          <w:tcPr>
            <w:tcW w:w="3216" w:type="dxa"/>
            <w:gridSpan w:val="2"/>
            <w:tcBorders>
              <w:top w:val="nil"/>
              <w:left w:val="nil"/>
              <w:bottom w:val="nil"/>
              <w:right w:val="nil"/>
            </w:tcBorders>
            <w:shd w:val="clear" w:color="auto" w:fill="auto"/>
            <w:noWrap/>
            <w:vAlign w:val="bottom"/>
            <w:hideMark/>
          </w:tcPr>
          <w:p w14:paraId="6DE77799" w14:textId="77777777" w:rsidR="00034A9A" w:rsidRPr="00034A9A" w:rsidRDefault="00034A9A" w:rsidP="00AF13F0">
            <w:pPr>
              <w:rPr>
                <w:rFonts w:ascii="Calibri" w:eastAsia="Times New Roman" w:hAnsi="Calibri" w:cs="Times New Roman"/>
                <w:color w:val="000000"/>
              </w:rPr>
            </w:pPr>
          </w:p>
        </w:tc>
        <w:tc>
          <w:tcPr>
            <w:tcW w:w="5246" w:type="dxa"/>
            <w:gridSpan w:val="2"/>
            <w:tcBorders>
              <w:top w:val="nil"/>
              <w:left w:val="nil"/>
              <w:bottom w:val="nil"/>
              <w:right w:val="nil"/>
            </w:tcBorders>
            <w:shd w:val="clear" w:color="auto" w:fill="auto"/>
            <w:noWrap/>
            <w:vAlign w:val="bottom"/>
            <w:hideMark/>
          </w:tcPr>
          <w:p w14:paraId="63E4263C" w14:textId="77777777" w:rsidR="00034A9A" w:rsidRPr="00034A9A" w:rsidRDefault="00034A9A" w:rsidP="00AF13F0">
            <w:pPr>
              <w:rPr>
                <w:rFonts w:ascii="Calibri" w:eastAsia="Times New Roman" w:hAnsi="Calibri" w:cs="Times New Roman"/>
                <w:color w:val="000000"/>
              </w:rPr>
            </w:pPr>
            <w:r w:rsidRPr="00034A9A">
              <w:rPr>
                <w:rFonts w:ascii="Calibri" w:eastAsia="Times New Roman" w:hAnsi="Calibri" w:cs="Times New Roman"/>
                <w:color w:val="000000"/>
              </w:rPr>
              <w:t>Gemalto</w:t>
            </w:r>
          </w:p>
        </w:tc>
      </w:tr>
      <w:tr w:rsidR="00034A9A" w:rsidRPr="00034A9A" w14:paraId="71922F86" w14:textId="77777777" w:rsidTr="004123E7">
        <w:trPr>
          <w:gridBefore w:val="1"/>
          <w:wBefore w:w="103" w:type="dxa"/>
          <w:trHeight w:val="302"/>
        </w:trPr>
        <w:tc>
          <w:tcPr>
            <w:tcW w:w="3216" w:type="dxa"/>
            <w:gridSpan w:val="2"/>
            <w:tcBorders>
              <w:top w:val="nil"/>
              <w:left w:val="nil"/>
              <w:bottom w:val="nil"/>
              <w:right w:val="nil"/>
            </w:tcBorders>
            <w:shd w:val="clear" w:color="D9D9D9" w:fill="D9D9D9"/>
            <w:noWrap/>
            <w:vAlign w:val="bottom"/>
            <w:hideMark/>
          </w:tcPr>
          <w:p w14:paraId="6BB4C747" w14:textId="77777777" w:rsidR="00034A9A" w:rsidRPr="00034A9A" w:rsidRDefault="00034A9A" w:rsidP="00AF13F0">
            <w:pPr>
              <w:rPr>
                <w:rFonts w:ascii="Calibri" w:eastAsia="Times New Roman" w:hAnsi="Calibri" w:cs="Times New Roman"/>
                <w:color w:val="000000"/>
              </w:rPr>
            </w:pPr>
          </w:p>
        </w:tc>
        <w:tc>
          <w:tcPr>
            <w:tcW w:w="5246" w:type="dxa"/>
            <w:gridSpan w:val="2"/>
            <w:tcBorders>
              <w:top w:val="nil"/>
              <w:left w:val="nil"/>
              <w:bottom w:val="nil"/>
              <w:right w:val="nil"/>
            </w:tcBorders>
            <w:shd w:val="clear" w:color="D9D9D9" w:fill="D9D9D9"/>
            <w:noWrap/>
            <w:vAlign w:val="bottom"/>
            <w:hideMark/>
          </w:tcPr>
          <w:p w14:paraId="114DD287" w14:textId="77777777" w:rsidR="00034A9A" w:rsidRPr="00034A9A" w:rsidRDefault="00034A9A" w:rsidP="00AF13F0">
            <w:pPr>
              <w:rPr>
                <w:rFonts w:ascii="Calibri" w:eastAsia="Times New Roman" w:hAnsi="Calibri" w:cs="Times New Roman"/>
                <w:color w:val="000000"/>
              </w:rPr>
            </w:pPr>
            <w:r w:rsidRPr="00034A9A">
              <w:rPr>
                <w:rFonts w:ascii="Calibri" w:eastAsia="Times New Roman" w:hAnsi="Calibri" w:cs="Times New Roman"/>
                <w:color w:val="000000"/>
              </w:rPr>
              <w:t>Heineken</w:t>
            </w:r>
          </w:p>
        </w:tc>
      </w:tr>
      <w:tr w:rsidR="00034A9A" w:rsidRPr="00034A9A" w14:paraId="100F659C" w14:textId="77777777" w:rsidTr="004123E7">
        <w:trPr>
          <w:gridAfter w:val="1"/>
          <w:wAfter w:w="103" w:type="dxa"/>
          <w:trHeight w:val="302"/>
        </w:trPr>
        <w:tc>
          <w:tcPr>
            <w:tcW w:w="3216" w:type="dxa"/>
            <w:gridSpan w:val="2"/>
            <w:tcBorders>
              <w:top w:val="nil"/>
              <w:left w:val="nil"/>
              <w:bottom w:val="nil"/>
              <w:right w:val="nil"/>
            </w:tcBorders>
            <w:shd w:val="clear" w:color="auto" w:fill="auto"/>
            <w:noWrap/>
            <w:vAlign w:val="bottom"/>
            <w:hideMark/>
          </w:tcPr>
          <w:p w14:paraId="10362783" w14:textId="77777777" w:rsidR="00034A9A" w:rsidRPr="00034A9A" w:rsidRDefault="00034A9A" w:rsidP="00AF13F0">
            <w:pPr>
              <w:rPr>
                <w:rFonts w:ascii="Calibri" w:eastAsia="Times New Roman" w:hAnsi="Calibri" w:cs="Times New Roman"/>
                <w:color w:val="000000"/>
              </w:rPr>
            </w:pPr>
          </w:p>
        </w:tc>
        <w:tc>
          <w:tcPr>
            <w:tcW w:w="5246" w:type="dxa"/>
            <w:gridSpan w:val="2"/>
            <w:tcBorders>
              <w:top w:val="nil"/>
              <w:left w:val="nil"/>
              <w:bottom w:val="nil"/>
              <w:right w:val="nil"/>
            </w:tcBorders>
            <w:shd w:val="clear" w:color="auto" w:fill="auto"/>
            <w:noWrap/>
            <w:vAlign w:val="bottom"/>
            <w:hideMark/>
          </w:tcPr>
          <w:p w14:paraId="08967B93" w14:textId="5FA8A3E8" w:rsidR="00034A9A" w:rsidRPr="00034A9A" w:rsidRDefault="00727E20" w:rsidP="00AF13F0">
            <w:pPr>
              <w:rPr>
                <w:rFonts w:ascii="Calibri" w:eastAsia="Times New Roman" w:hAnsi="Calibri" w:cs="Times New Roman"/>
                <w:color w:val="000000"/>
              </w:rPr>
            </w:pPr>
            <w:r>
              <w:rPr>
                <w:rFonts w:ascii="Calibri" w:eastAsia="Times New Roman" w:hAnsi="Calibri" w:cs="Times New Roman"/>
                <w:color w:val="000000"/>
              </w:rPr>
              <w:t xml:space="preserve">  </w:t>
            </w:r>
            <w:r w:rsidR="00034A9A" w:rsidRPr="00034A9A">
              <w:rPr>
                <w:rFonts w:ascii="Calibri" w:eastAsia="Times New Roman" w:hAnsi="Calibri" w:cs="Times New Roman"/>
                <w:color w:val="000000"/>
              </w:rPr>
              <w:t>ING</w:t>
            </w:r>
          </w:p>
        </w:tc>
      </w:tr>
      <w:tr w:rsidR="00034A9A" w:rsidRPr="00034A9A" w14:paraId="45A73970" w14:textId="77777777" w:rsidTr="004123E7">
        <w:trPr>
          <w:gridBefore w:val="1"/>
          <w:wBefore w:w="103" w:type="dxa"/>
          <w:trHeight w:val="302"/>
        </w:trPr>
        <w:tc>
          <w:tcPr>
            <w:tcW w:w="3216" w:type="dxa"/>
            <w:gridSpan w:val="2"/>
            <w:tcBorders>
              <w:top w:val="nil"/>
              <w:left w:val="nil"/>
              <w:bottom w:val="nil"/>
              <w:right w:val="nil"/>
            </w:tcBorders>
            <w:shd w:val="clear" w:color="D9D9D9" w:fill="D9D9D9"/>
            <w:noWrap/>
            <w:vAlign w:val="bottom"/>
            <w:hideMark/>
          </w:tcPr>
          <w:p w14:paraId="39B9D5C8" w14:textId="77777777" w:rsidR="00034A9A" w:rsidRPr="00034A9A" w:rsidRDefault="00034A9A" w:rsidP="00AF13F0">
            <w:pPr>
              <w:rPr>
                <w:rFonts w:ascii="Calibri" w:eastAsia="Times New Roman" w:hAnsi="Calibri" w:cs="Times New Roman"/>
                <w:color w:val="000000"/>
              </w:rPr>
            </w:pPr>
          </w:p>
        </w:tc>
        <w:tc>
          <w:tcPr>
            <w:tcW w:w="5246" w:type="dxa"/>
            <w:gridSpan w:val="2"/>
            <w:tcBorders>
              <w:top w:val="nil"/>
              <w:left w:val="nil"/>
              <w:bottom w:val="nil"/>
              <w:right w:val="nil"/>
            </w:tcBorders>
            <w:shd w:val="clear" w:color="D9D9D9" w:fill="D9D9D9"/>
            <w:noWrap/>
            <w:vAlign w:val="bottom"/>
            <w:hideMark/>
          </w:tcPr>
          <w:p w14:paraId="294B37C5" w14:textId="77777777" w:rsidR="00034A9A" w:rsidRPr="00034A9A" w:rsidRDefault="00034A9A" w:rsidP="00AF13F0">
            <w:pPr>
              <w:rPr>
                <w:rFonts w:ascii="Calibri" w:eastAsia="Times New Roman" w:hAnsi="Calibri" w:cs="Times New Roman"/>
                <w:color w:val="000000"/>
              </w:rPr>
            </w:pPr>
            <w:r w:rsidRPr="00034A9A">
              <w:rPr>
                <w:rFonts w:ascii="Calibri" w:eastAsia="Times New Roman" w:hAnsi="Calibri" w:cs="Times New Roman"/>
                <w:color w:val="000000"/>
              </w:rPr>
              <w:t>KPN</w:t>
            </w:r>
          </w:p>
        </w:tc>
      </w:tr>
      <w:tr w:rsidR="00034A9A" w:rsidRPr="00034A9A" w14:paraId="29A1666A" w14:textId="77777777" w:rsidTr="004123E7">
        <w:trPr>
          <w:gridBefore w:val="1"/>
          <w:wBefore w:w="103" w:type="dxa"/>
          <w:trHeight w:val="302"/>
        </w:trPr>
        <w:tc>
          <w:tcPr>
            <w:tcW w:w="3216" w:type="dxa"/>
            <w:gridSpan w:val="2"/>
            <w:tcBorders>
              <w:top w:val="nil"/>
              <w:left w:val="nil"/>
              <w:bottom w:val="nil"/>
              <w:right w:val="nil"/>
            </w:tcBorders>
            <w:shd w:val="clear" w:color="auto" w:fill="auto"/>
            <w:noWrap/>
            <w:vAlign w:val="bottom"/>
            <w:hideMark/>
          </w:tcPr>
          <w:p w14:paraId="3B53525B" w14:textId="77777777" w:rsidR="00034A9A" w:rsidRPr="00034A9A" w:rsidRDefault="00034A9A" w:rsidP="00AF13F0">
            <w:pPr>
              <w:rPr>
                <w:rFonts w:ascii="Calibri" w:eastAsia="Times New Roman" w:hAnsi="Calibri" w:cs="Times New Roman"/>
                <w:color w:val="000000"/>
              </w:rPr>
            </w:pPr>
          </w:p>
        </w:tc>
        <w:tc>
          <w:tcPr>
            <w:tcW w:w="5246" w:type="dxa"/>
            <w:gridSpan w:val="2"/>
            <w:tcBorders>
              <w:top w:val="nil"/>
              <w:left w:val="nil"/>
              <w:bottom w:val="nil"/>
              <w:right w:val="nil"/>
            </w:tcBorders>
            <w:shd w:val="clear" w:color="auto" w:fill="auto"/>
            <w:noWrap/>
            <w:vAlign w:val="bottom"/>
            <w:hideMark/>
          </w:tcPr>
          <w:p w14:paraId="068B50A4" w14:textId="77777777" w:rsidR="00034A9A" w:rsidRPr="00034A9A" w:rsidRDefault="00034A9A" w:rsidP="00AF13F0">
            <w:pPr>
              <w:rPr>
                <w:rFonts w:ascii="Calibri" w:eastAsia="Times New Roman" w:hAnsi="Calibri" w:cs="Times New Roman"/>
                <w:color w:val="000000"/>
              </w:rPr>
            </w:pPr>
            <w:r w:rsidRPr="00034A9A">
              <w:rPr>
                <w:rFonts w:ascii="Calibri" w:eastAsia="Times New Roman" w:hAnsi="Calibri" w:cs="Times New Roman"/>
                <w:color w:val="000000"/>
              </w:rPr>
              <w:t>OCI</w:t>
            </w:r>
          </w:p>
        </w:tc>
      </w:tr>
      <w:tr w:rsidR="00034A9A" w:rsidRPr="00034A9A" w14:paraId="3EFD1871" w14:textId="77777777" w:rsidTr="004123E7">
        <w:trPr>
          <w:gridBefore w:val="1"/>
          <w:wBefore w:w="103" w:type="dxa"/>
          <w:trHeight w:val="302"/>
        </w:trPr>
        <w:tc>
          <w:tcPr>
            <w:tcW w:w="3216" w:type="dxa"/>
            <w:gridSpan w:val="2"/>
            <w:tcBorders>
              <w:top w:val="nil"/>
              <w:left w:val="nil"/>
              <w:bottom w:val="nil"/>
              <w:right w:val="nil"/>
            </w:tcBorders>
            <w:shd w:val="clear" w:color="D9D9D9" w:fill="D9D9D9"/>
            <w:noWrap/>
            <w:vAlign w:val="bottom"/>
            <w:hideMark/>
          </w:tcPr>
          <w:p w14:paraId="2FE2CB3F" w14:textId="77777777" w:rsidR="00034A9A" w:rsidRPr="00034A9A" w:rsidRDefault="00034A9A" w:rsidP="00AF13F0">
            <w:pPr>
              <w:rPr>
                <w:rFonts w:ascii="Calibri" w:eastAsia="Times New Roman" w:hAnsi="Calibri" w:cs="Times New Roman"/>
                <w:color w:val="000000"/>
              </w:rPr>
            </w:pPr>
          </w:p>
        </w:tc>
        <w:tc>
          <w:tcPr>
            <w:tcW w:w="5246" w:type="dxa"/>
            <w:gridSpan w:val="2"/>
            <w:tcBorders>
              <w:top w:val="nil"/>
              <w:left w:val="nil"/>
              <w:bottom w:val="nil"/>
              <w:right w:val="nil"/>
            </w:tcBorders>
            <w:shd w:val="clear" w:color="D9D9D9" w:fill="D9D9D9"/>
            <w:noWrap/>
            <w:vAlign w:val="bottom"/>
            <w:hideMark/>
          </w:tcPr>
          <w:p w14:paraId="2A9C0874" w14:textId="77777777" w:rsidR="00034A9A" w:rsidRPr="00034A9A" w:rsidRDefault="00034A9A" w:rsidP="00AF13F0">
            <w:pPr>
              <w:rPr>
                <w:rFonts w:ascii="Calibri" w:eastAsia="Times New Roman" w:hAnsi="Calibri" w:cs="Times New Roman"/>
                <w:color w:val="000000"/>
              </w:rPr>
            </w:pPr>
            <w:r w:rsidRPr="00034A9A">
              <w:rPr>
                <w:rFonts w:ascii="Calibri" w:eastAsia="Times New Roman" w:hAnsi="Calibri" w:cs="Times New Roman"/>
                <w:color w:val="000000"/>
              </w:rPr>
              <w:t>Philips</w:t>
            </w:r>
          </w:p>
        </w:tc>
      </w:tr>
      <w:tr w:rsidR="00034A9A" w:rsidRPr="00034A9A" w14:paraId="4533C847" w14:textId="77777777" w:rsidTr="004123E7">
        <w:trPr>
          <w:gridBefore w:val="1"/>
          <w:wBefore w:w="103" w:type="dxa"/>
          <w:trHeight w:val="302"/>
        </w:trPr>
        <w:tc>
          <w:tcPr>
            <w:tcW w:w="3216" w:type="dxa"/>
            <w:gridSpan w:val="2"/>
            <w:tcBorders>
              <w:top w:val="nil"/>
              <w:left w:val="nil"/>
              <w:bottom w:val="nil"/>
              <w:right w:val="nil"/>
            </w:tcBorders>
            <w:shd w:val="clear" w:color="auto" w:fill="auto"/>
            <w:noWrap/>
            <w:vAlign w:val="bottom"/>
            <w:hideMark/>
          </w:tcPr>
          <w:p w14:paraId="0E9F79C6" w14:textId="77777777" w:rsidR="00034A9A" w:rsidRPr="00034A9A" w:rsidRDefault="00034A9A" w:rsidP="00AF13F0">
            <w:pPr>
              <w:rPr>
                <w:rFonts w:ascii="Calibri" w:eastAsia="Times New Roman" w:hAnsi="Calibri" w:cs="Times New Roman"/>
                <w:color w:val="000000"/>
              </w:rPr>
            </w:pPr>
          </w:p>
        </w:tc>
        <w:tc>
          <w:tcPr>
            <w:tcW w:w="5246" w:type="dxa"/>
            <w:gridSpan w:val="2"/>
            <w:tcBorders>
              <w:top w:val="nil"/>
              <w:left w:val="nil"/>
              <w:bottom w:val="nil"/>
              <w:right w:val="nil"/>
            </w:tcBorders>
            <w:shd w:val="clear" w:color="auto" w:fill="auto"/>
            <w:noWrap/>
            <w:vAlign w:val="bottom"/>
            <w:hideMark/>
          </w:tcPr>
          <w:p w14:paraId="170F68CA" w14:textId="77777777" w:rsidR="00034A9A" w:rsidRPr="00034A9A" w:rsidRDefault="00034A9A" w:rsidP="00AF13F0">
            <w:pPr>
              <w:rPr>
                <w:rFonts w:ascii="Calibri" w:eastAsia="Times New Roman" w:hAnsi="Calibri" w:cs="Times New Roman"/>
                <w:color w:val="000000"/>
              </w:rPr>
            </w:pPr>
            <w:r w:rsidRPr="00034A9A">
              <w:rPr>
                <w:rFonts w:ascii="Calibri" w:eastAsia="Times New Roman" w:hAnsi="Calibri" w:cs="Times New Roman"/>
                <w:color w:val="000000"/>
              </w:rPr>
              <w:t>Randstad</w:t>
            </w:r>
          </w:p>
        </w:tc>
      </w:tr>
      <w:tr w:rsidR="00034A9A" w:rsidRPr="00034A9A" w14:paraId="2AB2E3F9" w14:textId="77777777" w:rsidTr="004123E7">
        <w:trPr>
          <w:gridBefore w:val="1"/>
          <w:wBefore w:w="103" w:type="dxa"/>
          <w:trHeight w:val="302"/>
        </w:trPr>
        <w:tc>
          <w:tcPr>
            <w:tcW w:w="3216" w:type="dxa"/>
            <w:gridSpan w:val="2"/>
            <w:tcBorders>
              <w:top w:val="nil"/>
              <w:left w:val="nil"/>
              <w:bottom w:val="nil"/>
              <w:right w:val="nil"/>
            </w:tcBorders>
            <w:shd w:val="clear" w:color="D9D9D9" w:fill="D9D9D9"/>
            <w:noWrap/>
            <w:vAlign w:val="bottom"/>
            <w:hideMark/>
          </w:tcPr>
          <w:p w14:paraId="6E971CCA" w14:textId="77777777" w:rsidR="00034A9A" w:rsidRPr="00034A9A" w:rsidRDefault="00034A9A" w:rsidP="00AF13F0">
            <w:pPr>
              <w:rPr>
                <w:rFonts w:ascii="Calibri" w:eastAsia="Times New Roman" w:hAnsi="Calibri" w:cs="Times New Roman"/>
                <w:color w:val="000000"/>
              </w:rPr>
            </w:pPr>
          </w:p>
        </w:tc>
        <w:tc>
          <w:tcPr>
            <w:tcW w:w="5246" w:type="dxa"/>
            <w:gridSpan w:val="2"/>
            <w:tcBorders>
              <w:top w:val="nil"/>
              <w:left w:val="nil"/>
              <w:bottom w:val="nil"/>
              <w:right w:val="nil"/>
            </w:tcBorders>
            <w:shd w:val="clear" w:color="D9D9D9" w:fill="D9D9D9"/>
            <w:noWrap/>
            <w:vAlign w:val="bottom"/>
            <w:hideMark/>
          </w:tcPr>
          <w:p w14:paraId="363858C9" w14:textId="77777777" w:rsidR="00034A9A" w:rsidRPr="00034A9A" w:rsidRDefault="00034A9A" w:rsidP="00AF13F0">
            <w:pPr>
              <w:rPr>
                <w:rFonts w:ascii="Calibri" w:eastAsia="Times New Roman" w:hAnsi="Calibri" w:cs="Times New Roman"/>
                <w:color w:val="000000"/>
              </w:rPr>
            </w:pPr>
            <w:r w:rsidRPr="00034A9A">
              <w:rPr>
                <w:rFonts w:ascii="Calibri" w:eastAsia="Times New Roman" w:hAnsi="Calibri" w:cs="Times New Roman"/>
                <w:color w:val="000000"/>
              </w:rPr>
              <w:t>Reed Elsevier</w:t>
            </w:r>
          </w:p>
        </w:tc>
      </w:tr>
      <w:tr w:rsidR="00034A9A" w:rsidRPr="00034A9A" w14:paraId="15E5ED06" w14:textId="77777777" w:rsidTr="004123E7">
        <w:trPr>
          <w:gridBefore w:val="1"/>
          <w:wBefore w:w="103" w:type="dxa"/>
          <w:trHeight w:val="302"/>
        </w:trPr>
        <w:tc>
          <w:tcPr>
            <w:tcW w:w="3216" w:type="dxa"/>
            <w:gridSpan w:val="2"/>
            <w:tcBorders>
              <w:top w:val="nil"/>
              <w:left w:val="nil"/>
              <w:bottom w:val="nil"/>
              <w:right w:val="nil"/>
            </w:tcBorders>
            <w:shd w:val="clear" w:color="auto" w:fill="auto"/>
            <w:noWrap/>
            <w:vAlign w:val="bottom"/>
            <w:hideMark/>
          </w:tcPr>
          <w:p w14:paraId="2BE08FD7" w14:textId="77777777" w:rsidR="00034A9A" w:rsidRPr="00034A9A" w:rsidRDefault="00034A9A" w:rsidP="00AF13F0">
            <w:pPr>
              <w:rPr>
                <w:rFonts w:ascii="Calibri" w:eastAsia="Times New Roman" w:hAnsi="Calibri" w:cs="Times New Roman"/>
                <w:color w:val="000000"/>
              </w:rPr>
            </w:pPr>
          </w:p>
        </w:tc>
        <w:tc>
          <w:tcPr>
            <w:tcW w:w="5246" w:type="dxa"/>
            <w:gridSpan w:val="2"/>
            <w:tcBorders>
              <w:top w:val="nil"/>
              <w:left w:val="nil"/>
              <w:bottom w:val="nil"/>
              <w:right w:val="nil"/>
            </w:tcBorders>
            <w:shd w:val="clear" w:color="auto" w:fill="auto"/>
            <w:noWrap/>
            <w:vAlign w:val="bottom"/>
            <w:hideMark/>
          </w:tcPr>
          <w:p w14:paraId="60FAF06A" w14:textId="77777777" w:rsidR="00034A9A" w:rsidRPr="00034A9A" w:rsidRDefault="00034A9A" w:rsidP="00AF13F0">
            <w:pPr>
              <w:rPr>
                <w:rFonts w:ascii="Calibri" w:eastAsia="Times New Roman" w:hAnsi="Calibri" w:cs="Times New Roman"/>
                <w:color w:val="000000"/>
              </w:rPr>
            </w:pPr>
            <w:r w:rsidRPr="00034A9A">
              <w:rPr>
                <w:rFonts w:ascii="Calibri" w:eastAsia="Times New Roman" w:hAnsi="Calibri" w:cs="Times New Roman"/>
                <w:color w:val="000000"/>
              </w:rPr>
              <w:t>Shell</w:t>
            </w:r>
          </w:p>
        </w:tc>
      </w:tr>
      <w:tr w:rsidR="00034A9A" w:rsidRPr="00034A9A" w14:paraId="7B5A3329" w14:textId="77777777" w:rsidTr="004123E7">
        <w:trPr>
          <w:gridBefore w:val="1"/>
          <w:wBefore w:w="103" w:type="dxa"/>
          <w:trHeight w:val="302"/>
        </w:trPr>
        <w:tc>
          <w:tcPr>
            <w:tcW w:w="3216" w:type="dxa"/>
            <w:gridSpan w:val="2"/>
            <w:tcBorders>
              <w:top w:val="nil"/>
              <w:left w:val="nil"/>
              <w:bottom w:val="nil"/>
              <w:right w:val="nil"/>
            </w:tcBorders>
            <w:shd w:val="clear" w:color="D9D9D9" w:fill="D9D9D9"/>
            <w:noWrap/>
            <w:vAlign w:val="bottom"/>
            <w:hideMark/>
          </w:tcPr>
          <w:p w14:paraId="30C2C2D7" w14:textId="77777777" w:rsidR="00034A9A" w:rsidRPr="00034A9A" w:rsidRDefault="00034A9A" w:rsidP="00AF13F0">
            <w:pPr>
              <w:rPr>
                <w:rFonts w:ascii="Calibri" w:eastAsia="Times New Roman" w:hAnsi="Calibri" w:cs="Times New Roman"/>
                <w:color w:val="000000"/>
              </w:rPr>
            </w:pPr>
          </w:p>
        </w:tc>
        <w:tc>
          <w:tcPr>
            <w:tcW w:w="5246" w:type="dxa"/>
            <w:gridSpan w:val="2"/>
            <w:tcBorders>
              <w:top w:val="nil"/>
              <w:left w:val="nil"/>
              <w:bottom w:val="nil"/>
              <w:right w:val="nil"/>
            </w:tcBorders>
            <w:shd w:val="clear" w:color="D9D9D9" w:fill="D9D9D9"/>
            <w:noWrap/>
            <w:vAlign w:val="bottom"/>
            <w:hideMark/>
          </w:tcPr>
          <w:p w14:paraId="3AB98CC5" w14:textId="77777777" w:rsidR="00034A9A" w:rsidRPr="00034A9A" w:rsidRDefault="00034A9A" w:rsidP="00AF13F0">
            <w:pPr>
              <w:rPr>
                <w:rFonts w:ascii="Calibri" w:eastAsia="Times New Roman" w:hAnsi="Calibri" w:cs="Times New Roman"/>
                <w:color w:val="000000"/>
              </w:rPr>
            </w:pPr>
            <w:r w:rsidRPr="00034A9A">
              <w:rPr>
                <w:rFonts w:ascii="Calibri" w:eastAsia="Times New Roman" w:hAnsi="Calibri" w:cs="Times New Roman"/>
                <w:color w:val="000000"/>
              </w:rPr>
              <w:t>Unibail-Rodamco</w:t>
            </w:r>
          </w:p>
        </w:tc>
      </w:tr>
      <w:tr w:rsidR="00034A9A" w:rsidRPr="00034A9A" w14:paraId="29472E54" w14:textId="77777777" w:rsidTr="004123E7">
        <w:trPr>
          <w:gridBefore w:val="1"/>
          <w:wBefore w:w="103" w:type="dxa"/>
          <w:trHeight w:val="302"/>
        </w:trPr>
        <w:tc>
          <w:tcPr>
            <w:tcW w:w="3216" w:type="dxa"/>
            <w:gridSpan w:val="2"/>
            <w:tcBorders>
              <w:top w:val="nil"/>
              <w:left w:val="nil"/>
              <w:bottom w:val="nil"/>
              <w:right w:val="nil"/>
            </w:tcBorders>
            <w:shd w:val="clear" w:color="auto" w:fill="auto"/>
            <w:noWrap/>
            <w:vAlign w:val="bottom"/>
            <w:hideMark/>
          </w:tcPr>
          <w:p w14:paraId="4E69A4AE" w14:textId="77777777" w:rsidR="00034A9A" w:rsidRPr="00034A9A" w:rsidRDefault="00034A9A" w:rsidP="00AF13F0">
            <w:pPr>
              <w:rPr>
                <w:rFonts w:ascii="Calibri" w:eastAsia="Times New Roman" w:hAnsi="Calibri" w:cs="Times New Roman"/>
                <w:color w:val="000000"/>
              </w:rPr>
            </w:pPr>
          </w:p>
        </w:tc>
        <w:tc>
          <w:tcPr>
            <w:tcW w:w="5246" w:type="dxa"/>
            <w:gridSpan w:val="2"/>
            <w:tcBorders>
              <w:top w:val="nil"/>
              <w:left w:val="nil"/>
              <w:bottom w:val="nil"/>
              <w:right w:val="nil"/>
            </w:tcBorders>
            <w:shd w:val="clear" w:color="auto" w:fill="auto"/>
            <w:noWrap/>
            <w:vAlign w:val="bottom"/>
            <w:hideMark/>
          </w:tcPr>
          <w:p w14:paraId="45DF798F" w14:textId="77777777" w:rsidR="00034A9A" w:rsidRPr="00034A9A" w:rsidRDefault="00034A9A" w:rsidP="00AF13F0">
            <w:pPr>
              <w:rPr>
                <w:rFonts w:ascii="Calibri" w:eastAsia="Times New Roman" w:hAnsi="Calibri" w:cs="Times New Roman"/>
                <w:color w:val="000000"/>
              </w:rPr>
            </w:pPr>
            <w:r w:rsidRPr="00034A9A">
              <w:rPr>
                <w:rFonts w:ascii="Calibri" w:eastAsia="Times New Roman" w:hAnsi="Calibri" w:cs="Times New Roman"/>
                <w:color w:val="000000"/>
              </w:rPr>
              <w:t>Unilever</w:t>
            </w:r>
          </w:p>
        </w:tc>
      </w:tr>
      <w:tr w:rsidR="00034A9A" w:rsidRPr="00034A9A" w14:paraId="6204C469" w14:textId="77777777" w:rsidTr="004123E7">
        <w:trPr>
          <w:gridBefore w:val="1"/>
          <w:wBefore w:w="103" w:type="dxa"/>
          <w:trHeight w:val="302"/>
        </w:trPr>
        <w:tc>
          <w:tcPr>
            <w:tcW w:w="3216" w:type="dxa"/>
            <w:gridSpan w:val="2"/>
            <w:tcBorders>
              <w:top w:val="nil"/>
              <w:left w:val="nil"/>
              <w:bottom w:val="single" w:sz="4" w:space="0" w:color="000000"/>
              <w:right w:val="nil"/>
            </w:tcBorders>
            <w:shd w:val="clear" w:color="D9D9D9" w:fill="D9D9D9"/>
            <w:noWrap/>
            <w:vAlign w:val="bottom"/>
            <w:hideMark/>
          </w:tcPr>
          <w:p w14:paraId="2AC91C04" w14:textId="77777777" w:rsidR="00034A9A" w:rsidRPr="00034A9A" w:rsidRDefault="00034A9A" w:rsidP="00AF13F0">
            <w:pPr>
              <w:rPr>
                <w:rFonts w:ascii="Calibri" w:eastAsia="Times New Roman" w:hAnsi="Calibri" w:cs="Times New Roman"/>
                <w:color w:val="000000"/>
              </w:rPr>
            </w:pPr>
          </w:p>
        </w:tc>
        <w:tc>
          <w:tcPr>
            <w:tcW w:w="5246" w:type="dxa"/>
            <w:gridSpan w:val="2"/>
            <w:tcBorders>
              <w:top w:val="nil"/>
              <w:left w:val="nil"/>
              <w:bottom w:val="single" w:sz="4" w:space="0" w:color="000000"/>
              <w:right w:val="nil"/>
            </w:tcBorders>
            <w:shd w:val="clear" w:color="D9D9D9" w:fill="D9D9D9"/>
            <w:noWrap/>
            <w:vAlign w:val="bottom"/>
            <w:hideMark/>
          </w:tcPr>
          <w:p w14:paraId="00449495" w14:textId="3E833E97" w:rsidR="00034A9A" w:rsidRPr="00034A9A" w:rsidRDefault="00DA2D1C" w:rsidP="00AF13F0">
            <w:pPr>
              <w:rPr>
                <w:rFonts w:ascii="Calibri" w:eastAsia="Times New Roman" w:hAnsi="Calibri" w:cs="Times New Roman"/>
                <w:color w:val="000000"/>
              </w:rPr>
            </w:pPr>
            <w:r w:rsidRPr="00034A9A">
              <w:rPr>
                <w:rFonts w:ascii="Calibri" w:eastAsia="Times New Roman" w:hAnsi="Calibri" w:cs="Times New Roman"/>
                <w:color w:val="000000"/>
              </w:rPr>
              <w:t>Wolters Kluwer</w:t>
            </w:r>
          </w:p>
        </w:tc>
      </w:tr>
    </w:tbl>
    <w:p w14:paraId="326D1D4D" w14:textId="77777777" w:rsidR="00253740" w:rsidRDefault="00253740" w:rsidP="00AF13F0">
      <w:pPr>
        <w:spacing w:line="360" w:lineRule="auto"/>
        <w:rPr>
          <w:b/>
        </w:rPr>
      </w:pPr>
    </w:p>
    <w:p w14:paraId="7B99B151" w14:textId="6A3D67DB" w:rsidR="004123E7" w:rsidRDefault="004123E7" w:rsidP="00AF13F0">
      <w:pPr>
        <w:spacing w:line="360" w:lineRule="auto"/>
        <w:rPr>
          <w:b/>
        </w:rPr>
      </w:pPr>
      <w:r>
        <w:rPr>
          <w:b/>
        </w:rPr>
        <w:t>Tabel 9</w:t>
      </w:r>
    </w:p>
    <w:tbl>
      <w:tblPr>
        <w:tblW w:w="5699" w:type="dxa"/>
        <w:tblLook w:val="04A0" w:firstRow="1" w:lastRow="0" w:firstColumn="1" w:lastColumn="0" w:noHBand="0" w:noVBand="1"/>
      </w:tblPr>
      <w:tblGrid>
        <w:gridCol w:w="3384"/>
        <w:gridCol w:w="2315"/>
      </w:tblGrid>
      <w:tr w:rsidR="004123E7" w:rsidRPr="000E6931" w14:paraId="75239025" w14:textId="77777777" w:rsidTr="004123E7">
        <w:trPr>
          <w:trHeight w:val="300"/>
        </w:trPr>
        <w:tc>
          <w:tcPr>
            <w:tcW w:w="3384" w:type="dxa"/>
            <w:tcBorders>
              <w:top w:val="single" w:sz="4" w:space="0" w:color="000000"/>
              <w:left w:val="nil"/>
              <w:bottom w:val="single" w:sz="4" w:space="0" w:color="000000"/>
              <w:right w:val="nil"/>
            </w:tcBorders>
            <w:shd w:val="clear" w:color="auto" w:fill="auto"/>
            <w:noWrap/>
            <w:vAlign w:val="bottom"/>
            <w:hideMark/>
          </w:tcPr>
          <w:p w14:paraId="3E78DD57" w14:textId="77777777" w:rsidR="004123E7" w:rsidRPr="000E6931" w:rsidRDefault="004123E7" w:rsidP="00AF13F0">
            <w:pPr>
              <w:rPr>
                <w:rFonts w:ascii="Calibri" w:eastAsia="Times New Roman" w:hAnsi="Calibri" w:cs="Times New Roman"/>
                <w:b/>
                <w:bCs/>
                <w:color w:val="000000"/>
              </w:rPr>
            </w:pPr>
            <w:r w:rsidRPr="000E6931">
              <w:rPr>
                <w:rFonts w:ascii="Calibri" w:eastAsia="Times New Roman" w:hAnsi="Calibri" w:cs="Times New Roman"/>
                <w:b/>
                <w:bCs/>
                <w:color w:val="000000"/>
              </w:rPr>
              <w:t>Alternatieve indicator</w:t>
            </w:r>
          </w:p>
        </w:tc>
        <w:tc>
          <w:tcPr>
            <w:tcW w:w="2315" w:type="dxa"/>
            <w:tcBorders>
              <w:top w:val="single" w:sz="4" w:space="0" w:color="000000"/>
              <w:left w:val="nil"/>
              <w:bottom w:val="single" w:sz="4" w:space="0" w:color="000000"/>
              <w:right w:val="nil"/>
            </w:tcBorders>
            <w:shd w:val="clear" w:color="auto" w:fill="auto"/>
            <w:noWrap/>
            <w:vAlign w:val="bottom"/>
            <w:hideMark/>
          </w:tcPr>
          <w:p w14:paraId="3DD024E1" w14:textId="77777777" w:rsidR="004123E7" w:rsidRPr="000E6931" w:rsidRDefault="004123E7" w:rsidP="00AF13F0">
            <w:pPr>
              <w:rPr>
                <w:rFonts w:ascii="Calibri" w:eastAsia="Times New Roman" w:hAnsi="Calibri" w:cs="Times New Roman"/>
                <w:b/>
                <w:bCs/>
                <w:color w:val="000000"/>
              </w:rPr>
            </w:pPr>
            <w:r w:rsidRPr="000E6931">
              <w:rPr>
                <w:rFonts w:ascii="Calibri" w:eastAsia="Times New Roman" w:hAnsi="Calibri" w:cs="Times New Roman"/>
                <w:b/>
                <w:bCs/>
                <w:color w:val="000000"/>
              </w:rPr>
              <w:t>Bedrijf</w:t>
            </w:r>
          </w:p>
        </w:tc>
      </w:tr>
      <w:tr w:rsidR="004123E7" w:rsidRPr="000E6931" w14:paraId="32F57D93" w14:textId="77777777" w:rsidTr="004123E7">
        <w:trPr>
          <w:trHeight w:val="300"/>
        </w:trPr>
        <w:tc>
          <w:tcPr>
            <w:tcW w:w="3384" w:type="dxa"/>
            <w:tcBorders>
              <w:top w:val="nil"/>
              <w:left w:val="nil"/>
              <w:bottom w:val="nil"/>
              <w:right w:val="nil"/>
            </w:tcBorders>
            <w:shd w:val="clear" w:color="D9D9D9" w:fill="D9D9D9"/>
            <w:noWrap/>
            <w:vAlign w:val="bottom"/>
            <w:hideMark/>
          </w:tcPr>
          <w:p w14:paraId="705DD56C" w14:textId="77777777" w:rsidR="004123E7" w:rsidRPr="000E6931" w:rsidRDefault="004123E7" w:rsidP="00AF13F0">
            <w:pPr>
              <w:rPr>
                <w:rFonts w:ascii="Calibri" w:eastAsia="Times New Roman" w:hAnsi="Calibri" w:cs="Times New Roman"/>
                <w:b/>
                <w:bCs/>
                <w:color w:val="000000"/>
              </w:rPr>
            </w:pPr>
            <w:r w:rsidRPr="000E6931">
              <w:rPr>
                <w:rFonts w:ascii="Calibri" w:eastAsia="Times New Roman" w:hAnsi="Calibri" w:cs="Times New Roman"/>
                <w:b/>
                <w:bCs/>
                <w:color w:val="000000"/>
              </w:rPr>
              <w:t>Dividend per aandeel</w:t>
            </w:r>
          </w:p>
        </w:tc>
        <w:tc>
          <w:tcPr>
            <w:tcW w:w="2315" w:type="dxa"/>
            <w:tcBorders>
              <w:top w:val="nil"/>
              <w:left w:val="nil"/>
              <w:bottom w:val="nil"/>
              <w:right w:val="nil"/>
            </w:tcBorders>
            <w:shd w:val="clear" w:color="D9D9D9" w:fill="D9D9D9"/>
            <w:noWrap/>
            <w:vAlign w:val="bottom"/>
            <w:hideMark/>
          </w:tcPr>
          <w:p w14:paraId="5AD18559" w14:textId="77777777" w:rsidR="004123E7" w:rsidRPr="000E6931" w:rsidRDefault="004123E7" w:rsidP="00AF13F0">
            <w:pPr>
              <w:rPr>
                <w:rFonts w:ascii="Calibri" w:eastAsia="Times New Roman" w:hAnsi="Calibri" w:cs="Times New Roman"/>
                <w:color w:val="000000"/>
              </w:rPr>
            </w:pPr>
            <w:r w:rsidRPr="000E6931">
              <w:rPr>
                <w:rFonts w:ascii="Calibri" w:eastAsia="Times New Roman" w:hAnsi="Calibri" w:cs="Times New Roman"/>
                <w:color w:val="000000"/>
              </w:rPr>
              <w:t>Aalberts</w:t>
            </w:r>
          </w:p>
        </w:tc>
      </w:tr>
      <w:tr w:rsidR="004123E7" w:rsidRPr="000E6931" w14:paraId="0AD817BB" w14:textId="77777777" w:rsidTr="004123E7">
        <w:trPr>
          <w:trHeight w:val="300"/>
        </w:trPr>
        <w:tc>
          <w:tcPr>
            <w:tcW w:w="3384" w:type="dxa"/>
            <w:tcBorders>
              <w:top w:val="nil"/>
              <w:left w:val="nil"/>
              <w:bottom w:val="nil"/>
              <w:right w:val="nil"/>
            </w:tcBorders>
            <w:shd w:val="clear" w:color="auto" w:fill="auto"/>
            <w:noWrap/>
            <w:vAlign w:val="bottom"/>
            <w:hideMark/>
          </w:tcPr>
          <w:p w14:paraId="0EDF4CDE" w14:textId="77777777" w:rsidR="004123E7" w:rsidRPr="000E6931" w:rsidRDefault="004123E7" w:rsidP="00AF13F0">
            <w:pPr>
              <w:rPr>
                <w:rFonts w:ascii="Calibri" w:eastAsia="Times New Roman" w:hAnsi="Calibri" w:cs="Times New Roman"/>
                <w:color w:val="000000"/>
              </w:rPr>
            </w:pPr>
          </w:p>
        </w:tc>
        <w:tc>
          <w:tcPr>
            <w:tcW w:w="2315" w:type="dxa"/>
            <w:tcBorders>
              <w:top w:val="nil"/>
              <w:left w:val="nil"/>
              <w:bottom w:val="nil"/>
              <w:right w:val="nil"/>
            </w:tcBorders>
            <w:shd w:val="clear" w:color="auto" w:fill="auto"/>
            <w:noWrap/>
            <w:vAlign w:val="bottom"/>
            <w:hideMark/>
          </w:tcPr>
          <w:p w14:paraId="279499AC" w14:textId="77777777" w:rsidR="004123E7" w:rsidRPr="000E6931" w:rsidRDefault="004123E7" w:rsidP="00AF13F0">
            <w:pPr>
              <w:rPr>
                <w:rFonts w:ascii="Calibri" w:eastAsia="Times New Roman" w:hAnsi="Calibri" w:cs="Times New Roman"/>
                <w:color w:val="000000"/>
              </w:rPr>
            </w:pPr>
            <w:r w:rsidRPr="000E6931">
              <w:rPr>
                <w:rFonts w:ascii="Calibri" w:eastAsia="Times New Roman" w:hAnsi="Calibri" w:cs="Times New Roman"/>
                <w:color w:val="000000"/>
              </w:rPr>
              <w:t>Ahold</w:t>
            </w:r>
          </w:p>
        </w:tc>
      </w:tr>
      <w:tr w:rsidR="004123E7" w:rsidRPr="000E6931" w14:paraId="36B85E21" w14:textId="77777777" w:rsidTr="004123E7">
        <w:trPr>
          <w:trHeight w:val="300"/>
        </w:trPr>
        <w:tc>
          <w:tcPr>
            <w:tcW w:w="3384" w:type="dxa"/>
            <w:tcBorders>
              <w:top w:val="nil"/>
              <w:left w:val="nil"/>
              <w:bottom w:val="nil"/>
              <w:right w:val="nil"/>
            </w:tcBorders>
            <w:shd w:val="clear" w:color="D9D9D9" w:fill="D9D9D9"/>
            <w:noWrap/>
            <w:vAlign w:val="bottom"/>
            <w:hideMark/>
          </w:tcPr>
          <w:p w14:paraId="1F1315E9" w14:textId="77777777" w:rsidR="004123E7" w:rsidRPr="000E6931" w:rsidRDefault="004123E7" w:rsidP="00AF13F0">
            <w:pPr>
              <w:rPr>
                <w:rFonts w:ascii="Calibri" w:eastAsia="Times New Roman" w:hAnsi="Calibri" w:cs="Times New Roman"/>
                <w:color w:val="000000"/>
              </w:rPr>
            </w:pPr>
          </w:p>
        </w:tc>
        <w:tc>
          <w:tcPr>
            <w:tcW w:w="2315" w:type="dxa"/>
            <w:tcBorders>
              <w:top w:val="nil"/>
              <w:left w:val="nil"/>
              <w:bottom w:val="nil"/>
              <w:right w:val="nil"/>
            </w:tcBorders>
            <w:shd w:val="clear" w:color="D9D9D9" w:fill="D9D9D9"/>
            <w:noWrap/>
            <w:vAlign w:val="bottom"/>
            <w:hideMark/>
          </w:tcPr>
          <w:p w14:paraId="3A3C4F3B" w14:textId="77777777" w:rsidR="004123E7" w:rsidRPr="000E6931" w:rsidRDefault="004123E7" w:rsidP="00AF13F0">
            <w:pPr>
              <w:rPr>
                <w:rFonts w:ascii="Calibri" w:eastAsia="Times New Roman" w:hAnsi="Calibri" w:cs="Times New Roman"/>
                <w:color w:val="000000"/>
              </w:rPr>
            </w:pPr>
            <w:r w:rsidRPr="000E6931">
              <w:rPr>
                <w:rFonts w:ascii="Calibri" w:eastAsia="Times New Roman" w:hAnsi="Calibri" w:cs="Times New Roman"/>
                <w:color w:val="000000"/>
              </w:rPr>
              <w:t>Akzo Nobel</w:t>
            </w:r>
          </w:p>
        </w:tc>
      </w:tr>
      <w:tr w:rsidR="004123E7" w:rsidRPr="000E6931" w14:paraId="555E3057" w14:textId="77777777" w:rsidTr="004123E7">
        <w:trPr>
          <w:trHeight w:val="300"/>
        </w:trPr>
        <w:tc>
          <w:tcPr>
            <w:tcW w:w="3384" w:type="dxa"/>
            <w:tcBorders>
              <w:top w:val="nil"/>
              <w:left w:val="nil"/>
              <w:bottom w:val="nil"/>
              <w:right w:val="nil"/>
            </w:tcBorders>
            <w:shd w:val="clear" w:color="auto" w:fill="auto"/>
            <w:noWrap/>
            <w:vAlign w:val="bottom"/>
            <w:hideMark/>
          </w:tcPr>
          <w:p w14:paraId="59FFEDB4" w14:textId="77777777" w:rsidR="004123E7" w:rsidRPr="000E6931" w:rsidRDefault="004123E7" w:rsidP="00AF13F0">
            <w:pPr>
              <w:rPr>
                <w:rFonts w:ascii="Calibri" w:eastAsia="Times New Roman" w:hAnsi="Calibri" w:cs="Times New Roman"/>
                <w:color w:val="000000"/>
              </w:rPr>
            </w:pPr>
          </w:p>
        </w:tc>
        <w:tc>
          <w:tcPr>
            <w:tcW w:w="2315" w:type="dxa"/>
            <w:tcBorders>
              <w:top w:val="nil"/>
              <w:left w:val="nil"/>
              <w:bottom w:val="nil"/>
              <w:right w:val="nil"/>
            </w:tcBorders>
            <w:shd w:val="clear" w:color="auto" w:fill="auto"/>
            <w:noWrap/>
            <w:vAlign w:val="bottom"/>
            <w:hideMark/>
          </w:tcPr>
          <w:p w14:paraId="4A4F0ACD" w14:textId="77777777" w:rsidR="004123E7" w:rsidRPr="000E6931" w:rsidRDefault="004123E7" w:rsidP="00AF13F0">
            <w:pPr>
              <w:rPr>
                <w:rFonts w:ascii="Calibri" w:eastAsia="Times New Roman" w:hAnsi="Calibri" w:cs="Times New Roman"/>
                <w:color w:val="000000"/>
              </w:rPr>
            </w:pPr>
            <w:r w:rsidRPr="000E6931">
              <w:rPr>
                <w:rFonts w:ascii="Calibri" w:eastAsia="Times New Roman" w:hAnsi="Calibri" w:cs="Times New Roman"/>
                <w:color w:val="000000"/>
              </w:rPr>
              <w:t>Delta Lloyd</w:t>
            </w:r>
          </w:p>
        </w:tc>
      </w:tr>
      <w:tr w:rsidR="004123E7" w:rsidRPr="000E6931" w14:paraId="4906266A" w14:textId="77777777" w:rsidTr="004123E7">
        <w:trPr>
          <w:trHeight w:val="300"/>
        </w:trPr>
        <w:tc>
          <w:tcPr>
            <w:tcW w:w="3384" w:type="dxa"/>
            <w:tcBorders>
              <w:top w:val="nil"/>
              <w:left w:val="nil"/>
              <w:bottom w:val="nil"/>
              <w:right w:val="nil"/>
            </w:tcBorders>
            <w:shd w:val="clear" w:color="D9D9D9" w:fill="D9D9D9"/>
            <w:noWrap/>
            <w:vAlign w:val="bottom"/>
            <w:hideMark/>
          </w:tcPr>
          <w:p w14:paraId="19715997" w14:textId="77777777" w:rsidR="004123E7" w:rsidRPr="000E6931" w:rsidRDefault="004123E7" w:rsidP="00AF13F0">
            <w:pPr>
              <w:rPr>
                <w:rFonts w:ascii="Calibri" w:eastAsia="Times New Roman" w:hAnsi="Calibri" w:cs="Times New Roman"/>
                <w:color w:val="000000"/>
              </w:rPr>
            </w:pPr>
          </w:p>
        </w:tc>
        <w:tc>
          <w:tcPr>
            <w:tcW w:w="2315" w:type="dxa"/>
            <w:tcBorders>
              <w:top w:val="nil"/>
              <w:left w:val="nil"/>
              <w:bottom w:val="nil"/>
              <w:right w:val="nil"/>
            </w:tcBorders>
            <w:shd w:val="clear" w:color="D9D9D9" w:fill="D9D9D9"/>
            <w:noWrap/>
            <w:vAlign w:val="bottom"/>
            <w:hideMark/>
          </w:tcPr>
          <w:p w14:paraId="2C86C37C" w14:textId="77777777" w:rsidR="004123E7" w:rsidRPr="000E6931" w:rsidRDefault="004123E7" w:rsidP="00AF13F0">
            <w:pPr>
              <w:rPr>
                <w:rFonts w:ascii="Calibri" w:eastAsia="Times New Roman" w:hAnsi="Calibri" w:cs="Times New Roman"/>
                <w:color w:val="000000"/>
              </w:rPr>
            </w:pPr>
            <w:r w:rsidRPr="000E6931">
              <w:rPr>
                <w:rFonts w:ascii="Calibri" w:eastAsia="Times New Roman" w:hAnsi="Calibri" w:cs="Times New Roman"/>
                <w:color w:val="000000"/>
              </w:rPr>
              <w:t>Gemalto</w:t>
            </w:r>
          </w:p>
        </w:tc>
      </w:tr>
      <w:tr w:rsidR="004123E7" w:rsidRPr="000E6931" w14:paraId="7ECB5BDE" w14:textId="77777777" w:rsidTr="004123E7">
        <w:trPr>
          <w:trHeight w:val="300"/>
        </w:trPr>
        <w:tc>
          <w:tcPr>
            <w:tcW w:w="3384" w:type="dxa"/>
            <w:tcBorders>
              <w:top w:val="nil"/>
              <w:left w:val="nil"/>
              <w:bottom w:val="nil"/>
              <w:right w:val="nil"/>
            </w:tcBorders>
            <w:shd w:val="clear" w:color="auto" w:fill="auto"/>
            <w:noWrap/>
            <w:vAlign w:val="bottom"/>
            <w:hideMark/>
          </w:tcPr>
          <w:p w14:paraId="0BFC9D75" w14:textId="77777777" w:rsidR="004123E7" w:rsidRPr="000E6931" w:rsidRDefault="004123E7" w:rsidP="00AF13F0">
            <w:pPr>
              <w:rPr>
                <w:rFonts w:ascii="Calibri" w:eastAsia="Times New Roman" w:hAnsi="Calibri" w:cs="Times New Roman"/>
                <w:color w:val="000000"/>
              </w:rPr>
            </w:pPr>
          </w:p>
        </w:tc>
        <w:tc>
          <w:tcPr>
            <w:tcW w:w="2315" w:type="dxa"/>
            <w:tcBorders>
              <w:top w:val="nil"/>
              <w:left w:val="nil"/>
              <w:bottom w:val="nil"/>
              <w:right w:val="nil"/>
            </w:tcBorders>
            <w:shd w:val="clear" w:color="auto" w:fill="auto"/>
            <w:noWrap/>
            <w:vAlign w:val="bottom"/>
            <w:hideMark/>
          </w:tcPr>
          <w:p w14:paraId="75314906" w14:textId="77777777" w:rsidR="004123E7" w:rsidRPr="000E6931" w:rsidRDefault="004123E7" w:rsidP="00AF13F0">
            <w:pPr>
              <w:rPr>
                <w:rFonts w:ascii="Calibri" w:eastAsia="Times New Roman" w:hAnsi="Calibri" w:cs="Times New Roman"/>
                <w:color w:val="000000"/>
              </w:rPr>
            </w:pPr>
            <w:r w:rsidRPr="000E6931">
              <w:rPr>
                <w:rFonts w:ascii="Calibri" w:eastAsia="Times New Roman" w:hAnsi="Calibri" w:cs="Times New Roman"/>
                <w:color w:val="000000"/>
              </w:rPr>
              <w:t>Heineken</w:t>
            </w:r>
          </w:p>
        </w:tc>
      </w:tr>
      <w:tr w:rsidR="004123E7" w:rsidRPr="000E6931" w14:paraId="2B1EEA6A" w14:textId="77777777" w:rsidTr="004123E7">
        <w:trPr>
          <w:trHeight w:val="300"/>
        </w:trPr>
        <w:tc>
          <w:tcPr>
            <w:tcW w:w="3384" w:type="dxa"/>
            <w:tcBorders>
              <w:top w:val="nil"/>
              <w:left w:val="nil"/>
              <w:bottom w:val="nil"/>
              <w:right w:val="nil"/>
            </w:tcBorders>
            <w:shd w:val="clear" w:color="D9D9D9" w:fill="D9D9D9"/>
            <w:noWrap/>
            <w:vAlign w:val="bottom"/>
            <w:hideMark/>
          </w:tcPr>
          <w:p w14:paraId="5A905B0B" w14:textId="77777777" w:rsidR="004123E7" w:rsidRPr="000E6931" w:rsidRDefault="004123E7" w:rsidP="00AF13F0">
            <w:pPr>
              <w:rPr>
                <w:rFonts w:ascii="Calibri" w:eastAsia="Times New Roman" w:hAnsi="Calibri" w:cs="Times New Roman"/>
                <w:color w:val="000000"/>
              </w:rPr>
            </w:pPr>
          </w:p>
        </w:tc>
        <w:tc>
          <w:tcPr>
            <w:tcW w:w="2315" w:type="dxa"/>
            <w:tcBorders>
              <w:top w:val="nil"/>
              <w:left w:val="nil"/>
              <w:bottom w:val="nil"/>
              <w:right w:val="nil"/>
            </w:tcBorders>
            <w:shd w:val="clear" w:color="D9D9D9" w:fill="D9D9D9"/>
            <w:noWrap/>
            <w:vAlign w:val="bottom"/>
            <w:hideMark/>
          </w:tcPr>
          <w:p w14:paraId="6F019786" w14:textId="77777777" w:rsidR="004123E7" w:rsidRPr="000E6931" w:rsidRDefault="004123E7" w:rsidP="00AF13F0">
            <w:pPr>
              <w:rPr>
                <w:rFonts w:ascii="Calibri" w:eastAsia="Times New Roman" w:hAnsi="Calibri" w:cs="Times New Roman"/>
                <w:color w:val="000000"/>
              </w:rPr>
            </w:pPr>
            <w:r w:rsidRPr="000E6931">
              <w:rPr>
                <w:rFonts w:ascii="Calibri" w:eastAsia="Times New Roman" w:hAnsi="Calibri" w:cs="Times New Roman"/>
                <w:color w:val="000000"/>
              </w:rPr>
              <w:t>KPN</w:t>
            </w:r>
          </w:p>
        </w:tc>
      </w:tr>
      <w:tr w:rsidR="004123E7" w:rsidRPr="000E6931" w14:paraId="14406FFF" w14:textId="77777777" w:rsidTr="004123E7">
        <w:trPr>
          <w:trHeight w:val="300"/>
        </w:trPr>
        <w:tc>
          <w:tcPr>
            <w:tcW w:w="3384" w:type="dxa"/>
            <w:tcBorders>
              <w:top w:val="nil"/>
              <w:left w:val="nil"/>
              <w:bottom w:val="nil"/>
              <w:right w:val="nil"/>
            </w:tcBorders>
            <w:shd w:val="clear" w:color="auto" w:fill="auto"/>
            <w:noWrap/>
            <w:vAlign w:val="bottom"/>
            <w:hideMark/>
          </w:tcPr>
          <w:p w14:paraId="5C13AC5D" w14:textId="77777777" w:rsidR="004123E7" w:rsidRPr="000E6931" w:rsidRDefault="004123E7" w:rsidP="00AF13F0">
            <w:pPr>
              <w:rPr>
                <w:rFonts w:ascii="Calibri" w:eastAsia="Times New Roman" w:hAnsi="Calibri" w:cs="Times New Roman"/>
                <w:color w:val="000000"/>
              </w:rPr>
            </w:pPr>
          </w:p>
        </w:tc>
        <w:tc>
          <w:tcPr>
            <w:tcW w:w="2315" w:type="dxa"/>
            <w:tcBorders>
              <w:top w:val="nil"/>
              <w:left w:val="nil"/>
              <w:bottom w:val="nil"/>
              <w:right w:val="nil"/>
            </w:tcBorders>
            <w:shd w:val="clear" w:color="auto" w:fill="auto"/>
            <w:noWrap/>
            <w:vAlign w:val="bottom"/>
            <w:hideMark/>
          </w:tcPr>
          <w:p w14:paraId="79C84D0A" w14:textId="77777777" w:rsidR="004123E7" w:rsidRPr="000E6931" w:rsidRDefault="004123E7" w:rsidP="00AF13F0">
            <w:pPr>
              <w:rPr>
                <w:rFonts w:ascii="Calibri" w:eastAsia="Times New Roman" w:hAnsi="Calibri" w:cs="Times New Roman"/>
                <w:color w:val="000000"/>
              </w:rPr>
            </w:pPr>
            <w:r w:rsidRPr="000E6931">
              <w:rPr>
                <w:rFonts w:ascii="Calibri" w:eastAsia="Times New Roman" w:hAnsi="Calibri" w:cs="Times New Roman"/>
                <w:color w:val="000000"/>
              </w:rPr>
              <w:t>Philips</w:t>
            </w:r>
          </w:p>
        </w:tc>
      </w:tr>
      <w:tr w:rsidR="004123E7" w:rsidRPr="000E6931" w14:paraId="235239BF" w14:textId="77777777" w:rsidTr="004123E7">
        <w:trPr>
          <w:trHeight w:val="300"/>
        </w:trPr>
        <w:tc>
          <w:tcPr>
            <w:tcW w:w="3384" w:type="dxa"/>
            <w:tcBorders>
              <w:top w:val="nil"/>
              <w:left w:val="nil"/>
              <w:bottom w:val="nil"/>
              <w:right w:val="nil"/>
            </w:tcBorders>
            <w:shd w:val="clear" w:color="D9D9D9" w:fill="D9D9D9"/>
            <w:noWrap/>
            <w:vAlign w:val="bottom"/>
            <w:hideMark/>
          </w:tcPr>
          <w:p w14:paraId="07154AC1" w14:textId="77777777" w:rsidR="004123E7" w:rsidRPr="000E6931" w:rsidRDefault="004123E7" w:rsidP="00AF13F0">
            <w:pPr>
              <w:rPr>
                <w:rFonts w:ascii="Calibri" w:eastAsia="Times New Roman" w:hAnsi="Calibri" w:cs="Times New Roman"/>
                <w:color w:val="000000"/>
              </w:rPr>
            </w:pPr>
          </w:p>
        </w:tc>
        <w:tc>
          <w:tcPr>
            <w:tcW w:w="2315" w:type="dxa"/>
            <w:tcBorders>
              <w:top w:val="nil"/>
              <w:left w:val="nil"/>
              <w:bottom w:val="nil"/>
              <w:right w:val="nil"/>
            </w:tcBorders>
            <w:shd w:val="clear" w:color="D9D9D9" w:fill="D9D9D9"/>
            <w:noWrap/>
            <w:vAlign w:val="bottom"/>
            <w:hideMark/>
          </w:tcPr>
          <w:p w14:paraId="56E17BAB" w14:textId="77777777" w:rsidR="004123E7" w:rsidRPr="000E6931" w:rsidRDefault="004123E7" w:rsidP="00AF13F0">
            <w:pPr>
              <w:rPr>
                <w:rFonts w:ascii="Calibri" w:eastAsia="Times New Roman" w:hAnsi="Calibri" w:cs="Times New Roman"/>
                <w:color w:val="000000"/>
              </w:rPr>
            </w:pPr>
            <w:r w:rsidRPr="000E6931">
              <w:rPr>
                <w:rFonts w:ascii="Calibri" w:eastAsia="Times New Roman" w:hAnsi="Calibri" w:cs="Times New Roman"/>
                <w:color w:val="000000"/>
              </w:rPr>
              <w:t>Reed Elsevier</w:t>
            </w:r>
          </w:p>
        </w:tc>
      </w:tr>
      <w:tr w:rsidR="004123E7" w:rsidRPr="000E6931" w14:paraId="645065D3" w14:textId="77777777" w:rsidTr="004123E7">
        <w:trPr>
          <w:trHeight w:val="300"/>
        </w:trPr>
        <w:tc>
          <w:tcPr>
            <w:tcW w:w="3384" w:type="dxa"/>
            <w:tcBorders>
              <w:top w:val="nil"/>
              <w:left w:val="nil"/>
              <w:bottom w:val="nil"/>
              <w:right w:val="nil"/>
            </w:tcBorders>
            <w:shd w:val="clear" w:color="auto" w:fill="auto"/>
            <w:noWrap/>
            <w:vAlign w:val="bottom"/>
            <w:hideMark/>
          </w:tcPr>
          <w:p w14:paraId="247E1A12" w14:textId="77777777" w:rsidR="004123E7" w:rsidRPr="000E6931" w:rsidRDefault="004123E7" w:rsidP="00AF13F0">
            <w:pPr>
              <w:rPr>
                <w:rFonts w:ascii="Calibri" w:eastAsia="Times New Roman" w:hAnsi="Calibri" w:cs="Times New Roman"/>
                <w:color w:val="000000"/>
              </w:rPr>
            </w:pPr>
          </w:p>
        </w:tc>
        <w:tc>
          <w:tcPr>
            <w:tcW w:w="2315" w:type="dxa"/>
            <w:tcBorders>
              <w:top w:val="nil"/>
              <w:left w:val="nil"/>
              <w:bottom w:val="nil"/>
              <w:right w:val="nil"/>
            </w:tcBorders>
            <w:shd w:val="clear" w:color="auto" w:fill="auto"/>
            <w:noWrap/>
            <w:vAlign w:val="bottom"/>
            <w:hideMark/>
          </w:tcPr>
          <w:p w14:paraId="14BAFB89" w14:textId="77777777" w:rsidR="004123E7" w:rsidRPr="000E6931" w:rsidRDefault="004123E7" w:rsidP="00AF13F0">
            <w:pPr>
              <w:rPr>
                <w:rFonts w:ascii="Calibri" w:eastAsia="Times New Roman" w:hAnsi="Calibri" w:cs="Times New Roman"/>
                <w:color w:val="000000"/>
              </w:rPr>
            </w:pPr>
            <w:r w:rsidRPr="000E6931">
              <w:rPr>
                <w:rFonts w:ascii="Calibri" w:eastAsia="Times New Roman" w:hAnsi="Calibri" w:cs="Times New Roman"/>
                <w:color w:val="000000"/>
              </w:rPr>
              <w:t>Unibail-Rodamco</w:t>
            </w:r>
          </w:p>
        </w:tc>
      </w:tr>
      <w:tr w:rsidR="004123E7" w:rsidRPr="000E6931" w14:paraId="62170B04" w14:textId="77777777" w:rsidTr="004123E7">
        <w:trPr>
          <w:trHeight w:val="300"/>
        </w:trPr>
        <w:tc>
          <w:tcPr>
            <w:tcW w:w="3384" w:type="dxa"/>
            <w:tcBorders>
              <w:top w:val="nil"/>
              <w:left w:val="nil"/>
              <w:bottom w:val="single" w:sz="4" w:space="0" w:color="000000"/>
              <w:right w:val="nil"/>
            </w:tcBorders>
            <w:shd w:val="clear" w:color="D9D9D9" w:fill="D9D9D9"/>
            <w:noWrap/>
            <w:vAlign w:val="bottom"/>
            <w:hideMark/>
          </w:tcPr>
          <w:p w14:paraId="7B5F2C2F" w14:textId="77777777" w:rsidR="004123E7" w:rsidRPr="000E6931" w:rsidRDefault="004123E7" w:rsidP="00AF13F0">
            <w:pPr>
              <w:rPr>
                <w:rFonts w:ascii="Calibri" w:eastAsia="Times New Roman" w:hAnsi="Calibri" w:cs="Times New Roman"/>
                <w:color w:val="000000"/>
              </w:rPr>
            </w:pPr>
          </w:p>
        </w:tc>
        <w:tc>
          <w:tcPr>
            <w:tcW w:w="2315" w:type="dxa"/>
            <w:tcBorders>
              <w:top w:val="nil"/>
              <w:left w:val="nil"/>
              <w:bottom w:val="single" w:sz="4" w:space="0" w:color="000000"/>
              <w:right w:val="nil"/>
            </w:tcBorders>
            <w:shd w:val="clear" w:color="D9D9D9" w:fill="D9D9D9"/>
            <w:noWrap/>
            <w:vAlign w:val="bottom"/>
            <w:hideMark/>
          </w:tcPr>
          <w:p w14:paraId="0D2F13CB" w14:textId="77777777" w:rsidR="004123E7" w:rsidRPr="000E6931" w:rsidRDefault="004123E7" w:rsidP="00AF13F0">
            <w:pPr>
              <w:rPr>
                <w:rFonts w:ascii="Calibri" w:eastAsia="Times New Roman" w:hAnsi="Calibri" w:cs="Times New Roman"/>
                <w:color w:val="000000"/>
              </w:rPr>
            </w:pPr>
            <w:r w:rsidRPr="000E6931">
              <w:rPr>
                <w:rFonts w:ascii="Calibri" w:eastAsia="Times New Roman" w:hAnsi="Calibri" w:cs="Times New Roman"/>
                <w:color w:val="000000"/>
              </w:rPr>
              <w:t>Wolters Kluwer</w:t>
            </w:r>
          </w:p>
        </w:tc>
      </w:tr>
    </w:tbl>
    <w:p w14:paraId="36F1ABA4" w14:textId="77777777" w:rsidR="00CD41C0" w:rsidRDefault="00CD41C0" w:rsidP="00AF13F0">
      <w:pPr>
        <w:spacing w:line="360" w:lineRule="auto"/>
        <w:rPr>
          <w:b/>
        </w:rPr>
      </w:pPr>
    </w:p>
    <w:p w14:paraId="2689D261" w14:textId="6AF94B8D" w:rsidR="00CD41C0" w:rsidRDefault="00CD41C0" w:rsidP="00AF13F0">
      <w:pPr>
        <w:spacing w:line="360" w:lineRule="auto"/>
        <w:rPr>
          <w:b/>
        </w:rPr>
      </w:pPr>
      <w:r>
        <w:rPr>
          <w:b/>
        </w:rPr>
        <w:t>Tabel 10</w:t>
      </w:r>
    </w:p>
    <w:tbl>
      <w:tblPr>
        <w:tblW w:w="7768" w:type="dxa"/>
        <w:tblInd w:w="108" w:type="dxa"/>
        <w:tblLook w:val="04A0" w:firstRow="1" w:lastRow="0" w:firstColumn="1" w:lastColumn="0" w:noHBand="0" w:noVBand="1"/>
      </w:tblPr>
      <w:tblGrid>
        <w:gridCol w:w="1856"/>
        <w:gridCol w:w="2116"/>
        <w:gridCol w:w="3796"/>
      </w:tblGrid>
      <w:tr w:rsidR="00CD41C0" w:rsidRPr="00CD41C0" w14:paraId="39E735F9" w14:textId="77777777" w:rsidTr="00CD41C0">
        <w:trPr>
          <w:trHeight w:val="300"/>
        </w:trPr>
        <w:tc>
          <w:tcPr>
            <w:tcW w:w="1856" w:type="dxa"/>
            <w:tcBorders>
              <w:top w:val="single" w:sz="4" w:space="0" w:color="000000"/>
              <w:left w:val="nil"/>
              <w:bottom w:val="single" w:sz="4" w:space="0" w:color="000000"/>
              <w:right w:val="nil"/>
            </w:tcBorders>
            <w:shd w:val="clear" w:color="auto" w:fill="auto"/>
            <w:noWrap/>
            <w:vAlign w:val="bottom"/>
            <w:hideMark/>
          </w:tcPr>
          <w:p w14:paraId="69A6088C" w14:textId="77777777" w:rsidR="00CD41C0" w:rsidRPr="00CD41C0" w:rsidRDefault="00CD41C0" w:rsidP="00AF13F0">
            <w:pPr>
              <w:rPr>
                <w:rFonts w:ascii="Calibri" w:eastAsia="Times New Roman" w:hAnsi="Calibri" w:cs="Times New Roman"/>
                <w:b/>
                <w:bCs/>
                <w:color w:val="000000"/>
              </w:rPr>
            </w:pPr>
            <w:r w:rsidRPr="00CD41C0">
              <w:rPr>
                <w:rFonts w:ascii="Calibri" w:eastAsia="Times New Roman" w:hAnsi="Calibri" w:cs="Times New Roman"/>
                <w:b/>
                <w:bCs/>
                <w:color w:val="000000"/>
              </w:rPr>
              <w:t>Onderneming</w:t>
            </w:r>
          </w:p>
        </w:tc>
        <w:tc>
          <w:tcPr>
            <w:tcW w:w="2116" w:type="dxa"/>
            <w:tcBorders>
              <w:top w:val="single" w:sz="4" w:space="0" w:color="000000"/>
              <w:left w:val="nil"/>
              <w:bottom w:val="single" w:sz="4" w:space="0" w:color="000000"/>
              <w:right w:val="nil"/>
            </w:tcBorders>
            <w:shd w:val="clear" w:color="auto" w:fill="auto"/>
            <w:noWrap/>
            <w:vAlign w:val="bottom"/>
            <w:hideMark/>
          </w:tcPr>
          <w:p w14:paraId="21A2CAB6" w14:textId="77777777" w:rsidR="00CD41C0" w:rsidRPr="00CD41C0" w:rsidRDefault="00CD41C0" w:rsidP="00AF13F0">
            <w:pPr>
              <w:rPr>
                <w:rFonts w:ascii="Calibri" w:eastAsia="Times New Roman" w:hAnsi="Calibri" w:cs="Times New Roman"/>
                <w:b/>
                <w:bCs/>
                <w:color w:val="000000"/>
              </w:rPr>
            </w:pPr>
            <w:r w:rsidRPr="00CD41C0">
              <w:rPr>
                <w:rFonts w:ascii="Calibri" w:eastAsia="Times New Roman" w:hAnsi="Calibri" w:cs="Times New Roman"/>
                <w:b/>
                <w:bCs/>
                <w:color w:val="000000"/>
              </w:rPr>
              <w:t>Percentage</w:t>
            </w:r>
          </w:p>
        </w:tc>
        <w:tc>
          <w:tcPr>
            <w:tcW w:w="3796" w:type="dxa"/>
            <w:tcBorders>
              <w:top w:val="single" w:sz="4" w:space="0" w:color="000000"/>
              <w:left w:val="nil"/>
              <w:bottom w:val="single" w:sz="4" w:space="0" w:color="000000"/>
              <w:right w:val="nil"/>
            </w:tcBorders>
            <w:shd w:val="clear" w:color="auto" w:fill="auto"/>
            <w:noWrap/>
            <w:vAlign w:val="bottom"/>
            <w:hideMark/>
          </w:tcPr>
          <w:p w14:paraId="7D477883" w14:textId="77777777" w:rsidR="00CD41C0" w:rsidRPr="00CD41C0" w:rsidRDefault="00CD41C0" w:rsidP="00AF13F0">
            <w:pPr>
              <w:rPr>
                <w:rFonts w:ascii="Calibri" w:eastAsia="Times New Roman" w:hAnsi="Calibri" w:cs="Times New Roman"/>
                <w:b/>
                <w:bCs/>
                <w:color w:val="000000"/>
              </w:rPr>
            </w:pPr>
            <w:r w:rsidRPr="00CD41C0">
              <w:rPr>
                <w:rFonts w:ascii="Calibri" w:eastAsia="Times New Roman" w:hAnsi="Calibri" w:cs="Times New Roman"/>
                <w:b/>
                <w:bCs/>
                <w:color w:val="000000"/>
              </w:rPr>
              <w:t>Plaats</w:t>
            </w:r>
          </w:p>
        </w:tc>
      </w:tr>
      <w:tr w:rsidR="00CD41C0" w:rsidRPr="00CD41C0" w14:paraId="4336025A" w14:textId="77777777" w:rsidTr="00CD41C0">
        <w:trPr>
          <w:trHeight w:val="300"/>
        </w:trPr>
        <w:tc>
          <w:tcPr>
            <w:tcW w:w="1856" w:type="dxa"/>
            <w:tcBorders>
              <w:top w:val="nil"/>
              <w:left w:val="nil"/>
              <w:bottom w:val="nil"/>
              <w:right w:val="nil"/>
            </w:tcBorders>
            <w:shd w:val="clear" w:color="D9D9D9" w:fill="D9D9D9"/>
            <w:noWrap/>
            <w:vAlign w:val="bottom"/>
            <w:hideMark/>
          </w:tcPr>
          <w:p w14:paraId="760E5903" w14:textId="77777777" w:rsidR="00CD41C0" w:rsidRPr="00CD41C0" w:rsidRDefault="00CD41C0" w:rsidP="00AF13F0">
            <w:pPr>
              <w:rPr>
                <w:rFonts w:ascii="Calibri" w:eastAsia="Times New Roman" w:hAnsi="Calibri" w:cs="Times New Roman"/>
                <w:color w:val="000000"/>
              </w:rPr>
            </w:pPr>
            <w:r w:rsidRPr="00CD41C0">
              <w:rPr>
                <w:rFonts w:ascii="Calibri" w:eastAsia="Times New Roman" w:hAnsi="Calibri" w:cs="Times New Roman"/>
                <w:color w:val="000000"/>
              </w:rPr>
              <w:t>Aalberts</w:t>
            </w:r>
          </w:p>
        </w:tc>
        <w:tc>
          <w:tcPr>
            <w:tcW w:w="2116" w:type="dxa"/>
            <w:tcBorders>
              <w:top w:val="nil"/>
              <w:left w:val="nil"/>
              <w:bottom w:val="nil"/>
              <w:right w:val="nil"/>
            </w:tcBorders>
            <w:shd w:val="clear" w:color="D9D9D9" w:fill="D9D9D9"/>
            <w:noWrap/>
            <w:vAlign w:val="bottom"/>
            <w:hideMark/>
          </w:tcPr>
          <w:p w14:paraId="1F79B3D7" w14:textId="77777777" w:rsidR="00CD41C0" w:rsidRPr="00CD41C0" w:rsidRDefault="00CD41C0" w:rsidP="00AF13F0">
            <w:pPr>
              <w:rPr>
                <w:rFonts w:ascii="Calibri" w:eastAsia="Times New Roman" w:hAnsi="Calibri" w:cs="Times New Roman"/>
                <w:color w:val="000000"/>
              </w:rPr>
            </w:pPr>
            <w:r w:rsidRPr="00CD41C0">
              <w:rPr>
                <w:rFonts w:ascii="Calibri" w:eastAsia="Times New Roman" w:hAnsi="Calibri" w:cs="Times New Roman"/>
                <w:color w:val="000000"/>
              </w:rPr>
              <w:t>3,0%</w:t>
            </w:r>
          </w:p>
        </w:tc>
        <w:tc>
          <w:tcPr>
            <w:tcW w:w="3796" w:type="dxa"/>
            <w:tcBorders>
              <w:top w:val="nil"/>
              <w:left w:val="nil"/>
              <w:bottom w:val="nil"/>
              <w:right w:val="nil"/>
            </w:tcBorders>
            <w:shd w:val="clear" w:color="D9D9D9" w:fill="D9D9D9"/>
            <w:noWrap/>
            <w:vAlign w:val="bottom"/>
            <w:hideMark/>
          </w:tcPr>
          <w:p w14:paraId="1AF4FA60" w14:textId="77777777" w:rsidR="00CD41C0" w:rsidRPr="00CD41C0" w:rsidRDefault="00CD41C0" w:rsidP="00AF13F0">
            <w:pPr>
              <w:rPr>
                <w:rFonts w:ascii="Calibri" w:eastAsia="Times New Roman" w:hAnsi="Calibri" w:cs="Times New Roman"/>
                <w:color w:val="000000"/>
              </w:rPr>
            </w:pPr>
            <w:r w:rsidRPr="00CD41C0">
              <w:rPr>
                <w:rFonts w:ascii="Calibri" w:eastAsia="Times New Roman" w:hAnsi="Calibri" w:cs="Times New Roman"/>
                <w:color w:val="000000"/>
              </w:rPr>
              <w:t>Inleiding CEO</w:t>
            </w:r>
          </w:p>
        </w:tc>
      </w:tr>
      <w:tr w:rsidR="00CD41C0" w:rsidRPr="00CD41C0" w14:paraId="5417234A" w14:textId="77777777" w:rsidTr="00CD41C0">
        <w:trPr>
          <w:trHeight w:val="300"/>
        </w:trPr>
        <w:tc>
          <w:tcPr>
            <w:tcW w:w="1856" w:type="dxa"/>
            <w:tcBorders>
              <w:top w:val="nil"/>
              <w:left w:val="nil"/>
              <w:bottom w:val="nil"/>
              <w:right w:val="nil"/>
            </w:tcBorders>
            <w:shd w:val="clear" w:color="auto" w:fill="auto"/>
            <w:noWrap/>
            <w:vAlign w:val="bottom"/>
            <w:hideMark/>
          </w:tcPr>
          <w:p w14:paraId="0A05097F" w14:textId="77777777" w:rsidR="00CD41C0" w:rsidRPr="00CD41C0" w:rsidRDefault="00CD41C0" w:rsidP="00AF13F0">
            <w:pPr>
              <w:rPr>
                <w:rFonts w:ascii="Calibri" w:eastAsia="Times New Roman" w:hAnsi="Calibri" w:cs="Times New Roman"/>
                <w:color w:val="000000"/>
              </w:rPr>
            </w:pPr>
            <w:r w:rsidRPr="00CD41C0">
              <w:rPr>
                <w:rFonts w:ascii="Calibri" w:eastAsia="Times New Roman" w:hAnsi="Calibri" w:cs="Times New Roman"/>
                <w:color w:val="000000"/>
              </w:rPr>
              <w:t>Akzo Nobel</w:t>
            </w:r>
          </w:p>
        </w:tc>
        <w:tc>
          <w:tcPr>
            <w:tcW w:w="2116" w:type="dxa"/>
            <w:tcBorders>
              <w:top w:val="nil"/>
              <w:left w:val="nil"/>
              <w:bottom w:val="nil"/>
              <w:right w:val="nil"/>
            </w:tcBorders>
            <w:shd w:val="clear" w:color="auto" w:fill="auto"/>
            <w:noWrap/>
            <w:vAlign w:val="bottom"/>
            <w:hideMark/>
          </w:tcPr>
          <w:p w14:paraId="7E49F598" w14:textId="77777777" w:rsidR="00CD41C0" w:rsidRPr="00CD41C0" w:rsidRDefault="00CD41C0" w:rsidP="00AF13F0">
            <w:pPr>
              <w:rPr>
                <w:rFonts w:ascii="Calibri" w:eastAsia="Times New Roman" w:hAnsi="Calibri" w:cs="Times New Roman"/>
                <w:color w:val="000000"/>
              </w:rPr>
            </w:pPr>
            <w:r w:rsidRPr="00CD41C0">
              <w:rPr>
                <w:rFonts w:ascii="Calibri" w:eastAsia="Times New Roman" w:hAnsi="Calibri" w:cs="Times New Roman"/>
                <w:color w:val="000000"/>
              </w:rPr>
              <w:t>1,0%</w:t>
            </w:r>
          </w:p>
        </w:tc>
        <w:tc>
          <w:tcPr>
            <w:tcW w:w="3796" w:type="dxa"/>
            <w:tcBorders>
              <w:top w:val="nil"/>
              <w:left w:val="nil"/>
              <w:bottom w:val="nil"/>
              <w:right w:val="nil"/>
            </w:tcBorders>
            <w:shd w:val="clear" w:color="auto" w:fill="auto"/>
            <w:noWrap/>
            <w:vAlign w:val="bottom"/>
            <w:hideMark/>
          </w:tcPr>
          <w:p w14:paraId="765FCBB7" w14:textId="77777777" w:rsidR="00CD41C0" w:rsidRPr="00CD41C0" w:rsidRDefault="00CD41C0" w:rsidP="00AF13F0">
            <w:pPr>
              <w:rPr>
                <w:rFonts w:ascii="Calibri" w:eastAsia="Times New Roman" w:hAnsi="Calibri" w:cs="Times New Roman"/>
                <w:color w:val="000000"/>
              </w:rPr>
            </w:pPr>
            <w:r w:rsidRPr="00CD41C0">
              <w:rPr>
                <w:rFonts w:ascii="Calibri" w:eastAsia="Times New Roman" w:hAnsi="Calibri" w:cs="Times New Roman"/>
                <w:color w:val="000000"/>
              </w:rPr>
              <w:t>Toelichting Strategie</w:t>
            </w:r>
          </w:p>
        </w:tc>
      </w:tr>
      <w:tr w:rsidR="00CD41C0" w:rsidRPr="00CD41C0" w14:paraId="6C207871" w14:textId="77777777" w:rsidTr="00CD41C0">
        <w:trPr>
          <w:trHeight w:val="300"/>
        </w:trPr>
        <w:tc>
          <w:tcPr>
            <w:tcW w:w="1856" w:type="dxa"/>
            <w:tcBorders>
              <w:top w:val="nil"/>
              <w:left w:val="nil"/>
              <w:bottom w:val="nil"/>
              <w:right w:val="nil"/>
            </w:tcBorders>
            <w:shd w:val="clear" w:color="D9D9D9" w:fill="D9D9D9"/>
            <w:noWrap/>
            <w:vAlign w:val="bottom"/>
            <w:hideMark/>
          </w:tcPr>
          <w:p w14:paraId="16B1B8CF" w14:textId="77777777" w:rsidR="00CD41C0" w:rsidRPr="00CD41C0" w:rsidRDefault="00CD41C0" w:rsidP="00AF13F0">
            <w:pPr>
              <w:rPr>
                <w:rFonts w:ascii="Calibri" w:eastAsia="Times New Roman" w:hAnsi="Calibri" w:cs="Times New Roman"/>
                <w:color w:val="000000"/>
              </w:rPr>
            </w:pPr>
            <w:r w:rsidRPr="00CD41C0">
              <w:rPr>
                <w:rFonts w:ascii="Calibri" w:eastAsia="Times New Roman" w:hAnsi="Calibri" w:cs="Times New Roman"/>
                <w:color w:val="000000"/>
              </w:rPr>
              <w:t>DSM</w:t>
            </w:r>
          </w:p>
        </w:tc>
        <w:tc>
          <w:tcPr>
            <w:tcW w:w="2116" w:type="dxa"/>
            <w:tcBorders>
              <w:top w:val="nil"/>
              <w:left w:val="nil"/>
              <w:bottom w:val="nil"/>
              <w:right w:val="nil"/>
            </w:tcBorders>
            <w:shd w:val="clear" w:color="D9D9D9" w:fill="D9D9D9"/>
            <w:noWrap/>
            <w:vAlign w:val="bottom"/>
            <w:hideMark/>
          </w:tcPr>
          <w:p w14:paraId="3B0B9865" w14:textId="77777777" w:rsidR="00CD41C0" w:rsidRPr="00CD41C0" w:rsidRDefault="00CD41C0" w:rsidP="00AF13F0">
            <w:pPr>
              <w:rPr>
                <w:rFonts w:ascii="Calibri" w:eastAsia="Times New Roman" w:hAnsi="Calibri" w:cs="Times New Roman"/>
                <w:color w:val="000000"/>
              </w:rPr>
            </w:pPr>
            <w:r w:rsidRPr="00CD41C0">
              <w:rPr>
                <w:rFonts w:ascii="Calibri" w:eastAsia="Times New Roman" w:hAnsi="Calibri" w:cs="Times New Roman"/>
                <w:color w:val="000000"/>
              </w:rPr>
              <w:t>3,0%</w:t>
            </w:r>
          </w:p>
        </w:tc>
        <w:tc>
          <w:tcPr>
            <w:tcW w:w="3796" w:type="dxa"/>
            <w:tcBorders>
              <w:top w:val="nil"/>
              <w:left w:val="nil"/>
              <w:bottom w:val="nil"/>
              <w:right w:val="nil"/>
            </w:tcBorders>
            <w:shd w:val="clear" w:color="D9D9D9" w:fill="D9D9D9"/>
            <w:noWrap/>
            <w:vAlign w:val="bottom"/>
            <w:hideMark/>
          </w:tcPr>
          <w:p w14:paraId="46E22133" w14:textId="77777777" w:rsidR="00CD41C0" w:rsidRPr="00CD41C0" w:rsidRDefault="00CD41C0" w:rsidP="00AF13F0">
            <w:pPr>
              <w:rPr>
                <w:rFonts w:ascii="Calibri" w:eastAsia="Times New Roman" w:hAnsi="Calibri" w:cs="Times New Roman"/>
                <w:color w:val="000000"/>
              </w:rPr>
            </w:pPr>
            <w:r w:rsidRPr="00CD41C0">
              <w:rPr>
                <w:rFonts w:ascii="Calibri" w:eastAsia="Times New Roman" w:hAnsi="Calibri" w:cs="Times New Roman"/>
                <w:color w:val="000000"/>
              </w:rPr>
              <w:t>Inleiding CEO</w:t>
            </w:r>
          </w:p>
        </w:tc>
      </w:tr>
      <w:tr w:rsidR="00CD41C0" w:rsidRPr="00CD41C0" w14:paraId="4F0172F0" w14:textId="77777777" w:rsidTr="00CD41C0">
        <w:trPr>
          <w:trHeight w:val="300"/>
        </w:trPr>
        <w:tc>
          <w:tcPr>
            <w:tcW w:w="1856" w:type="dxa"/>
            <w:tcBorders>
              <w:top w:val="nil"/>
              <w:left w:val="nil"/>
              <w:bottom w:val="nil"/>
              <w:right w:val="nil"/>
            </w:tcBorders>
            <w:shd w:val="clear" w:color="auto" w:fill="auto"/>
            <w:noWrap/>
            <w:vAlign w:val="bottom"/>
            <w:hideMark/>
          </w:tcPr>
          <w:p w14:paraId="34B97BDD" w14:textId="77777777" w:rsidR="00CD41C0" w:rsidRPr="00CD41C0" w:rsidRDefault="00CD41C0" w:rsidP="00AF13F0">
            <w:pPr>
              <w:rPr>
                <w:rFonts w:ascii="Calibri" w:eastAsia="Times New Roman" w:hAnsi="Calibri" w:cs="Times New Roman"/>
                <w:color w:val="000000"/>
              </w:rPr>
            </w:pPr>
            <w:r w:rsidRPr="00CD41C0">
              <w:rPr>
                <w:rFonts w:ascii="Calibri" w:eastAsia="Times New Roman" w:hAnsi="Calibri" w:cs="Times New Roman"/>
                <w:color w:val="000000"/>
              </w:rPr>
              <w:t>Heineken</w:t>
            </w:r>
          </w:p>
        </w:tc>
        <w:tc>
          <w:tcPr>
            <w:tcW w:w="2116" w:type="dxa"/>
            <w:tcBorders>
              <w:top w:val="nil"/>
              <w:left w:val="nil"/>
              <w:bottom w:val="nil"/>
              <w:right w:val="nil"/>
            </w:tcBorders>
            <w:shd w:val="clear" w:color="auto" w:fill="auto"/>
            <w:noWrap/>
            <w:vAlign w:val="bottom"/>
            <w:hideMark/>
          </w:tcPr>
          <w:p w14:paraId="4AD1AE04" w14:textId="77777777" w:rsidR="00CD41C0" w:rsidRPr="00CD41C0" w:rsidRDefault="00CD41C0" w:rsidP="00AF13F0">
            <w:pPr>
              <w:rPr>
                <w:rFonts w:ascii="Calibri" w:eastAsia="Times New Roman" w:hAnsi="Calibri" w:cs="Times New Roman"/>
                <w:color w:val="000000"/>
              </w:rPr>
            </w:pPr>
            <w:r w:rsidRPr="00CD41C0">
              <w:rPr>
                <w:rFonts w:ascii="Calibri" w:eastAsia="Times New Roman" w:hAnsi="Calibri" w:cs="Times New Roman"/>
                <w:color w:val="000000"/>
              </w:rPr>
              <w:t>3,3%</w:t>
            </w:r>
          </w:p>
        </w:tc>
        <w:tc>
          <w:tcPr>
            <w:tcW w:w="3796" w:type="dxa"/>
            <w:tcBorders>
              <w:top w:val="nil"/>
              <w:left w:val="nil"/>
              <w:bottom w:val="nil"/>
              <w:right w:val="nil"/>
            </w:tcBorders>
            <w:shd w:val="clear" w:color="auto" w:fill="auto"/>
            <w:noWrap/>
            <w:vAlign w:val="bottom"/>
            <w:hideMark/>
          </w:tcPr>
          <w:p w14:paraId="690DBC66" w14:textId="77777777" w:rsidR="00CD41C0" w:rsidRPr="00CD41C0" w:rsidRDefault="00CD41C0" w:rsidP="00AF13F0">
            <w:pPr>
              <w:rPr>
                <w:rFonts w:ascii="Calibri" w:eastAsia="Times New Roman" w:hAnsi="Calibri" w:cs="Times New Roman"/>
                <w:color w:val="000000"/>
              </w:rPr>
            </w:pPr>
            <w:r w:rsidRPr="00CD41C0">
              <w:rPr>
                <w:rFonts w:ascii="Calibri" w:eastAsia="Times New Roman" w:hAnsi="Calibri" w:cs="Times New Roman"/>
                <w:color w:val="000000"/>
              </w:rPr>
              <w:t>Inleiding CEO</w:t>
            </w:r>
          </w:p>
        </w:tc>
      </w:tr>
      <w:tr w:rsidR="00CD41C0" w:rsidRPr="00CD41C0" w14:paraId="612B6894" w14:textId="77777777" w:rsidTr="00CD41C0">
        <w:trPr>
          <w:trHeight w:val="300"/>
        </w:trPr>
        <w:tc>
          <w:tcPr>
            <w:tcW w:w="1856" w:type="dxa"/>
            <w:tcBorders>
              <w:top w:val="nil"/>
              <w:left w:val="nil"/>
              <w:bottom w:val="nil"/>
              <w:right w:val="nil"/>
            </w:tcBorders>
            <w:shd w:val="clear" w:color="D9D9D9" w:fill="D9D9D9"/>
            <w:noWrap/>
            <w:vAlign w:val="bottom"/>
            <w:hideMark/>
          </w:tcPr>
          <w:p w14:paraId="05A351E2" w14:textId="77777777" w:rsidR="00CD41C0" w:rsidRPr="00CD41C0" w:rsidRDefault="00CD41C0" w:rsidP="00AF13F0">
            <w:pPr>
              <w:rPr>
                <w:rFonts w:ascii="Calibri" w:eastAsia="Times New Roman" w:hAnsi="Calibri" w:cs="Times New Roman"/>
                <w:color w:val="000000"/>
              </w:rPr>
            </w:pPr>
            <w:r w:rsidRPr="00CD41C0">
              <w:rPr>
                <w:rFonts w:ascii="Calibri" w:eastAsia="Times New Roman" w:hAnsi="Calibri" w:cs="Times New Roman"/>
                <w:color w:val="000000"/>
              </w:rPr>
              <w:t>Randstad</w:t>
            </w:r>
          </w:p>
        </w:tc>
        <w:tc>
          <w:tcPr>
            <w:tcW w:w="2116" w:type="dxa"/>
            <w:tcBorders>
              <w:top w:val="nil"/>
              <w:left w:val="nil"/>
              <w:bottom w:val="nil"/>
              <w:right w:val="nil"/>
            </w:tcBorders>
            <w:shd w:val="clear" w:color="D9D9D9" w:fill="D9D9D9"/>
            <w:noWrap/>
            <w:vAlign w:val="bottom"/>
            <w:hideMark/>
          </w:tcPr>
          <w:p w14:paraId="658905C5" w14:textId="77777777" w:rsidR="00CD41C0" w:rsidRPr="00CD41C0" w:rsidRDefault="00CD41C0" w:rsidP="00AF13F0">
            <w:pPr>
              <w:rPr>
                <w:rFonts w:ascii="Calibri" w:eastAsia="Times New Roman" w:hAnsi="Calibri" w:cs="Times New Roman"/>
                <w:color w:val="000000"/>
              </w:rPr>
            </w:pPr>
            <w:r w:rsidRPr="00CD41C0">
              <w:rPr>
                <w:rFonts w:ascii="Calibri" w:eastAsia="Times New Roman" w:hAnsi="Calibri" w:cs="Times New Roman"/>
                <w:color w:val="000000"/>
              </w:rPr>
              <w:t>3,9%</w:t>
            </w:r>
          </w:p>
        </w:tc>
        <w:tc>
          <w:tcPr>
            <w:tcW w:w="3796" w:type="dxa"/>
            <w:tcBorders>
              <w:top w:val="nil"/>
              <w:left w:val="nil"/>
              <w:bottom w:val="nil"/>
              <w:right w:val="nil"/>
            </w:tcBorders>
            <w:shd w:val="clear" w:color="D9D9D9" w:fill="D9D9D9"/>
            <w:noWrap/>
            <w:vAlign w:val="bottom"/>
            <w:hideMark/>
          </w:tcPr>
          <w:p w14:paraId="54AF3905" w14:textId="77777777" w:rsidR="00CD41C0" w:rsidRPr="00CD41C0" w:rsidRDefault="00CD41C0" w:rsidP="00AF13F0">
            <w:pPr>
              <w:rPr>
                <w:rFonts w:ascii="Calibri" w:eastAsia="Times New Roman" w:hAnsi="Calibri" w:cs="Times New Roman"/>
                <w:color w:val="000000"/>
              </w:rPr>
            </w:pPr>
            <w:r w:rsidRPr="00CD41C0">
              <w:rPr>
                <w:rFonts w:ascii="Calibri" w:eastAsia="Times New Roman" w:hAnsi="Calibri" w:cs="Times New Roman"/>
                <w:color w:val="000000"/>
              </w:rPr>
              <w:t>Toelichting Omzet</w:t>
            </w:r>
          </w:p>
        </w:tc>
      </w:tr>
      <w:tr w:rsidR="00CD41C0" w:rsidRPr="00CD41C0" w14:paraId="3FB83387" w14:textId="77777777" w:rsidTr="00CD41C0">
        <w:trPr>
          <w:trHeight w:val="300"/>
        </w:trPr>
        <w:tc>
          <w:tcPr>
            <w:tcW w:w="1856" w:type="dxa"/>
            <w:tcBorders>
              <w:top w:val="nil"/>
              <w:left w:val="nil"/>
              <w:bottom w:val="single" w:sz="4" w:space="0" w:color="000000"/>
              <w:right w:val="nil"/>
            </w:tcBorders>
            <w:shd w:val="clear" w:color="auto" w:fill="auto"/>
            <w:noWrap/>
            <w:vAlign w:val="bottom"/>
            <w:hideMark/>
          </w:tcPr>
          <w:p w14:paraId="5957E7F5" w14:textId="77777777" w:rsidR="00CD41C0" w:rsidRPr="00CD41C0" w:rsidRDefault="00CD41C0" w:rsidP="00AF13F0">
            <w:pPr>
              <w:rPr>
                <w:rFonts w:ascii="Calibri" w:eastAsia="Times New Roman" w:hAnsi="Calibri" w:cs="Times New Roman"/>
                <w:color w:val="000000"/>
              </w:rPr>
            </w:pPr>
            <w:r w:rsidRPr="00CD41C0">
              <w:rPr>
                <w:rFonts w:ascii="Calibri" w:eastAsia="Times New Roman" w:hAnsi="Calibri" w:cs="Times New Roman"/>
                <w:color w:val="000000"/>
              </w:rPr>
              <w:t>Wolters Kluwer</w:t>
            </w:r>
          </w:p>
        </w:tc>
        <w:tc>
          <w:tcPr>
            <w:tcW w:w="2116" w:type="dxa"/>
            <w:tcBorders>
              <w:top w:val="nil"/>
              <w:left w:val="nil"/>
              <w:bottom w:val="single" w:sz="4" w:space="0" w:color="000000"/>
              <w:right w:val="nil"/>
            </w:tcBorders>
            <w:shd w:val="clear" w:color="auto" w:fill="auto"/>
            <w:noWrap/>
            <w:vAlign w:val="bottom"/>
            <w:hideMark/>
          </w:tcPr>
          <w:p w14:paraId="1C6A74F4" w14:textId="77777777" w:rsidR="00CD41C0" w:rsidRPr="00CD41C0" w:rsidRDefault="00CD41C0" w:rsidP="00AF13F0">
            <w:pPr>
              <w:rPr>
                <w:rFonts w:ascii="Calibri" w:eastAsia="Times New Roman" w:hAnsi="Calibri" w:cs="Times New Roman"/>
                <w:color w:val="000000"/>
              </w:rPr>
            </w:pPr>
            <w:r w:rsidRPr="00CD41C0">
              <w:rPr>
                <w:rFonts w:ascii="Calibri" w:eastAsia="Times New Roman" w:hAnsi="Calibri" w:cs="Times New Roman"/>
                <w:color w:val="000000"/>
              </w:rPr>
              <w:t>2,0%</w:t>
            </w:r>
          </w:p>
        </w:tc>
        <w:tc>
          <w:tcPr>
            <w:tcW w:w="3796" w:type="dxa"/>
            <w:tcBorders>
              <w:top w:val="nil"/>
              <w:left w:val="nil"/>
              <w:bottom w:val="single" w:sz="4" w:space="0" w:color="000000"/>
              <w:right w:val="nil"/>
            </w:tcBorders>
            <w:shd w:val="clear" w:color="auto" w:fill="auto"/>
            <w:noWrap/>
            <w:vAlign w:val="bottom"/>
            <w:hideMark/>
          </w:tcPr>
          <w:p w14:paraId="3B156B0A" w14:textId="77777777" w:rsidR="00CD41C0" w:rsidRPr="00CD41C0" w:rsidRDefault="00CD41C0" w:rsidP="00AF13F0">
            <w:pPr>
              <w:rPr>
                <w:rFonts w:ascii="Calibri" w:eastAsia="Times New Roman" w:hAnsi="Calibri" w:cs="Times New Roman"/>
                <w:color w:val="000000"/>
              </w:rPr>
            </w:pPr>
            <w:r w:rsidRPr="00CD41C0">
              <w:rPr>
                <w:rFonts w:ascii="Calibri" w:eastAsia="Times New Roman" w:hAnsi="Calibri" w:cs="Times New Roman"/>
                <w:color w:val="000000"/>
              </w:rPr>
              <w:t>Rapport van bestuur</w:t>
            </w:r>
          </w:p>
        </w:tc>
      </w:tr>
    </w:tbl>
    <w:p w14:paraId="6C85583A" w14:textId="7453E8F0" w:rsidR="00756F27" w:rsidRDefault="00756F27" w:rsidP="00AF13F0">
      <w:pPr>
        <w:spacing w:line="360" w:lineRule="auto"/>
        <w:rPr>
          <w:b/>
        </w:rPr>
      </w:pPr>
      <w:r>
        <w:rPr>
          <w:b/>
        </w:rPr>
        <w:t>Tabel 11</w:t>
      </w:r>
    </w:p>
    <w:tbl>
      <w:tblPr>
        <w:tblW w:w="7768" w:type="dxa"/>
        <w:tblInd w:w="108" w:type="dxa"/>
        <w:tblLook w:val="04A0" w:firstRow="1" w:lastRow="0" w:firstColumn="1" w:lastColumn="0" w:noHBand="0" w:noVBand="1"/>
      </w:tblPr>
      <w:tblGrid>
        <w:gridCol w:w="1856"/>
        <w:gridCol w:w="2116"/>
        <w:gridCol w:w="3796"/>
      </w:tblGrid>
      <w:tr w:rsidR="00756F27" w:rsidRPr="00756F27" w14:paraId="79849295" w14:textId="77777777" w:rsidTr="00756F27">
        <w:trPr>
          <w:trHeight w:val="300"/>
        </w:trPr>
        <w:tc>
          <w:tcPr>
            <w:tcW w:w="1856" w:type="dxa"/>
            <w:tcBorders>
              <w:top w:val="single" w:sz="4" w:space="0" w:color="000000"/>
              <w:left w:val="nil"/>
              <w:bottom w:val="single" w:sz="4" w:space="0" w:color="000000"/>
              <w:right w:val="nil"/>
            </w:tcBorders>
            <w:shd w:val="clear" w:color="auto" w:fill="auto"/>
            <w:noWrap/>
            <w:vAlign w:val="bottom"/>
            <w:hideMark/>
          </w:tcPr>
          <w:p w14:paraId="3F527107" w14:textId="77777777" w:rsidR="00756F27" w:rsidRPr="00756F27" w:rsidRDefault="00756F27" w:rsidP="00AF13F0">
            <w:pPr>
              <w:rPr>
                <w:rFonts w:ascii="Calibri" w:eastAsia="Times New Roman" w:hAnsi="Calibri" w:cs="Times New Roman"/>
                <w:b/>
                <w:bCs/>
                <w:color w:val="000000"/>
              </w:rPr>
            </w:pPr>
            <w:r w:rsidRPr="00756F27">
              <w:rPr>
                <w:rFonts w:ascii="Calibri" w:eastAsia="Times New Roman" w:hAnsi="Calibri" w:cs="Times New Roman"/>
                <w:b/>
                <w:bCs/>
                <w:color w:val="000000"/>
              </w:rPr>
              <w:t>Onderneming</w:t>
            </w:r>
          </w:p>
        </w:tc>
        <w:tc>
          <w:tcPr>
            <w:tcW w:w="2116" w:type="dxa"/>
            <w:tcBorders>
              <w:top w:val="single" w:sz="4" w:space="0" w:color="000000"/>
              <w:left w:val="nil"/>
              <w:bottom w:val="single" w:sz="4" w:space="0" w:color="000000"/>
              <w:right w:val="nil"/>
            </w:tcBorders>
            <w:shd w:val="clear" w:color="auto" w:fill="auto"/>
            <w:noWrap/>
            <w:vAlign w:val="bottom"/>
            <w:hideMark/>
          </w:tcPr>
          <w:p w14:paraId="58C6F7A7" w14:textId="0CF3EE20" w:rsidR="00756F27" w:rsidRPr="00756F27" w:rsidRDefault="005364A7"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      </w:t>
            </w:r>
            <w:r w:rsidR="00756F27" w:rsidRPr="00756F27">
              <w:rPr>
                <w:rFonts w:ascii="Calibri" w:eastAsia="Times New Roman" w:hAnsi="Calibri" w:cs="Times New Roman"/>
                <w:b/>
                <w:bCs/>
                <w:color w:val="000000"/>
              </w:rPr>
              <w:t>Netto schuld</w:t>
            </w:r>
          </w:p>
        </w:tc>
        <w:tc>
          <w:tcPr>
            <w:tcW w:w="3796" w:type="dxa"/>
            <w:tcBorders>
              <w:top w:val="single" w:sz="4" w:space="0" w:color="000000"/>
              <w:left w:val="nil"/>
              <w:bottom w:val="single" w:sz="4" w:space="0" w:color="000000"/>
              <w:right w:val="nil"/>
            </w:tcBorders>
            <w:shd w:val="clear" w:color="auto" w:fill="auto"/>
            <w:noWrap/>
            <w:vAlign w:val="bottom"/>
            <w:hideMark/>
          </w:tcPr>
          <w:p w14:paraId="6417A0E6" w14:textId="77777777" w:rsidR="00756F27" w:rsidRPr="00756F27" w:rsidRDefault="00756F27" w:rsidP="00AF13F0">
            <w:pPr>
              <w:rPr>
                <w:rFonts w:ascii="Calibri" w:eastAsia="Times New Roman" w:hAnsi="Calibri" w:cs="Times New Roman"/>
                <w:b/>
                <w:bCs/>
                <w:color w:val="000000"/>
              </w:rPr>
            </w:pPr>
            <w:r w:rsidRPr="00756F27">
              <w:rPr>
                <w:rFonts w:ascii="Calibri" w:eastAsia="Times New Roman" w:hAnsi="Calibri" w:cs="Times New Roman"/>
                <w:b/>
                <w:bCs/>
                <w:color w:val="000000"/>
              </w:rPr>
              <w:t>Plaats</w:t>
            </w:r>
          </w:p>
        </w:tc>
      </w:tr>
      <w:tr w:rsidR="00756F27" w:rsidRPr="00756F27" w14:paraId="5CD27F74" w14:textId="77777777" w:rsidTr="00756F27">
        <w:trPr>
          <w:trHeight w:val="300"/>
        </w:trPr>
        <w:tc>
          <w:tcPr>
            <w:tcW w:w="1856" w:type="dxa"/>
            <w:tcBorders>
              <w:top w:val="nil"/>
              <w:left w:val="nil"/>
              <w:bottom w:val="nil"/>
              <w:right w:val="nil"/>
            </w:tcBorders>
            <w:shd w:val="clear" w:color="D9D9D9" w:fill="D9D9D9"/>
            <w:noWrap/>
            <w:vAlign w:val="bottom"/>
            <w:hideMark/>
          </w:tcPr>
          <w:p w14:paraId="6DF86812"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Akzo-Nobel</w:t>
            </w:r>
          </w:p>
        </w:tc>
        <w:tc>
          <w:tcPr>
            <w:tcW w:w="2116" w:type="dxa"/>
            <w:tcBorders>
              <w:top w:val="nil"/>
              <w:left w:val="nil"/>
              <w:bottom w:val="nil"/>
              <w:right w:val="nil"/>
            </w:tcBorders>
            <w:shd w:val="clear" w:color="D9D9D9" w:fill="D9D9D9"/>
            <w:noWrap/>
            <w:vAlign w:val="bottom"/>
            <w:hideMark/>
          </w:tcPr>
          <w:p w14:paraId="6DBD63D0"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 xml:space="preserve"> € 1,606 </w:t>
            </w:r>
          </w:p>
        </w:tc>
        <w:tc>
          <w:tcPr>
            <w:tcW w:w="3796" w:type="dxa"/>
            <w:tcBorders>
              <w:top w:val="nil"/>
              <w:left w:val="nil"/>
              <w:bottom w:val="nil"/>
              <w:right w:val="nil"/>
            </w:tcBorders>
            <w:shd w:val="clear" w:color="D9D9D9" w:fill="D9D9D9"/>
            <w:noWrap/>
            <w:vAlign w:val="bottom"/>
            <w:hideMark/>
          </w:tcPr>
          <w:p w14:paraId="15AB0459"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Balans</w:t>
            </w:r>
          </w:p>
        </w:tc>
      </w:tr>
      <w:tr w:rsidR="00756F27" w:rsidRPr="00756F27" w14:paraId="33FDCFD0" w14:textId="77777777" w:rsidTr="00756F27">
        <w:trPr>
          <w:trHeight w:val="300"/>
        </w:trPr>
        <w:tc>
          <w:tcPr>
            <w:tcW w:w="1856" w:type="dxa"/>
            <w:tcBorders>
              <w:top w:val="nil"/>
              <w:left w:val="nil"/>
              <w:bottom w:val="nil"/>
              <w:right w:val="nil"/>
            </w:tcBorders>
            <w:shd w:val="clear" w:color="auto" w:fill="auto"/>
            <w:noWrap/>
            <w:vAlign w:val="bottom"/>
            <w:hideMark/>
          </w:tcPr>
          <w:p w14:paraId="12707D07"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Air France - KLM</w:t>
            </w:r>
          </w:p>
        </w:tc>
        <w:tc>
          <w:tcPr>
            <w:tcW w:w="2116" w:type="dxa"/>
            <w:tcBorders>
              <w:top w:val="nil"/>
              <w:left w:val="nil"/>
              <w:bottom w:val="nil"/>
              <w:right w:val="nil"/>
            </w:tcBorders>
            <w:shd w:val="clear" w:color="auto" w:fill="auto"/>
            <w:noWrap/>
            <w:vAlign w:val="bottom"/>
            <w:hideMark/>
          </w:tcPr>
          <w:p w14:paraId="00794100"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 xml:space="preserve"> € 5.410,000 </w:t>
            </w:r>
          </w:p>
        </w:tc>
        <w:tc>
          <w:tcPr>
            <w:tcW w:w="3796" w:type="dxa"/>
            <w:tcBorders>
              <w:top w:val="nil"/>
              <w:left w:val="nil"/>
              <w:bottom w:val="nil"/>
              <w:right w:val="nil"/>
            </w:tcBorders>
            <w:shd w:val="clear" w:color="auto" w:fill="auto"/>
            <w:noWrap/>
            <w:vAlign w:val="bottom"/>
            <w:hideMark/>
          </w:tcPr>
          <w:p w14:paraId="46BF4D1B" w14:textId="4C0503FE"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 xml:space="preserve">Toelichting - </w:t>
            </w:r>
            <w:r w:rsidR="00DA2D1C" w:rsidRPr="00756F27">
              <w:rPr>
                <w:rFonts w:ascii="Calibri" w:eastAsia="Times New Roman" w:hAnsi="Calibri" w:cs="Times New Roman"/>
                <w:color w:val="000000"/>
              </w:rPr>
              <w:t>doelstellingen</w:t>
            </w:r>
          </w:p>
        </w:tc>
      </w:tr>
      <w:tr w:rsidR="00756F27" w:rsidRPr="00756F27" w14:paraId="47213A2F" w14:textId="77777777" w:rsidTr="00756F27">
        <w:trPr>
          <w:trHeight w:val="300"/>
        </w:trPr>
        <w:tc>
          <w:tcPr>
            <w:tcW w:w="1856" w:type="dxa"/>
            <w:tcBorders>
              <w:top w:val="nil"/>
              <w:left w:val="nil"/>
              <w:bottom w:val="nil"/>
              <w:right w:val="nil"/>
            </w:tcBorders>
            <w:shd w:val="clear" w:color="D9D9D9" w:fill="D9D9D9"/>
            <w:noWrap/>
            <w:vAlign w:val="bottom"/>
            <w:hideMark/>
          </w:tcPr>
          <w:p w14:paraId="2B1A3D0C"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Aalberts</w:t>
            </w:r>
          </w:p>
        </w:tc>
        <w:tc>
          <w:tcPr>
            <w:tcW w:w="2116" w:type="dxa"/>
            <w:tcBorders>
              <w:top w:val="nil"/>
              <w:left w:val="nil"/>
              <w:bottom w:val="nil"/>
              <w:right w:val="nil"/>
            </w:tcBorders>
            <w:shd w:val="clear" w:color="D9D9D9" w:fill="D9D9D9"/>
            <w:noWrap/>
            <w:vAlign w:val="bottom"/>
            <w:hideMark/>
          </w:tcPr>
          <w:p w14:paraId="28A4D113"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 xml:space="preserve"> € 690,000 </w:t>
            </w:r>
          </w:p>
        </w:tc>
        <w:tc>
          <w:tcPr>
            <w:tcW w:w="3796" w:type="dxa"/>
            <w:tcBorders>
              <w:top w:val="nil"/>
              <w:left w:val="nil"/>
              <w:bottom w:val="nil"/>
              <w:right w:val="nil"/>
            </w:tcBorders>
            <w:shd w:val="clear" w:color="D9D9D9" w:fill="D9D9D9"/>
            <w:noWrap/>
            <w:vAlign w:val="bottom"/>
            <w:hideMark/>
          </w:tcPr>
          <w:p w14:paraId="55F585F7"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Toelichting - Kapitaalmanagement</w:t>
            </w:r>
          </w:p>
        </w:tc>
      </w:tr>
      <w:tr w:rsidR="00756F27" w:rsidRPr="00756F27" w14:paraId="5ACA7816" w14:textId="77777777" w:rsidTr="00756F27">
        <w:trPr>
          <w:trHeight w:val="300"/>
        </w:trPr>
        <w:tc>
          <w:tcPr>
            <w:tcW w:w="1856" w:type="dxa"/>
            <w:tcBorders>
              <w:top w:val="nil"/>
              <w:left w:val="nil"/>
              <w:bottom w:val="nil"/>
              <w:right w:val="nil"/>
            </w:tcBorders>
            <w:shd w:val="clear" w:color="auto" w:fill="auto"/>
            <w:noWrap/>
            <w:vAlign w:val="bottom"/>
            <w:hideMark/>
          </w:tcPr>
          <w:p w14:paraId="60C1F4AA"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Boskalis</w:t>
            </w:r>
          </w:p>
        </w:tc>
        <w:tc>
          <w:tcPr>
            <w:tcW w:w="2116" w:type="dxa"/>
            <w:tcBorders>
              <w:top w:val="nil"/>
              <w:left w:val="nil"/>
              <w:bottom w:val="nil"/>
              <w:right w:val="nil"/>
            </w:tcBorders>
            <w:shd w:val="clear" w:color="auto" w:fill="auto"/>
            <w:noWrap/>
            <w:vAlign w:val="bottom"/>
            <w:hideMark/>
          </w:tcPr>
          <w:p w14:paraId="0BD40490"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 xml:space="preserve"> € 2,753 </w:t>
            </w:r>
          </w:p>
        </w:tc>
        <w:tc>
          <w:tcPr>
            <w:tcW w:w="3796" w:type="dxa"/>
            <w:tcBorders>
              <w:top w:val="nil"/>
              <w:left w:val="nil"/>
              <w:bottom w:val="nil"/>
              <w:right w:val="nil"/>
            </w:tcBorders>
            <w:shd w:val="clear" w:color="auto" w:fill="auto"/>
            <w:noWrap/>
            <w:vAlign w:val="bottom"/>
            <w:hideMark/>
          </w:tcPr>
          <w:p w14:paraId="5FBFC3E1"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Toelichting - Kapitaalmanagement</w:t>
            </w:r>
          </w:p>
        </w:tc>
      </w:tr>
      <w:tr w:rsidR="00756F27" w:rsidRPr="00756F27" w14:paraId="483560E8" w14:textId="77777777" w:rsidTr="00756F27">
        <w:trPr>
          <w:trHeight w:val="300"/>
        </w:trPr>
        <w:tc>
          <w:tcPr>
            <w:tcW w:w="1856" w:type="dxa"/>
            <w:tcBorders>
              <w:top w:val="nil"/>
              <w:left w:val="nil"/>
              <w:bottom w:val="nil"/>
              <w:right w:val="nil"/>
            </w:tcBorders>
            <w:shd w:val="clear" w:color="D9D9D9" w:fill="D9D9D9"/>
            <w:noWrap/>
            <w:vAlign w:val="bottom"/>
            <w:hideMark/>
          </w:tcPr>
          <w:p w14:paraId="246DCCAB"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ING</w:t>
            </w:r>
          </w:p>
        </w:tc>
        <w:tc>
          <w:tcPr>
            <w:tcW w:w="2116" w:type="dxa"/>
            <w:tcBorders>
              <w:top w:val="nil"/>
              <w:left w:val="nil"/>
              <w:bottom w:val="nil"/>
              <w:right w:val="nil"/>
            </w:tcBorders>
            <w:shd w:val="clear" w:color="D9D9D9" w:fill="D9D9D9"/>
            <w:noWrap/>
            <w:vAlign w:val="bottom"/>
            <w:hideMark/>
          </w:tcPr>
          <w:p w14:paraId="23518C72"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 xml:space="preserve"> € 1.500,000 </w:t>
            </w:r>
          </w:p>
        </w:tc>
        <w:tc>
          <w:tcPr>
            <w:tcW w:w="3796" w:type="dxa"/>
            <w:tcBorders>
              <w:top w:val="nil"/>
              <w:left w:val="nil"/>
              <w:bottom w:val="nil"/>
              <w:right w:val="nil"/>
            </w:tcBorders>
            <w:shd w:val="clear" w:color="D9D9D9" w:fill="D9D9D9"/>
            <w:noWrap/>
            <w:vAlign w:val="bottom"/>
            <w:hideMark/>
          </w:tcPr>
          <w:p w14:paraId="0A85C078"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Toelichting - Kapitaalmanagement</w:t>
            </w:r>
          </w:p>
        </w:tc>
      </w:tr>
      <w:tr w:rsidR="00756F27" w:rsidRPr="00756F27" w14:paraId="4A2539A7" w14:textId="77777777" w:rsidTr="00756F27">
        <w:trPr>
          <w:trHeight w:val="300"/>
        </w:trPr>
        <w:tc>
          <w:tcPr>
            <w:tcW w:w="1856" w:type="dxa"/>
            <w:tcBorders>
              <w:top w:val="nil"/>
              <w:left w:val="nil"/>
              <w:bottom w:val="nil"/>
              <w:right w:val="nil"/>
            </w:tcBorders>
            <w:shd w:val="clear" w:color="auto" w:fill="auto"/>
            <w:noWrap/>
            <w:vAlign w:val="bottom"/>
            <w:hideMark/>
          </w:tcPr>
          <w:p w14:paraId="42D38FA7"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Philips</w:t>
            </w:r>
          </w:p>
        </w:tc>
        <w:tc>
          <w:tcPr>
            <w:tcW w:w="2116" w:type="dxa"/>
            <w:tcBorders>
              <w:top w:val="nil"/>
              <w:left w:val="nil"/>
              <w:bottom w:val="nil"/>
              <w:right w:val="nil"/>
            </w:tcBorders>
            <w:shd w:val="clear" w:color="auto" w:fill="auto"/>
            <w:noWrap/>
            <w:vAlign w:val="bottom"/>
            <w:hideMark/>
          </w:tcPr>
          <w:p w14:paraId="493ADEAC"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 xml:space="preserve"> € 4,104 </w:t>
            </w:r>
          </w:p>
        </w:tc>
        <w:tc>
          <w:tcPr>
            <w:tcW w:w="3796" w:type="dxa"/>
            <w:tcBorders>
              <w:top w:val="nil"/>
              <w:left w:val="nil"/>
              <w:bottom w:val="nil"/>
              <w:right w:val="nil"/>
            </w:tcBorders>
            <w:shd w:val="clear" w:color="auto" w:fill="auto"/>
            <w:noWrap/>
            <w:vAlign w:val="bottom"/>
            <w:hideMark/>
          </w:tcPr>
          <w:p w14:paraId="727D40A0"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Toelichting - Non-GAAP informatie</w:t>
            </w:r>
          </w:p>
        </w:tc>
      </w:tr>
      <w:tr w:rsidR="00756F27" w:rsidRPr="00756F27" w14:paraId="42A1C75C" w14:textId="77777777" w:rsidTr="00756F27">
        <w:trPr>
          <w:trHeight w:val="300"/>
        </w:trPr>
        <w:tc>
          <w:tcPr>
            <w:tcW w:w="1856" w:type="dxa"/>
            <w:tcBorders>
              <w:top w:val="nil"/>
              <w:left w:val="nil"/>
              <w:bottom w:val="nil"/>
              <w:right w:val="nil"/>
            </w:tcBorders>
            <w:shd w:val="clear" w:color="D9D9D9" w:fill="D9D9D9"/>
            <w:noWrap/>
            <w:vAlign w:val="bottom"/>
            <w:hideMark/>
          </w:tcPr>
          <w:p w14:paraId="11219B81"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Ahold</w:t>
            </w:r>
          </w:p>
        </w:tc>
        <w:tc>
          <w:tcPr>
            <w:tcW w:w="2116" w:type="dxa"/>
            <w:tcBorders>
              <w:top w:val="nil"/>
              <w:left w:val="nil"/>
              <w:bottom w:val="nil"/>
              <w:right w:val="nil"/>
            </w:tcBorders>
            <w:shd w:val="clear" w:color="D9D9D9" w:fill="D9D9D9"/>
            <w:noWrap/>
            <w:vAlign w:val="bottom"/>
            <w:hideMark/>
          </w:tcPr>
          <w:p w14:paraId="5157638D"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 xml:space="preserve"> € 1.311,000 </w:t>
            </w:r>
          </w:p>
        </w:tc>
        <w:tc>
          <w:tcPr>
            <w:tcW w:w="3796" w:type="dxa"/>
            <w:tcBorders>
              <w:top w:val="nil"/>
              <w:left w:val="nil"/>
              <w:bottom w:val="nil"/>
              <w:right w:val="nil"/>
            </w:tcBorders>
            <w:shd w:val="clear" w:color="D9D9D9" w:fill="D9D9D9"/>
            <w:noWrap/>
            <w:vAlign w:val="bottom"/>
            <w:hideMark/>
          </w:tcPr>
          <w:p w14:paraId="20930133"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Toelichting - review</w:t>
            </w:r>
          </w:p>
        </w:tc>
      </w:tr>
      <w:tr w:rsidR="00756F27" w:rsidRPr="00756F27" w14:paraId="26BA98EC" w14:textId="77777777" w:rsidTr="00756F27">
        <w:trPr>
          <w:trHeight w:val="300"/>
        </w:trPr>
        <w:tc>
          <w:tcPr>
            <w:tcW w:w="1856" w:type="dxa"/>
            <w:tcBorders>
              <w:top w:val="nil"/>
              <w:left w:val="nil"/>
              <w:bottom w:val="nil"/>
              <w:right w:val="nil"/>
            </w:tcBorders>
            <w:shd w:val="clear" w:color="auto" w:fill="auto"/>
            <w:noWrap/>
            <w:vAlign w:val="bottom"/>
            <w:hideMark/>
          </w:tcPr>
          <w:p w14:paraId="5369F959"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Heineken</w:t>
            </w:r>
          </w:p>
        </w:tc>
        <w:tc>
          <w:tcPr>
            <w:tcW w:w="2116" w:type="dxa"/>
            <w:tcBorders>
              <w:top w:val="nil"/>
              <w:left w:val="nil"/>
              <w:bottom w:val="nil"/>
              <w:right w:val="nil"/>
            </w:tcBorders>
            <w:shd w:val="clear" w:color="auto" w:fill="auto"/>
            <w:noWrap/>
            <w:vAlign w:val="bottom"/>
            <w:hideMark/>
          </w:tcPr>
          <w:p w14:paraId="238FBEE0"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 xml:space="preserve"> € 11,076 </w:t>
            </w:r>
          </w:p>
        </w:tc>
        <w:tc>
          <w:tcPr>
            <w:tcW w:w="3796" w:type="dxa"/>
            <w:tcBorders>
              <w:top w:val="nil"/>
              <w:left w:val="nil"/>
              <w:bottom w:val="nil"/>
              <w:right w:val="nil"/>
            </w:tcBorders>
            <w:shd w:val="clear" w:color="auto" w:fill="auto"/>
            <w:noWrap/>
            <w:vAlign w:val="bottom"/>
            <w:hideMark/>
          </w:tcPr>
          <w:p w14:paraId="5C9A4E4C"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Toelichting - review</w:t>
            </w:r>
          </w:p>
        </w:tc>
      </w:tr>
      <w:tr w:rsidR="00756F27" w:rsidRPr="00756F27" w14:paraId="23B75E86" w14:textId="77777777" w:rsidTr="00756F27">
        <w:trPr>
          <w:trHeight w:val="300"/>
        </w:trPr>
        <w:tc>
          <w:tcPr>
            <w:tcW w:w="1856" w:type="dxa"/>
            <w:tcBorders>
              <w:top w:val="nil"/>
              <w:left w:val="nil"/>
              <w:bottom w:val="nil"/>
              <w:right w:val="nil"/>
            </w:tcBorders>
            <w:shd w:val="clear" w:color="D9D9D9" w:fill="D9D9D9"/>
            <w:noWrap/>
            <w:vAlign w:val="bottom"/>
            <w:hideMark/>
          </w:tcPr>
          <w:p w14:paraId="5F894B02"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OCI</w:t>
            </w:r>
          </w:p>
        </w:tc>
        <w:tc>
          <w:tcPr>
            <w:tcW w:w="2116" w:type="dxa"/>
            <w:tcBorders>
              <w:top w:val="nil"/>
              <w:left w:val="nil"/>
              <w:bottom w:val="nil"/>
              <w:right w:val="nil"/>
            </w:tcBorders>
            <w:shd w:val="clear" w:color="D9D9D9" w:fill="D9D9D9"/>
            <w:noWrap/>
            <w:vAlign w:val="bottom"/>
            <w:hideMark/>
          </w:tcPr>
          <w:p w14:paraId="310F6B30"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 xml:space="preserve"> € 4.194,100 </w:t>
            </w:r>
          </w:p>
        </w:tc>
        <w:tc>
          <w:tcPr>
            <w:tcW w:w="3796" w:type="dxa"/>
            <w:tcBorders>
              <w:top w:val="nil"/>
              <w:left w:val="nil"/>
              <w:bottom w:val="nil"/>
              <w:right w:val="nil"/>
            </w:tcBorders>
            <w:shd w:val="clear" w:color="D9D9D9" w:fill="D9D9D9"/>
            <w:noWrap/>
            <w:vAlign w:val="bottom"/>
            <w:hideMark/>
          </w:tcPr>
          <w:p w14:paraId="378FD3A6"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Toelichting - review</w:t>
            </w:r>
          </w:p>
        </w:tc>
      </w:tr>
      <w:tr w:rsidR="00756F27" w:rsidRPr="00756F27" w14:paraId="58430EFD" w14:textId="77777777" w:rsidTr="00756F27">
        <w:trPr>
          <w:trHeight w:val="300"/>
        </w:trPr>
        <w:tc>
          <w:tcPr>
            <w:tcW w:w="1856" w:type="dxa"/>
            <w:tcBorders>
              <w:top w:val="nil"/>
              <w:left w:val="nil"/>
              <w:bottom w:val="nil"/>
              <w:right w:val="nil"/>
            </w:tcBorders>
            <w:shd w:val="clear" w:color="auto" w:fill="auto"/>
            <w:noWrap/>
            <w:vAlign w:val="bottom"/>
            <w:hideMark/>
          </w:tcPr>
          <w:p w14:paraId="4CB1FEA4"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Randstad</w:t>
            </w:r>
          </w:p>
        </w:tc>
        <w:tc>
          <w:tcPr>
            <w:tcW w:w="2116" w:type="dxa"/>
            <w:tcBorders>
              <w:top w:val="nil"/>
              <w:left w:val="nil"/>
              <w:bottom w:val="nil"/>
              <w:right w:val="nil"/>
            </w:tcBorders>
            <w:shd w:val="clear" w:color="auto" w:fill="auto"/>
            <w:noWrap/>
            <w:vAlign w:val="bottom"/>
            <w:hideMark/>
          </w:tcPr>
          <w:p w14:paraId="6382A9C0"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 xml:space="preserve"> € 422,000 </w:t>
            </w:r>
          </w:p>
        </w:tc>
        <w:tc>
          <w:tcPr>
            <w:tcW w:w="3796" w:type="dxa"/>
            <w:tcBorders>
              <w:top w:val="nil"/>
              <w:left w:val="nil"/>
              <w:bottom w:val="nil"/>
              <w:right w:val="nil"/>
            </w:tcBorders>
            <w:shd w:val="clear" w:color="auto" w:fill="auto"/>
            <w:noWrap/>
            <w:vAlign w:val="bottom"/>
            <w:hideMark/>
          </w:tcPr>
          <w:p w14:paraId="26B7123A"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Toelichting - review</w:t>
            </w:r>
          </w:p>
        </w:tc>
      </w:tr>
      <w:tr w:rsidR="00756F27" w:rsidRPr="00756F27" w14:paraId="0A7FA9C6" w14:textId="77777777" w:rsidTr="00756F27">
        <w:trPr>
          <w:trHeight w:val="300"/>
        </w:trPr>
        <w:tc>
          <w:tcPr>
            <w:tcW w:w="1856" w:type="dxa"/>
            <w:tcBorders>
              <w:top w:val="nil"/>
              <w:left w:val="nil"/>
              <w:bottom w:val="nil"/>
              <w:right w:val="nil"/>
            </w:tcBorders>
            <w:shd w:val="clear" w:color="D9D9D9" w:fill="D9D9D9"/>
            <w:noWrap/>
            <w:vAlign w:val="bottom"/>
            <w:hideMark/>
          </w:tcPr>
          <w:p w14:paraId="1FA2EA89"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Reed Elsevier</w:t>
            </w:r>
          </w:p>
        </w:tc>
        <w:tc>
          <w:tcPr>
            <w:tcW w:w="2116" w:type="dxa"/>
            <w:tcBorders>
              <w:top w:val="nil"/>
              <w:left w:val="nil"/>
              <w:bottom w:val="nil"/>
              <w:right w:val="nil"/>
            </w:tcBorders>
            <w:shd w:val="clear" w:color="D9D9D9" w:fill="D9D9D9"/>
            <w:noWrap/>
            <w:vAlign w:val="bottom"/>
            <w:hideMark/>
          </w:tcPr>
          <w:p w14:paraId="480C4F74"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 xml:space="preserve"> € 3,550 </w:t>
            </w:r>
          </w:p>
        </w:tc>
        <w:tc>
          <w:tcPr>
            <w:tcW w:w="3796" w:type="dxa"/>
            <w:tcBorders>
              <w:top w:val="nil"/>
              <w:left w:val="nil"/>
              <w:bottom w:val="nil"/>
              <w:right w:val="nil"/>
            </w:tcBorders>
            <w:shd w:val="clear" w:color="D9D9D9" w:fill="D9D9D9"/>
            <w:noWrap/>
            <w:vAlign w:val="bottom"/>
            <w:hideMark/>
          </w:tcPr>
          <w:p w14:paraId="1B50EC23"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Toelichting - review</w:t>
            </w:r>
          </w:p>
        </w:tc>
      </w:tr>
      <w:tr w:rsidR="00756F27" w:rsidRPr="00756F27" w14:paraId="013598EF" w14:textId="77777777" w:rsidTr="00756F27">
        <w:trPr>
          <w:trHeight w:val="300"/>
        </w:trPr>
        <w:tc>
          <w:tcPr>
            <w:tcW w:w="1856" w:type="dxa"/>
            <w:tcBorders>
              <w:top w:val="nil"/>
              <w:left w:val="nil"/>
              <w:bottom w:val="nil"/>
              <w:right w:val="nil"/>
            </w:tcBorders>
            <w:shd w:val="clear" w:color="auto" w:fill="auto"/>
            <w:noWrap/>
            <w:vAlign w:val="bottom"/>
            <w:hideMark/>
          </w:tcPr>
          <w:p w14:paraId="5EA0C71A"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Unilever</w:t>
            </w:r>
          </w:p>
        </w:tc>
        <w:tc>
          <w:tcPr>
            <w:tcW w:w="2116" w:type="dxa"/>
            <w:tcBorders>
              <w:top w:val="nil"/>
              <w:left w:val="nil"/>
              <w:bottom w:val="nil"/>
              <w:right w:val="nil"/>
            </w:tcBorders>
            <w:shd w:val="clear" w:color="auto" w:fill="auto"/>
            <w:noWrap/>
            <w:vAlign w:val="bottom"/>
            <w:hideMark/>
          </w:tcPr>
          <w:p w14:paraId="590316CC"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 xml:space="preserve"> € 9,900 </w:t>
            </w:r>
          </w:p>
        </w:tc>
        <w:tc>
          <w:tcPr>
            <w:tcW w:w="3796" w:type="dxa"/>
            <w:tcBorders>
              <w:top w:val="nil"/>
              <w:left w:val="nil"/>
              <w:bottom w:val="nil"/>
              <w:right w:val="nil"/>
            </w:tcBorders>
            <w:shd w:val="clear" w:color="auto" w:fill="auto"/>
            <w:noWrap/>
            <w:vAlign w:val="bottom"/>
            <w:hideMark/>
          </w:tcPr>
          <w:p w14:paraId="668E6E98"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Toelichting - review</w:t>
            </w:r>
          </w:p>
        </w:tc>
      </w:tr>
      <w:tr w:rsidR="00756F27" w:rsidRPr="00756F27" w14:paraId="25A9DB33" w14:textId="77777777" w:rsidTr="00756F27">
        <w:trPr>
          <w:trHeight w:val="300"/>
        </w:trPr>
        <w:tc>
          <w:tcPr>
            <w:tcW w:w="1856" w:type="dxa"/>
            <w:tcBorders>
              <w:top w:val="nil"/>
              <w:left w:val="nil"/>
              <w:bottom w:val="nil"/>
              <w:right w:val="nil"/>
            </w:tcBorders>
            <w:shd w:val="clear" w:color="D9D9D9" w:fill="D9D9D9"/>
            <w:noWrap/>
            <w:vAlign w:val="bottom"/>
            <w:hideMark/>
          </w:tcPr>
          <w:p w14:paraId="0038C8E4"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Vopak</w:t>
            </w:r>
          </w:p>
        </w:tc>
        <w:tc>
          <w:tcPr>
            <w:tcW w:w="2116" w:type="dxa"/>
            <w:tcBorders>
              <w:top w:val="nil"/>
              <w:left w:val="nil"/>
              <w:bottom w:val="nil"/>
              <w:right w:val="nil"/>
            </w:tcBorders>
            <w:shd w:val="clear" w:color="D9D9D9" w:fill="D9D9D9"/>
            <w:noWrap/>
            <w:vAlign w:val="bottom"/>
            <w:hideMark/>
          </w:tcPr>
          <w:p w14:paraId="1D7F91EC"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 xml:space="preserve"> € 2,266 </w:t>
            </w:r>
          </w:p>
        </w:tc>
        <w:tc>
          <w:tcPr>
            <w:tcW w:w="3796" w:type="dxa"/>
            <w:tcBorders>
              <w:top w:val="nil"/>
              <w:left w:val="nil"/>
              <w:bottom w:val="nil"/>
              <w:right w:val="nil"/>
            </w:tcBorders>
            <w:shd w:val="clear" w:color="D9D9D9" w:fill="D9D9D9"/>
            <w:noWrap/>
            <w:vAlign w:val="bottom"/>
            <w:hideMark/>
          </w:tcPr>
          <w:p w14:paraId="420DC776"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Toelichting - review</w:t>
            </w:r>
          </w:p>
        </w:tc>
      </w:tr>
      <w:tr w:rsidR="00756F27" w:rsidRPr="00756F27" w14:paraId="141C27C2" w14:textId="77777777" w:rsidTr="00756F27">
        <w:trPr>
          <w:trHeight w:val="300"/>
        </w:trPr>
        <w:tc>
          <w:tcPr>
            <w:tcW w:w="1856" w:type="dxa"/>
            <w:tcBorders>
              <w:top w:val="nil"/>
              <w:left w:val="nil"/>
              <w:bottom w:val="nil"/>
              <w:right w:val="nil"/>
            </w:tcBorders>
            <w:shd w:val="clear" w:color="auto" w:fill="auto"/>
            <w:noWrap/>
            <w:vAlign w:val="bottom"/>
            <w:hideMark/>
          </w:tcPr>
          <w:p w14:paraId="004B0B7F"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ArcelorMittal</w:t>
            </w:r>
          </w:p>
        </w:tc>
        <w:tc>
          <w:tcPr>
            <w:tcW w:w="2116" w:type="dxa"/>
            <w:tcBorders>
              <w:top w:val="nil"/>
              <w:left w:val="nil"/>
              <w:bottom w:val="nil"/>
              <w:right w:val="nil"/>
            </w:tcBorders>
            <w:shd w:val="clear" w:color="auto" w:fill="auto"/>
            <w:noWrap/>
            <w:vAlign w:val="bottom"/>
            <w:hideMark/>
          </w:tcPr>
          <w:p w14:paraId="5A04C40D"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 xml:space="preserve"> € 15,157 </w:t>
            </w:r>
          </w:p>
        </w:tc>
        <w:tc>
          <w:tcPr>
            <w:tcW w:w="3796" w:type="dxa"/>
            <w:tcBorders>
              <w:top w:val="nil"/>
              <w:left w:val="nil"/>
              <w:bottom w:val="nil"/>
              <w:right w:val="nil"/>
            </w:tcBorders>
            <w:shd w:val="clear" w:color="auto" w:fill="auto"/>
            <w:noWrap/>
            <w:vAlign w:val="bottom"/>
            <w:hideMark/>
          </w:tcPr>
          <w:p w14:paraId="03E21A6B"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Toelichting - Schulden</w:t>
            </w:r>
          </w:p>
        </w:tc>
      </w:tr>
      <w:tr w:rsidR="00756F27" w:rsidRPr="00756F27" w14:paraId="6A51EBE2" w14:textId="77777777" w:rsidTr="00756F27">
        <w:trPr>
          <w:trHeight w:val="300"/>
        </w:trPr>
        <w:tc>
          <w:tcPr>
            <w:tcW w:w="1856" w:type="dxa"/>
            <w:tcBorders>
              <w:top w:val="nil"/>
              <w:left w:val="nil"/>
              <w:bottom w:val="nil"/>
              <w:right w:val="nil"/>
            </w:tcBorders>
            <w:shd w:val="clear" w:color="D9D9D9" w:fill="D9D9D9"/>
            <w:noWrap/>
            <w:vAlign w:val="bottom"/>
            <w:hideMark/>
          </w:tcPr>
          <w:p w14:paraId="172DE963"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DSM</w:t>
            </w:r>
          </w:p>
        </w:tc>
        <w:tc>
          <w:tcPr>
            <w:tcW w:w="2116" w:type="dxa"/>
            <w:tcBorders>
              <w:top w:val="nil"/>
              <w:left w:val="nil"/>
              <w:bottom w:val="nil"/>
              <w:right w:val="nil"/>
            </w:tcBorders>
            <w:shd w:val="clear" w:color="D9D9D9" w:fill="D9D9D9"/>
            <w:noWrap/>
            <w:vAlign w:val="bottom"/>
            <w:hideMark/>
          </w:tcPr>
          <w:p w14:paraId="575F3F60"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 xml:space="preserve"> € 2,420 </w:t>
            </w:r>
          </w:p>
        </w:tc>
        <w:tc>
          <w:tcPr>
            <w:tcW w:w="3796" w:type="dxa"/>
            <w:tcBorders>
              <w:top w:val="nil"/>
              <w:left w:val="nil"/>
              <w:bottom w:val="nil"/>
              <w:right w:val="nil"/>
            </w:tcBorders>
            <w:shd w:val="clear" w:color="D9D9D9" w:fill="D9D9D9"/>
            <w:noWrap/>
            <w:vAlign w:val="bottom"/>
            <w:hideMark/>
          </w:tcPr>
          <w:p w14:paraId="7C0F197E"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Toelichting - Schulden</w:t>
            </w:r>
          </w:p>
        </w:tc>
      </w:tr>
      <w:tr w:rsidR="00756F27" w:rsidRPr="00756F27" w14:paraId="622D5464" w14:textId="77777777" w:rsidTr="00756F27">
        <w:trPr>
          <w:trHeight w:val="300"/>
        </w:trPr>
        <w:tc>
          <w:tcPr>
            <w:tcW w:w="1856" w:type="dxa"/>
            <w:tcBorders>
              <w:top w:val="nil"/>
              <w:left w:val="nil"/>
              <w:bottom w:val="nil"/>
              <w:right w:val="nil"/>
            </w:tcBorders>
            <w:shd w:val="clear" w:color="auto" w:fill="auto"/>
            <w:noWrap/>
            <w:vAlign w:val="bottom"/>
            <w:hideMark/>
          </w:tcPr>
          <w:p w14:paraId="63D339B5"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KPN</w:t>
            </w:r>
          </w:p>
        </w:tc>
        <w:tc>
          <w:tcPr>
            <w:tcW w:w="2116" w:type="dxa"/>
            <w:tcBorders>
              <w:top w:val="nil"/>
              <w:left w:val="nil"/>
              <w:bottom w:val="nil"/>
              <w:right w:val="nil"/>
            </w:tcBorders>
            <w:shd w:val="clear" w:color="auto" w:fill="auto"/>
            <w:noWrap/>
            <w:vAlign w:val="bottom"/>
            <w:hideMark/>
          </w:tcPr>
          <w:p w14:paraId="3959B137"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 xml:space="preserve"> € 7.331,000 </w:t>
            </w:r>
          </w:p>
        </w:tc>
        <w:tc>
          <w:tcPr>
            <w:tcW w:w="3796" w:type="dxa"/>
            <w:tcBorders>
              <w:top w:val="nil"/>
              <w:left w:val="nil"/>
              <w:bottom w:val="nil"/>
              <w:right w:val="nil"/>
            </w:tcBorders>
            <w:shd w:val="clear" w:color="auto" w:fill="auto"/>
            <w:noWrap/>
            <w:vAlign w:val="bottom"/>
            <w:hideMark/>
          </w:tcPr>
          <w:p w14:paraId="40F06A5D"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Toelichting - Schulden</w:t>
            </w:r>
          </w:p>
        </w:tc>
      </w:tr>
      <w:tr w:rsidR="00756F27" w:rsidRPr="00756F27" w14:paraId="4C3EE822" w14:textId="77777777" w:rsidTr="00756F27">
        <w:trPr>
          <w:trHeight w:val="300"/>
        </w:trPr>
        <w:tc>
          <w:tcPr>
            <w:tcW w:w="1856" w:type="dxa"/>
            <w:tcBorders>
              <w:top w:val="nil"/>
              <w:left w:val="nil"/>
              <w:bottom w:val="nil"/>
              <w:right w:val="nil"/>
            </w:tcBorders>
            <w:shd w:val="clear" w:color="D9D9D9" w:fill="D9D9D9"/>
            <w:noWrap/>
            <w:vAlign w:val="bottom"/>
            <w:hideMark/>
          </w:tcPr>
          <w:p w14:paraId="000B5BAC"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Shell</w:t>
            </w:r>
          </w:p>
        </w:tc>
        <w:tc>
          <w:tcPr>
            <w:tcW w:w="2116" w:type="dxa"/>
            <w:tcBorders>
              <w:top w:val="nil"/>
              <w:left w:val="nil"/>
              <w:bottom w:val="nil"/>
              <w:right w:val="nil"/>
            </w:tcBorders>
            <w:shd w:val="clear" w:color="D9D9D9" w:fill="D9D9D9"/>
            <w:noWrap/>
            <w:vAlign w:val="bottom"/>
            <w:hideMark/>
          </w:tcPr>
          <w:p w14:paraId="4EC872B5"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 xml:space="preserve"> € 23,933 </w:t>
            </w:r>
          </w:p>
        </w:tc>
        <w:tc>
          <w:tcPr>
            <w:tcW w:w="3796" w:type="dxa"/>
            <w:tcBorders>
              <w:top w:val="nil"/>
              <w:left w:val="nil"/>
              <w:bottom w:val="nil"/>
              <w:right w:val="nil"/>
            </w:tcBorders>
            <w:shd w:val="clear" w:color="D9D9D9" w:fill="D9D9D9"/>
            <w:noWrap/>
            <w:vAlign w:val="bottom"/>
            <w:hideMark/>
          </w:tcPr>
          <w:p w14:paraId="7AE55D72"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Toelichting - Schulden</w:t>
            </w:r>
          </w:p>
        </w:tc>
      </w:tr>
      <w:tr w:rsidR="00756F27" w:rsidRPr="00756F27" w14:paraId="6E5D17F5" w14:textId="77777777" w:rsidTr="00756F27">
        <w:trPr>
          <w:trHeight w:val="300"/>
        </w:trPr>
        <w:tc>
          <w:tcPr>
            <w:tcW w:w="1856" w:type="dxa"/>
            <w:tcBorders>
              <w:top w:val="nil"/>
              <w:left w:val="nil"/>
              <w:bottom w:val="single" w:sz="4" w:space="0" w:color="000000"/>
              <w:right w:val="nil"/>
            </w:tcBorders>
            <w:shd w:val="clear" w:color="auto" w:fill="auto"/>
            <w:noWrap/>
            <w:vAlign w:val="bottom"/>
            <w:hideMark/>
          </w:tcPr>
          <w:p w14:paraId="245C34CC"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Wolters Kluwer</w:t>
            </w:r>
          </w:p>
        </w:tc>
        <w:tc>
          <w:tcPr>
            <w:tcW w:w="2116" w:type="dxa"/>
            <w:tcBorders>
              <w:top w:val="nil"/>
              <w:left w:val="nil"/>
              <w:bottom w:val="single" w:sz="4" w:space="0" w:color="000000"/>
              <w:right w:val="nil"/>
            </w:tcBorders>
            <w:shd w:val="clear" w:color="auto" w:fill="auto"/>
            <w:noWrap/>
            <w:vAlign w:val="bottom"/>
            <w:hideMark/>
          </w:tcPr>
          <w:p w14:paraId="006244CA"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 xml:space="preserve"> € 1,897 </w:t>
            </w:r>
          </w:p>
        </w:tc>
        <w:tc>
          <w:tcPr>
            <w:tcW w:w="3796" w:type="dxa"/>
            <w:tcBorders>
              <w:top w:val="nil"/>
              <w:left w:val="nil"/>
              <w:bottom w:val="single" w:sz="4" w:space="0" w:color="000000"/>
              <w:right w:val="nil"/>
            </w:tcBorders>
            <w:shd w:val="clear" w:color="auto" w:fill="auto"/>
            <w:noWrap/>
            <w:vAlign w:val="bottom"/>
            <w:hideMark/>
          </w:tcPr>
          <w:p w14:paraId="54F5A238" w14:textId="77777777" w:rsidR="00756F27" w:rsidRPr="00756F27" w:rsidRDefault="00756F27" w:rsidP="00AF13F0">
            <w:pPr>
              <w:rPr>
                <w:rFonts w:ascii="Calibri" w:eastAsia="Times New Roman" w:hAnsi="Calibri" w:cs="Times New Roman"/>
                <w:color w:val="000000"/>
              </w:rPr>
            </w:pPr>
            <w:r w:rsidRPr="00756F27">
              <w:rPr>
                <w:rFonts w:ascii="Calibri" w:eastAsia="Times New Roman" w:hAnsi="Calibri" w:cs="Times New Roman"/>
                <w:color w:val="000000"/>
              </w:rPr>
              <w:t>Toelichting - Schulden</w:t>
            </w:r>
          </w:p>
        </w:tc>
      </w:tr>
    </w:tbl>
    <w:p w14:paraId="50C63CC3" w14:textId="77777777" w:rsidR="004123E7" w:rsidRDefault="004123E7" w:rsidP="00AF13F0">
      <w:pPr>
        <w:spacing w:line="360" w:lineRule="auto"/>
        <w:rPr>
          <w:b/>
        </w:rPr>
      </w:pPr>
    </w:p>
    <w:p w14:paraId="6EE3BD2E" w14:textId="1F40C9BC" w:rsidR="003055AA" w:rsidRDefault="003055AA" w:rsidP="00AF13F0">
      <w:pPr>
        <w:spacing w:line="360" w:lineRule="auto"/>
        <w:rPr>
          <w:b/>
        </w:rPr>
      </w:pPr>
      <w:r>
        <w:rPr>
          <w:b/>
        </w:rPr>
        <w:t>Tabel 12</w:t>
      </w:r>
    </w:p>
    <w:tbl>
      <w:tblPr>
        <w:tblW w:w="8780" w:type="dxa"/>
        <w:jc w:val="center"/>
        <w:tblInd w:w="-1584" w:type="dxa"/>
        <w:tblLayout w:type="fixed"/>
        <w:tblLook w:val="04A0" w:firstRow="1" w:lastRow="0" w:firstColumn="1" w:lastColumn="0" w:noHBand="0" w:noVBand="1"/>
      </w:tblPr>
      <w:tblGrid>
        <w:gridCol w:w="1834"/>
        <w:gridCol w:w="1559"/>
        <w:gridCol w:w="1560"/>
        <w:gridCol w:w="1417"/>
        <w:gridCol w:w="1276"/>
        <w:gridCol w:w="1134"/>
      </w:tblGrid>
      <w:tr w:rsidR="00C526C4" w:rsidRPr="00C526C4" w14:paraId="46B9710D" w14:textId="77777777" w:rsidTr="00C526C4">
        <w:trPr>
          <w:trHeight w:val="300"/>
          <w:jc w:val="center"/>
        </w:trPr>
        <w:tc>
          <w:tcPr>
            <w:tcW w:w="1834" w:type="dxa"/>
            <w:tcBorders>
              <w:top w:val="single" w:sz="4" w:space="0" w:color="000000"/>
              <w:left w:val="nil"/>
              <w:bottom w:val="single" w:sz="4" w:space="0" w:color="000000"/>
              <w:right w:val="nil"/>
            </w:tcBorders>
            <w:shd w:val="clear" w:color="auto" w:fill="auto"/>
            <w:noWrap/>
            <w:vAlign w:val="bottom"/>
            <w:hideMark/>
          </w:tcPr>
          <w:p w14:paraId="4BF58384" w14:textId="77777777" w:rsidR="00C526C4" w:rsidRPr="00C526C4" w:rsidRDefault="00C526C4" w:rsidP="00AF13F0">
            <w:pPr>
              <w:rPr>
                <w:rFonts w:ascii="Calibri" w:eastAsia="Times New Roman" w:hAnsi="Calibri" w:cs="Times New Roman"/>
                <w:b/>
                <w:bCs/>
                <w:color w:val="000000"/>
              </w:rPr>
            </w:pPr>
            <w:r w:rsidRPr="00C526C4">
              <w:rPr>
                <w:rFonts w:ascii="Calibri" w:eastAsia="Times New Roman" w:hAnsi="Calibri" w:cs="Times New Roman"/>
                <w:b/>
                <w:bCs/>
                <w:color w:val="000000"/>
              </w:rPr>
              <w:t>Onderneming</w:t>
            </w:r>
          </w:p>
        </w:tc>
        <w:tc>
          <w:tcPr>
            <w:tcW w:w="1559" w:type="dxa"/>
            <w:tcBorders>
              <w:top w:val="single" w:sz="4" w:space="0" w:color="000000"/>
              <w:left w:val="nil"/>
              <w:bottom w:val="single" w:sz="4" w:space="0" w:color="000000"/>
              <w:right w:val="nil"/>
            </w:tcBorders>
            <w:shd w:val="clear" w:color="auto" w:fill="auto"/>
            <w:noWrap/>
            <w:vAlign w:val="bottom"/>
            <w:hideMark/>
          </w:tcPr>
          <w:p w14:paraId="24C33FEA" w14:textId="77777777" w:rsidR="00C526C4" w:rsidRPr="00C526C4" w:rsidRDefault="00C526C4" w:rsidP="00AF13F0">
            <w:pPr>
              <w:rPr>
                <w:rFonts w:ascii="Calibri" w:eastAsia="Times New Roman" w:hAnsi="Calibri" w:cs="Times New Roman"/>
                <w:b/>
                <w:bCs/>
                <w:color w:val="000000"/>
              </w:rPr>
            </w:pPr>
            <w:r w:rsidRPr="00C526C4">
              <w:rPr>
                <w:rFonts w:ascii="Calibri" w:eastAsia="Times New Roman" w:hAnsi="Calibri" w:cs="Times New Roman"/>
                <w:b/>
                <w:bCs/>
                <w:color w:val="000000"/>
              </w:rPr>
              <w:t>2010</w:t>
            </w:r>
          </w:p>
        </w:tc>
        <w:tc>
          <w:tcPr>
            <w:tcW w:w="1560" w:type="dxa"/>
            <w:tcBorders>
              <w:top w:val="single" w:sz="4" w:space="0" w:color="000000"/>
              <w:left w:val="nil"/>
              <w:bottom w:val="single" w:sz="4" w:space="0" w:color="000000"/>
              <w:right w:val="nil"/>
            </w:tcBorders>
            <w:shd w:val="clear" w:color="auto" w:fill="auto"/>
            <w:noWrap/>
            <w:vAlign w:val="bottom"/>
            <w:hideMark/>
          </w:tcPr>
          <w:p w14:paraId="7177A921" w14:textId="77777777" w:rsidR="00C526C4" w:rsidRPr="00C526C4" w:rsidRDefault="00C526C4" w:rsidP="00AF13F0">
            <w:pPr>
              <w:rPr>
                <w:rFonts w:ascii="Calibri" w:eastAsia="Times New Roman" w:hAnsi="Calibri" w:cs="Times New Roman"/>
                <w:b/>
                <w:bCs/>
                <w:color w:val="000000"/>
              </w:rPr>
            </w:pPr>
            <w:r w:rsidRPr="00C526C4">
              <w:rPr>
                <w:rFonts w:ascii="Calibri" w:eastAsia="Times New Roman" w:hAnsi="Calibri" w:cs="Times New Roman"/>
                <w:b/>
                <w:bCs/>
                <w:color w:val="000000"/>
              </w:rPr>
              <w:t>2011</w:t>
            </w:r>
          </w:p>
        </w:tc>
        <w:tc>
          <w:tcPr>
            <w:tcW w:w="1417" w:type="dxa"/>
            <w:tcBorders>
              <w:top w:val="single" w:sz="4" w:space="0" w:color="000000"/>
              <w:left w:val="nil"/>
              <w:bottom w:val="single" w:sz="4" w:space="0" w:color="000000"/>
              <w:right w:val="nil"/>
            </w:tcBorders>
            <w:shd w:val="clear" w:color="auto" w:fill="auto"/>
            <w:noWrap/>
            <w:vAlign w:val="bottom"/>
            <w:hideMark/>
          </w:tcPr>
          <w:p w14:paraId="16A04EE0" w14:textId="77777777" w:rsidR="00C526C4" w:rsidRPr="00C526C4" w:rsidRDefault="00C526C4" w:rsidP="00AF13F0">
            <w:pPr>
              <w:rPr>
                <w:rFonts w:ascii="Calibri" w:eastAsia="Times New Roman" w:hAnsi="Calibri" w:cs="Times New Roman"/>
                <w:b/>
                <w:bCs/>
                <w:color w:val="000000"/>
              </w:rPr>
            </w:pPr>
            <w:r w:rsidRPr="00C526C4">
              <w:rPr>
                <w:rFonts w:ascii="Calibri" w:eastAsia="Times New Roman" w:hAnsi="Calibri" w:cs="Times New Roman"/>
                <w:b/>
                <w:bCs/>
                <w:color w:val="000000"/>
              </w:rPr>
              <w:t>2012</w:t>
            </w:r>
          </w:p>
        </w:tc>
        <w:tc>
          <w:tcPr>
            <w:tcW w:w="1276" w:type="dxa"/>
            <w:tcBorders>
              <w:top w:val="single" w:sz="4" w:space="0" w:color="000000"/>
              <w:left w:val="nil"/>
              <w:bottom w:val="single" w:sz="4" w:space="0" w:color="000000"/>
              <w:right w:val="nil"/>
            </w:tcBorders>
            <w:shd w:val="clear" w:color="auto" w:fill="auto"/>
            <w:noWrap/>
            <w:vAlign w:val="bottom"/>
            <w:hideMark/>
          </w:tcPr>
          <w:p w14:paraId="1EFEB2D5" w14:textId="77777777" w:rsidR="00C526C4" w:rsidRPr="00C526C4" w:rsidRDefault="00C526C4" w:rsidP="00AF13F0">
            <w:pPr>
              <w:rPr>
                <w:rFonts w:ascii="Calibri" w:eastAsia="Times New Roman" w:hAnsi="Calibri" w:cs="Times New Roman"/>
                <w:b/>
                <w:bCs/>
                <w:color w:val="000000"/>
              </w:rPr>
            </w:pPr>
            <w:r w:rsidRPr="00C526C4">
              <w:rPr>
                <w:rFonts w:ascii="Calibri" w:eastAsia="Times New Roman" w:hAnsi="Calibri" w:cs="Times New Roman"/>
                <w:b/>
                <w:bCs/>
                <w:color w:val="000000"/>
              </w:rPr>
              <w:t>2013</w:t>
            </w:r>
          </w:p>
        </w:tc>
        <w:tc>
          <w:tcPr>
            <w:tcW w:w="1134" w:type="dxa"/>
            <w:tcBorders>
              <w:top w:val="single" w:sz="4" w:space="0" w:color="000000"/>
              <w:left w:val="nil"/>
              <w:bottom w:val="single" w:sz="4" w:space="0" w:color="000000"/>
              <w:right w:val="nil"/>
            </w:tcBorders>
            <w:shd w:val="clear" w:color="auto" w:fill="auto"/>
            <w:noWrap/>
            <w:vAlign w:val="bottom"/>
            <w:hideMark/>
          </w:tcPr>
          <w:p w14:paraId="2C1F457C" w14:textId="77777777" w:rsidR="00C526C4" w:rsidRPr="00C526C4" w:rsidRDefault="00C526C4" w:rsidP="00AF13F0">
            <w:pPr>
              <w:rPr>
                <w:rFonts w:ascii="Calibri" w:eastAsia="Times New Roman" w:hAnsi="Calibri" w:cs="Times New Roman"/>
                <w:b/>
                <w:bCs/>
                <w:color w:val="000000"/>
              </w:rPr>
            </w:pPr>
            <w:r w:rsidRPr="00C526C4">
              <w:rPr>
                <w:rFonts w:ascii="Calibri" w:eastAsia="Times New Roman" w:hAnsi="Calibri" w:cs="Times New Roman"/>
                <w:b/>
                <w:bCs/>
                <w:color w:val="000000"/>
              </w:rPr>
              <w:t>2014</w:t>
            </w:r>
          </w:p>
        </w:tc>
      </w:tr>
      <w:tr w:rsidR="00C526C4" w:rsidRPr="00C526C4" w14:paraId="23FEF941" w14:textId="77777777" w:rsidTr="00C526C4">
        <w:trPr>
          <w:trHeight w:val="300"/>
          <w:jc w:val="center"/>
        </w:trPr>
        <w:tc>
          <w:tcPr>
            <w:tcW w:w="1834" w:type="dxa"/>
            <w:tcBorders>
              <w:top w:val="nil"/>
              <w:left w:val="nil"/>
              <w:bottom w:val="nil"/>
              <w:right w:val="nil"/>
            </w:tcBorders>
            <w:shd w:val="clear" w:color="D9D9D9" w:fill="D9D9D9"/>
            <w:noWrap/>
            <w:vAlign w:val="bottom"/>
            <w:hideMark/>
          </w:tcPr>
          <w:p w14:paraId="5332D2BE"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Ahold</w:t>
            </w:r>
          </w:p>
        </w:tc>
        <w:tc>
          <w:tcPr>
            <w:tcW w:w="1559" w:type="dxa"/>
            <w:tcBorders>
              <w:top w:val="nil"/>
              <w:left w:val="nil"/>
              <w:bottom w:val="nil"/>
              <w:right w:val="nil"/>
            </w:tcBorders>
            <w:shd w:val="clear" w:color="D9D9D9" w:fill="D9D9D9"/>
            <w:noWrap/>
            <w:vAlign w:val="bottom"/>
            <w:hideMark/>
          </w:tcPr>
          <w:p w14:paraId="5FCBA6C0"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560" w:type="dxa"/>
            <w:tcBorders>
              <w:top w:val="nil"/>
              <w:left w:val="nil"/>
              <w:bottom w:val="nil"/>
              <w:right w:val="nil"/>
            </w:tcBorders>
            <w:shd w:val="clear" w:color="D9D9D9" w:fill="D9D9D9"/>
            <w:noWrap/>
            <w:vAlign w:val="bottom"/>
            <w:hideMark/>
          </w:tcPr>
          <w:p w14:paraId="22C90AE3"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417" w:type="dxa"/>
            <w:tcBorders>
              <w:top w:val="nil"/>
              <w:left w:val="nil"/>
              <w:bottom w:val="nil"/>
              <w:right w:val="nil"/>
            </w:tcBorders>
            <w:shd w:val="clear" w:color="D9D9D9" w:fill="D9D9D9"/>
            <w:noWrap/>
            <w:vAlign w:val="bottom"/>
            <w:hideMark/>
          </w:tcPr>
          <w:p w14:paraId="15B378F7"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276" w:type="dxa"/>
            <w:tcBorders>
              <w:top w:val="nil"/>
              <w:left w:val="nil"/>
              <w:bottom w:val="nil"/>
              <w:right w:val="nil"/>
            </w:tcBorders>
            <w:shd w:val="clear" w:color="D9D9D9" w:fill="D9D9D9"/>
            <w:noWrap/>
            <w:vAlign w:val="bottom"/>
            <w:hideMark/>
          </w:tcPr>
          <w:p w14:paraId="21344EAF"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134" w:type="dxa"/>
            <w:tcBorders>
              <w:top w:val="nil"/>
              <w:left w:val="nil"/>
              <w:bottom w:val="nil"/>
              <w:right w:val="nil"/>
            </w:tcBorders>
            <w:shd w:val="clear" w:color="D9D9D9" w:fill="D9D9D9"/>
            <w:noWrap/>
            <w:vAlign w:val="bottom"/>
            <w:hideMark/>
          </w:tcPr>
          <w:p w14:paraId="6EBB56D4"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r>
      <w:tr w:rsidR="00C526C4" w:rsidRPr="00C526C4" w14:paraId="0AE14269" w14:textId="77777777" w:rsidTr="00C526C4">
        <w:trPr>
          <w:trHeight w:val="300"/>
          <w:jc w:val="center"/>
        </w:trPr>
        <w:tc>
          <w:tcPr>
            <w:tcW w:w="1834" w:type="dxa"/>
            <w:tcBorders>
              <w:top w:val="nil"/>
              <w:left w:val="nil"/>
              <w:bottom w:val="nil"/>
              <w:right w:val="nil"/>
            </w:tcBorders>
            <w:shd w:val="clear" w:color="auto" w:fill="auto"/>
            <w:noWrap/>
            <w:vAlign w:val="bottom"/>
            <w:hideMark/>
          </w:tcPr>
          <w:p w14:paraId="07ACFE5F"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Delta Lloyd</w:t>
            </w:r>
          </w:p>
        </w:tc>
        <w:tc>
          <w:tcPr>
            <w:tcW w:w="1559" w:type="dxa"/>
            <w:tcBorders>
              <w:top w:val="nil"/>
              <w:left w:val="nil"/>
              <w:bottom w:val="nil"/>
              <w:right w:val="nil"/>
            </w:tcBorders>
            <w:shd w:val="clear" w:color="auto" w:fill="auto"/>
            <w:noWrap/>
            <w:vAlign w:val="bottom"/>
            <w:hideMark/>
          </w:tcPr>
          <w:p w14:paraId="12A72821"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Nee</w:t>
            </w:r>
          </w:p>
        </w:tc>
        <w:tc>
          <w:tcPr>
            <w:tcW w:w="1560" w:type="dxa"/>
            <w:tcBorders>
              <w:top w:val="nil"/>
              <w:left w:val="nil"/>
              <w:bottom w:val="nil"/>
              <w:right w:val="nil"/>
            </w:tcBorders>
            <w:shd w:val="clear" w:color="auto" w:fill="auto"/>
            <w:noWrap/>
            <w:vAlign w:val="bottom"/>
            <w:hideMark/>
          </w:tcPr>
          <w:p w14:paraId="31BB3482"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Nee</w:t>
            </w:r>
          </w:p>
        </w:tc>
        <w:tc>
          <w:tcPr>
            <w:tcW w:w="1417" w:type="dxa"/>
            <w:tcBorders>
              <w:top w:val="nil"/>
              <w:left w:val="nil"/>
              <w:bottom w:val="nil"/>
              <w:right w:val="nil"/>
            </w:tcBorders>
            <w:shd w:val="clear" w:color="auto" w:fill="auto"/>
            <w:noWrap/>
            <w:vAlign w:val="bottom"/>
            <w:hideMark/>
          </w:tcPr>
          <w:p w14:paraId="75DA33BE"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Nee</w:t>
            </w:r>
          </w:p>
        </w:tc>
        <w:tc>
          <w:tcPr>
            <w:tcW w:w="1276" w:type="dxa"/>
            <w:tcBorders>
              <w:top w:val="nil"/>
              <w:left w:val="nil"/>
              <w:bottom w:val="nil"/>
              <w:right w:val="nil"/>
            </w:tcBorders>
            <w:shd w:val="clear" w:color="auto" w:fill="auto"/>
            <w:noWrap/>
            <w:vAlign w:val="bottom"/>
            <w:hideMark/>
          </w:tcPr>
          <w:p w14:paraId="4EFFFC07"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Nee</w:t>
            </w:r>
          </w:p>
        </w:tc>
        <w:tc>
          <w:tcPr>
            <w:tcW w:w="1134" w:type="dxa"/>
            <w:tcBorders>
              <w:top w:val="nil"/>
              <w:left w:val="nil"/>
              <w:bottom w:val="nil"/>
              <w:right w:val="nil"/>
            </w:tcBorders>
            <w:shd w:val="clear" w:color="auto" w:fill="auto"/>
            <w:noWrap/>
            <w:vAlign w:val="bottom"/>
            <w:hideMark/>
          </w:tcPr>
          <w:p w14:paraId="4D748A0F"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r>
      <w:tr w:rsidR="00C526C4" w:rsidRPr="00C526C4" w14:paraId="19870C2C" w14:textId="77777777" w:rsidTr="00C526C4">
        <w:trPr>
          <w:trHeight w:val="300"/>
          <w:jc w:val="center"/>
        </w:trPr>
        <w:tc>
          <w:tcPr>
            <w:tcW w:w="1834" w:type="dxa"/>
            <w:tcBorders>
              <w:top w:val="nil"/>
              <w:left w:val="nil"/>
              <w:bottom w:val="nil"/>
              <w:right w:val="nil"/>
            </w:tcBorders>
            <w:shd w:val="clear" w:color="D9D9D9" w:fill="D9D9D9"/>
            <w:noWrap/>
            <w:vAlign w:val="bottom"/>
            <w:hideMark/>
          </w:tcPr>
          <w:p w14:paraId="7EBD6B44"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Gemalto</w:t>
            </w:r>
          </w:p>
        </w:tc>
        <w:tc>
          <w:tcPr>
            <w:tcW w:w="1559" w:type="dxa"/>
            <w:tcBorders>
              <w:top w:val="nil"/>
              <w:left w:val="nil"/>
              <w:bottom w:val="nil"/>
              <w:right w:val="nil"/>
            </w:tcBorders>
            <w:shd w:val="clear" w:color="D9D9D9" w:fill="D9D9D9"/>
            <w:noWrap/>
            <w:vAlign w:val="bottom"/>
            <w:hideMark/>
          </w:tcPr>
          <w:p w14:paraId="43C90797"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560" w:type="dxa"/>
            <w:tcBorders>
              <w:top w:val="nil"/>
              <w:left w:val="nil"/>
              <w:bottom w:val="nil"/>
              <w:right w:val="nil"/>
            </w:tcBorders>
            <w:shd w:val="clear" w:color="D9D9D9" w:fill="D9D9D9"/>
            <w:noWrap/>
            <w:vAlign w:val="bottom"/>
            <w:hideMark/>
          </w:tcPr>
          <w:p w14:paraId="1234F750"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417" w:type="dxa"/>
            <w:tcBorders>
              <w:top w:val="nil"/>
              <w:left w:val="nil"/>
              <w:bottom w:val="nil"/>
              <w:right w:val="nil"/>
            </w:tcBorders>
            <w:shd w:val="clear" w:color="D9D9D9" w:fill="D9D9D9"/>
            <w:noWrap/>
            <w:vAlign w:val="bottom"/>
            <w:hideMark/>
          </w:tcPr>
          <w:p w14:paraId="1500682B"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276" w:type="dxa"/>
            <w:tcBorders>
              <w:top w:val="nil"/>
              <w:left w:val="nil"/>
              <w:bottom w:val="nil"/>
              <w:right w:val="nil"/>
            </w:tcBorders>
            <w:shd w:val="clear" w:color="D9D9D9" w:fill="D9D9D9"/>
            <w:noWrap/>
            <w:vAlign w:val="bottom"/>
            <w:hideMark/>
          </w:tcPr>
          <w:p w14:paraId="4BA904A0"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134" w:type="dxa"/>
            <w:tcBorders>
              <w:top w:val="nil"/>
              <w:left w:val="nil"/>
              <w:bottom w:val="nil"/>
              <w:right w:val="nil"/>
            </w:tcBorders>
            <w:shd w:val="clear" w:color="D9D9D9" w:fill="D9D9D9"/>
            <w:noWrap/>
            <w:vAlign w:val="bottom"/>
            <w:hideMark/>
          </w:tcPr>
          <w:p w14:paraId="2E234126"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r>
      <w:tr w:rsidR="00C526C4" w:rsidRPr="00C526C4" w14:paraId="026D9689" w14:textId="77777777" w:rsidTr="00C526C4">
        <w:trPr>
          <w:trHeight w:val="300"/>
          <w:jc w:val="center"/>
        </w:trPr>
        <w:tc>
          <w:tcPr>
            <w:tcW w:w="1834" w:type="dxa"/>
            <w:tcBorders>
              <w:top w:val="nil"/>
              <w:left w:val="nil"/>
              <w:bottom w:val="nil"/>
              <w:right w:val="nil"/>
            </w:tcBorders>
            <w:shd w:val="clear" w:color="auto" w:fill="auto"/>
            <w:noWrap/>
            <w:vAlign w:val="bottom"/>
            <w:hideMark/>
          </w:tcPr>
          <w:p w14:paraId="6CEAC4C1"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Heineken</w:t>
            </w:r>
          </w:p>
        </w:tc>
        <w:tc>
          <w:tcPr>
            <w:tcW w:w="1559" w:type="dxa"/>
            <w:tcBorders>
              <w:top w:val="nil"/>
              <w:left w:val="nil"/>
              <w:bottom w:val="nil"/>
              <w:right w:val="nil"/>
            </w:tcBorders>
            <w:shd w:val="clear" w:color="auto" w:fill="auto"/>
            <w:noWrap/>
            <w:vAlign w:val="bottom"/>
            <w:hideMark/>
          </w:tcPr>
          <w:p w14:paraId="058B18FA"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560" w:type="dxa"/>
            <w:tcBorders>
              <w:top w:val="nil"/>
              <w:left w:val="nil"/>
              <w:bottom w:val="nil"/>
              <w:right w:val="nil"/>
            </w:tcBorders>
            <w:shd w:val="clear" w:color="auto" w:fill="auto"/>
            <w:noWrap/>
            <w:vAlign w:val="bottom"/>
            <w:hideMark/>
          </w:tcPr>
          <w:p w14:paraId="4449E1D9"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417" w:type="dxa"/>
            <w:tcBorders>
              <w:top w:val="nil"/>
              <w:left w:val="nil"/>
              <w:bottom w:val="nil"/>
              <w:right w:val="nil"/>
            </w:tcBorders>
            <w:shd w:val="clear" w:color="auto" w:fill="auto"/>
            <w:noWrap/>
            <w:vAlign w:val="bottom"/>
            <w:hideMark/>
          </w:tcPr>
          <w:p w14:paraId="616A100E"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276" w:type="dxa"/>
            <w:tcBorders>
              <w:top w:val="nil"/>
              <w:left w:val="nil"/>
              <w:bottom w:val="nil"/>
              <w:right w:val="nil"/>
            </w:tcBorders>
            <w:shd w:val="clear" w:color="auto" w:fill="auto"/>
            <w:noWrap/>
            <w:vAlign w:val="bottom"/>
            <w:hideMark/>
          </w:tcPr>
          <w:p w14:paraId="3CF6DB34"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134" w:type="dxa"/>
            <w:tcBorders>
              <w:top w:val="nil"/>
              <w:left w:val="nil"/>
              <w:bottom w:val="nil"/>
              <w:right w:val="nil"/>
            </w:tcBorders>
            <w:shd w:val="clear" w:color="auto" w:fill="auto"/>
            <w:noWrap/>
            <w:vAlign w:val="bottom"/>
            <w:hideMark/>
          </w:tcPr>
          <w:p w14:paraId="654425DE"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r>
      <w:tr w:rsidR="00C526C4" w:rsidRPr="00C526C4" w14:paraId="22584AB7" w14:textId="77777777" w:rsidTr="00C526C4">
        <w:trPr>
          <w:trHeight w:val="300"/>
          <w:jc w:val="center"/>
        </w:trPr>
        <w:tc>
          <w:tcPr>
            <w:tcW w:w="1834" w:type="dxa"/>
            <w:tcBorders>
              <w:top w:val="nil"/>
              <w:left w:val="nil"/>
              <w:bottom w:val="nil"/>
              <w:right w:val="nil"/>
            </w:tcBorders>
            <w:shd w:val="clear" w:color="D9D9D9" w:fill="D9D9D9"/>
            <w:noWrap/>
            <w:vAlign w:val="bottom"/>
            <w:hideMark/>
          </w:tcPr>
          <w:p w14:paraId="4134B3ED"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ING</w:t>
            </w:r>
          </w:p>
        </w:tc>
        <w:tc>
          <w:tcPr>
            <w:tcW w:w="1559" w:type="dxa"/>
            <w:tcBorders>
              <w:top w:val="nil"/>
              <w:left w:val="nil"/>
              <w:bottom w:val="nil"/>
              <w:right w:val="nil"/>
            </w:tcBorders>
            <w:shd w:val="clear" w:color="D9D9D9" w:fill="D9D9D9"/>
            <w:noWrap/>
            <w:vAlign w:val="bottom"/>
            <w:hideMark/>
          </w:tcPr>
          <w:p w14:paraId="1DE760BF"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560" w:type="dxa"/>
            <w:tcBorders>
              <w:top w:val="nil"/>
              <w:left w:val="nil"/>
              <w:bottom w:val="nil"/>
              <w:right w:val="nil"/>
            </w:tcBorders>
            <w:shd w:val="clear" w:color="D9D9D9" w:fill="D9D9D9"/>
            <w:noWrap/>
            <w:vAlign w:val="bottom"/>
            <w:hideMark/>
          </w:tcPr>
          <w:p w14:paraId="50773B1B"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417" w:type="dxa"/>
            <w:tcBorders>
              <w:top w:val="nil"/>
              <w:left w:val="nil"/>
              <w:bottom w:val="nil"/>
              <w:right w:val="nil"/>
            </w:tcBorders>
            <w:shd w:val="clear" w:color="D9D9D9" w:fill="D9D9D9"/>
            <w:noWrap/>
            <w:vAlign w:val="bottom"/>
            <w:hideMark/>
          </w:tcPr>
          <w:p w14:paraId="09234BBC"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276" w:type="dxa"/>
            <w:tcBorders>
              <w:top w:val="nil"/>
              <w:left w:val="nil"/>
              <w:bottom w:val="nil"/>
              <w:right w:val="nil"/>
            </w:tcBorders>
            <w:shd w:val="clear" w:color="D9D9D9" w:fill="D9D9D9"/>
            <w:noWrap/>
            <w:vAlign w:val="bottom"/>
            <w:hideMark/>
          </w:tcPr>
          <w:p w14:paraId="2A1D255E"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134" w:type="dxa"/>
            <w:tcBorders>
              <w:top w:val="nil"/>
              <w:left w:val="nil"/>
              <w:bottom w:val="nil"/>
              <w:right w:val="nil"/>
            </w:tcBorders>
            <w:shd w:val="clear" w:color="D9D9D9" w:fill="D9D9D9"/>
            <w:noWrap/>
            <w:vAlign w:val="bottom"/>
            <w:hideMark/>
          </w:tcPr>
          <w:p w14:paraId="3B2F5839"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r>
      <w:tr w:rsidR="00C526C4" w:rsidRPr="00C526C4" w14:paraId="592C3531" w14:textId="77777777" w:rsidTr="00C526C4">
        <w:trPr>
          <w:trHeight w:val="300"/>
          <w:jc w:val="center"/>
        </w:trPr>
        <w:tc>
          <w:tcPr>
            <w:tcW w:w="1834" w:type="dxa"/>
            <w:tcBorders>
              <w:top w:val="nil"/>
              <w:left w:val="nil"/>
              <w:bottom w:val="nil"/>
              <w:right w:val="nil"/>
            </w:tcBorders>
            <w:shd w:val="clear" w:color="auto" w:fill="auto"/>
            <w:noWrap/>
            <w:vAlign w:val="bottom"/>
            <w:hideMark/>
          </w:tcPr>
          <w:p w14:paraId="30371750"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Philips</w:t>
            </w:r>
          </w:p>
        </w:tc>
        <w:tc>
          <w:tcPr>
            <w:tcW w:w="1559" w:type="dxa"/>
            <w:tcBorders>
              <w:top w:val="nil"/>
              <w:left w:val="nil"/>
              <w:bottom w:val="nil"/>
              <w:right w:val="nil"/>
            </w:tcBorders>
            <w:shd w:val="clear" w:color="auto" w:fill="auto"/>
            <w:noWrap/>
            <w:vAlign w:val="bottom"/>
            <w:hideMark/>
          </w:tcPr>
          <w:p w14:paraId="4C8620D1"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560" w:type="dxa"/>
            <w:tcBorders>
              <w:top w:val="nil"/>
              <w:left w:val="nil"/>
              <w:bottom w:val="nil"/>
              <w:right w:val="nil"/>
            </w:tcBorders>
            <w:shd w:val="clear" w:color="auto" w:fill="auto"/>
            <w:noWrap/>
            <w:vAlign w:val="bottom"/>
            <w:hideMark/>
          </w:tcPr>
          <w:p w14:paraId="50A5DA13"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417" w:type="dxa"/>
            <w:tcBorders>
              <w:top w:val="nil"/>
              <w:left w:val="nil"/>
              <w:bottom w:val="nil"/>
              <w:right w:val="nil"/>
            </w:tcBorders>
            <w:shd w:val="clear" w:color="auto" w:fill="auto"/>
            <w:noWrap/>
            <w:vAlign w:val="bottom"/>
            <w:hideMark/>
          </w:tcPr>
          <w:p w14:paraId="05ABF72D"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276" w:type="dxa"/>
            <w:tcBorders>
              <w:top w:val="nil"/>
              <w:left w:val="nil"/>
              <w:bottom w:val="nil"/>
              <w:right w:val="nil"/>
            </w:tcBorders>
            <w:shd w:val="clear" w:color="auto" w:fill="auto"/>
            <w:noWrap/>
            <w:vAlign w:val="bottom"/>
            <w:hideMark/>
          </w:tcPr>
          <w:p w14:paraId="31363EE2"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134" w:type="dxa"/>
            <w:tcBorders>
              <w:top w:val="nil"/>
              <w:left w:val="nil"/>
              <w:bottom w:val="nil"/>
              <w:right w:val="nil"/>
            </w:tcBorders>
            <w:shd w:val="clear" w:color="auto" w:fill="auto"/>
            <w:noWrap/>
            <w:vAlign w:val="bottom"/>
            <w:hideMark/>
          </w:tcPr>
          <w:p w14:paraId="09172D29"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r>
      <w:tr w:rsidR="00C526C4" w:rsidRPr="00C526C4" w14:paraId="286BFE47" w14:textId="77777777" w:rsidTr="00C526C4">
        <w:trPr>
          <w:trHeight w:val="300"/>
          <w:jc w:val="center"/>
        </w:trPr>
        <w:tc>
          <w:tcPr>
            <w:tcW w:w="1834" w:type="dxa"/>
            <w:tcBorders>
              <w:top w:val="nil"/>
              <w:left w:val="nil"/>
              <w:bottom w:val="nil"/>
              <w:right w:val="nil"/>
            </w:tcBorders>
            <w:shd w:val="clear" w:color="D9D9D9" w:fill="D9D9D9"/>
            <w:noWrap/>
            <w:vAlign w:val="bottom"/>
            <w:hideMark/>
          </w:tcPr>
          <w:p w14:paraId="10017497"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Shell</w:t>
            </w:r>
          </w:p>
        </w:tc>
        <w:tc>
          <w:tcPr>
            <w:tcW w:w="1559" w:type="dxa"/>
            <w:tcBorders>
              <w:top w:val="nil"/>
              <w:left w:val="nil"/>
              <w:bottom w:val="nil"/>
              <w:right w:val="nil"/>
            </w:tcBorders>
            <w:shd w:val="clear" w:color="D9D9D9" w:fill="D9D9D9"/>
            <w:noWrap/>
            <w:vAlign w:val="bottom"/>
            <w:hideMark/>
          </w:tcPr>
          <w:p w14:paraId="22E28BE4"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Nee</w:t>
            </w:r>
          </w:p>
        </w:tc>
        <w:tc>
          <w:tcPr>
            <w:tcW w:w="1560" w:type="dxa"/>
            <w:tcBorders>
              <w:top w:val="nil"/>
              <w:left w:val="nil"/>
              <w:bottom w:val="nil"/>
              <w:right w:val="nil"/>
            </w:tcBorders>
            <w:shd w:val="clear" w:color="D9D9D9" w:fill="D9D9D9"/>
            <w:noWrap/>
            <w:vAlign w:val="bottom"/>
            <w:hideMark/>
          </w:tcPr>
          <w:p w14:paraId="681D64CB"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Nee</w:t>
            </w:r>
          </w:p>
        </w:tc>
        <w:tc>
          <w:tcPr>
            <w:tcW w:w="1417" w:type="dxa"/>
            <w:tcBorders>
              <w:top w:val="nil"/>
              <w:left w:val="nil"/>
              <w:bottom w:val="nil"/>
              <w:right w:val="nil"/>
            </w:tcBorders>
            <w:shd w:val="clear" w:color="D9D9D9" w:fill="D9D9D9"/>
            <w:noWrap/>
            <w:vAlign w:val="bottom"/>
            <w:hideMark/>
          </w:tcPr>
          <w:p w14:paraId="4AB0BE13"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Nee</w:t>
            </w:r>
          </w:p>
        </w:tc>
        <w:tc>
          <w:tcPr>
            <w:tcW w:w="1276" w:type="dxa"/>
            <w:tcBorders>
              <w:top w:val="nil"/>
              <w:left w:val="nil"/>
              <w:bottom w:val="nil"/>
              <w:right w:val="nil"/>
            </w:tcBorders>
            <w:shd w:val="clear" w:color="D9D9D9" w:fill="D9D9D9"/>
            <w:noWrap/>
            <w:vAlign w:val="bottom"/>
            <w:hideMark/>
          </w:tcPr>
          <w:p w14:paraId="7978C22E"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Nee</w:t>
            </w:r>
          </w:p>
        </w:tc>
        <w:tc>
          <w:tcPr>
            <w:tcW w:w="1134" w:type="dxa"/>
            <w:tcBorders>
              <w:top w:val="nil"/>
              <w:left w:val="nil"/>
              <w:bottom w:val="nil"/>
              <w:right w:val="nil"/>
            </w:tcBorders>
            <w:shd w:val="clear" w:color="D9D9D9" w:fill="D9D9D9"/>
            <w:noWrap/>
            <w:vAlign w:val="bottom"/>
            <w:hideMark/>
          </w:tcPr>
          <w:p w14:paraId="28BE5267"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r>
      <w:tr w:rsidR="00C526C4" w:rsidRPr="00C526C4" w14:paraId="0CE0673F" w14:textId="77777777" w:rsidTr="00C526C4">
        <w:trPr>
          <w:trHeight w:val="300"/>
          <w:jc w:val="center"/>
        </w:trPr>
        <w:tc>
          <w:tcPr>
            <w:tcW w:w="1834" w:type="dxa"/>
            <w:tcBorders>
              <w:top w:val="nil"/>
              <w:left w:val="nil"/>
              <w:bottom w:val="nil"/>
              <w:right w:val="nil"/>
            </w:tcBorders>
            <w:shd w:val="clear" w:color="auto" w:fill="auto"/>
            <w:noWrap/>
            <w:vAlign w:val="bottom"/>
            <w:hideMark/>
          </w:tcPr>
          <w:p w14:paraId="5206C0DC"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TNT</w:t>
            </w:r>
          </w:p>
        </w:tc>
        <w:tc>
          <w:tcPr>
            <w:tcW w:w="1559" w:type="dxa"/>
            <w:tcBorders>
              <w:top w:val="nil"/>
              <w:left w:val="nil"/>
              <w:bottom w:val="nil"/>
              <w:right w:val="nil"/>
            </w:tcBorders>
            <w:shd w:val="clear" w:color="auto" w:fill="auto"/>
            <w:noWrap/>
            <w:vAlign w:val="bottom"/>
            <w:hideMark/>
          </w:tcPr>
          <w:p w14:paraId="6821944E"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560" w:type="dxa"/>
            <w:tcBorders>
              <w:top w:val="nil"/>
              <w:left w:val="nil"/>
              <w:bottom w:val="nil"/>
              <w:right w:val="nil"/>
            </w:tcBorders>
            <w:shd w:val="clear" w:color="auto" w:fill="auto"/>
            <w:noWrap/>
            <w:vAlign w:val="bottom"/>
            <w:hideMark/>
          </w:tcPr>
          <w:p w14:paraId="6B43731D"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417" w:type="dxa"/>
            <w:tcBorders>
              <w:top w:val="nil"/>
              <w:left w:val="nil"/>
              <w:bottom w:val="nil"/>
              <w:right w:val="nil"/>
            </w:tcBorders>
            <w:shd w:val="clear" w:color="auto" w:fill="auto"/>
            <w:noWrap/>
            <w:vAlign w:val="bottom"/>
            <w:hideMark/>
          </w:tcPr>
          <w:p w14:paraId="15A40644"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276" w:type="dxa"/>
            <w:tcBorders>
              <w:top w:val="nil"/>
              <w:left w:val="nil"/>
              <w:bottom w:val="nil"/>
              <w:right w:val="nil"/>
            </w:tcBorders>
            <w:shd w:val="clear" w:color="auto" w:fill="auto"/>
            <w:noWrap/>
            <w:vAlign w:val="bottom"/>
            <w:hideMark/>
          </w:tcPr>
          <w:p w14:paraId="50911361"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134" w:type="dxa"/>
            <w:tcBorders>
              <w:top w:val="nil"/>
              <w:left w:val="nil"/>
              <w:bottom w:val="nil"/>
              <w:right w:val="nil"/>
            </w:tcBorders>
            <w:shd w:val="clear" w:color="auto" w:fill="auto"/>
            <w:noWrap/>
            <w:vAlign w:val="bottom"/>
            <w:hideMark/>
          </w:tcPr>
          <w:p w14:paraId="68A13E50"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r>
      <w:tr w:rsidR="00C526C4" w:rsidRPr="00C526C4" w14:paraId="0DF64CBF" w14:textId="77777777" w:rsidTr="00C526C4">
        <w:trPr>
          <w:trHeight w:val="300"/>
          <w:jc w:val="center"/>
        </w:trPr>
        <w:tc>
          <w:tcPr>
            <w:tcW w:w="1834" w:type="dxa"/>
            <w:tcBorders>
              <w:top w:val="nil"/>
              <w:left w:val="nil"/>
              <w:bottom w:val="nil"/>
              <w:right w:val="nil"/>
            </w:tcBorders>
            <w:shd w:val="clear" w:color="D9D9D9" w:fill="D9D9D9"/>
            <w:noWrap/>
            <w:vAlign w:val="bottom"/>
            <w:hideMark/>
          </w:tcPr>
          <w:p w14:paraId="17E589BF"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Unilever</w:t>
            </w:r>
          </w:p>
        </w:tc>
        <w:tc>
          <w:tcPr>
            <w:tcW w:w="1559" w:type="dxa"/>
            <w:tcBorders>
              <w:top w:val="nil"/>
              <w:left w:val="nil"/>
              <w:bottom w:val="nil"/>
              <w:right w:val="nil"/>
            </w:tcBorders>
            <w:shd w:val="clear" w:color="D9D9D9" w:fill="D9D9D9"/>
            <w:noWrap/>
            <w:vAlign w:val="bottom"/>
            <w:hideMark/>
          </w:tcPr>
          <w:p w14:paraId="5BE21E28"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560" w:type="dxa"/>
            <w:tcBorders>
              <w:top w:val="nil"/>
              <w:left w:val="nil"/>
              <w:bottom w:val="nil"/>
              <w:right w:val="nil"/>
            </w:tcBorders>
            <w:shd w:val="clear" w:color="D9D9D9" w:fill="D9D9D9"/>
            <w:noWrap/>
            <w:vAlign w:val="bottom"/>
            <w:hideMark/>
          </w:tcPr>
          <w:p w14:paraId="0CABC019"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417" w:type="dxa"/>
            <w:tcBorders>
              <w:top w:val="nil"/>
              <w:left w:val="nil"/>
              <w:bottom w:val="nil"/>
              <w:right w:val="nil"/>
            </w:tcBorders>
            <w:shd w:val="clear" w:color="D9D9D9" w:fill="D9D9D9"/>
            <w:noWrap/>
            <w:vAlign w:val="bottom"/>
            <w:hideMark/>
          </w:tcPr>
          <w:p w14:paraId="33F53136"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276" w:type="dxa"/>
            <w:tcBorders>
              <w:top w:val="nil"/>
              <w:left w:val="nil"/>
              <w:bottom w:val="nil"/>
              <w:right w:val="nil"/>
            </w:tcBorders>
            <w:shd w:val="clear" w:color="D9D9D9" w:fill="D9D9D9"/>
            <w:noWrap/>
            <w:vAlign w:val="bottom"/>
            <w:hideMark/>
          </w:tcPr>
          <w:p w14:paraId="606DABF3"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134" w:type="dxa"/>
            <w:tcBorders>
              <w:top w:val="nil"/>
              <w:left w:val="nil"/>
              <w:bottom w:val="nil"/>
              <w:right w:val="nil"/>
            </w:tcBorders>
            <w:shd w:val="clear" w:color="D9D9D9" w:fill="D9D9D9"/>
            <w:noWrap/>
            <w:vAlign w:val="bottom"/>
            <w:hideMark/>
          </w:tcPr>
          <w:p w14:paraId="6A6A601E"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r>
      <w:tr w:rsidR="00C526C4" w:rsidRPr="00C526C4" w14:paraId="677E8260" w14:textId="77777777" w:rsidTr="00C526C4">
        <w:trPr>
          <w:trHeight w:val="300"/>
          <w:jc w:val="center"/>
        </w:trPr>
        <w:tc>
          <w:tcPr>
            <w:tcW w:w="1834" w:type="dxa"/>
            <w:tcBorders>
              <w:top w:val="nil"/>
              <w:left w:val="nil"/>
              <w:bottom w:val="nil"/>
              <w:right w:val="nil"/>
            </w:tcBorders>
            <w:shd w:val="clear" w:color="auto" w:fill="auto"/>
            <w:noWrap/>
            <w:vAlign w:val="bottom"/>
            <w:hideMark/>
          </w:tcPr>
          <w:p w14:paraId="3CEAF9CD"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Aegon</w:t>
            </w:r>
          </w:p>
        </w:tc>
        <w:tc>
          <w:tcPr>
            <w:tcW w:w="1559" w:type="dxa"/>
            <w:tcBorders>
              <w:top w:val="nil"/>
              <w:left w:val="nil"/>
              <w:bottom w:val="nil"/>
              <w:right w:val="nil"/>
            </w:tcBorders>
            <w:shd w:val="clear" w:color="auto" w:fill="auto"/>
            <w:noWrap/>
            <w:vAlign w:val="bottom"/>
            <w:hideMark/>
          </w:tcPr>
          <w:p w14:paraId="1D7E1314"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560" w:type="dxa"/>
            <w:tcBorders>
              <w:top w:val="nil"/>
              <w:left w:val="nil"/>
              <w:bottom w:val="nil"/>
              <w:right w:val="nil"/>
            </w:tcBorders>
            <w:shd w:val="clear" w:color="auto" w:fill="auto"/>
            <w:noWrap/>
            <w:vAlign w:val="bottom"/>
            <w:hideMark/>
          </w:tcPr>
          <w:p w14:paraId="08AEA56F"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417" w:type="dxa"/>
            <w:tcBorders>
              <w:top w:val="nil"/>
              <w:left w:val="nil"/>
              <w:bottom w:val="nil"/>
              <w:right w:val="nil"/>
            </w:tcBorders>
            <w:shd w:val="clear" w:color="auto" w:fill="auto"/>
            <w:noWrap/>
            <w:vAlign w:val="bottom"/>
            <w:hideMark/>
          </w:tcPr>
          <w:p w14:paraId="2F0D4B86"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276" w:type="dxa"/>
            <w:tcBorders>
              <w:top w:val="nil"/>
              <w:left w:val="nil"/>
              <w:bottom w:val="nil"/>
              <w:right w:val="nil"/>
            </w:tcBorders>
            <w:shd w:val="clear" w:color="auto" w:fill="auto"/>
            <w:noWrap/>
            <w:vAlign w:val="bottom"/>
            <w:hideMark/>
          </w:tcPr>
          <w:p w14:paraId="2C171000"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134" w:type="dxa"/>
            <w:tcBorders>
              <w:top w:val="nil"/>
              <w:left w:val="nil"/>
              <w:bottom w:val="nil"/>
              <w:right w:val="nil"/>
            </w:tcBorders>
            <w:shd w:val="clear" w:color="auto" w:fill="auto"/>
            <w:noWrap/>
            <w:vAlign w:val="bottom"/>
            <w:hideMark/>
          </w:tcPr>
          <w:p w14:paraId="0BCD8BF2"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r>
      <w:tr w:rsidR="00C526C4" w:rsidRPr="00C526C4" w14:paraId="0445C1AE" w14:textId="77777777" w:rsidTr="00C526C4">
        <w:trPr>
          <w:trHeight w:val="300"/>
          <w:jc w:val="center"/>
        </w:trPr>
        <w:tc>
          <w:tcPr>
            <w:tcW w:w="1834" w:type="dxa"/>
            <w:tcBorders>
              <w:top w:val="nil"/>
              <w:left w:val="nil"/>
              <w:bottom w:val="nil"/>
              <w:right w:val="nil"/>
            </w:tcBorders>
            <w:shd w:val="clear" w:color="D9D9D9" w:fill="D9D9D9"/>
            <w:noWrap/>
            <w:vAlign w:val="bottom"/>
            <w:hideMark/>
          </w:tcPr>
          <w:p w14:paraId="7B5C974E"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Vopak</w:t>
            </w:r>
          </w:p>
        </w:tc>
        <w:tc>
          <w:tcPr>
            <w:tcW w:w="1559" w:type="dxa"/>
            <w:tcBorders>
              <w:top w:val="nil"/>
              <w:left w:val="nil"/>
              <w:bottom w:val="nil"/>
              <w:right w:val="nil"/>
            </w:tcBorders>
            <w:shd w:val="clear" w:color="D9D9D9" w:fill="D9D9D9"/>
            <w:noWrap/>
            <w:vAlign w:val="bottom"/>
            <w:hideMark/>
          </w:tcPr>
          <w:p w14:paraId="2A2583E6"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Nee</w:t>
            </w:r>
          </w:p>
        </w:tc>
        <w:tc>
          <w:tcPr>
            <w:tcW w:w="1560" w:type="dxa"/>
            <w:tcBorders>
              <w:top w:val="nil"/>
              <w:left w:val="nil"/>
              <w:bottom w:val="nil"/>
              <w:right w:val="nil"/>
            </w:tcBorders>
            <w:shd w:val="clear" w:color="D9D9D9" w:fill="D9D9D9"/>
            <w:noWrap/>
            <w:vAlign w:val="bottom"/>
            <w:hideMark/>
          </w:tcPr>
          <w:p w14:paraId="7C41CC11"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Nee</w:t>
            </w:r>
          </w:p>
        </w:tc>
        <w:tc>
          <w:tcPr>
            <w:tcW w:w="1417" w:type="dxa"/>
            <w:tcBorders>
              <w:top w:val="nil"/>
              <w:left w:val="nil"/>
              <w:bottom w:val="nil"/>
              <w:right w:val="nil"/>
            </w:tcBorders>
            <w:shd w:val="clear" w:color="D9D9D9" w:fill="D9D9D9"/>
            <w:noWrap/>
            <w:vAlign w:val="bottom"/>
            <w:hideMark/>
          </w:tcPr>
          <w:p w14:paraId="033EAD41"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Nee</w:t>
            </w:r>
          </w:p>
        </w:tc>
        <w:tc>
          <w:tcPr>
            <w:tcW w:w="1276" w:type="dxa"/>
            <w:tcBorders>
              <w:top w:val="nil"/>
              <w:left w:val="nil"/>
              <w:bottom w:val="nil"/>
              <w:right w:val="nil"/>
            </w:tcBorders>
            <w:shd w:val="clear" w:color="D9D9D9" w:fill="D9D9D9"/>
            <w:noWrap/>
            <w:vAlign w:val="bottom"/>
            <w:hideMark/>
          </w:tcPr>
          <w:p w14:paraId="16893A82"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Nee</w:t>
            </w:r>
          </w:p>
        </w:tc>
        <w:tc>
          <w:tcPr>
            <w:tcW w:w="1134" w:type="dxa"/>
            <w:tcBorders>
              <w:top w:val="nil"/>
              <w:left w:val="nil"/>
              <w:bottom w:val="nil"/>
              <w:right w:val="nil"/>
            </w:tcBorders>
            <w:shd w:val="clear" w:color="D9D9D9" w:fill="D9D9D9"/>
            <w:noWrap/>
            <w:vAlign w:val="bottom"/>
            <w:hideMark/>
          </w:tcPr>
          <w:p w14:paraId="299640EE"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r>
      <w:tr w:rsidR="00C526C4" w:rsidRPr="00C526C4" w14:paraId="681C94A9" w14:textId="77777777" w:rsidTr="00C526C4">
        <w:trPr>
          <w:trHeight w:val="300"/>
          <w:jc w:val="center"/>
        </w:trPr>
        <w:tc>
          <w:tcPr>
            <w:tcW w:w="1834" w:type="dxa"/>
            <w:tcBorders>
              <w:top w:val="nil"/>
              <w:left w:val="nil"/>
              <w:bottom w:val="nil"/>
              <w:right w:val="nil"/>
            </w:tcBorders>
            <w:shd w:val="clear" w:color="auto" w:fill="auto"/>
            <w:noWrap/>
            <w:vAlign w:val="bottom"/>
            <w:hideMark/>
          </w:tcPr>
          <w:p w14:paraId="0323F42D"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KPN</w:t>
            </w:r>
          </w:p>
        </w:tc>
        <w:tc>
          <w:tcPr>
            <w:tcW w:w="1559" w:type="dxa"/>
            <w:tcBorders>
              <w:top w:val="nil"/>
              <w:left w:val="nil"/>
              <w:bottom w:val="nil"/>
              <w:right w:val="nil"/>
            </w:tcBorders>
            <w:shd w:val="clear" w:color="auto" w:fill="auto"/>
            <w:noWrap/>
            <w:vAlign w:val="bottom"/>
            <w:hideMark/>
          </w:tcPr>
          <w:p w14:paraId="155B0C29"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560" w:type="dxa"/>
            <w:tcBorders>
              <w:top w:val="nil"/>
              <w:left w:val="nil"/>
              <w:bottom w:val="nil"/>
              <w:right w:val="nil"/>
            </w:tcBorders>
            <w:shd w:val="clear" w:color="auto" w:fill="auto"/>
            <w:noWrap/>
            <w:vAlign w:val="bottom"/>
            <w:hideMark/>
          </w:tcPr>
          <w:p w14:paraId="60EE4202"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Nee</w:t>
            </w:r>
          </w:p>
        </w:tc>
        <w:tc>
          <w:tcPr>
            <w:tcW w:w="1417" w:type="dxa"/>
            <w:tcBorders>
              <w:top w:val="nil"/>
              <w:left w:val="nil"/>
              <w:bottom w:val="nil"/>
              <w:right w:val="nil"/>
            </w:tcBorders>
            <w:shd w:val="clear" w:color="auto" w:fill="auto"/>
            <w:noWrap/>
            <w:vAlign w:val="bottom"/>
            <w:hideMark/>
          </w:tcPr>
          <w:p w14:paraId="2F6731A7"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Nee</w:t>
            </w:r>
          </w:p>
        </w:tc>
        <w:tc>
          <w:tcPr>
            <w:tcW w:w="1276" w:type="dxa"/>
            <w:tcBorders>
              <w:top w:val="nil"/>
              <w:left w:val="nil"/>
              <w:bottom w:val="nil"/>
              <w:right w:val="nil"/>
            </w:tcBorders>
            <w:shd w:val="clear" w:color="auto" w:fill="auto"/>
            <w:noWrap/>
            <w:vAlign w:val="bottom"/>
            <w:hideMark/>
          </w:tcPr>
          <w:p w14:paraId="24E88EDD"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Nee</w:t>
            </w:r>
          </w:p>
        </w:tc>
        <w:tc>
          <w:tcPr>
            <w:tcW w:w="1134" w:type="dxa"/>
            <w:tcBorders>
              <w:top w:val="nil"/>
              <w:left w:val="nil"/>
              <w:bottom w:val="nil"/>
              <w:right w:val="nil"/>
            </w:tcBorders>
            <w:shd w:val="clear" w:color="auto" w:fill="auto"/>
            <w:noWrap/>
            <w:vAlign w:val="bottom"/>
            <w:hideMark/>
          </w:tcPr>
          <w:p w14:paraId="08BD7ACC"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Nee</w:t>
            </w:r>
          </w:p>
        </w:tc>
      </w:tr>
      <w:tr w:rsidR="00C526C4" w:rsidRPr="00C526C4" w14:paraId="18AF6E95" w14:textId="77777777" w:rsidTr="00C526C4">
        <w:trPr>
          <w:trHeight w:val="300"/>
          <w:jc w:val="center"/>
        </w:trPr>
        <w:tc>
          <w:tcPr>
            <w:tcW w:w="1834" w:type="dxa"/>
            <w:tcBorders>
              <w:top w:val="nil"/>
              <w:left w:val="nil"/>
              <w:bottom w:val="single" w:sz="4" w:space="0" w:color="000000"/>
              <w:right w:val="nil"/>
            </w:tcBorders>
            <w:shd w:val="clear" w:color="D9D9D9" w:fill="D9D9D9"/>
            <w:noWrap/>
            <w:vAlign w:val="bottom"/>
            <w:hideMark/>
          </w:tcPr>
          <w:p w14:paraId="2B800C36"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Wolters Kluwer</w:t>
            </w:r>
          </w:p>
        </w:tc>
        <w:tc>
          <w:tcPr>
            <w:tcW w:w="1559" w:type="dxa"/>
            <w:tcBorders>
              <w:top w:val="nil"/>
              <w:left w:val="nil"/>
              <w:bottom w:val="single" w:sz="4" w:space="0" w:color="000000"/>
              <w:right w:val="nil"/>
            </w:tcBorders>
            <w:shd w:val="clear" w:color="D9D9D9" w:fill="D9D9D9"/>
            <w:noWrap/>
            <w:vAlign w:val="bottom"/>
            <w:hideMark/>
          </w:tcPr>
          <w:p w14:paraId="6A612DE9"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560" w:type="dxa"/>
            <w:tcBorders>
              <w:top w:val="nil"/>
              <w:left w:val="nil"/>
              <w:bottom w:val="single" w:sz="4" w:space="0" w:color="000000"/>
              <w:right w:val="nil"/>
            </w:tcBorders>
            <w:shd w:val="clear" w:color="D9D9D9" w:fill="D9D9D9"/>
            <w:noWrap/>
            <w:vAlign w:val="bottom"/>
            <w:hideMark/>
          </w:tcPr>
          <w:p w14:paraId="2D2B29A0"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417" w:type="dxa"/>
            <w:tcBorders>
              <w:top w:val="nil"/>
              <w:left w:val="nil"/>
              <w:bottom w:val="single" w:sz="4" w:space="0" w:color="000000"/>
              <w:right w:val="nil"/>
            </w:tcBorders>
            <w:shd w:val="clear" w:color="D9D9D9" w:fill="D9D9D9"/>
            <w:noWrap/>
            <w:vAlign w:val="bottom"/>
            <w:hideMark/>
          </w:tcPr>
          <w:p w14:paraId="6BE89AC4"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276" w:type="dxa"/>
            <w:tcBorders>
              <w:top w:val="nil"/>
              <w:left w:val="nil"/>
              <w:bottom w:val="single" w:sz="4" w:space="0" w:color="000000"/>
              <w:right w:val="nil"/>
            </w:tcBorders>
            <w:shd w:val="clear" w:color="D9D9D9" w:fill="D9D9D9"/>
            <w:noWrap/>
            <w:vAlign w:val="bottom"/>
            <w:hideMark/>
          </w:tcPr>
          <w:p w14:paraId="55864185"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c>
          <w:tcPr>
            <w:tcW w:w="1134" w:type="dxa"/>
            <w:tcBorders>
              <w:top w:val="nil"/>
              <w:left w:val="nil"/>
              <w:bottom w:val="single" w:sz="4" w:space="0" w:color="000000"/>
              <w:right w:val="nil"/>
            </w:tcBorders>
            <w:shd w:val="clear" w:color="D9D9D9" w:fill="D9D9D9"/>
            <w:noWrap/>
            <w:vAlign w:val="bottom"/>
            <w:hideMark/>
          </w:tcPr>
          <w:p w14:paraId="1A8C6FF3" w14:textId="77777777" w:rsidR="00C526C4" w:rsidRPr="00C526C4" w:rsidRDefault="00C526C4" w:rsidP="00AF13F0">
            <w:pPr>
              <w:rPr>
                <w:rFonts w:ascii="Calibri" w:eastAsia="Times New Roman" w:hAnsi="Calibri" w:cs="Times New Roman"/>
                <w:color w:val="000000"/>
              </w:rPr>
            </w:pPr>
            <w:r w:rsidRPr="00C526C4">
              <w:rPr>
                <w:rFonts w:ascii="Calibri" w:eastAsia="Times New Roman" w:hAnsi="Calibri" w:cs="Times New Roman"/>
                <w:color w:val="000000"/>
              </w:rPr>
              <w:t>Ja</w:t>
            </w:r>
          </w:p>
        </w:tc>
      </w:tr>
    </w:tbl>
    <w:p w14:paraId="50102D21" w14:textId="77777777" w:rsidR="001544BB" w:rsidRDefault="001544BB" w:rsidP="00AF13F0">
      <w:pPr>
        <w:spacing w:line="360" w:lineRule="auto"/>
        <w:rPr>
          <w:b/>
        </w:rPr>
      </w:pPr>
    </w:p>
    <w:p w14:paraId="7EC169EA" w14:textId="77777777" w:rsidR="00AF13F0" w:rsidRDefault="00AF13F0" w:rsidP="00AF13F0">
      <w:pPr>
        <w:spacing w:line="360" w:lineRule="auto"/>
        <w:rPr>
          <w:b/>
        </w:rPr>
      </w:pPr>
    </w:p>
    <w:p w14:paraId="5D0941D3" w14:textId="77777777" w:rsidR="00AF13F0" w:rsidRDefault="00AF13F0" w:rsidP="00AF13F0">
      <w:pPr>
        <w:spacing w:line="360" w:lineRule="auto"/>
        <w:rPr>
          <w:b/>
        </w:rPr>
      </w:pPr>
    </w:p>
    <w:p w14:paraId="472F1365" w14:textId="77777777" w:rsidR="00AF13F0" w:rsidRDefault="00AF13F0" w:rsidP="00AF13F0">
      <w:pPr>
        <w:spacing w:line="360" w:lineRule="auto"/>
        <w:rPr>
          <w:b/>
        </w:rPr>
      </w:pPr>
    </w:p>
    <w:p w14:paraId="7407D810" w14:textId="77777777" w:rsidR="00AF13F0" w:rsidRDefault="00AF13F0" w:rsidP="00AF13F0">
      <w:pPr>
        <w:spacing w:line="360" w:lineRule="auto"/>
        <w:rPr>
          <w:b/>
        </w:rPr>
      </w:pPr>
    </w:p>
    <w:p w14:paraId="6BF8DDDD" w14:textId="77777777" w:rsidR="00AF13F0" w:rsidRDefault="00AF13F0" w:rsidP="00AF13F0">
      <w:pPr>
        <w:spacing w:line="360" w:lineRule="auto"/>
        <w:rPr>
          <w:b/>
        </w:rPr>
      </w:pPr>
    </w:p>
    <w:p w14:paraId="5FF9BC14" w14:textId="1387F3C3" w:rsidR="003055AA" w:rsidRDefault="003055AA" w:rsidP="00AF13F0">
      <w:pPr>
        <w:spacing w:line="360" w:lineRule="auto"/>
        <w:rPr>
          <w:b/>
        </w:rPr>
      </w:pPr>
      <w:r>
        <w:rPr>
          <w:b/>
        </w:rPr>
        <w:t>Tabel 13</w:t>
      </w:r>
    </w:p>
    <w:tbl>
      <w:tblPr>
        <w:tblW w:w="9384" w:type="dxa"/>
        <w:tblInd w:w="93" w:type="dxa"/>
        <w:tblLook w:val="04A0" w:firstRow="1" w:lastRow="0" w:firstColumn="1" w:lastColumn="0" w:noHBand="0" w:noVBand="1"/>
      </w:tblPr>
      <w:tblGrid>
        <w:gridCol w:w="2409"/>
        <w:gridCol w:w="1395"/>
        <w:gridCol w:w="1395"/>
        <w:gridCol w:w="1395"/>
        <w:gridCol w:w="1395"/>
        <w:gridCol w:w="1395"/>
      </w:tblGrid>
      <w:tr w:rsidR="001544BB" w:rsidRPr="001544BB" w14:paraId="05131484" w14:textId="77777777" w:rsidTr="001544BB">
        <w:trPr>
          <w:trHeight w:val="303"/>
        </w:trPr>
        <w:tc>
          <w:tcPr>
            <w:tcW w:w="2409" w:type="dxa"/>
            <w:tcBorders>
              <w:top w:val="single" w:sz="4" w:space="0" w:color="000000"/>
              <w:left w:val="nil"/>
              <w:bottom w:val="single" w:sz="4" w:space="0" w:color="000000"/>
              <w:right w:val="nil"/>
            </w:tcBorders>
            <w:shd w:val="clear" w:color="auto" w:fill="auto"/>
            <w:noWrap/>
            <w:vAlign w:val="bottom"/>
            <w:hideMark/>
          </w:tcPr>
          <w:p w14:paraId="2D516218" w14:textId="77777777" w:rsidR="001544BB" w:rsidRPr="001544BB" w:rsidRDefault="001544BB" w:rsidP="00AF13F0">
            <w:pPr>
              <w:rPr>
                <w:rFonts w:ascii="Calibri" w:eastAsia="Times New Roman" w:hAnsi="Calibri" w:cs="Times New Roman"/>
                <w:b/>
                <w:bCs/>
                <w:color w:val="000000"/>
              </w:rPr>
            </w:pPr>
            <w:r w:rsidRPr="001544BB">
              <w:rPr>
                <w:rFonts w:ascii="Calibri" w:eastAsia="Times New Roman" w:hAnsi="Calibri" w:cs="Times New Roman"/>
                <w:b/>
                <w:bCs/>
                <w:color w:val="000000"/>
              </w:rPr>
              <w:t>Non-Gaap indicator algemeen</w:t>
            </w:r>
          </w:p>
        </w:tc>
        <w:tc>
          <w:tcPr>
            <w:tcW w:w="1395" w:type="dxa"/>
            <w:tcBorders>
              <w:top w:val="single" w:sz="4" w:space="0" w:color="000000"/>
              <w:left w:val="nil"/>
              <w:bottom w:val="single" w:sz="4" w:space="0" w:color="000000"/>
              <w:right w:val="nil"/>
            </w:tcBorders>
            <w:shd w:val="clear" w:color="auto" w:fill="auto"/>
            <w:noWrap/>
            <w:vAlign w:val="bottom"/>
            <w:hideMark/>
          </w:tcPr>
          <w:p w14:paraId="262CF209" w14:textId="77777777" w:rsidR="001544BB" w:rsidRPr="001544BB" w:rsidRDefault="001544BB" w:rsidP="00AF13F0">
            <w:pPr>
              <w:rPr>
                <w:rFonts w:ascii="Calibri" w:eastAsia="Times New Roman" w:hAnsi="Calibri" w:cs="Times New Roman"/>
                <w:b/>
                <w:bCs/>
                <w:color w:val="000000"/>
              </w:rPr>
            </w:pPr>
            <w:r w:rsidRPr="001544BB">
              <w:rPr>
                <w:rFonts w:ascii="Calibri" w:eastAsia="Times New Roman" w:hAnsi="Calibri" w:cs="Times New Roman"/>
                <w:b/>
                <w:bCs/>
                <w:color w:val="000000"/>
              </w:rPr>
              <w:t>2010</w:t>
            </w:r>
          </w:p>
        </w:tc>
        <w:tc>
          <w:tcPr>
            <w:tcW w:w="1395" w:type="dxa"/>
            <w:tcBorders>
              <w:top w:val="single" w:sz="4" w:space="0" w:color="000000"/>
              <w:left w:val="nil"/>
              <w:bottom w:val="single" w:sz="4" w:space="0" w:color="000000"/>
              <w:right w:val="nil"/>
            </w:tcBorders>
            <w:shd w:val="clear" w:color="auto" w:fill="auto"/>
            <w:noWrap/>
            <w:vAlign w:val="bottom"/>
            <w:hideMark/>
          </w:tcPr>
          <w:p w14:paraId="254E0968" w14:textId="77777777" w:rsidR="001544BB" w:rsidRPr="001544BB" w:rsidRDefault="001544BB" w:rsidP="00AF13F0">
            <w:pPr>
              <w:rPr>
                <w:rFonts w:ascii="Calibri" w:eastAsia="Times New Roman" w:hAnsi="Calibri" w:cs="Times New Roman"/>
                <w:b/>
                <w:bCs/>
                <w:color w:val="000000"/>
              </w:rPr>
            </w:pPr>
            <w:r w:rsidRPr="001544BB">
              <w:rPr>
                <w:rFonts w:ascii="Calibri" w:eastAsia="Times New Roman" w:hAnsi="Calibri" w:cs="Times New Roman"/>
                <w:b/>
                <w:bCs/>
                <w:color w:val="000000"/>
              </w:rPr>
              <w:t>2011</w:t>
            </w:r>
          </w:p>
        </w:tc>
        <w:tc>
          <w:tcPr>
            <w:tcW w:w="1395" w:type="dxa"/>
            <w:tcBorders>
              <w:top w:val="single" w:sz="4" w:space="0" w:color="000000"/>
              <w:left w:val="nil"/>
              <w:bottom w:val="single" w:sz="4" w:space="0" w:color="000000"/>
              <w:right w:val="nil"/>
            </w:tcBorders>
            <w:shd w:val="clear" w:color="auto" w:fill="auto"/>
            <w:noWrap/>
            <w:vAlign w:val="bottom"/>
            <w:hideMark/>
          </w:tcPr>
          <w:p w14:paraId="3DCB8EDB" w14:textId="77777777" w:rsidR="001544BB" w:rsidRPr="001544BB" w:rsidRDefault="001544BB" w:rsidP="00AF13F0">
            <w:pPr>
              <w:rPr>
                <w:rFonts w:ascii="Calibri" w:eastAsia="Times New Roman" w:hAnsi="Calibri" w:cs="Times New Roman"/>
                <w:b/>
                <w:bCs/>
                <w:color w:val="000000"/>
              </w:rPr>
            </w:pPr>
            <w:r w:rsidRPr="001544BB">
              <w:rPr>
                <w:rFonts w:ascii="Calibri" w:eastAsia="Times New Roman" w:hAnsi="Calibri" w:cs="Times New Roman"/>
                <w:b/>
                <w:bCs/>
                <w:color w:val="000000"/>
              </w:rPr>
              <w:t>2012</w:t>
            </w:r>
          </w:p>
        </w:tc>
        <w:tc>
          <w:tcPr>
            <w:tcW w:w="1395" w:type="dxa"/>
            <w:tcBorders>
              <w:top w:val="single" w:sz="4" w:space="0" w:color="000000"/>
              <w:left w:val="nil"/>
              <w:bottom w:val="single" w:sz="4" w:space="0" w:color="000000"/>
              <w:right w:val="nil"/>
            </w:tcBorders>
            <w:shd w:val="clear" w:color="auto" w:fill="auto"/>
            <w:noWrap/>
            <w:vAlign w:val="bottom"/>
            <w:hideMark/>
          </w:tcPr>
          <w:p w14:paraId="45344A9D" w14:textId="77777777" w:rsidR="001544BB" w:rsidRPr="001544BB" w:rsidRDefault="001544BB" w:rsidP="00AF13F0">
            <w:pPr>
              <w:rPr>
                <w:rFonts w:ascii="Calibri" w:eastAsia="Times New Roman" w:hAnsi="Calibri" w:cs="Times New Roman"/>
                <w:b/>
                <w:bCs/>
                <w:color w:val="000000"/>
              </w:rPr>
            </w:pPr>
            <w:r w:rsidRPr="001544BB">
              <w:rPr>
                <w:rFonts w:ascii="Calibri" w:eastAsia="Times New Roman" w:hAnsi="Calibri" w:cs="Times New Roman"/>
                <w:b/>
                <w:bCs/>
                <w:color w:val="000000"/>
              </w:rPr>
              <w:t>2013</w:t>
            </w:r>
          </w:p>
        </w:tc>
        <w:tc>
          <w:tcPr>
            <w:tcW w:w="1395" w:type="dxa"/>
            <w:tcBorders>
              <w:top w:val="single" w:sz="4" w:space="0" w:color="000000"/>
              <w:left w:val="nil"/>
              <w:bottom w:val="single" w:sz="4" w:space="0" w:color="000000"/>
              <w:right w:val="nil"/>
            </w:tcBorders>
            <w:shd w:val="clear" w:color="auto" w:fill="auto"/>
            <w:noWrap/>
            <w:vAlign w:val="bottom"/>
            <w:hideMark/>
          </w:tcPr>
          <w:p w14:paraId="021F47D3" w14:textId="77777777" w:rsidR="001544BB" w:rsidRPr="001544BB" w:rsidRDefault="001544BB" w:rsidP="00AF13F0">
            <w:pPr>
              <w:rPr>
                <w:rFonts w:ascii="Calibri" w:eastAsia="Times New Roman" w:hAnsi="Calibri" w:cs="Times New Roman"/>
                <w:b/>
                <w:bCs/>
                <w:color w:val="000000"/>
              </w:rPr>
            </w:pPr>
            <w:r w:rsidRPr="001544BB">
              <w:rPr>
                <w:rFonts w:ascii="Calibri" w:eastAsia="Times New Roman" w:hAnsi="Calibri" w:cs="Times New Roman"/>
                <w:b/>
                <w:bCs/>
                <w:color w:val="000000"/>
              </w:rPr>
              <w:t>2014</w:t>
            </w:r>
          </w:p>
        </w:tc>
      </w:tr>
      <w:tr w:rsidR="001544BB" w:rsidRPr="001544BB" w14:paraId="41567EDE" w14:textId="77777777" w:rsidTr="001544BB">
        <w:trPr>
          <w:trHeight w:val="303"/>
        </w:trPr>
        <w:tc>
          <w:tcPr>
            <w:tcW w:w="2409" w:type="dxa"/>
            <w:tcBorders>
              <w:top w:val="nil"/>
              <w:left w:val="nil"/>
              <w:bottom w:val="nil"/>
              <w:right w:val="nil"/>
            </w:tcBorders>
            <w:shd w:val="clear" w:color="D9D9D9" w:fill="D9D9D9"/>
            <w:noWrap/>
            <w:vAlign w:val="bottom"/>
            <w:hideMark/>
          </w:tcPr>
          <w:p w14:paraId="4806BB89"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Adjusted/underlying income</w:t>
            </w:r>
          </w:p>
        </w:tc>
        <w:tc>
          <w:tcPr>
            <w:tcW w:w="1395" w:type="dxa"/>
            <w:tcBorders>
              <w:top w:val="nil"/>
              <w:left w:val="nil"/>
              <w:bottom w:val="nil"/>
              <w:right w:val="nil"/>
            </w:tcBorders>
            <w:shd w:val="clear" w:color="D9D9D9" w:fill="D9D9D9"/>
            <w:noWrap/>
            <w:vAlign w:val="bottom"/>
            <w:hideMark/>
          </w:tcPr>
          <w:p w14:paraId="45554E5A"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4</w:t>
            </w:r>
          </w:p>
        </w:tc>
        <w:tc>
          <w:tcPr>
            <w:tcW w:w="1395" w:type="dxa"/>
            <w:tcBorders>
              <w:top w:val="nil"/>
              <w:left w:val="nil"/>
              <w:bottom w:val="nil"/>
              <w:right w:val="nil"/>
            </w:tcBorders>
            <w:shd w:val="clear" w:color="D9D9D9" w:fill="D9D9D9"/>
            <w:noWrap/>
            <w:vAlign w:val="bottom"/>
            <w:hideMark/>
          </w:tcPr>
          <w:p w14:paraId="74ABAA35"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6</w:t>
            </w:r>
          </w:p>
        </w:tc>
        <w:tc>
          <w:tcPr>
            <w:tcW w:w="1395" w:type="dxa"/>
            <w:tcBorders>
              <w:top w:val="nil"/>
              <w:left w:val="nil"/>
              <w:bottom w:val="nil"/>
              <w:right w:val="nil"/>
            </w:tcBorders>
            <w:shd w:val="clear" w:color="D9D9D9" w:fill="D9D9D9"/>
            <w:noWrap/>
            <w:vAlign w:val="bottom"/>
            <w:hideMark/>
          </w:tcPr>
          <w:p w14:paraId="78ADB973"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6</w:t>
            </w:r>
          </w:p>
        </w:tc>
        <w:tc>
          <w:tcPr>
            <w:tcW w:w="1395" w:type="dxa"/>
            <w:tcBorders>
              <w:top w:val="nil"/>
              <w:left w:val="nil"/>
              <w:bottom w:val="nil"/>
              <w:right w:val="nil"/>
            </w:tcBorders>
            <w:shd w:val="clear" w:color="D9D9D9" w:fill="D9D9D9"/>
            <w:noWrap/>
            <w:vAlign w:val="bottom"/>
            <w:hideMark/>
          </w:tcPr>
          <w:p w14:paraId="3BB056E8"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6</w:t>
            </w:r>
          </w:p>
        </w:tc>
        <w:tc>
          <w:tcPr>
            <w:tcW w:w="1395" w:type="dxa"/>
            <w:tcBorders>
              <w:top w:val="nil"/>
              <w:left w:val="nil"/>
              <w:bottom w:val="nil"/>
              <w:right w:val="nil"/>
            </w:tcBorders>
            <w:shd w:val="clear" w:color="D9D9D9" w:fill="D9D9D9"/>
            <w:noWrap/>
            <w:vAlign w:val="bottom"/>
            <w:hideMark/>
          </w:tcPr>
          <w:p w14:paraId="7702CBEF"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6</w:t>
            </w:r>
          </w:p>
        </w:tc>
      </w:tr>
      <w:tr w:rsidR="001544BB" w:rsidRPr="001544BB" w14:paraId="636C4819" w14:textId="77777777" w:rsidTr="001544BB">
        <w:trPr>
          <w:trHeight w:val="303"/>
        </w:trPr>
        <w:tc>
          <w:tcPr>
            <w:tcW w:w="2409" w:type="dxa"/>
            <w:tcBorders>
              <w:top w:val="nil"/>
              <w:left w:val="nil"/>
              <w:bottom w:val="nil"/>
              <w:right w:val="nil"/>
            </w:tcBorders>
            <w:shd w:val="clear" w:color="auto" w:fill="auto"/>
            <w:noWrap/>
            <w:vAlign w:val="bottom"/>
            <w:hideMark/>
          </w:tcPr>
          <w:p w14:paraId="2E4DEBFB"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Free cash flows</w:t>
            </w:r>
          </w:p>
        </w:tc>
        <w:tc>
          <w:tcPr>
            <w:tcW w:w="1395" w:type="dxa"/>
            <w:tcBorders>
              <w:top w:val="nil"/>
              <w:left w:val="nil"/>
              <w:bottom w:val="nil"/>
              <w:right w:val="nil"/>
            </w:tcBorders>
            <w:shd w:val="clear" w:color="auto" w:fill="auto"/>
            <w:noWrap/>
            <w:vAlign w:val="bottom"/>
            <w:hideMark/>
          </w:tcPr>
          <w:p w14:paraId="7E62D425"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3</w:t>
            </w:r>
          </w:p>
        </w:tc>
        <w:tc>
          <w:tcPr>
            <w:tcW w:w="1395" w:type="dxa"/>
            <w:tcBorders>
              <w:top w:val="nil"/>
              <w:left w:val="nil"/>
              <w:bottom w:val="nil"/>
              <w:right w:val="nil"/>
            </w:tcBorders>
            <w:shd w:val="clear" w:color="auto" w:fill="auto"/>
            <w:noWrap/>
            <w:vAlign w:val="bottom"/>
            <w:hideMark/>
          </w:tcPr>
          <w:p w14:paraId="30719916"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3</w:t>
            </w:r>
          </w:p>
        </w:tc>
        <w:tc>
          <w:tcPr>
            <w:tcW w:w="1395" w:type="dxa"/>
            <w:tcBorders>
              <w:top w:val="nil"/>
              <w:left w:val="nil"/>
              <w:bottom w:val="nil"/>
              <w:right w:val="nil"/>
            </w:tcBorders>
            <w:shd w:val="clear" w:color="auto" w:fill="auto"/>
            <w:noWrap/>
            <w:vAlign w:val="bottom"/>
            <w:hideMark/>
          </w:tcPr>
          <w:p w14:paraId="110AAE65"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3</w:t>
            </w:r>
          </w:p>
        </w:tc>
        <w:tc>
          <w:tcPr>
            <w:tcW w:w="1395" w:type="dxa"/>
            <w:tcBorders>
              <w:top w:val="nil"/>
              <w:left w:val="nil"/>
              <w:bottom w:val="nil"/>
              <w:right w:val="nil"/>
            </w:tcBorders>
            <w:shd w:val="clear" w:color="auto" w:fill="auto"/>
            <w:noWrap/>
            <w:vAlign w:val="bottom"/>
            <w:hideMark/>
          </w:tcPr>
          <w:p w14:paraId="61D12484"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3</w:t>
            </w:r>
          </w:p>
        </w:tc>
        <w:tc>
          <w:tcPr>
            <w:tcW w:w="1395" w:type="dxa"/>
            <w:tcBorders>
              <w:top w:val="nil"/>
              <w:left w:val="nil"/>
              <w:bottom w:val="nil"/>
              <w:right w:val="nil"/>
            </w:tcBorders>
            <w:shd w:val="clear" w:color="auto" w:fill="auto"/>
            <w:noWrap/>
            <w:vAlign w:val="bottom"/>
            <w:hideMark/>
          </w:tcPr>
          <w:p w14:paraId="2F72D543"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3</w:t>
            </w:r>
          </w:p>
        </w:tc>
      </w:tr>
      <w:tr w:rsidR="001544BB" w:rsidRPr="001544BB" w14:paraId="4F91440D" w14:textId="77777777" w:rsidTr="001544BB">
        <w:trPr>
          <w:trHeight w:val="303"/>
        </w:trPr>
        <w:tc>
          <w:tcPr>
            <w:tcW w:w="2409" w:type="dxa"/>
            <w:tcBorders>
              <w:top w:val="nil"/>
              <w:left w:val="nil"/>
              <w:bottom w:val="nil"/>
              <w:right w:val="nil"/>
            </w:tcBorders>
            <w:shd w:val="clear" w:color="D9D9D9" w:fill="D9D9D9"/>
            <w:noWrap/>
            <w:vAlign w:val="bottom"/>
            <w:hideMark/>
          </w:tcPr>
          <w:p w14:paraId="4C16E257"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Net debt</w:t>
            </w:r>
          </w:p>
        </w:tc>
        <w:tc>
          <w:tcPr>
            <w:tcW w:w="1395" w:type="dxa"/>
            <w:tcBorders>
              <w:top w:val="nil"/>
              <w:left w:val="nil"/>
              <w:bottom w:val="nil"/>
              <w:right w:val="nil"/>
            </w:tcBorders>
            <w:shd w:val="clear" w:color="D9D9D9" w:fill="D9D9D9"/>
            <w:noWrap/>
            <w:vAlign w:val="bottom"/>
            <w:hideMark/>
          </w:tcPr>
          <w:p w14:paraId="24F5F5BB"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2</w:t>
            </w:r>
          </w:p>
        </w:tc>
        <w:tc>
          <w:tcPr>
            <w:tcW w:w="1395" w:type="dxa"/>
            <w:tcBorders>
              <w:top w:val="nil"/>
              <w:left w:val="nil"/>
              <w:bottom w:val="nil"/>
              <w:right w:val="nil"/>
            </w:tcBorders>
            <w:shd w:val="clear" w:color="D9D9D9" w:fill="D9D9D9"/>
            <w:noWrap/>
            <w:vAlign w:val="bottom"/>
            <w:hideMark/>
          </w:tcPr>
          <w:p w14:paraId="0AE0BD69"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3</w:t>
            </w:r>
          </w:p>
        </w:tc>
        <w:tc>
          <w:tcPr>
            <w:tcW w:w="1395" w:type="dxa"/>
            <w:tcBorders>
              <w:top w:val="nil"/>
              <w:left w:val="nil"/>
              <w:bottom w:val="nil"/>
              <w:right w:val="nil"/>
            </w:tcBorders>
            <w:shd w:val="clear" w:color="D9D9D9" w:fill="D9D9D9"/>
            <w:noWrap/>
            <w:vAlign w:val="bottom"/>
            <w:hideMark/>
          </w:tcPr>
          <w:p w14:paraId="6ACF1AA4"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3</w:t>
            </w:r>
          </w:p>
        </w:tc>
        <w:tc>
          <w:tcPr>
            <w:tcW w:w="1395" w:type="dxa"/>
            <w:tcBorders>
              <w:top w:val="nil"/>
              <w:left w:val="nil"/>
              <w:bottom w:val="nil"/>
              <w:right w:val="nil"/>
            </w:tcBorders>
            <w:shd w:val="clear" w:color="D9D9D9" w:fill="D9D9D9"/>
            <w:noWrap/>
            <w:vAlign w:val="bottom"/>
            <w:hideMark/>
          </w:tcPr>
          <w:p w14:paraId="263DF9F2"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2</w:t>
            </w:r>
          </w:p>
        </w:tc>
        <w:tc>
          <w:tcPr>
            <w:tcW w:w="1395" w:type="dxa"/>
            <w:tcBorders>
              <w:top w:val="nil"/>
              <w:left w:val="nil"/>
              <w:bottom w:val="nil"/>
              <w:right w:val="nil"/>
            </w:tcBorders>
            <w:shd w:val="clear" w:color="D9D9D9" w:fill="D9D9D9"/>
            <w:noWrap/>
            <w:vAlign w:val="bottom"/>
            <w:hideMark/>
          </w:tcPr>
          <w:p w14:paraId="32AA6FD6"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3</w:t>
            </w:r>
          </w:p>
        </w:tc>
      </w:tr>
      <w:tr w:rsidR="001544BB" w:rsidRPr="001544BB" w14:paraId="422579E3" w14:textId="77777777" w:rsidTr="001544BB">
        <w:trPr>
          <w:trHeight w:val="303"/>
        </w:trPr>
        <w:tc>
          <w:tcPr>
            <w:tcW w:w="2409" w:type="dxa"/>
            <w:tcBorders>
              <w:top w:val="nil"/>
              <w:left w:val="nil"/>
              <w:bottom w:val="nil"/>
              <w:right w:val="nil"/>
            </w:tcBorders>
            <w:shd w:val="clear" w:color="auto" w:fill="auto"/>
            <w:noWrap/>
            <w:vAlign w:val="bottom"/>
            <w:hideMark/>
          </w:tcPr>
          <w:p w14:paraId="12EC825D"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Comparable sales (growth)</w:t>
            </w:r>
          </w:p>
        </w:tc>
        <w:tc>
          <w:tcPr>
            <w:tcW w:w="1395" w:type="dxa"/>
            <w:tcBorders>
              <w:top w:val="nil"/>
              <w:left w:val="nil"/>
              <w:bottom w:val="nil"/>
              <w:right w:val="nil"/>
            </w:tcBorders>
            <w:shd w:val="clear" w:color="auto" w:fill="auto"/>
            <w:noWrap/>
            <w:vAlign w:val="bottom"/>
            <w:hideMark/>
          </w:tcPr>
          <w:p w14:paraId="1651E2E2"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auto" w:fill="auto"/>
            <w:noWrap/>
            <w:vAlign w:val="bottom"/>
            <w:hideMark/>
          </w:tcPr>
          <w:p w14:paraId="5E79BB50"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auto" w:fill="auto"/>
            <w:noWrap/>
            <w:vAlign w:val="bottom"/>
            <w:hideMark/>
          </w:tcPr>
          <w:p w14:paraId="7F13C347"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auto" w:fill="auto"/>
            <w:noWrap/>
            <w:vAlign w:val="bottom"/>
            <w:hideMark/>
          </w:tcPr>
          <w:p w14:paraId="3437651E"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auto" w:fill="auto"/>
            <w:noWrap/>
            <w:vAlign w:val="bottom"/>
            <w:hideMark/>
          </w:tcPr>
          <w:p w14:paraId="4C2F0025"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2</w:t>
            </w:r>
          </w:p>
        </w:tc>
      </w:tr>
      <w:tr w:rsidR="001544BB" w:rsidRPr="001544BB" w14:paraId="1F19762B" w14:textId="77777777" w:rsidTr="001544BB">
        <w:trPr>
          <w:trHeight w:val="303"/>
        </w:trPr>
        <w:tc>
          <w:tcPr>
            <w:tcW w:w="2409" w:type="dxa"/>
            <w:tcBorders>
              <w:top w:val="nil"/>
              <w:left w:val="nil"/>
              <w:bottom w:val="nil"/>
              <w:right w:val="nil"/>
            </w:tcBorders>
            <w:shd w:val="clear" w:color="D9D9D9" w:fill="D9D9D9"/>
            <w:noWrap/>
            <w:vAlign w:val="bottom"/>
            <w:hideMark/>
          </w:tcPr>
          <w:p w14:paraId="32C1C944"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Gross rent</w:t>
            </w:r>
          </w:p>
        </w:tc>
        <w:tc>
          <w:tcPr>
            <w:tcW w:w="1395" w:type="dxa"/>
            <w:tcBorders>
              <w:top w:val="nil"/>
              <w:left w:val="nil"/>
              <w:bottom w:val="nil"/>
              <w:right w:val="nil"/>
            </w:tcBorders>
            <w:shd w:val="clear" w:color="D9D9D9" w:fill="D9D9D9"/>
            <w:noWrap/>
            <w:vAlign w:val="bottom"/>
            <w:hideMark/>
          </w:tcPr>
          <w:p w14:paraId="4F52FA56"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D9D9D9" w:fill="D9D9D9"/>
            <w:noWrap/>
            <w:vAlign w:val="bottom"/>
            <w:hideMark/>
          </w:tcPr>
          <w:p w14:paraId="3D5A9DC5"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D9D9D9" w:fill="D9D9D9"/>
            <w:noWrap/>
            <w:vAlign w:val="bottom"/>
            <w:hideMark/>
          </w:tcPr>
          <w:p w14:paraId="586350F4"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D9D9D9" w:fill="D9D9D9"/>
            <w:noWrap/>
            <w:vAlign w:val="bottom"/>
            <w:hideMark/>
          </w:tcPr>
          <w:p w14:paraId="752577EE"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D9D9D9" w:fill="D9D9D9"/>
            <w:noWrap/>
            <w:vAlign w:val="bottom"/>
            <w:hideMark/>
          </w:tcPr>
          <w:p w14:paraId="3976D6C1"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r>
      <w:tr w:rsidR="001544BB" w:rsidRPr="001544BB" w14:paraId="617C02A5" w14:textId="77777777" w:rsidTr="001544BB">
        <w:trPr>
          <w:trHeight w:val="303"/>
        </w:trPr>
        <w:tc>
          <w:tcPr>
            <w:tcW w:w="2409" w:type="dxa"/>
            <w:tcBorders>
              <w:top w:val="nil"/>
              <w:left w:val="nil"/>
              <w:bottom w:val="nil"/>
              <w:right w:val="nil"/>
            </w:tcBorders>
            <w:shd w:val="clear" w:color="auto" w:fill="auto"/>
            <w:noWrap/>
            <w:vAlign w:val="bottom"/>
            <w:hideMark/>
          </w:tcPr>
          <w:p w14:paraId="2ED7111C"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liquidity</w:t>
            </w:r>
          </w:p>
        </w:tc>
        <w:tc>
          <w:tcPr>
            <w:tcW w:w="1395" w:type="dxa"/>
            <w:tcBorders>
              <w:top w:val="nil"/>
              <w:left w:val="nil"/>
              <w:bottom w:val="nil"/>
              <w:right w:val="nil"/>
            </w:tcBorders>
            <w:shd w:val="clear" w:color="auto" w:fill="auto"/>
            <w:noWrap/>
            <w:vAlign w:val="bottom"/>
            <w:hideMark/>
          </w:tcPr>
          <w:p w14:paraId="0BB82F93"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auto" w:fill="auto"/>
            <w:noWrap/>
            <w:vAlign w:val="bottom"/>
            <w:hideMark/>
          </w:tcPr>
          <w:p w14:paraId="3405CA0F"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auto" w:fill="auto"/>
            <w:noWrap/>
            <w:vAlign w:val="bottom"/>
            <w:hideMark/>
          </w:tcPr>
          <w:p w14:paraId="5D256901"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auto" w:fill="auto"/>
            <w:noWrap/>
            <w:vAlign w:val="bottom"/>
            <w:hideMark/>
          </w:tcPr>
          <w:p w14:paraId="7F3A371B"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auto" w:fill="auto"/>
            <w:noWrap/>
            <w:vAlign w:val="bottom"/>
            <w:hideMark/>
          </w:tcPr>
          <w:p w14:paraId="77610EA7"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r>
      <w:tr w:rsidR="001544BB" w:rsidRPr="001544BB" w14:paraId="282DB1C5" w14:textId="77777777" w:rsidTr="001544BB">
        <w:trPr>
          <w:trHeight w:val="303"/>
        </w:trPr>
        <w:tc>
          <w:tcPr>
            <w:tcW w:w="2409" w:type="dxa"/>
            <w:tcBorders>
              <w:top w:val="nil"/>
              <w:left w:val="nil"/>
              <w:bottom w:val="nil"/>
              <w:right w:val="nil"/>
            </w:tcBorders>
            <w:shd w:val="clear" w:color="D9D9D9" w:fill="D9D9D9"/>
            <w:noWrap/>
            <w:vAlign w:val="bottom"/>
            <w:hideMark/>
          </w:tcPr>
          <w:p w14:paraId="6D7E5605" w14:textId="77777777" w:rsidR="001544BB" w:rsidRPr="00FA29FC" w:rsidRDefault="001544BB" w:rsidP="00AF13F0">
            <w:pPr>
              <w:rPr>
                <w:rFonts w:ascii="Calibri" w:eastAsia="Times New Roman" w:hAnsi="Calibri" w:cs="Times New Roman"/>
                <w:color w:val="000000"/>
                <w:lang w:val="en-GB"/>
              </w:rPr>
            </w:pPr>
            <w:r w:rsidRPr="00FA29FC">
              <w:rPr>
                <w:rFonts w:ascii="Calibri" w:eastAsia="Times New Roman" w:hAnsi="Calibri" w:cs="Times New Roman"/>
                <w:color w:val="000000"/>
                <w:lang w:val="en-GB"/>
              </w:rPr>
              <w:t>Net lease adjusted debt/EBITDAR</w:t>
            </w:r>
          </w:p>
        </w:tc>
        <w:tc>
          <w:tcPr>
            <w:tcW w:w="1395" w:type="dxa"/>
            <w:tcBorders>
              <w:top w:val="nil"/>
              <w:left w:val="nil"/>
              <w:bottom w:val="nil"/>
              <w:right w:val="nil"/>
            </w:tcBorders>
            <w:shd w:val="clear" w:color="D9D9D9" w:fill="D9D9D9"/>
            <w:noWrap/>
            <w:vAlign w:val="bottom"/>
            <w:hideMark/>
          </w:tcPr>
          <w:p w14:paraId="22B6F51B"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D9D9D9" w:fill="D9D9D9"/>
            <w:noWrap/>
            <w:vAlign w:val="bottom"/>
            <w:hideMark/>
          </w:tcPr>
          <w:p w14:paraId="5FE5C6E0"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D9D9D9" w:fill="D9D9D9"/>
            <w:noWrap/>
            <w:vAlign w:val="bottom"/>
            <w:hideMark/>
          </w:tcPr>
          <w:p w14:paraId="0D0B76D0"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D9D9D9" w:fill="D9D9D9"/>
            <w:noWrap/>
            <w:vAlign w:val="bottom"/>
            <w:hideMark/>
          </w:tcPr>
          <w:p w14:paraId="0BD9D192"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D9D9D9" w:fill="D9D9D9"/>
            <w:noWrap/>
            <w:vAlign w:val="bottom"/>
            <w:hideMark/>
          </w:tcPr>
          <w:p w14:paraId="3E4996DF"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r>
      <w:tr w:rsidR="001544BB" w:rsidRPr="001544BB" w14:paraId="487D4431" w14:textId="77777777" w:rsidTr="001544BB">
        <w:trPr>
          <w:trHeight w:val="303"/>
        </w:trPr>
        <w:tc>
          <w:tcPr>
            <w:tcW w:w="2409" w:type="dxa"/>
            <w:tcBorders>
              <w:top w:val="nil"/>
              <w:left w:val="nil"/>
              <w:bottom w:val="nil"/>
              <w:right w:val="nil"/>
            </w:tcBorders>
            <w:shd w:val="clear" w:color="auto" w:fill="auto"/>
            <w:noWrap/>
            <w:vAlign w:val="bottom"/>
            <w:hideMark/>
          </w:tcPr>
          <w:p w14:paraId="7C09945A"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Net sales local currency</w:t>
            </w:r>
          </w:p>
        </w:tc>
        <w:tc>
          <w:tcPr>
            <w:tcW w:w="1395" w:type="dxa"/>
            <w:tcBorders>
              <w:top w:val="nil"/>
              <w:left w:val="nil"/>
              <w:bottom w:val="nil"/>
              <w:right w:val="nil"/>
            </w:tcBorders>
            <w:shd w:val="clear" w:color="auto" w:fill="auto"/>
            <w:noWrap/>
            <w:vAlign w:val="bottom"/>
            <w:hideMark/>
          </w:tcPr>
          <w:p w14:paraId="168D2CF8"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auto" w:fill="auto"/>
            <w:noWrap/>
            <w:vAlign w:val="bottom"/>
            <w:hideMark/>
          </w:tcPr>
          <w:p w14:paraId="4102EBB4"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auto" w:fill="auto"/>
            <w:noWrap/>
            <w:vAlign w:val="bottom"/>
            <w:hideMark/>
          </w:tcPr>
          <w:p w14:paraId="2819286A"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auto" w:fill="auto"/>
            <w:noWrap/>
            <w:vAlign w:val="bottom"/>
            <w:hideMark/>
          </w:tcPr>
          <w:p w14:paraId="6830440C"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auto" w:fill="auto"/>
            <w:noWrap/>
            <w:vAlign w:val="bottom"/>
            <w:hideMark/>
          </w:tcPr>
          <w:p w14:paraId="1EAF5C86"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r>
      <w:tr w:rsidR="001544BB" w:rsidRPr="001544BB" w14:paraId="2A685A3C" w14:textId="77777777" w:rsidTr="001544BB">
        <w:trPr>
          <w:trHeight w:val="303"/>
        </w:trPr>
        <w:tc>
          <w:tcPr>
            <w:tcW w:w="2409" w:type="dxa"/>
            <w:tcBorders>
              <w:top w:val="nil"/>
              <w:left w:val="nil"/>
              <w:bottom w:val="nil"/>
              <w:right w:val="nil"/>
            </w:tcBorders>
            <w:shd w:val="clear" w:color="D9D9D9" w:fill="D9D9D9"/>
            <w:noWrap/>
            <w:vAlign w:val="bottom"/>
            <w:hideMark/>
          </w:tcPr>
          <w:p w14:paraId="08ADD888"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Total shareholder returns</w:t>
            </w:r>
          </w:p>
        </w:tc>
        <w:tc>
          <w:tcPr>
            <w:tcW w:w="1395" w:type="dxa"/>
            <w:tcBorders>
              <w:top w:val="nil"/>
              <w:left w:val="nil"/>
              <w:bottom w:val="nil"/>
              <w:right w:val="nil"/>
            </w:tcBorders>
            <w:shd w:val="clear" w:color="D9D9D9" w:fill="D9D9D9"/>
            <w:noWrap/>
            <w:vAlign w:val="bottom"/>
            <w:hideMark/>
          </w:tcPr>
          <w:p w14:paraId="10588CE3"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D9D9D9" w:fill="D9D9D9"/>
            <w:noWrap/>
            <w:vAlign w:val="bottom"/>
            <w:hideMark/>
          </w:tcPr>
          <w:p w14:paraId="30218BC6"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D9D9D9" w:fill="D9D9D9"/>
            <w:noWrap/>
            <w:vAlign w:val="bottom"/>
            <w:hideMark/>
          </w:tcPr>
          <w:p w14:paraId="11FC0453"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D9D9D9" w:fill="D9D9D9"/>
            <w:noWrap/>
            <w:vAlign w:val="bottom"/>
            <w:hideMark/>
          </w:tcPr>
          <w:p w14:paraId="0C3E8C05"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D9D9D9" w:fill="D9D9D9"/>
            <w:noWrap/>
            <w:vAlign w:val="bottom"/>
            <w:hideMark/>
          </w:tcPr>
          <w:p w14:paraId="568E4134"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r>
      <w:tr w:rsidR="001544BB" w:rsidRPr="001544BB" w14:paraId="2B884F88" w14:textId="77777777" w:rsidTr="001544BB">
        <w:trPr>
          <w:trHeight w:val="303"/>
        </w:trPr>
        <w:tc>
          <w:tcPr>
            <w:tcW w:w="2409" w:type="dxa"/>
            <w:tcBorders>
              <w:top w:val="nil"/>
              <w:left w:val="nil"/>
              <w:bottom w:val="nil"/>
              <w:right w:val="nil"/>
            </w:tcBorders>
            <w:shd w:val="clear" w:color="auto" w:fill="auto"/>
            <w:noWrap/>
            <w:vAlign w:val="bottom"/>
            <w:hideMark/>
          </w:tcPr>
          <w:p w14:paraId="005A6A52" w14:textId="77777777" w:rsidR="001544BB" w:rsidRPr="00FA29FC" w:rsidRDefault="001544BB" w:rsidP="00AF13F0">
            <w:pPr>
              <w:rPr>
                <w:rFonts w:ascii="Calibri" w:eastAsia="Times New Roman" w:hAnsi="Calibri" w:cs="Times New Roman"/>
                <w:color w:val="000000"/>
                <w:lang w:val="en-GB"/>
              </w:rPr>
            </w:pPr>
            <w:r w:rsidRPr="00FA29FC">
              <w:rPr>
                <w:rFonts w:ascii="Calibri" w:eastAsia="Times New Roman" w:hAnsi="Calibri" w:cs="Times New Roman"/>
                <w:color w:val="000000"/>
                <w:lang w:val="en-GB"/>
              </w:rPr>
              <w:t>Operational result after tax- and non controlling interest</w:t>
            </w:r>
          </w:p>
        </w:tc>
        <w:tc>
          <w:tcPr>
            <w:tcW w:w="1395" w:type="dxa"/>
            <w:tcBorders>
              <w:top w:val="nil"/>
              <w:left w:val="nil"/>
              <w:bottom w:val="nil"/>
              <w:right w:val="nil"/>
            </w:tcBorders>
            <w:shd w:val="clear" w:color="auto" w:fill="auto"/>
            <w:noWrap/>
            <w:vAlign w:val="bottom"/>
            <w:hideMark/>
          </w:tcPr>
          <w:p w14:paraId="27AD79F2"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auto" w:fill="auto"/>
            <w:noWrap/>
            <w:vAlign w:val="bottom"/>
            <w:hideMark/>
          </w:tcPr>
          <w:p w14:paraId="452C0E8F"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auto" w:fill="auto"/>
            <w:noWrap/>
            <w:vAlign w:val="bottom"/>
            <w:hideMark/>
          </w:tcPr>
          <w:p w14:paraId="46375D6A"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auto" w:fill="auto"/>
            <w:noWrap/>
            <w:vAlign w:val="bottom"/>
            <w:hideMark/>
          </w:tcPr>
          <w:p w14:paraId="550780B3"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auto" w:fill="auto"/>
            <w:noWrap/>
            <w:vAlign w:val="bottom"/>
            <w:hideMark/>
          </w:tcPr>
          <w:p w14:paraId="1BE14106"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r>
      <w:tr w:rsidR="001544BB" w:rsidRPr="001544BB" w14:paraId="09548367" w14:textId="77777777" w:rsidTr="001544BB">
        <w:trPr>
          <w:trHeight w:val="303"/>
        </w:trPr>
        <w:tc>
          <w:tcPr>
            <w:tcW w:w="2409" w:type="dxa"/>
            <w:tcBorders>
              <w:top w:val="nil"/>
              <w:left w:val="nil"/>
              <w:bottom w:val="nil"/>
              <w:right w:val="nil"/>
            </w:tcBorders>
            <w:shd w:val="clear" w:color="D9D9D9" w:fill="D9D9D9"/>
            <w:noWrap/>
            <w:vAlign w:val="bottom"/>
            <w:hideMark/>
          </w:tcPr>
          <w:p w14:paraId="275FF1C5"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EBIT (underlying)</w:t>
            </w:r>
          </w:p>
        </w:tc>
        <w:tc>
          <w:tcPr>
            <w:tcW w:w="1395" w:type="dxa"/>
            <w:tcBorders>
              <w:top w:val="nil"/>
              <w:left w:val="nil"/>
              <w:bottom w:val="nil"/>
              <w:right w:val="nil"/>
            </w:tcBorders>
            <w:shd w:val="clear" w:color="D9D9D9" w:fill="D9D9D9"/>
            <w:noWrap/>
            <w:vAlign w:val="bottom"/>
            <w:hideMark/>
          </w:tcPr>
          <w:p w14:paraId="26CAD27B"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3</w:t>
            </w:r>
          </w:p>
        </w:tc>
        <w:tc>
          <w:tcPr>
            <w:tcW w:w="1395" w:type="dxa"/>
            <w:tcBorders>
              <w:top w:val="nil"/>
              <w:left w:val="nil"/>
              <w:bottom w:val="nil"/>
              <w:right w:val="nil"/>
            </w:tcBorders>
            <w:shd w:val="clear" w:color="D9D9D9" w:fill="D9D9D9"/>
            <w:noWrap/>
            <w:vAlign w:val="bottom"/>
            <w:hideMark/>
          </w:tcPr>
          <w:p w14:paraId="4DF99033"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2</w:t>
            </w:r>
          </w:p>
        </w:tc>
        <w:tc>
          <w:tcPr>
            <w:tcW w:w="1395" w:type="dxa"/>
            <w:tcBorders>
              <w:top w:val="nil"/>
              <w:left w:val="nil"/>
              <w:bottom w:val="nil"/>
              <w:right w:val="nil"/>
            </w:tcBorders>
            <w:shd w:val="clear" w:color="D9D9D9" w:fill="D9D9D9"/>
            <w:noWrap/>
            <w:vAlign w:val="bottom"/>
            <w:hideMark/>
          </w:tcPr>
          <w:p w14:paraId="7A1DD45B"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2</w:t>
            </w:r>
          </w:p>
        </w:tc>
        <w:tc>
          <w:tcPr>
            <w:tcW w:w="1395" w:type="dxa"/>
            <w:tcBorders>
              <w:top w:val="nil"/>
              <w:left w:val="nil"/>
              <w:bottom w:val="nil"/>
              <w:right w:val="nil"/>
            </w:tcBorders>
            <w:shd w:val="clear" w:color="D9D9D9" w:fill="D9D9D9"/>
            <w:noWrap/>
            <w:vAlign w:val="bottom"/>
            <w:hideMark/>
          </w:tcPr>
          <w:p w14:paraId="6568B379"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2</w:t>
            </w:r>
          </w:p>
        </w:tc>
        <w:tc>
          <w:tcPr>
            <w:tcW w:w="1395" w:type="dxa"/>
            <w:tcBorders>
              <w:top w:val="nil"/>
              <w:left w:val="nil"/>
              <w:bottom w:val="nil"/>
              <w:right w:val="nil"/>
            </w:tcBorders>
            <w:shd w:val="clear" w:color="D9D9D9" w:fill="D9D9D9"/>
            <w:noWrap/>
            <w:vAlign w:val="bottom"/>
            <w:hideMark/>
          </w:tcPr>
          <w:p w14:paraId="7CBA1214"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2</w:t>
            </w:r>
          </w:p>
        </w:tc>
      </w:tr>
      <w:tr w:rsidR="001544BB" w:rsidRPr="001544BB" w14:paraId="5E7F45C9" w14:textId="77777777" w:rsidTr="001544BB">
        <w:trPr>
          <w:trHeight w:val="303"/>
        </w:trPr>
        <w:tc>
          <w:tcPr>
            <w:tcW w:w="2409" w:type="dxa"/>
            <w:tcBorders>
              <w:top w:val="nil"/>
              <w:left w:val="nil"/>
              <w:bottom w:val="nil"/>
              <w:right w:val="nil"/>
            </w:tcBorders>
            <w:shd w:val="clear" w:color="auto" w:fill="auto"/>
            <w:noWrap/>
            <w:vAlign w:val="bottom"/>
            <w:hideMark/>
          </w:tcPr>
          <w:p w14:paraId="0A41BCE5"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EBIT before exceptional items</w:t>
            </w:r>
          </w:p>
        </w:tc>
        <w:tc>
          <w:tcPr>
            <w:tcW w:w="1395" w:type="dxa"/>
            <w:tcBorders>
              <w:top w:val="nil"/>
              <w:left w:val="nil"/>
              <w:bottom w:val="nil"/>
              <w:right w:val="nil"/>
            </w:tcBorders>
            <w:shd w:val="clear" w:color="auto" w:fill="auto"/>
            <w:noWrap/>
            <w:vAlign w:val="bottom"/>
            <w:hideMark/>
          </w:tcPr>
          <w:p w14:paraId="16F852B1"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auto" w:fill="auto"/>
            <w:noWrap/>
            <w:vAlign w:val="bottom"/>
            <w:hideMark/>
          </w:tcPr>
          <w:p w14:paraId="4F891E4D"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auto" w:fill="auto"/>
            <w:noWrap/>
            <w:vAlign w:val="bottom"/>
            <w:hideMark/>
          </w:tcPr>
          <w:p w14:paraId="5A5C4D2F"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auto" w:fill="auto"/>
            <w:noWrap/>
            <w:vAlign w:val="bottom"/>
            <w:hideMark/>
          </w:tcPr>
          <w:p w14:paraId="2209DC6B"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auto" w:fill="auto"/>
            <w:noWrap/>
            <w:vAlign w:val="bottom"/>
            <w:hideMark/>
          </w:tcPr>
          <w:p w14:paraId="6F59AE43"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r>
      <w:tr w:rsidR="001544BB" w:rsidRPr="001544BB" w14:paraId="1DF8D197" w14:textId="77777777" w:rsidTr="001544BB">
        <w:trPr>
          <w:trHeight w:val="303"/>
        </w:trPr>
        <w:tc>
          <w:tcPr>
            <w:tcW w:w="2409" w:type="dxa"/>
            <w:tcBorders>
              <w:top w:val="nil"/>
              <w:left w:val="nil"/>
              <w:bottom w:val="nil"/>
              <w:right w:val="nil"/>
            </w:tcBorders>
            <w:shd w:val="clear" w:color="D9D9D9" w:fill="D9D9D9"/>
            <w:noWrap/>
            <w:vAlign w:val="bottom"/>
            <w:hideMark/>
          </w:tcPr>
          <w:p w14:paraId="53A51D30"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Net operating capital</w:t>
            </w:r>
          </w:p>
        </w:tc>
        <w:tc>
          <w:tcPr>
            <w:tcW w:w="1395" w:type="dxa"/>
            <w:tcBorders>
              <w:top w:val="nil"/>
              <w:left w:val="nil"/>
              <w:bottom w:val="nil"/>
              <w:right w:val="nil"/>
            </w:tcBorders>
            <w:shd w:val="clear" w:color="D9D9D9" w:fill="D9D9D9"/>
            <w:noWrap/>
            <w:vAlign w:val="bottom"/>
            <w:hideMark/>
          </w:tcPr>
          <w:p w14:paraId="005DAD3B"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D9D9D9" w:fill="D9D9D9"/>
            <w:noWrap/>
            <w:vAlign w:val="bottom"/>
            <w:hideMark/>
          </w:tcPr>
          <w:p w14:paraId="24CB6E67"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D9D9D9" w:fill="D9D9D9"/>
            <w:noWrap/>
            <w:vAlign w:val="bottom"/>
            <w:hideMark/>
          </w:tcPr>
          <w:p w14:paraId="2B572137"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D9D9D9" w:fill="D9D9D9"/>
            <w:noWrap/>
            <w:vAlign w:val="bottom"/>
            <w:hideMark/>
          </w:tcPr>
          <w:p w14:paraId="48A1FAE5"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D9D9D9" w:fill="D9D9D9"/>
            <w:noWrap/>
            <w:vAlign w:val="bottom"/>
            <w:hideMark/>
          </w:tcPr>
          <w:p w14:paraId="0922FAB6"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r>
      <w:tr w:rsidR="001544BB" w:rsidRPr="001544BB" w14:paraId="35B3AA18" w14:textId="77777777" w:rsidTr="001544BB">
        <w:trPr>
          <w:trHeight w:val="303"/>
        </w:trPr>
        <w:tc>
          <w:tcPr>
            <w:tcW w:w="2409" w:type="dxa"/>
            <w:tcBorders>
              <w:top w:val="nil"/>
              <w:left w:val="nil"/>
              <w:bottom w:val="nil"/>
              <w:right w:val="nil"/>
            </w:tcBorders>
            <w:shd w:val="clear" w:color="auto" w:fill="auto"/>
            <w:noWrap/>
            <w:vAlign w:val="bottom"/>
            <w:hideMark/>
          </w:tcPr>
          <w:p w14:paraId="6D8D4D8B"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EBITA</w:t>
            </w:r>
          </w:p>
        </w:tc>
        <w:tc>
          <w:tcPr>
            <w:tcW w:w="1395" w:type="dxa"/>
            <w:tcBorders>
              <w:top w:val="nil"/>
              <w:left w:val="nil"/>
              <w:bottom w:val="nil"/>
              <w:right w:val="nil"/>
            </w:tcBorders>
            <w:shd w:val="clear" w:color="auto" w:fill="auto"/>
            <w:noWrap/>
            <w:vAlign w:val="bottom"/>
            <w:hideMark/>
          </w:tcPr>
          <w:p w14:paraId="60E4B678"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2</w:t>
            </w:r>
          </w:p>
        </w:tc>
        <w:tc>
          <w:tcPr>
            <w:tcW w:w="1395" w:type="dxa"/>
            <w:tcBorders>
              <w:top w:val="nil"/>
              <w:left w:val="nil"/>
              <w:bottom w:val="nil"/>
              <w:right w:val="nil"/>
            </w:tcBorders>
            <w:shd w:val="clear" w:color="auto" w:fill="auto"/>
            <w:noWrap/>
            <w:vAlign w:val="bottom"/>
            <w:hideMark/>
          </w:tcPr>
          <w:p w14:paraId="413905DE"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auto" w:fill="auto"/>
            <w:noWrap/>
            <w:vAlign w:val="bottom"/>
            <w:hideMark/>
          </w:tcPr>
          <w:p w14:paraId="43A2DB2F"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2</w:t>
            </w:r>
          </w:p>
        </w:tc>
        <w:tc>
          <w:tcPr>
            <w:tcW w:w="1395" w:type="dxa"/>
            <w:tcBorders>
              <w:top w:val="nil"/>
              <w:left w:val="nil"/>
              <w:bottom w:val="nil"/>
              <w:right w:val="nil"/>
            </w:tcBorders>
            <w:shd w:val="clear" w:color="auto" w:fill="auto"/>
            <w:noWrap/>
            <w:vAlign w:val="bottom"/>
            <w:hideMark/>
          </w:tcPr>
          <w:p w14:paraId="59BF6321"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auto" w:fill="auto"/>
            <w:noWrap/>
            <w:vAlign w:val="bottom"/>
            <w:hideMark/>
          </w:tcPr>
          <w:p w14:paraId="1E4AC6A7"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r>
      <w:tr w:rsidR="001544BB" w:rsidRPr="001544BB" w14:paraId="101BCFC0" w14:textId="77777777" w:rsidTr="001544BB">
        <w:trPr>
          <w:trHeight w:val="303"/>
        </w:trPr>
        <w:tc>
          <w:tcPr>
            <w:tcW w:w="2409" w:type="dxa"/>
            <w:tcBorders>
              <w:top w:val="nil"/>
              <w:left w:val="nil"/>
              <w:bottom w:val="nil"/>
              <w:right w:val="nil"/>
            </w:tcBorders>
            <w:shd w:val="clear" w:color="D9D9D9" w:fill="D9D9D9"/>
            <w:noWrap/>
            <w:vAlign w:val="bottom"/>
            <w:hideMark/>
          </w:tcPr>
          <w:p w14:paraId="489121C0"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(Net) capital investment</w:t>
            </w:r>
          </w:p>
        </w:tc>
        <w:tc>
          <w:tcPr>
            <w:tcW w:w="1395" w:type="dxa"/>
            <w:tcBorders>
              <w:top w:val="nil"/>
              <w:left w:val="nil"/>
              <w:bottom w:val="nil"/>
              <w:right w:val="nil"/>
            </w:tcBorders>
            <w:shd w:val="clear" w:color="D9D9D9" w:fill="D9D9D9"/>
            <w:noWrap/>
            <w:vAlign w:val="bottom"/>
            <w:hideMark/>
          </w:tcPr>
          <w:p w14:paraId="02C8A416"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D9D9D9" w:fill="D9D9D9"/>
            <w:noWrap/>
            <w:vAlign w:val="bottom"/>
            <w:hideMark/>
          </w:tcPr>
          <w:p w14:paraId="664B9198"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D9D9D9" w:fill="D9D9D9"/>
            <w:noWrap/>
            <w:vAlign w:val="bottom"/>
            <w:hideMark/>
          </w:tcPr>
          <w:p w14:paraId="7C1D577F"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D9D9D9" w:fill="D9D9D9"/>
            <w:noWrap/>
            <w:vAlign w:val="bottom"/>
            <w:hideMark/>
          </w:tcPr>
          <w:p w14:paraId="0CB2ADD5"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D9D9D9" w:fill="D9D9D9"/>
            <w:noWrap/>
            <w:vAlign w:val="bottom"/>
            <w:hideMark/>
          </w:tcPr>
          <w:p w14:paraId="3DC3803F"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r>
      <w:tr w:rsidR="001544BB" w:rsidRPr="001544BB" w14:paraId="0BE17684" w14:textId="77777777" w:rsidTr="001544BB">
        <w:trPr>
          <w:trHeight w:val="303"/>
        </w:trPr>
        <w:tc>
          <w:tcPr>
            <w:tcW w:w="2409" w:type="dxa"/>
            <w:tcBorders>
              <w:top w:val="nil"/>
              <w:left w:val="nil"/>
              <w:bottom w:val="nil"/>
              <w:right w:val="nil"/>
            </w:tcBorders>
            <w:shd w:val="clear" w:color="auto" w:fill="auto"/>
            <w:noWrap/>
            <w:vAlign w:val="bottom"/>
            <w:hideMark/>
          </w:tcPr>
          <w:p w14:paraId="15FDAA95"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Underlying sales growth</w:t>
            </w:r>
          </w:p>
        </w:tc>
        <w:tc>
          <w:tcPr>
            <w:tcW w:w="1395" w:type="dxa"/>
            <w:tcBorders>
              <w:top w:val="nil"/>
              <w:left w:val="nil"/>
              <w:bottom w:val="nil"/>
              <w:right w:val="nil"/>
            </w:tcBorders>
            <w:shd w:val="clear" w:color="auto" w:fill="auto"/>
            <w:noWrap/>
            <w:vAlign w:val="bottom"/>
            <w:hideMark/>
          </w:tcPr>
          <w:p w14:paraId="3F85C196"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2</w:t>
            </w:r>
          </w:p>
        </w:tc>
        <w:tc>
          <w:tcPr>
            <w:tcW w:w="1395" w:type="dxa"/>
            <w:tcBorders>
              <w:top w:val="nil"/>
              <w:left w:val="nil"/>
              <w:bottom w:val="nil"/>
              <w:right w:val="nil"/>
            </w:tcBorders>
            <w:shd w:val="clear" w:color="auto" w:fill="auto"/>
            <w:noWrap/>
            <w:vAlign w:val="bottom"/>
            <w:hideMark/>
          </w:tcPr>
          <w:p w14:paraId="09607ED2"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2</w:t>
            </w:r>
          </w:p>
        </w:tc>
        <w:tc>
          <w:tcPr>
            <w:tcW w:w="1395" w:type="dxa"/>
            <w:tcBorders>
              <w:top w:val="nil"/>
              <w:left w:val="nil"/>
              <w:bottom w:val="nil"/>
              <w:right w:val="nil"/>
            </w:tcBorders>
            <w:shd w:val="clear" w:color="auto" w:fill="auto"/>
            <w:noWrap/>
            <w:vAlign w:val="bottom"/>
            <w:hideMark/>
          </w:tcPr>
          <w:p w14:paraId="55EE0445"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2</w:t>
            </w:r>
          </w:p>
        </w:tc>
        <w:tc>
          <w:tcPr>
            <w:tcW w:w="1395" w:type="dxa"/>
            <w:tcBorders>
              <w:top w:val="nil"/>
              <w:left w:val="nil"/>
              <w:bottom w:val="nil"/>
              <w:right w:val="nil"/>
            </w:tcBorders>
            <w:shd w:val="clear" w:color="auto" w:fill="auto"/>
            <w:noWrap/>
            <w:vAlign w:val="bottom"/>
            <w:hideMark/>
          </w:tcPr>
          <w:p w14:paraId="2726BDEF"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2</w:t>
            </w:r>
          </w:p>
        </w:tc>
        <w:tc>
          <w:tcPr>
            <w:tcW w:w="1395" w:type="dxa"/>
            <w:tcBorders>
              <w:top w:val="nil"/>
              <w:left w:val="nil"/>
              <w:bottom w:val="nil"/>
              <w:right w:val="nil"/>
            </w:tcBorders>
            <w:shd w:val="clear" w:color="auto" w:fill="auto"/>
            <w:noWrap/>
            <w:vAlign w:val="bottom"/>
            <w:hideMark/>
          </w:tcPr>
          <w:p w14:paraId="14513EC3"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r>
      <w:tr w:rsidR="001544BB" w:rsidRPr="001544BB" w14:paraId="60E9CAA2" w14:textId="77777777" w:rsidTr="001544BB">
        <w:trPr>
          <w:trHeight w:val="303"/>
        </w:trPr>
        <w:tc>
          <w:tcPr>
            <w:tcW w:w="2409" w:type="dxa"/>
            <w:tcBorders>
              <w:top w:val="nil"/>
              <w:left w:val="nil"/>
              <w:bottom w:val="nil"/>
              <w:right w:val="nil"/>
            </w:tcBorders>
            <w:shd w:val="clear" w:color="D9D9D9" w:fill="D9D9D9"/>
            <w:noWrap/>
            <w:vAlign w:val="bottom"/>
            <w:hideMark/>
          </w:tcPr>
          <w:p w14:paraId="638C57DB"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Underlying volume growth</w:t>
            </w:r>
          </w:p>
        </w:tc>
        <w:tc>
          <w:tcPr>
            <w:tcW w:w="1395" w:type="dxa"/>
            <w:tcBorders>
              <w:top w:val="nil"/>
              <w:left w:val="nil"/>
              <w:bottom w:val="nil"/>
              <w:right w:val="nil"/>
            </w:tcBorders>
            <w:shd w:val="clear" w:color="D9D9D9" w:fill="D9D9D9"/>
            <w:noWrap/>
            <w:vAlign w:val="bottom"/>
            <w:hideMark/>
          </w:tcPr>
          <w:p w14:paraId="1A13455A"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D9D9D9" w:fill="D9D9D9"/>
            <w:noWrap/>
            <w:vAlign w:val="bottom"/>
            <w:hideMark/>
          </w:tcPr>
          <w:p w14:paraId="70584A89"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D9D9D9" w:fill="D9D9D9"/>
            <w:noWrap/>
            <w:vAlign w:val="bottom"/>
            <w:hideMark/>
          </w:tcPr>
          <w:p w14:paraId="0630567F"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D9D9D9" w:fill="D9D9D9"/>
            <w:noWrap/>
            <w:vAlign w:val="bottom"/>
            <w:hideMark/>
          </w:tcPr>
          <w:p w14:paraId="0772E8D5"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D9D9D9" w:fill="D9D9D9"/>
            <w:noWrap/>
            <w:vAlign w:val="bottom"/>
            <w:hideMark/>
          </w:tcPr>
          <w:p w14:paraId="5E5AEAAD"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r>
      <w:tr w:rsidR="001544BB" w:rsidRPr="001544BB" w14:paraId="19A383D9" w14:textId="77777777" w:rsidTr="001544BB">
        <w:trPr>
          <w:trHeight w:val="303"/>
        </w:trPr>
        <w:tc>
          <w:tcPr>
            <w:tcW w:w="2409" w:type="dxa"/>
            <w:tcBorders>
              <w:top w:val="nil"/>
              <w:left w:val="nil"/>
              <w:bottom w:val="nil"/>
              <w:right w:val="nil"/>
            </w:tcBorders>
            <w:shd w:val="clear" w:color="auto" w:fill="auto"/>
            <w:noWrap/>
            <w:vAlign w:val="bottom"/>
            <w:hideMark/>
          </w:tcPr>
          <w:p w14:paraId="040F9640"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Core operating profit</w:t>
            </w:r>
          </w:p>
        </w:tc>
        <w:tc>
          <w:tcPr>
            <w:tcW w:w="1395" w:type="dxa"/>
            <w:tcBorders>
              <w:top w:val="nil"/>
              <w:left w:val="nil"/>
              <w:bottom w:val="nil"/>
              <w:right w:val="nil"/>
            </w:tcBorders>
            <w:shd w:val="clear" w:color="auto" w:fill="auto"/>
            <w:noWrap/>
            <w:vAlign w:val="bottom"/>
            <w:hideMark/>
          </w:tcPr>
          <w:p w14:paraId="6503D037"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auto" w:fill="auto"/>
            <w:noWrap/>
            <w:vAlign w:val="bottom"/>
            <w:hideMark/>
          </w:tcPr>
          <w:p w14:paraId="5E57CC4F"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auto" w:fill="auto"/>
            <w:noWrap/>
            <w:vAlign w:val="bottom"/>
            <w:hideMark/>
          </w:tcPr>
          <w:p w14:paraId="6945D5FA"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auto" w:fill="auto"/>
            <w:noWrap/>
            <w:vAlign w:val="bottom"/>
            <w:hideMark/>
          </w:tcPr>
          <w:p w14:paraId="372ECB83"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auto" w:fill="auto"/>
            <w:noWrap/>
            <w:vAlign w:val="bottom"/>
            <w:hideMark/>
          </w:tcPr>
          <w:p w14:paraId="19422574"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r>
      <w:tr w:rsidR="001544BB" w:rsidRPr="001544BB" w14:paraId="0B2DCFFF" w14:textId="77777777" w:rsidTr="001544BB">
        <w:trPr>
          <w:trHeight w:val="303"/>
        </w:trPr>
        <w:tc>
          <w:tcPr>
            <w:tcW w:w="2409" w:type="dxa"/>
            <w:tcBorders>
              <w:top w:val="nil"/>
              <w:left w:val="nil"/>
              <w:bottom w:val="single" w:sz="4" w:space="0" w:color="000000"/>
              <w:right w:val="nil"/>
            </w:tcBorders>
            <w:shd w:val="clear" w:color="D9D9D9" w:fill="D9D9D9"/>
            <w:noWrap/>
            <w:vAlign w:val="bottom"/>
            <w:hideMark/>
          </w:tcPr>
          <w:p w14:paraId="3105D1DB"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Core earnings per share</w:t>
            </w:r>
          </w:p>
        </w:tc>
        <w:tc>
          <w:tcPr>
            <w:tcW w:w="1395" w:type="dxa"/>
            <w:tcBorders>
              <w:top w:val="nil"/>
              <w:left w:val="nil"/>
              <w:bottom w:val="single" w:sz="4" w:space="0" w:color="000000"/>
              <w:right w:val="nil"/>
            </w:tcBorders>
            <w:shd w:val="clear" w:color="D9D9D9" w:fill="D9D9D9"/>
            <w:noWrap/>
            <w:vAlign w:val="bottom"/>
            <w:hideMark/>
          </w:tcPr>
          <w:p w14:paraId="475096F9"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single" w:sz="4" w:space="0" w:color="000000"/>
              <w:right w:val="nil"/>
            </w:tcBorders>
            <w:shd w:val="clear" w:color="D9D9D9" w:fill="D9D9D9"/>
            <w:noWrap/>
            <w:vAlign w:val="bottom"/>
            <w:hideMark/>
          </w:tcPr>
          <w:p w14:paraId="79BCB52E"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single" w:sz="4" w:space="0" w:color="000000"/>
              <w:right w:val="nil"/>
            </w:tcBorders>
            <w:shd w:val="clear" w:color="D9D9D9" w:fill="D9D9D9"/>
            <w:noWrap/>
            <w:vAlign w:val="bottom"/>
            <w:hideMark/>
          </w:tcPr>
          <w:p w14:paraId="577FA709"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single" w:sz="4" w:space="0" w:color="000000"/>
              <w:right w:val="nil"/>
            </w:tcBorders>
            <w:shd w:val="clear" w:color="D9D9D9" w:fill="D9D9D9"/>
            <w:noWrap/>
            <w:vAlign w:val="bottom"/>
            <w:hideMark/>
          </w:tcPr>
          <w:p w14:paraId="5737F1E3"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single" w:sz="4" w:space="0" w:color="000000"/>
              <w:right w:val="nil"/>
            </w:tcBorders>
            <w:shd w:val="clear" w:color="D9D9D9" w:fill="D9D9D9"/>
            <w:noWrap/>
            <w:vAlign w:val="bottom"/>
            <w:hideMark/>
          </w:tcPr>
          <w:p w14:paraId="184787B4"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r>
      <w:tr w:rsidR="001544BB" w:rsidRPr="001544BB" w14:paraId="4DC61D39" w14:textId="77777777" w:rsidTr="001544BB">
        <w:trPr>
          <w:trHeight w:val="303"/>
        </w:trPr>
        <w:tc>
          <w:tcPr>
            <w:tcW w:w="2409" w:type="dxa"/>
            <w:tcBorders>
              <w:top w:val="single" w:sz="4" w:space="0" w:color="000000"/>
              <w:left w:val="nil"/>
              <w:bottom w:val="single" w:sz="4" w:space="0" w:color="000000"/>
              <w:right w:val="nil"/>
            </w:tcBorders>
            <w:shd w:val="clear" w:color="auto" w:fill="auto"/>
            <w:noWrap/>
            <w:vAlign w:val="bottom"/>
            <w:hideMark/>
          </w:tcPr>
          <w:p w14:paraId="779127AD" w14:textId="77777777" w:rsidR="001544BB" w:rsidRPr="001544BB" w:rsidRDefault="001544BB" w:rsidP="00AF13F0">
            <w:pPr>
              <w:rPr>
                <w:rFonts w:ascii="Calibri" w:eastAsia="Times New Roman" w:hAnsi="Calibri" w:cs="Times New Roman"/>
                <w:b/>
                <w:bCs/>
                <w:color w:val="000000"/>
              </w:rPr>
            </w:pPr>
            <w:r w:rsidRPr="001544BB">
              <w:rPr>
                <w:rFonts w:ascii="Calibri" w:eastAsia="Times New Roman" w:hAnsi="Calibri" w:cs="Times New Roman"/>
                <w:b/>
                <w:bCs/>
                <w:color w:val="000000"/>
              </w:rPr>
              <w:t>Non-GAAP indicator bedrijfsspecifiek</w:t>
            </w:r>
          </w:p>
        </w:tc>
        <w:tc>
          <w:tcPr>
            <w:tcW w:w="1395" w:type="dxa"/>
            <w:tcBorders>
              <w:top w:val="single" w:sz="4" w:space="0" w:color="000000"/>
              <w:left w:val="nil"/>
              <w:bottom w:val="single" w:sz="4" w:space="0" w:color="000000"/>
              <w:right w:val="nil"/>
            </w:tcBorders>
            <w:shd w:val="clear" w:color="auto" w:fill="auto"/>
            <w:noWrap/>
            <w:vAlign w:val="bottom"/>
            <w:hideMark/>
          </w:tcPr>
          <w:p w14:paraId="16AC00FA" w14:textId="77777777" w:rsidR="001544BB" w:rsidRPr="001544BB" w:rsidRDefault="001544BB" w:rsidP="00AF13F0">
            <w:pPr>
              <w:rPr>
                <w:rFonts w:ascii="Calibri" w:eastAsia="Times New Roman" w:hAnsi="Calibri" w:cs="Times New Roman"/>
                <w:b/>
                <w:bCs/>
                <w:color w:val="000000"/>
              </w:rPr>
            </w:pPr>
            <w:r w:rsidRPr="001544BB">
              <w:rPr>
                <w:rFonts w:ascii="Calibri" w:eastAsia="Times New Roman" w:hAnsi="Calibri" w:cs="Times New Roman"/>
                <w:b/>
                <w:bCs/>
                <w:color w:val="000000"/>
              </w:rPr>
              <w:t>2010</w:t>
            </w:r>
          </w:p>
        </w:tc>
        <w:tc>
          <w:tcPr>
            <w:tcW w:w="1395" w:type="dxa"/>
            <w:tcBorders>
              <w:top w:val="single" w:sz="4" w:space="0" w:color="000000"/>
              <w:left w:val="nil"/>
              <w:bottom w:val="single" w:sz="4" w:space="0" w:color="000000"/>
              <w:right w:val="nil"/>
            </w:tcBorders>
            <w:shd w:val="clear" w:color="auto" w:fill="auto"/>
            <w:noWrap/>
            <w:vAlign w:val="bottom"/>
            <w:hideMark/>
          </w:tcPr>
          <w:p w14:paraId="5FAE244D" w14:textId="77777777" w:rsidR="001544BB" w:rsidRPr="001544BB" w:rsidRDefault="001544BB" w:rsidP="00AF13F0">
            <w:pPr>
              <w:rPr>
                <w:rFonts w:ascii="Calibri" w:eastAsia="Times New Roman" w:hAnsi="Calibri" w:cs="Times New Roman"/>
                <w:b/>
                <w:bCs/>
                <w:color w:val="000000"/>
              </w:rPr>
            </w:pPr>
            <w:r w:rsidRPr="001544BB">
              <w:rPr>
                <w:rFonts w:ascii="Calibri" w:eastAsia="Times New Roman" w:hAnsi="Calibri" w:cs="Times New Roman"/>
                <w:b/>
                <w:bCs/>
                <w:color w:val="000000"/>
              </w:rPr>
              <w:t>2011</w:t>
            </w:r>
          </w:p>
        </w:tc>
        <w:tc>
          <w:tcPr>
            <w:tcW w:w="1395" w:type="dxa"/>
            <w:tcBorders>
              <w:top w:val="single" w:sz="4" w:space="0" w:color="000000"/>
              <w:left w:val="nil"/>
              <w:bottom w:val="single" w:sz="4" w:space="0" w:color="000000"/>
              <w:right w:val="nil"/>
            </w:tcBorders>
            <w:shd w:val="clear" w:color="auto" w:fill="auto"/>
            <w:noWrap/>
            <w:vAlign w:val="bottom"/>
            <w:hideMark/>
          </w:tcPr>
          <w:p w14:paraId="36B381A1" w14:textId="77777777" w:rsidR="001544BB" w:rsidRPr="001544BB" w:rsidRDefault="001544BB" w:rsidP="00AF13F0">
            <w:pPr>
              <w:rPr>
                <w:rFonts w:ascii="Calibri" w:eastAsia="Times New Roman" w:hAnsi="Calibri" w:cs="Times New Roman"/>
                <w:b/>
                <w:bCs/>
                <w:color w:val="000000"/>
              </w:rPr>
            </w:pPr>
            <w:r w:rsidRPr="001544BB">
              <w:rPr>
                <w:rFonts w:ascii="Calibri" w:eastAsia="Times New Roman" w:hAnsi="Calibri" w:cs="Times New Roman"/>
                <w:b/>
                <w:bCs/>
                <w:color w:val="000000"/>
              </w:rPr>
              <w:t>2012</w:t>
            </w:r>
          </w:p>
        </w:tc>
        <w:tc>
          <w:tcPr>
            <w:tcW w:w="1395" w:type="dxa"/>
            <w:tcBorders>
              <w:top w:val="single" w:sz="4" w:space="0" w:color="000000"/>
              <w:left w:val="nil"/>
              <w:bottom w:val="single" w:sz="4" w:space="0" w:color="000000"/>
              <w:right w:val="nil"/>
            </w:tcBorders>
            <w:shd w:val="clear" w:color="auto" w:fill="auto"/>
            <w:noWrap/>
            <w:vAlign w:val="bottom"/>
            <w:hideMark/>
          </w:tcPr>
          <w:p w14:paraId="1F80C74C" w14:textId="77777777" w:rsidR="001544BB" w:rsidRPr="001544BB" w:rsidRDefault="001544BB" w:rsidP="00AF13F0">
            <w:pPr>
              <w:rPr>
                <w:rFonts w:ascii="Calibri" w:eastAsia="Times New Roman" w:hAnsi="Calibri" w:cs="Times New Roman"/>
                <w:b/>
                <w:bCs/>
                <w:color w:val="000000"/>
              </w:rPr>
            </w:pPr>
            <w:r w:rsidRPr="001544BB">
              <w:rPr>
                <w:rFonts w:ascii="Calibri" w:eastAsia="Times New Roman" w:hAnsi="Calibri" w:cs="Times New Roman"/>
                <w:b/>
                <w:bCs/>
                <w:color w:val="000000"/>
              </w:rPr>
              <w:t>2013</w:t>
            </w:r>
          </w:p>
        </w:tc>
        <w:tc>
          <w:tcPr>
            <w:tcW w:w="1395" w:type="dxa"/>
            <w:tcBorders>
              <w:top w:val="nil"/>
              <w:left w:val="nil"/>
              <w:bottom w:val="single" w:sz="4" w:space="0" w:color="000000"/>
              <w:right w:val="nil"/>
            </w:tcBorders>
            <w:shd w:val="clear" w:color="auto" w:fill="auto"/>
            <w:noWrap/>
            <w:vAlign w:val="bottom"/>
            <w:hideMark/>
          </w:tcPr>
          <w:p w14:paraId="2A6A5EDD" w14:textId="77777777" w:rsidR="001544BB" w:rsidRPr="001544BB" w:rsidRDefault="001544BB" w:rsidP="00AF13F0">
            <w:pPr>
              <w:rPr>
                <w:rFonts w:ascii="Calibri" w:eastAsia="Times New Roman" w:hAnsi="Calibri" w:cs="Times New Roman"/>
                <w:b/>
                <w:bCs/>
                <w:color w:val="000000"/>
              </w:rPr>
            </w:pPr>
            <w:r w:rsidRPr="001544BB">
              <w:rPr>
                <w:rFonts w:ascii="Calibri" w:eastAsia="Times New Roman" w:hAnsi="Calibri" w:cs="Times New Roman"/>
                <w:b/>
                <w:bCs/>
                <w:color w:val="000000"/>
              </w:rPr>
              <w:t>2014</w:t>
            </w:r>
          </w:p>
        </w:tc>
      </w:tr>
      <w:tr w:rsidR="001544BB" w:rsidRPr="001544BB" w14:paraId="09C06AF5" w14:textId="77777777" w:rsidTr="001544BB">
        <w:trPr>
          <w:trHeight w:val="303"/>
        </w:trPr>
        <w:tc>
          <w:tcPr>
            <w:tcW w:w="2409" w:type="dxa"/>
            <w:tcBorders>
              <w:top w:val="nil"/>
              <w:left w:val="nil"/>
              <w:bottom w:val="nil"/>
              <w:right w:val="nil"/>
            </w:tcBorders>
            <w:shd w:val="clear" w:color="D9D9D9" w:fill="D9D9D9"/>
            <w:noWrap/>
            <w:vAlign w:val="bottom"/>
            <w:hideMark/>
          </w:tcPr>
          <w:p w14:paraId="445C04D9"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Corporate center costs</w:t>
            </w:r>
          </w:p>
        </w:tc>
        <w:tc>
          <w:tcPr>
            <w:tcW w:w="1395" w:type="dxa"/>
            <w:tcBorders>
              <w:top w:val="nil"/>
              <w:left w:val="nil"/>
              <w:bottom w:val="nil"/>
              <w:right w:val="nil"/>
            </w:tcBorders>
            <w:shd w:val="clear" w:color="D9D9D9" w:fill="D9D9D9"/>
            <w:noWrap/>
            <w:vAlign w:val="bottom"/>
            <w:hideMark/>
          </w:tcPr>
          <w:p w14:paraId="1932DD50"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D9D9D9" w:fill="D9D9D9"/>
            <w:noWrap/>
            <w:vAlign w:val="bottom"/>
            <w:hideMark/>
          </w:tcPr>
          <w:p w14:paraId="4F610FCB"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D9D9D9" w:fill="D9D9D9"/>
            <w:noWrap/>
            <w:vAlign w:val="bottom"/>
            <w:hideMark/>
          </w:tcPr>
          <w:p w14:paraId="59A7AE65"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D9D9D9" w:fill="D9D9D9"/>
            <w:noWrap/>
            <w:vAlign w:val="bottom"/>
            <w:hideMark/>
          </w:tcPr>
          <w:p w14:paraId="10DA35C1"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D9D9D9" w:fill="D9D9D9"/>
            <w:noWrap/>
            <w:vAlign w:val="bottom"/>
            <w:hideMark/>
          </w:tcPr>
          <w:p w14:paraId="1E4CF785"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r>
      <w:tr w:rsidR="001544BB" w:rsidRPr="001544BB" w14:paraId="566D1986" w14:textId="77777777" w:rsidTr="001544BB">
        <w:trPr>
          <w:trHeight w:val="303"/>
        </w:trPr>
        <w:tc>
          <w:tcPr>
            <w:tcW w:w="2409" w:type="dxa"/>
            <w:tcBorders>
              <w:top w:val="nil"/>
              <w:left w:val="nil"/>
              <w:bottom w:val="nil"/>
              <w:right w:val="nil"/>
            </w:tcBorders>
            <w:shd w:val="clear" w:color="auto" w:fill="auto"/>
            <w:noWrap/>
            <w:vAlign w:val="bottom"/>
            <w:hideMark/>
          </w:tcPr>
          <w:p w14:paraId="35D3F0FA" w14:textId="77777777" w:rsidR="001544BB" w:rsidRPr="00FA29FC" w:rsidRDefault="001544BB" w:rsidP="00AF13F0">
            <w:pPr>
              <w:rPr>
                <w:rFonts w:ascii="Calibri" w:eastAsia="Times New Roman" w:hAnsi="Calibri" w:cs="Times New Roman"/>
                <w:color w:val="000000"/>
                <w:lang w:val="en-GB"/>
              </w:rPr>
            </w:pPr>
            <w:r w:rsidRPr="00FA29FC">
              <w:rPr>
                <w:rFonts w:ascii="Calibri" w:eastAsia="Times New Roman" w:hAnsi="Calibri" w:cs="Times New Roman"/>
                <w:color w:val="000000"/>
                <w:lang w:val="en-GB"/>
              </w:rPr>
              <w:t>Identical sales excl. Gasoline net sales</w:t>
            </w:r>
          </w:p>
        </w:tc>
        <w:tc>
          <w:tcPr>
            <w:tcW w:w="1395" w:type="dxa"/>
            <w:tcBorders>
              <w:top w:val="nil"/>
              <w:left w:val="nil"/>
              <w:bottom w:val="nil"/>
              <w:right w:val="nil"/>
            </w:tcBorders>
            <w:shd w:val="clear" w:color="auto" w:fill="auto"/>
            <w:noWrap/>
            <w:vAlign w:val="bottom"/>
            <w:hideMark/>
          </w:tcPr>
          <w:p w14:paraId="1ED07499"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auto" w:fill="auto"/>
            <w:noWrap/>
            <w:vAlign w:val="bottom"/>
            <w:hideMark/>
          </w:tcPr>
          <w:p w14:paraId="3E15D9E3"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auto" w:fill="auto"/>
            <w:noWrap/>
            <w:vAlign w:val="bottom"/>
            <w:hideMark/>
          </w:tcPr>
          <w:p w14:paraId="6754BE2B"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auto" w:fill="auto"/>
            <w:noWrap/>
            <w:vAlign w:val="bottom"/>
            <w:hideMark/>
          </w:tcPr>
          <w:p w14:paraId="39105642"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auto" w:fill="auto"/>
            <w:noWrap/>
            <w:vAlign w:val="bottom"/>
            <w:hideMark/>
          </w:tcPr>
          <w:p w14:paraId="42C9E543"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r>
      <w:tr w:rsidR="001544BB" w:rsidRPr="001544BB" w14:paraId="10F949CC" w14:textId="77777777" w:rsidTr="001544BB">
        <w:trPr>
          <w:trHeight w:val="303"/>
        </w:trPr>
        <w:tc>
          <w:tcPr>
            <w:tcW w:w="2409" w:type="dxa"/>
            <w:tcBorders>
              <w:top w:val="nil"/>
              <w:left w:val="nil"/>
              <w:bottom w:val="nil"/>
              <w:right w:val="nil"/>
            </w:tcBorders>
            <w:shd w:val="clear" w:color="D9D9D9" w:fill="D9D9D9"/>
            <w:noWrap/>
            <w:vAlign w:val="bottom"/>
            <w:hideMark/>
          </w:tcPr>
          <w:p w14:paraId="32790FE2" w14:textId="77777777" w:rsidR="001544BB" w:rsidRPr="00FA29FC" w:rsidRDefault="001544BB" w:rsidP="00AF13F0">
            <w:pPr>
              <w:rPr>
                <w:rFonts w:ascii="Calibri" w:eastAsia="Times New Roman" w:hAnsi="Calibri" w:cs="Times New Roman"/>
                <w:color w:val="000000"/>
                <w:lang w:val="en-GB"/>
              </w:rPr>
            </w:pPr>
            <w:r w:rsidRPr="00FA29FC">
              <w:rPr>
                <w:rFonts w:ascii="Calibri" w:eastAsia="Times New Roman" w:hAnsi="Calibri" w:cs="Times New Roman"/>
                <w:color w:val="000000"/>
                <w:lang w:val="en-GB"/>
              </w:rPr>
              <w:t>Identical sales excl VAT tobacco sales</w:t>
            </w:r>
          </w:p>
        </w:tc>
        <w:tc>
          <w:tcPr>
            <w:tcW w:w="1395" w:type="dxa"/>
            <w:tcBorders>
              <w:top w:val="nil"/>
              <w:left w:val="nil"/>
              <w:bottom w:val="nil"/>
              <w:right w:val="nil"/>
            </w:tcBorders>
            <w:shd w:val="clear" w:color="D9D9D9" w:fill="D9D9D9"/>
            <w:noWrap/>
            <w:vAlign w:val="bottom"/>
            <w:hideMark/>
          </w:tcPr>
          <w:p w14:paraId="696321A6"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D9D9D9" w:fill="D9D9D9"/>
            <w:noWrap/>
            <w:vAlign w:val="bottom"/>
            <w:hideMark/>
          </w:tcPr>
          <w:p w14:paraId="1B0EC143"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D9D9D9" w:fill="D9D9D9"/>
            <w:noWrap/>
            <w:vAlign w:val="bottom"/>
            <w:hideMark/>
          </w:tcPr>
          <w:p w14:paraId="2018E6A8"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nil"/>
              <w:right w:val="nil"/>
            </w:tcBorders>
            <w:shd w:val="clear" w:color="D9D9D9" w:fill="D9D9D9"/>
            <w:noWrap/>
            <w:vAlign w:val="bottom"/>
            <w:hideMark/>
          </w:tcPr>
          <w:p w14:paraId="76558129"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c>
          <w:tcPr>
            <w:tcW w:w="1395" w:type="dxa"/>
            <w:tcBorders>
              <w:top w:val="nil"/>
              <w:left w:val="nil"/>
              <w:bottom w:val="nil"/>
              <w:right w:val="nil"/>
            </w:tcBorders>
            <w:shd w:val="clear" w:color="D9D9D9" w:fill="D9D9D9"/>
            <w:noWrap/>
            <w:vAlign w:val="bottom"/>
            <w:hideMark/>
          </w:tcPr>
          <w:p w14:paraId="494902B2"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r>
      <w:tr w:rsidR="001544BB" w:rsidRPr="001544BB" w14:paraId="6E620973" w14:textId="77777777" w:rsidTr="001544BB">
        <w:trPr>
          <w:trHeight w:val="303"/>
        </w:trPr>
        <w:tc>
          <w:tcPr>
            <w:tcW w:w="2409" w:type="dxa"/>
            <w:tcBorders>
              <w:top w:val="nil"/>
              <w:left w:val="nil"/>
              <w:bottom w:val="single" w:sz="4" w:space="0" w:color="000000"/>
              <w:right w:val="nil"/>
            </w:tcBorders>
            <w:shd w:val="clear" w:color="auto" w:fill="auto"/>
            <w:noWrap/>
            <w:vAlign w:val="bottom"/>
            <w:hideMark/>
          </w:tcPr>
          <w:p w14:paraId="4690D680"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Net consumer sales online</w:t>
            </w:r>
          </w:p>
        </w:tc>
        <w:tc>
          <w:tcPr>
            <w:tcW w:w="1395" w:type="dxa"/>
            <w:tcBorders>
              <w:top w:val="nil"/>
              <w:left w:val="nil"/>
              <w:bottom w:val="single" w:sz="4" w:space="0" w:color="000000"/>
              <w:right w:val="nil"/>
            </w:tcBorders>
            <w:shd w:val="clear" w:color="auto" w:fill="auto"/>
            <w:noWrap/>
            <w:vAlign w:val="bottom"/>
            <w:hideMark/>
          </w:tcPr>
          <w:p w14:paraId="3D81B99A"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single" w:sz="4" w:space="0" w:color="000000"/>
              <w:right w:val="nil"/>
            </w:tcBorders>
            <w:shd w:val="clear" w:color="auto" w:fill="auto"/>
            <w:noWrap/>
            <w:vAlign w:val="bottom"/>
            <w:hideMark/>
          </w:tcPr>
          <w:p w14:paraId="34BA1F44"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single" w:sz="4" w:space="0" w:color="000000"/>
              <w:right w:val="nil"/>
            </w:tcBorders>
            <w:shd w:val="clear" w:color="auto" w:fill="auto"/>
            <w:noWrap/>
            <w:vAlign w:val="bottom"/>
            <w:hideMark/>
          </w:tcPr>
          <w:p w14:paraId="634E30C5"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single" w:sz="4" w:space="0" w:color="000000"/>
              <w:right w:val="nil"/>
            </w:tcBorders>
            <w:shd w:val="clear" w:color="auto" w:fill="auto"/>
            <w:noWrap/>
            <w:vAlign w:val="bottom"/>
            <w:hideMark/>
          </w:tcPr>
          <w:p w14:paraId="49B1D0D4"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0</w:t>
            </w:r>
          </w:p>
        </w:tc>
        <w:tc>
          <w:tcPr>
            <w:tcW w:w="1395" w:type="dxa"/>
            <w:tcBorders>
              <w:top w:val="nil"/>
              <w:left w:val="nil"/>
              <w:bottom w:val="single" w:sz="4" w:space="0" w:color="000000"/>
              <w:right w:val="nil"/>
            </w:tcBorders>
            <w:shd w:val="clear" w:color="auto" w:fill="auto"/>
            <w:noWrap/>
            <w:vAlign w:val="bottom"/>
            <w:hideMark/>
          </w:tcPr>
          <w:p w14:paraId="45A537FF" w14:textId="77777777" w:rsidR="001544BB" w:rsidRPr="001544BB" w:rsidRDefault="001544BB" w:rsidP="00AF13F0">
            <w:pPr>
              <w:rPr>
                <w:rFonts w:ascii="Calibri" w:eastAsia="Times New Roman" w:hAnsi="Calibri" w:cs="Times New Roman"/>
                <w:color w:val="000000"/>
              </w:rPr>
            </w:pPr>
            <w:r w:rsidRPr="001544BB">
              <w:rPr>
                <w:rFonts w:ascii="Calibri" w:eastAsia="Times New Roman" w:hAnsi="Calibri" w:cs="Times New Roman"/>
                <w:color w:val="000000"/>
              </w:rPr>
              <w:t>1</w:t>
            </w:r>
          </w:p>
        </w:tc>
      </w:tr>
    </w:tbl>
    <w:p w14:paraId="1B70E1C3" w14:textId="77777777" w:rsidR="003055AA" w:rsidRDefault="003055AA" w:rsidP="00AF13F0">
      <w:pPr>
        <w:spacing w:line="360" w:lineRule="auto"/>
        <w:rPr>
          <w:b/>
        </w:rPr>
      </w:pPr>
    </w:p>
    <w:p w14:paraId="45645175" w14:textId="77777777" w:rsidR="00AF13F0" w:rsidRDefault="00AF13F0" w:rsidP="00AF13F0">
      <w:pPr>
        <w:spacing w:line="360" w:lineRule="auto"/>
        <w:rPr>
          <w:b/>
        </w:rPr>
      </w:pPr>
    </w:p>
    <w:p w14:paraId="018D5324" w14:textId="16356C2D" w:rsidR="00D06DF5" w:rsidRDefault="00D06DF5" w:rsidP="00AF13F0">
      <w:pPr>
        <w:spacing w:line="360" w:lineRule="auto"/>
        <w:rPr>
          <w:b/>
        </w:rPr>
      </w:pPr>
      <w:r>
        <w:rPr>
          <w:b/>
        </w:rPr>
        <w:t>Tabel 14</w:t>
      </w:r>
    </w:p>
    <w:tbl>
      <w:tblPr>
        <w:tblW w:w="9199" w:type="dxa"/>
        <w:tblInd w:w="93" w:type="dxa"/>
        <w:tblLook w:val="04A0" w:firstRow="1" w:lastRow="0" w:firstColumn="1" w:lastColumn="0" w:noHBand="0" w:noVBand="1"/>
      </w:tblPr>
      <w:tblGrid>
        <w:gridCol w:w="3103"/>
        <w:gridCol w:w="1960"/>
        <w:gridCol w:w="1034"/>
        <w:gridCol w:w="1034"/>
        <w:gridCol w:w="1034"/>
        <w:gridCol w:w="1034"/>
      </w:tblGrid>
      <w:tr w:rsidR="00D06DF5" w:rsidRPr="00D06DF5" w14:paraId="1E716A2C" w14:textId="77777777" w:rsidTr="00D06DF5">
        <w:trPr>
          <w:trHeight w:val="302"/>
        </w:trPr>
        <w:tc>
          <w:tcPr>
            <w:tcW w:w="3103" w:type="dxa"/>
            <w:tcBorders>
              <w:top w:val="single" w:sz="4" w:space="0" w:color="000000"/>
              <w:left w:val="nil"/>
              <w:bottom w:val="single" w:sz="4" w:space="0" w:color="000000"/>
              <w:right w:val="nil"/>
            </w:tcBorders>
            <w:shd w:val="clear" w:color="auto" w:fill="auto"/>
            <w:noWrap/>
            <w:vAlign w:val="bottom"/>
            <w:hideMark/>
          </w:tcPr>
          <w:p w14:paraId="3B2B6180"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Alternatieve indicator</w:t>
            </w:r>
          </w:p>
        </w:tc>
        <w:tc>
          <w:tcPr>
            <w:tcW w:w="1960" w:type="dxa"/>
            <w:tcBorders>
              <w:top w:val="single" w:sz="4" w:space="0" w:color="000000"/>
              <w:left w:val="nil"/>
              <w:bottom w:val="single" w:sz="4" w:space="0" w:color="000000"/>
              <w:right w:val="nil"/>
            </w:tcBorders>
            <w:shd w:val="clear" w:color="auto" w:fill="auto"/>
            <w:noWrap/>
            <w:vAlign w:val="bottom"/>
            <w:hideMark/>
          </w:tcPr>
          <w:p w14:paraId="0A48500F"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Bedrijf</w:t>
            </w:r>
          </w:p>
        </w:tc>
        <w:tc>
          <w:tcPr>
            <w:tcW w:w="1034" w:type="dxa"/>
            <w:tcBorders>
              <w:top w:val="single" w:sz="4" w:space="0" w:color="000000"/>
              <w:left w:val="nil"/>
              <w:bottom w:val="single" w:sz="4" w:space="0" w:color="000000"/>
              <w:right w:val="nil"/>
            </w:tcBorders>
            <w:shd w:val="clear" w:color="auto" w:fill="auto"/>
            <w:noWrap/>
            <w:vAlign w:val="bottom"/>
            <w:hideMark/>
          </w:tcPr>
          <w:p w14:paraId="1333F9C9"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2010</w:t>
            </w:r>
          </w:p>
        </w:tc>
        <w:tc>
          <w:tcPr>
            <w:tcW w:w="1034" w:type="dxa"/>
            <w:tcBorders>
              <w:top w:val="single" w:sz="4" w:space="0" w:color="000000"/>
              <w:left w:val="nil"/>
              <w:bottom w:val="single" w:sz="4" w:space="0" w:color="000000"/>
              <w:right w:val="nil"/>
            </w:tcBorders>
            <w:shd w:val="clear" w:color="auto" w:fill="auto"/>
            <w:noWrap/>
            <w:vAlign w:val="bottom"/>
            <w:hideMark/>
          </w:tcPr>
          <w:p w14:paraId="4C025F8C"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2011</w:t>
            </w:r>
          </w:p>
        </w:tc>
        <w:tc>
          <w:tcPr>
            <w:tcW w:w="1034" w:type="dxa"/>
            <w:tcBorders>
              <w:top w:val="single" w:sz="4" w:space="0" w:color="000000"/>
              <w:left w:val="nil"/>
              <w:bottom w:val="single" w:sz="4" w:space="0" w:color="000000"/>
              <w:right w:val="nil"/>
            </w:tcBorders>
            <w:shd w:val="clear" w:color="auto" w:fill="auto"/>
            <w:noWrap/>
            <w:vAlign w:val="bottom"/>
            <w:hideMark/>
          </w:tcPr>
          <w:p w14:paraId="12185B4C"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2012</w:t>
            </w:r>
          </w:p>
        </w:tc>
        <w:tc>
          <w:tcPr>
            <w:tcW w:w="1034" w:type="dxa"/>
            <w:tcBorders>
              <w:top w:val="single" w:sz="4" w:space="0" w:color="000000"/>
              <w:left w:val="nil"/>
              <w:bottom w:val="single" w:sz="4" w:space="0" w:color="000000"/>
              <w:right w:val="nil"/>
            </w:tcBorders>
            <w:shd w:val="clear" w:color="auto" w:fill="auto"/>
            <w:noWrap/>
            <w:vAlign w:val="bottom"/>
            <w:hideMark/>
          </w:tcPr>
          <w:p w14:paraId="4B73397E"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2013</w:t>
            </w:r>
          </w:p>
        </w:tc>
      </w:tr>
      <w:tr w:rsidR="00D06DF5" w:rsidRPr="00D06DF5" w14:paraId="7A610FE9" w14:textId="77777777" w:rsidTr="00D06DF5">
        <w:trPr>
          <w:trHeight w:val="302"/>
        </w:trPr>
        <w:tc>
          <w:tcPr>
            <w:tcW w:w="3103" w:type="dxa"/>
            <w:tcBorders>
              <w:top w:val="nil"/>
              <w:left w:val="nil"/>
              <w:bottom w:val="nil"/>
              <w:right w:val="nil"/>
            </w:tcBorders>
            <w:shd w:val="clear" w:color="D9D9D9" w:fill="D9D9D9"/>
            <w:noWrap/>
            <w:vAlign w:val="bottom"/>
            <w:hideMark/>
          </w:tcPr>
          <w:p w14:paraId="0002D3D5"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Winst per aandeel - Diluted</w:t>
            </w:r>
          </w:p>
        </w:tc>
        <w:tc>
          <w:tcPr>
            <w:tcW w:w="1960" w:type="dxa"/>
            <w:tcBorders>
              <w:top w:val="nil"/>
              <w:left w:val="nil"/>
              <w:bottom w:val="nil"/>
              <w:right w:val="nil"/>
            </w:tcBorders>
            <w:shd w:val="clear" w:color="D9D9D9" w:fill="D9D9D9"/>
            <w:noWrap/>
            <w:vAlign w:val="bottom"/>
            <w:hideMark/>
          </w:tcPr>
          <w:p w14:paraId="07854E8D" w14:textId="77777777" w:rsidR="00D06DF5" w:rsidRPr="00D06DF5" w:rsidRDefault="00D06DF5" w:rsidP="00AF13F0">
            <w:pPr>
              <w:rPr>
                <w:rFonts w:ascii="Calibri" w:eastAsia="Times New Roman" w:hAnsi="Calibri" w:cs="Times New Roman"/>
                <w:color w:val="000000"/>
              </w:rPr>
            </w:pPr>
            <w:r w:rsidRPr="00D06DF5">
              <w:rPr>
                <w:rFonts w:ascii="Calibri" w:eastAsia="Times New Roman" w:hAnsi="Calibri" w:cs="Times New Roman"/>
                <w:color w:val="000000"/>
              </w:rPr>
              <w:t>Aalberts</w:t>
            </w:r>
          </w:p>
        </w:tc>
        <w:tc>
          <w:tcPr>
            <w:tcW w:w="1034" w:type="dxa"/>
            <w:tcBorders>
              <w:top w:val="nil"/>
              <w:left w:val="nil"/>
              <w:bottom w:val="nil"/>
              <w:right w:val="nil"/>
            </w:tcBorders>
            <w:shd w:val="clear" w:color="D9D9D9" w:fill="D9D9D9"/>
            <w:noWrap/>
            <w:vAlign w:val="bottom"/>
            <w:hideMark/>
          </w:tcPr>
          <w:p w14:paraId="2023253B"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7F581DF8"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7282BC82"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1C86CC87"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r>
      <w:tr w:rsidR="00D06DF5" w:rsidRPr="00D06DF5" w14:paraId="197B14F7" w14:textId="77777777" w:rsidTr="00D06DF5">
        <w:trPr>
          <w:trHeight w:val="302"/>
        </w:trPr>
        <w:tc>
          <w:tcPr>
            <w:tcW w:w="3103" w:type="dxa"/>
            <w:tcBorders>
              <w:top w:val="nil"/>
              <w:left w:val="nil"/>
              <w:bottom w:val="nil"/>
              <w:right w:val="nil"/>
            </w:tcBorders>
            <w:shd w:val="clear" w:color="auto" w:fill="auto"/>
            <w:noWrap/>
            <w:vAlign w:val="bottom"/>
            <w:hideMark/>
          </w:tcPr>
          <w:p w14:paraId="78AC58AC" w14:textId="77777777" w:rsidR="00D06DF5" w:rsidRPr="00D06DF5" w:rsidRDefault="00D06DF5" w:rsidP="00AF13F0">
            <w:pPr>
              <w:rPr>
                <w:rFonts w:ascii="Calibri" w:eastAsia="Times New Roman" w:hAnsi="Calibri" w:cs="Times New Roman"/>
                <w:color w:val="000000"/>
              </w:rPr>
            </w:pPr>
          </w:p>
        </w:tc>
        <w:tc>
          <w:tcPr>
            <w:tcW w:w="1960" w:type="dxa"/>
            <w:tcBorders>
              <w:top w:val="nil"/>
              <w:left w:val="nil"/>
              <w:bottom w:val="nil"/>
              <w:right w:val="nil"/>
            </w:tcBorders>
            <w:shd w:val="clear" w:color="auto" w:fill="auto"/>
            <w:noWrap/>
            <w:vAlign w:val="bottom"/>
            <w:hideMark/>
          </w:tcPr>
          <w:p w14:paraId="06D2C895" w14:textId="77777777" w:rsidR="00D06DF5" w:rsidRPr="00D06DF5" w:rsidRDefault="00D06DF5" w:rsidP="00AF13F0">
            <w:pPr>
              <w:rPr>
                <w:rFonts w:ascii="Calibri" w:eastAsia="Times New Roman" w:hAnsi="Calibri" w:cs="Times New Roman"/>
                <w:color w:val="000000"/>
              </w:rPr>
            </w:pPr>
            <w:r w:rsidRPr="00D06DF5">
              <w:rPr>
                <w:rFonts w:ascii="Calibri" w:eastAsia="Times New Roman" w:hAnsi="Calibri" w:cs="Times New Roman"/>
                <w:color w:val="000000"/>
              </w:rPr>
              <w:t>Aegon</w:t>
            </w:r>
          </w:p>
        </w:tc>
        <w:tc>
          <w:tcPr>
            <w:tcW w:w="1034" w:type="dxa"/>
            <w:tcBorders>
              <w:top w:val="nil"/>
              <w:left w:val="nil"/>
              <w:bottom w:val="nil"/>
              <w:right w:val="nil"/>
            </w:tcBorders>
            <w:shd w:val="clear" w:color="auto" w:fill="auto"/>
            <w:noWrap/>
            <w:vAlign w:val="bottom"/>
            <w:hideMark/>
          </w:tcPr>
          <w:p w14:paraId="5F65A69D"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59B5AE80"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29F439B2"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1956294C"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r>
      <w:tr w:rsidR="00D06DF5" w:rsidRPr="00D06DF5" w14:paraId="3C6C5192" w14:textId="77777777" w:rsidTr="00D06DF5">
        <w:trPr>
          <w:trHeight w:val="302"/>
        </w:trPr>
        <w:tc>
          <w:tcPr>
            <w:tcW w:w="3103" w:type="dxa"/>
            <w:tcBorders>
              <w:top w:val="nil"/>
              <w:left w:val="nil"/>
              <w:bottom w:val="nil"/>
              <w:right w:val="nil"/>
            </w:tcBorders>
            <w:shd w:val="clear" w:color="D9D9D9" w:fill="D9D9D9"/>
            <w:noWrap/>
            <w:vAlign w:val="bottom"/>
            <w:hideMark/>
          </w:tcPr>
          <w:p w14:paraId="21DFFEBB" w14:textId="77777777" w:rsidR="00D06DF5" w:rsidRPr="00D06DF5" w:rsidRDefault="00D06DF5" w:rsidP="00AF13F0">
            <w:pPr>
              <w:rPr>
                <w:rFonts w:ascii="Calibri" w:eastAsia="Times New Roman" w:hAnsi="Calibri" w:cs="Times New Roman"/>
                <w:color w:val="000000"/>
              </w:rPr>
            </w:pPr>
          </w:p>
        </w:tc>
        <w:tc>
          <w:tcPr>
            <w:tcW w:w="1960" w:type="dxa"/>
            <w:tcBorders>
              <w:top w:val="nil"/>
              <w:left w:val="nil"/>
              <w:bottom w:val="nil"/>
              <w:right w:val="nil"/>
            </w:tcBorders>
            <w:shd w:val="clear" w:color="D9D9D9" w:fill="D9D9D9"/>
            <w:noWrap/>
            <w:vAlign w:val="bottom"/>
            <w:hideMark/>
          </w:tcPr>
          <w:p w14:paraId="293C0BD9" w14:textId="77777777" w:rsidR="00D06DF5" w:rsidRPr="00D06DF5" w:rsidRDefault="00D06DF5" w:rsidP="00AF13F0">
            <w:pPr>
              <w:rPr>
                <w:rFonts w:ascii="Calibri" w:eastAsia="Times New Roman" w:hAnsi="Calibri" w:cs="Times New Roman"/>
                <w:color w:val="000000"/>
              </w:rPr>
            </w:pPr>
            <w:r w:rsidRPr="00D06DF5">
              <w:rPr>
                <w:rFonts w:ascii="Calibri" w:eastAsia="Times New Roman" w:hAnsi="Calibri" w:cs="Times New Roman"/>
                <w:color w:val="000000"/>
              </w:rPr>
              <w:t>Ahold</w:t>
            </w:r>
          </w:p>
        </w:tc>
        <w:tc>
          <w:tcPr>
            <w:tcW w:w="1034" w:type="dxa"/>
            <w:tcBorders>
              <w:top w:val="nil"/>
              <w:left w:val="nil"/>
              <w:bottom w:val="nil"/>
              <w:right w:val="nil"/>
            </w:tcBorders>
            <w:shd w:val="clear" w:color="D9D9D9" w:fill="D9D9D9"/>
            <w:noWrap/>
            <w:vAlign w:val="bottom"/>
            <w:hideMark/>
          </w:tcPr>
          <w:p w14:paraId="7F9F5B58"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1F80452B"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16EA4263"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3401998C"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r>
      <w:tr w:rsidR="00D06DF5" w:rsidRPr="00D06DF5" w14:paraId="64D43541" w14:textId="77777777" w:rsidTr="00D06DF5">
        <w:trPr>
          <w:trHeight w:val="302"/>
        </w:trPr>
        <w:tc>
          <w:tcPr>
            <w:tcW w:w="3103" w:type="dxa"/>
            <w:tcBorders>
              <w:top w:val="nil"/>
              <w:left w:val="nil"/>
              <w:bottom w:val="nil"/>
              <w:right w:val="nil"/>
            </w:tcBorders>
            <w:shd w:val="clear" w:color="auto" w:fill="auto"/>
            <w:noWrap/>
            <w:vAlign w:val="bottom"/>
            <w:hideMark/>
          </w:tcPr>
          <w:p w14:paraId="22823358" w14:textId="77777777" w:rsidR="00D06DF5" w:rsidRPr="00D06DF5" w:rsidRDefault="00D06DF5" w:rsidP="00AF13F0">
            <w:pPr>
              <w:rPr>
                <w:rFonts w:ascii="Calibri" w:eastAsia="Times New Roman" w:hAnsi="Calibri" w:cs="Times New Roman"/>
                <w:color w:val="000000"/>
              </w:rPr>
            </w:pPr>
          </w:p>
        </w:tc>
        <w:tc>
          <w:tcPr>
            <w:tcW w:w="1960" w:type="dxa"/>
            <w:tcBorders>
              <w:top w:val="nil"/>
              <w:left w:val="nil"/>
              <w:bottom w:val="nil"/>
              <w:right w:val="nil"/>
            </w:tcBorders>
            <w:shd w:val="clear" w:color="auto" w:fill="auto"/>
            <w:noWrap/>
            <w:vAlign w:val="bottom"/>
            <w:hideMark/>
          </w:tcPr>
          <w:p w14:paraId="77F8809F" w14:textId="77777777" w:rsidR="00D06DF5" w:rsidRPr="00D06DF5" w:rsidRDefault="00D06DF5" w:rsidP="00AF13F0">
            <w:pPr>
              <w:rPr>
                <w:rFonts w:ascii="Calibri" w:eastAsia="Times New Roman" w:hAnsi="Calibri" w:cs="Times New Roman"/>
                <w:color w:val="000000"/>
              </w:rPr>
            </w:pPr>
            <w:r w:rsidRPr="00D06DF5">
              <w:rPr>
                <w:rFonts w:ascii="Calibri" w:eastAsia="Times New Roman" w:hAnsi="Calibri" w:cs="Times New Roman"/>
                <w:color w:val="000000"/>
              </w:rPr>
              <w:t>Akzo Nobel</w:t>
            </w:r>
          </w:p>
        </w:tc>
        <w:tc>
          <w:tcPr>
            <w:tcW w:w="1034" w:type="dxa"/>
            <w:tcBorders>
              <w:top w:val="nil"/>
              <w:left w:val="nil"/>
              <w:bottom w:val="nil"/>
              <w:right w:val="nil"/>
            </w:tcBorders>
            <w:shd w:val="clear" w:color="auto" w:fill="auto"/>
            <w:noWrap/>
            <w:vAlign w:val="bottom"/>
            <w:hideMark/>
          </w:tcPr>
          <w:p w14:paraId="136B42CF"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14EEBA2C"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2568DB97"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42BCECC6"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r>
      <w:tr w:rsidR="00D06DF5" w:rsidRPr="00D06DF5" w14:paraId="17EB8F69" w14:textId="77777777" w:rsidTr="00D06DF5">
        <w:trPr>
          <w:trHeight w:val="302"/>
        </w:trPr>
        <w:tc>
          <w:tcPr>
            <w:tcW w:w="3103" w:type="dxa"/>
            <w:tcBorders>
              <w:top w:val="nil"/>
              <w:left w:val="nil"/>
              <w:bottom w:val="nil"/>
              <w:right w:val="nil"/>
            </w:tcBorders>
            <w:shd w:val="clear" w:color="D9D9D9" w:fill="D9D9D9"/>
            <w:noWrap/>
            <w:vAlign w:val="bottom"/>
            <w:hideMark/>
          </w:tcPr>
          <w:p w14:paraId="3C0BE9D6" w14:textId="77777777" w:rsidR="00D06DF5" w:rsidRPr="00D06DF5" w:rsidRDefault="00D06DF5" w:rsidP="00AF13F0">
            <w:pPr>
              <w:rPr>
                <w:rFonts w:ascii="Calibri" w:eastAsia="Times New Roman" w:hAnsi="Calibri" w:cs="Times New Roman"/>
                <w:color w:val="000000"/>
              </w:rPr>
            </w:pPr>
          </w:p>
        </w:tc>
        <w:tc>
          <w:tcPr>
            <w:tcW w:w="1960" w:type="dxa"/>
            <w:tcBorders>
              <w:top w:val="nil"/>
              <w:left w:val="nil"/>
              <w:bottom w:val="nil"/>
              <w:right w:val="nil"/>
            </w:tcBorders>
            <w:shd w:val="clear" w:color="D9D9D9" w:fill="D9D9D9"/>
            <w:noWrap/>
            <w:vAlign w:val="bottom"/>
            <w:hideMark/>
          </w:tcPr>
          <w:p w14:paraId="30168DCF" w14:textId="77777777" w:rsidR="00D06DF5" w:rsidRPr="00D06DF5" w:rsidRDefault="00D06DF5" w:rsidP="00AF13F0">
            <w:pPr>
              <w:rPr>
                <w:rFonts w:ascii="Calibri" w:eastAsia="Times New Roman" w:hAnsi="Calibri" w:cs="Times New Roman"/>
                <w:color w:val="000000"/>
              </w:rPr>
            </w:pPr>
            <w:r w:rsidRPr="00D06DF5">
              <w:rPr>
                <w:rFonts w:ascii="Calibri" w:eastAsia="Times New Roman" w:hAnsi="Calibri" w:cs="Times New Roman"/>
                <w:color w:val="000000"/>
              </w:rPr>
              <w:t>ArcelorMittal</w:t>
            </w:r>
          </w:p>
        </w:tc>
        <w:tc>
          <w:tcPr>
            <w:tcW w:w="1034" w:type="dxa"/>
            <w:tcBorders>
              <w:top w:val="nil"/>
              <w:left w:val="nil"/>
              <w:bottom w:val="nil"/>
              <w:right w:val="nil"/>
            </w:tcBorders>
            <w:shd w:val="clear" w:color="D9D9D9" w:fill="D9D9D9"/>
            <w:noWrap/>
            <w:vAlign w:val="bottom"/>
            <w:hideMark/>
          </w:tcPr>
          <w:p w14:paraId="6C4B1A95"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1847C4E9"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1459DF03"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56CD2AB0"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r>
      <w:tr w:rsidR="00D06DF5" w:rsidRPr="00D06DF5" w14:paraId="7E452178" w14:textId="77777777" w:rsidTr="00D06DF5">
        <w:trPr>
          <w:trHeight w:val="302"/>
        </w:trPr>
        <w:tc>
          <w:tcPr>
            <w:tcW w:w="3103" w:type="dxa"/>
            <w:tcBorders>
              <w:top w:val="nil"/>
              <w:left w:val="nil"/>
              <w:bottom w:val="nil"/>
              <w:right w:val="nil"/>
            </w:tcBorders>
            <w:shd w:val="clear" w:color="auto" w:fill="auto"/>
            <w:noWrap/>
            <w:vAlign w:val="bottom"/>
            <w:hideMark/>
          </w:tcPr>
          <w:p w14:paraId="42E97115" w14:textId="77777777" w:rsidR="00D06DF5" w:rsidRPr="00D06DF5" w:rsidRDefault="00D06DF5" w:rsidP="00AF13F0">
            <w:pPr>
              <w:rPr>
                <w:rFonts w:ascii="Calibri" w:eastAsia="Times New Roman" w:hAnsi="Calibri" w:cs="Times New Roman"/>
                <w:color w:val="000000"/>
              </w:rPr>
            </w:pPr>
          </w:p>
        </w:tc>
        <w:tc>
          <w:tcPr>
            <w:tcW w:w="1960" w:type="dxa"/>
            <w:tcBorders>
              <w:top w:val="nil"/>
              <w:left w:val="nil"/>
              <w:bottom w:val="nil"/>
              <w:right w:val="nil"/>
            </w:tcBorders>
            <w:shd w:val="clear" w:color="auto" w:fill="auto"/>
            <w:noWrap/>
            <w:vAlign w:val="bottom"/>
            <w:hideMark/>
          </w:tcPr>
          <w:p w14:paraId="10A4067A" w14:textId="77777777" w:rsidR="00D06DF5" w:rsidRPr="00D06DF5" w:rsidRDefault="00D06DF5" w:rsidP="00AF13F0">
            <w:pPr>
              <w:rPr>
                <w:rFonts w:ascii="Calibri" w:eastAsia="Times New Roman" w:hAnsi="Calibri" w:cs="Times New Roman"/>
                <w:color w:val="000000"/>
              </w:rPr>
            </w:pPr>
            <w:r w:rsidRPr="00D06DF5">
              <w:rPr>
                <w:rFonts w:ascii="Calibri" w:eastAsia="Times New Roman" w:hAnsi="Calibri" w:cs="Times New Roman"/>
                <w:color w:val="000000"/>
              </w:rPr>
              <w:t>Boskalis</w:t>
            </w:r>
          </w:p>
        </w:tc>
        <w:tc>
          <w:tcPr>
            <w:tcW w:w="1034" w:type="dxa"/>
            <w:tcBorders>
              <w:top w:val="nil"/>
              <w:left w:val="nil"/>
              <w:bottom w:val="nil"/>
              <w:right w:val="nil"/>
            </w:tcBorders>
            <w:shd w:val="clear" w:color="auto" w:fill="auto"/>
            <w:noWrap/>
            <w:vAlign w:val="bottom"/>
            <w:hideMark/>
          </w:tcPr>
          <w:p w14:paraId="7F99339C"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335DD7D7"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322E29CC"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30065705"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r>
      <w:tr w:rsidR="00D06DF5" w:rsidRPr="00D06DF5" w14:paraId="4DFCF0AF" w14:textId="77777777" w:rsidTr="00D06DF5">
        <w:trPr>
          <w:trHeight w:val="302"/>
        </w:trPr>
        <w:tc>
          <w:tcPr>
            <w:tcW w:w="3103" w:type="dxa"/>
            <w:tcBorders>
              <w:top w:val="nil"/>
              <w:left w:val="nil"/>
              <w:bottom w:val="nil"/>
              <w:right w:val="nil"/>
            </w:tcBorders>
            <w:shd w:val="clear" w:color="D9D9D9" w:fill="D9D9D9"/>
            <w:noWrap/>
            <w:vAlign w:val="bottom"/>
            <w:hideMark/>
          </w:tcPr>
          <w:p w14:paraId="3D2203D0" w14:textId="77777777" w:rsidR="00D06DF5" w:rsidRPr="00D06DF5" w:rsidRDefault="00D06DF5" w:rsidP="00AF13F0">
            <w:pPr>
              <w:rPr>
                <w:rFonts w:ascii="Calibri" w:eastAsia="Times New Roman" w:hAnsi="Calibri" w:cs="Times New Roman"/>
                <w:color w:val="000000"/>
              </w:rPr>
            </w:pPr>
          </w:p>
        </w:tc>
        <w:tc>
          <w:tcPr>
            <w:tcW w:w="1960" w:type="dxa"/>
            <w:tcBorders>
              <w:top w:val="nil"/>
              <w:left w:val="nil"/>
              <w:bottom w:val="nil"/>
              <w:right w:val="nil"/>
            </w:tcBorders>
            <w:shd w:val="clear" w:color="D9D9D9" w:fill="D9D9D9"/>
            <w:noWrap/>
            <w:vAlign w:val="bottom"/>
            <w:hideMark/>
          </w:tcPr>
          <w:p w14:paraId="5CF908EB" w14:textId="77777777" w:rsidR="00D06DF5" w:rsidRPr="00D06DF5" w:rsidRDefault="00D06DF5" w:rsidP="00AF13F0">
            <w:pPr>
              <w:rPr>
                <w:rFonts w:ascii="Calibri" w:eastAsia="Times New Roman" w:hAnsi="Calibri" w:cs="Times New Roman"/>
                <w:color w:val="000000"/>
              </w:rPr>
            </w:pPr>
            <w:r w:rsidRPr="00D06DF5">
              <w:rPr>
                <w:rFonts w:ascii="Calibri" w:eastAsia="Times New Roman" w:hAnsi="Calibri" w:cs="Times New Roman"/>
                <w:color w:val="000000"/>
              </w:rPr>
              <w:t>Delta Lloyd</w:t>
            </w:r>
          </w:p>
        </w:tc>
        <w:tc>
          <w:tcPr>
            <w:tcW w:w="1034" w:type="dxa"/>
            <w:tcBorders>
              <w:top w:val="nil"/>
              <w:left w:val="nil"/>
              <w:bottom w:val="nil"/>
              <w:right w:val="nil"/>
            </w:tcBorders>
            <w:shd w:val="clear" w:color="D9D9D9" w:fill="D9D9D9"/>
            <w:noWrap/>
            <w:vAlign w:val="bottom"/>
            <w:hideMark/>
          </w:tcPr>
          <w:p w14:paraId="58D80EB7"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73B9592B"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289ECCE5"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6F2733D9"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r>
      <w:tr w:rsidR="00D06DF5" w:rsidRPr="00D06DF5" w14:paraId="49FA9342" w14:textId="77777777" w:rsidTr="00D06DF5">
        <w:trPr>
          <w:trHeight w:val="302"/>
        </w:trPr>
        <w:tc>
          <w:tcPr>
            <w:tcW w:w="3103" w:type="dxa"/>
            <w:tcBorders>
              <w:top w:val="nil"/>
              <w:left w:val="nil"/>
              <w:bottom w:val="nil"/>
              <w:right w:val="nil"/>
            </w:tcBorders>
            <w:shd w:val="clear" w:color="auto" w:fill="auto"/>
            <w:noWrap/>
            <w:vAlign w:val="bottom"/>
            <w:hideMark/>
          </w:tcPr>
          <w:p w14:paraId="7BAA564B" w14:textId="77777777" w:rsidR="00D06DF5" w:rsidRPr="00D06DF5" w:rsidRDefault="00D06DF5" w:rsidP="00AF13F0">
            <w:pPr>
              <w:rPr>
                <w:rFonts w:ascii="Calibri" w:eastAsia="Times New Roman" w:hAnsi="Calibri" w:cs="Times New Roman"/>
                <w:color w:val="000000"/>
              </w:rPr>
            </w:pPr>
          </w:p>
        </w:tc>
        <w:tc>
          <w:tcPr>
            <w:tcW w:w="1960" w:type="dxa"/>
            <w:tcBorders>
              <w:top w:val="nil"/>
              <w:left w:val="nil"/>
              <w:bottom w:val="nil"/>
              <w:right w:val="nil"/>
            </w:tcBorders>
            <w:shd w:val="clear" w:color="auto" w:fill="auto"/>
            <w:noWrap/>
            <w:vAlign w:val="bottom"/>
            <w:hideMark/>
          </w:tcPr>
          <w:p w14:paraId="50BD6A97" w14:textId="77777777" w:rsidR="00D06DF5" w:rsidRPr="00D06DF5" w:rsidRDefault="00D06DF5" w:rsidP="00AF13F0">
            <w:pPr>
              <w:rPr>
                <w:rFonts w:ascii="Calibri" w:eastAsia="Times New Roman" w:hAnsi="Calibri" w:cs="Times New Roman"/>
                <w:color w:val="000000"/>
              </w:rPr>
            </w:pPr>
            <w:r w:rsidRPr="00D06DF5">
              <w:rPr>
                <w:rFonts w:ascii="Calibri" w:eastAsia="Times New Roman" w:hAnsi="Calibri" w:cs="Times New Roman"/>
                <w:color w:val="000000"/>
              </w:rPr>
              <w:t>Gemalto</w:t>
            </w:r>
          </w:p>
        </w:tc>
        <w:tc>
          <w:tcPr>
            <w:tcW w:w="1034" w:type="dxa"/>
            <w:tcBorders>
              <w:top w:val="nil"/>
              <w:left w:val="nil"/>
              <w:bottom w:val="nil"/>
              <w:right w:val="nil"/>
            </w:tcBorders>
            <w:shd w:val="clear" w:color="auto" w:fill="auto"/>
            <w:noWrap/>
            <w:vAlign w:val="bottom"/>
            <w:hideMark/>
          </w:tcPr>
          <w:p w14:paraId="0DAEF9B3"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0CAE0F83"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0C95D302"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6ACCB2F7"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r>
      <w:tr w:rsidR="00D06DF5" w:rsidRPr="00D06DF5" w14:paraId="1EF57A8B" w14:textId="77777777" w:rsidTr="00D06DF5">
        <w:trPr>
          <w:trHeight w:val="302"/>
        </w:trPr>
        <w:tc>
          <w:tcPr>
            <w:tcW w:w="3103" w:type="dxa"/>
            <w:tcBorders>
              <w:top w:val="nil"/>
              <w:left w:val="nil"/>
              <w:bottom w:val="nil"/>
              <w:right w:val="nil"/>
            </w:tcBorders>
            <w:shd w:val="clear" w:color="D9D9D9" w:fill="D9D9D9"/>
            <w:noWrap/>
            <w:vAlign w:val="bottom"/>
            <w:hideMark/>
          </w:tcPr>
          <w:p w14:paraId="2CF0299D" w14:textId="77777777" w:rsidR="00D06DF5" w:rsidRPr="00D06DF5" w:rsidRDefault="00D06DF5" w:rsidP="00AF13F0">
            <w:pPr>
              <w:rPr>
                <w:rFonts w:ascii="Calibri" w:eastAsia="Times New Roman" w:hAnsi="Calibri" w:cs="Times New Roman"/>
                <w:color w:val="000000"/>
              </w:rPr>
            </w:pPr>
          </w:p>
        </w:tc>
        <w:tc>
          <w:tcPr>
            <w:tcW w:w="1960" w:type="dxa"/>
            <w:tcBorders>
              <w:top w:val="nil"/>
              <w:left w:val="nil"/>
              <w:bottom w:val="nil"/>
              <w:right w:val="nil"/>
            </w:tcBorders>
            <w:shd w:val="clear" w:color="D9D9D9" w:fill="D9D9D9"/>
            <w:noWrap/>
            <w:vAlign w:val="bottom"/>
            <w:hideMark/>
          </w:tcPr>
          <w:p w14:paraId="14792F53" w14:textId="77777777" w:rsidR="00D06DF5" w:rsidRPr="00D06DF5" w:rsidRDefault="00D06DF5" w:rsidP="00AF13F0">
            <w:pPr>
              <w:rPr>
                <w:rFonts w:ascii="Calibri" w:eastAsia="Times New Roman" w:hAnsi="Calibri" w:cs="Times New Roman"/>
                <w:color w:val="000000"/>
              </w:rPr>
            </w:pPr>
            <w:r w:rsidRPr="00D06DF5">
              <w:rPr>
                <w:rFonts w:ascii="Calibri" w:eastAsia="Times New Roman" w:hAnsi="Calibri" w:cs="Times New Roman"/>
                <w:color w:val="000000"/>
              </w:rPr>
              <w:t>Heineken</w:t>
            </w:r>
          </w:p>
        </w:tc>
        <w:tc>
          <w:tcPr>
            <w:tcW w:w="1034" w:type="dxa"/>
            <w:tcBorders>
              <w:top w:val="nil"/>
              <w:left w:val="nil"/>
              <w:bottom w:val="nil"/>
              <w:right w:val="nil"/>
            </w:tcBorders>
            <w:shd w:val="clear" w:color="D9D9D9" w:fill="D9D9D9"/>
            <w:noWrap/>
            <w:vAlign w:val="bottom"/>
            <w:hideMark/>
          </w:tcPr>
          <w:p w14:paraId="08193AFA"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4AF848A9"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32084BF2"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03564082"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r>
      <w:tr w:rsidR="00D06DF5" w:rsidRPr="00D06DF5" w14:paraId="61598474" w14:textId="77777777" w:rsidTr="00D06DF5">
        <w:trPr>
          <w:trHeight w:val="302"/>
        </w:trPr>
        <w:tc>
          <w:tcPr>
            <w:tcW w:w="3103" w:type="dxa"/>
            <w:tcBorders>
              <w:top w:val="nil"/>
              <w:left w:val="nil"/>
              <w:bottom w:val="nil"/>
              <w:right w:val="nil"/>
            </w:tcBorders>
            <w:shd w:val="clear" w:color="auto" w:fill="auto"/>
            <w:noWrap/>
            <w:vAlign w:val="bottom"/>
            <w:hideMark/>
          </w:tcPr>
          <w:p w14:paraId="4A6AECA1" w14:textId="77777777" w:rsidR="00D06DF5" w:rsidRPr="00D06DF5" w:rsidRDefault="00D06DF5" w:rsidP="00AF13F0">
            <w:pPr>
              <w:rPr>
                <w:rFonts w:ascii="Calibri" w:eastAsia="Times New Roman" w:hAnsi="Calibri" w:cs="Times New Roman"/>
                <w:color w:val="000000"/>
              </w:rPr>
            </w:pPr>
          </w:p>
        </w:tc>
        <w:tc>
          <w:tcPr>
            <w:tcW w:w="1960" w:type="dxa"/>
            <w:tcBorders>
              <w:top w:val="nil"/>
              <w:left w:val="nil"/>
              <w:bottom w:val="nil"/>
              <w:right w:val="nil"/>
            </w:tcBorders>
            <w:shd w:val="clear" w:color="auto" w:fill="auto"/>
            <w:noWrap/>
            <w:vAlign w:val="bottom"/>
            <w:hideMark/>
          </w:tcPr>
          <w:p w14:paraId="0304B6EE" w14:textId="77777777" w:rsidR="00D06DF5" w:rsidRPr="00D06DF5" w:rsidRDefault="00D06DF5" w:rsidP="00AF13F0">
            <w:pPr>
              <w:rPr>
                <w:rFonts w:ascii="Calibri" w:eastAsia="Times New Roman" w:hAnsi="Calibri" w:cs="Times New Roman"/>
                <w:color w:val="000000"/>
              </w:rPr>
            </w:pPr>
            <w:r w:rsidRPr="00D06DF5">
              <w:rPr>
                <w:rFonts w:ascii="Calibri" w:eastAsia="Times New Roman" w:hAnsi="Calibri" w:cs="Times New Roman"/>
                <w:color w:val="000000"/>
              </w:rPr>
              <w:t>ING</w:t>
            </w:r>
          </w:p>
        </w:tc>
        <w:tc>
          <w:tcPr>
            <w:tcW w:w="1034" w:type="dxa"/>
            <w:tcBorders>
              <w:top w:val="nil"/>
              <w:left w:val="nil"/>
              <w:bottom w:val="nil"/>
              <w:right w:val="nil"/>
            </w:tcBorders>
            <w:shd w:val="clear" w:color="auto" w:fill="auto"/>
            <w:noWrap/>
            <w:vAlign w:val="bottom"/>
            <w:hideMark/>
          </w:tcPr>
          <w:p w14:paraId="66EA8527"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4E0307F4"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655503DD"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09822887"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r>
      <w:tr w:rsidR="00D06DF5" w:rsidRPr="00D06DF5" w14:paraId="7F9F7F2D" w14:textId="77777777" w:rsidTr="00D06DF5">
        <w:trPr>
          <w:trHeight w:val="302"/>
        </w:trPr>
        <w:tc>
          <w:tcPr>
            <w:tcW w:w="3103" w:type="dxa"/>
            <w:tcBorders>
              <w:top w:val="nil"/>
              <w:left w:val="nil"/>
              <w:bottom w:val="nil"/>
              <w:right w:val="nil"/>
            </w:tcBorders>
            <w:shd w:val="clear" w:color="D9D9D9" w:fill="D9D9D9"/>
            <w:noWrap/>
            <w:vAlign w:val="bottom"/>
            <w:hideMark/>
          </w:tcPr>
          <w:p w14:paraId="423B45EF" w14:textId="77777777" w:rsidR="00D06DF5" w:rsidRPr="00D06DF5" w:rsidRDefault="00D06DF5" w:rsidP="00AF13F0">
            <w:pPr>
              <w:rPr>
                <w:rFonts w:ascii="Calibri" w:eastAsia="Times New Roman" w:hAnsi="Calibri" w:cs="Times New Roman"/>
                <w:color w:val="000000"/>
              </w:rPr>
            </w:pPr>
          </w:p>
        </w:tc>
        <w:tc>
          <w:tcPr>
            <w:tcW w:w="1960" w:type="dxa"/>
            <w:tcBorders>
              <w:top w:val="nil"/>
              <w:left w:val="nil"/>
              <w:bottom w:val="nil"/>
              <w:right w:val="nil"/>
            </w:tcBorders>
            <w:shd w:val="clear" w:color="D9D9D9" w:fill="D9D9D9"/>
            <w:noWrap/>
            <w:vAlign w:val="bottom"/>
            <w:hideMark/>
          </w:tcPr>
          <w:p w14:paraId="76F6BBF6" w14:textId="77777777" w:rsidR="00D06DF5" w:rsidRPr="00D06DF5" w:rsidRDefault="00D06DF5" w:rsidP="00AF13F0">
            <w:pPr>
              <w:rPr>
                <w:rFonts w:ascii="Calibri" w:eastAsia="Times New Roman" w:hAnsi="Calibri" w:cs="Times New Roman"/>
                <w:color w:val="000000"/>
              </w:rPr>
            </w:pPr>
            <w:r w:rsidRPr="00D06DF5">
              <w:rPr>
                <w:rFonts w:ascii="Calibri" w:eastAsia="Times New Roman" w:hAnsi="Calibri" w:cs="Times New Roman"/>
                <w:color w:val="000000"/>
              </w:rPr>
              <w:t>KPN</w:t>
            </w:r>
          </w:p>
        </w:tc>
        <w:tc>
          <w:tcPr>
            <w:tcW w:w="1034" w:type="dxa"/>
            <w:tcBorders>
              <w:top w:val="nil"/>
              <w:left w:val="nil"/>
              <w:bottom w:val="nil"/>
              <w:right w:val="nil"/>
            </w:tcBorders>
            <w:shd w:val="clear" w:color="D9D9D9" w:fill="D9D9D9"/>
            <w:noWrap/>
            <w:vAlign w:val="bottom"/>
            <w:hideMark/>
          </w:tcPr>
          <w:p w14:paraId="7295B9E9"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750A0F0F"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1DF0B68D"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3697FBB1"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r>
      <w:tr w:rsidR="00D06DF5" w:rsidRPr="00D06DF5" w14:paraId="398E69A5" w14:textId="77777777" w:rsidTr="00D06DF5">
        <w:trPr>
          <w:trHeight w:val="302"/>
        </w:trPr>
        <w:tc>
          <w:tcPr>
            <w:tcW w:w="3103" w:type="dxa"/>
            <w:tcBorders>
              <w:top w:val="nil"/>
              <w:left w:val="nil"/>
              <w:bottom w:val="nil"/>
              <w:right w:val="nil"/>
            </w:tcBorders>
            <w:shd w:val="clear" w:color="auto" w:fill="auto"/>
            <w:noWrap/>
            <w:vAlign w:val="bottom"/>
            <w:hideMark/>
          </w:tcPr>
          <w:p w14:paraId="24DEE54C" w14:textId="77777777" w:rsidR="00D06DF5" w:rsidRPr="00D06DF5" w:rsidRDefault="00D06DF5" w:rsidP="00AF13F0">
            <w:pPr>
              <w:rPr>
                <w:rFonts w:ascii="Calibri" w:eastAsia="Times New Roman" w:hAnsi="Calibri" w:cs="Times New Roman"/>
                <w:color w:val="000000"/>
              </w:rPr>
            </w:pPr>
          </w:p>
        </w:tc>
        <w:tc>
          <w:tcPr>
            <w:tcW w:w="1960" w:type="dxa"/>
            <w:tcBorders>
              <w:top w:val="nil"/>
              <w:left w:val="nil"/>
              <w:bottom w:val="nil"/>
              <w:right w:val="nil"/>
            </w:tcBorders>
            <w:shd w:val="clear" w:color="auto" w:fill="auto"/>
            <w:noWrap/>
            <w:vAlign w:val="bottom"/>
            <w:hideMark/>
          </w:tcPr>
          <w:p w14:paraId="160F6982" w14:textId="77777777" w:rsidR="00D06DF5" w:rsidRPr="00D06DF5" w:rsidRDefault="00D06DF5" w:rsidP="00AF13F0">
            <w:pPr>
              <w:rPr>
                <w:rFonts w:ascii="Calibri" w:eastAsia="Times New Roman" w:hAnsi="Calibri" w:cs="Times New Roman"/>
                <w:color w:val="000000"/>
              </w:rPr>
            </w:pPr>
            <w:r w:rsidRPr="00D06DF5">
              <w:rPr>
                <w:rFonts w:ascii="Calibri" w:eastAsia="Times New Roman" w:hAnsi="Calibri" w:cs="Times New Roman"/>
                <w:color w:val="000000"/>
              </w:rPr>
              <w:t>OCI</w:t>
            </w:r>
          </w:p>
        </w:tc>
        <w:tc>
          <w:tcPr>
            <w:tcW w:w="1034" w:type="dxa"/>
            <w:tcBorders>
              <w:top w:val="nil"/>
              <w:left w:val="nil"/>
              <w:bottom w:val="nil"/>
              <w:right w:val="nil"/>
            </w:tcBorders>
            <w:shd w:val="clear" w:color="auto" w:fill="auto"/>
            <w:noWrap/>
            <w:vAlign w:val="bottom"/>
            <w:hideMark/>
          </w:tcPr>
          <w:p w14:paraId="684F4BFC"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4522DF62"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65E08E76"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72C6393A"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r>
      <w:tr w:rsidR="00D06DF5" w:rsidRPr="00D06DF5" w14:paraId="0EEF90B1" w14:textId="77777777" w:rsidTr="00D06DF5">
        <w:trPr>
          <w:trHeight w:val="302"/>
        </w:trPr>
        <w:tc>
          <w:tcPr>
            <w:tcW w:w="3103" w:type="dxa"/>
            <w:tcBorders>
              <w:top w:val="nil"/>
              <w:left w:val="nil"/>
              <w:bottom w:val="nil"/>
              <w:right w:val="nil"/>
            </w:tcBorders>
            <w:shd w:val="clear" w:color="D9D9D9" w:fill="D9D9D9"/>
            <w:noWrap/>
            <w:vAlign w:val="bottom"/>
            <w:hideMark/>
          </w:tcPr>
          <w:p w14:paraId="2777B749" w14:textId="77777777" w:rsidR="00D06DF5" w:rsidRPr="00D06DF5" w:rsidRDefault="00D06DF5" w:rsidP="00AF13F0">
            <w:pPr>
              <w:rPr>
                <w:rFonts w:ascii="Calibri" w:eastAsia="Times New Roman" w:hAnsi="Calibri" w:cs="Times New Roman"/>
                <w:color w:val="000000"/>
              </w:rPr>
            </w:pPr>
          </w:p>
        </w:tc>
        <w:tc>
          <w:tcPr>
            <w:tcW w:w="1960" w:type="dxa"/>
            <w:tcBorders>
              <w:top w:val="nil"/>
              <w:left w:val="nil"/>
              <w:bottom w:val="nil"/>
              <w:right w:val="nil"/>
            </w:tcBorders>
            <w:shd w:val="clear" w:color="D9D9D9" w:fill="D9D9D9"/>
            <w:noWrap/>
            <w:vAlign w:val="bottom"/>
            <w:hideMark/>
          </w:tcPr>
          <w:p w14:paraId="36BF24EA" w14:textId="77777777" w:rsidR="00D06DF5" w:rsidRPr="00D06DF5" w:rsidRDefault="00D06DF5" w:rsidP="00AF13F0">
            <w:pPr>
              <w:rPr>
                <w:rFonts w:ascii="Calibri" w:eastAsia="Times New Roman" w:hAnsi="Calibri" w:cs="Times New Roman"/>
                <w:color w:val="000000"/>
              </w:rPr>
            </w:pPr>
            <w:r w:rsidRPr="00D06DF5">
              <w:rPr>
                <w:rFonts w:ascii="Calibri" w:eastAsia="Times New Roman" w:hAnsi="Calibri" w:cs="Times New Roman"/>
                <w:color w:val="000000"/>
              </w:rPr>
              <w:t>Philips</w:t>
            </w:r>
          </w:p>
        </w:tc>
        <w:tc>
          <w:tcPr>
            <w:tcW w:w="1034" w:type="dxa"/>
            <w:tcBorders>
              <w:top w:val="nil"/>
              <w:left w:val="nil"/>
              <w:bottom w:val="nil"/>
              <w:right w:val="nil"/>
            </w:tcBorders>
            <w:shd w:val="clear" w:color="D9D9D9" w:fill="D9D9D9"/>
            <w:noWrap/>
            <w:vAlign w:val="bottom"/>
            <w:hideMark/>
          </w:tcPr>
          <w:p w14:paraId="5DF80417"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0EC1D374"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3CD9CE9A"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0AD7AC09"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r>
      <w:tr w:rsidR="00D06DF5" w:rsidRPr="00D06DF5" w14:paraId="09C6EFED" w14:textId="77777777" w:rsidTr="00D06DF5">
        <w:trPr>
          <w:trHeight w:val="302"/>
        </w:trPr>
        <w:tc>
          <w:tcPr>
            <w:tcW w:w="3103" w:type="dxa"/>
            <w:tcBorders>
              <w:top w:val="nil"/>
              <w:left w:val="nil"/>
              <w:bottom w:val="nil"/>
              <w:right w:val="nil"/>
            </w:tcBorders>
            <w:shd w:val="clear" w:color="auto" w:fill="auto"/>
            <w:noWrap/>
            <w:vAlign w:val="bottom"/>
            <w:hideMark/>
          </w:tcPr>
          <w:p w14:paraId="178E8B5A" w14:textId="77777777" w:rsidR="00D06DF5" w:rsidRPr="00D06DF5" w:rsidRDefault="00D06DF5" w:rsidP="00AF13F0">
            <w:pPr>
              <w:rPr>
                <w:rFonts w:ascii="Calibri" w:eastAsia="Times New Roman" w:hAnsi="Calibri" w:cs="Times New Roman"/>
                <w:color w:val="000000"/>
              </w:rPr>
            </w:pPr>
          </w:p>
        </w:tc>
        <w:tc>
          <w:tcPr>
            <w:tcW w:w="1960" w:type="dxa"/>
            <w:tcBorders>
              <w:top w:val="nil"/>
              <w:left w:val="nil"/>
              <w:bottom w:val="nil"/>
              <w:right w:val="nil"/>
            </w:tcBorders>
            <w:shd w:val="clear" w:color="auto" w:fill="auto"/>
            <w:noWrap/>
            <w:vAlign w:val="bottom"/>
            <w:hideMark/>
          </w:tcPr>
          <w:p w14:paraId="5284C640" w14:textId="77777777" w:rsidR="00D06DF5" w:rsidRPr="00D06DF5" w:rsidRDefault="00D06DF5" w:rsidP="00AF13F0">
            <w:pPr>
              <w:rPr>
                <w:rFonts w:ascii="Calibri" w:eastAsia="Times New Roman" w:hAnsi="Calibri" w:cs="Times New Roman"/>
                <w:color w:val="000000"/>
              </w:rPr>
            </w:pPr>
            <w:r w:rsidRPr="00D06DF5">
              <w:rPr>
                <w:rFonts w:ascii="Calibri" w:eastAsia="Times New Roman" w:hAnsi="Calibri" w:cs="Times New Roman"/>
                <w:color w:val="000000"/>
              </w:rPr>
              <w:t>Randstad</w:t>
            </w:r>
          </w:p>
        </w:tc>
        <w:tc>
          <w:tcPr>
            <w:tcW w:w="1034" w:type="dxa"/>
            <w:tcBorders>
              <w:top w:val="nil"/>
              <w:left w:val="nil"/>
              <w:bottom w:val="nil"/>
              <w:right w:val="nil"/>
            </w:tcBorders>
            <w:shd w:val="clear" w:color="auto" w:fill="auto"/>
            <w:noWrap/>
            <w:vAlign w:val="bottom"/>
            <w:hideMark/>
          </w:tcPr>
          <w:p w14:paraId="4AB654D3"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4FE0F8BF"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04B385EA"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76252344"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r>
      <w:tr w:rsidR="00D06DF5" w:rsidRPr="00D06DF5" w14:paraId="38F98EF4" w14:textId="77777777" w:rsidTr="00D06DF5">
        <w:trPr>
          <w:trHeight w:val="302"/>
        </w:trPr>
        <w:tc>
          <w:tcPr>
            <w:tcW w:w="3103" w:type="dxa"/>
            <w:tcBorders>
              <w:top w:val="nil"/>
              <w:left w:val="nil"/>
              <w:bottom w:val="nil"/>
              <w:right w:val="nil"/>
            </w:tcBorders>
            <w:shd w:val="clear" w:color="D9D9D9" w:fill="D9D9D9"/>
            <w:noWrap/>
            <w:vAlign w:val="bottom"/>
            <w:hideMark/>
          </w:tcPr>
          <w:p w14:paraId="2FEF1344" w14:textId="77777777" w:rsidR="00D06DF5" w:rsidRPr="00D06DF5" w:rsidRDefault="00D06DF5" w:rsidP="00AF13F0">
            <w:pPr>
              <w:rPr>
                <w:rFonts w:ascii="Calibri" w:eastAsia="Times New Roman" w:hAnsi="Calibri" w:cs="Times New Roman"/>
                <w:color w:val="000000"/>
              </w:rPr>
            </w:pPr>
          </w:p>
        </w:tc>
        <w:tc>
          <w:tcPr>
            <w:tcW w:w="1960" w:type="dxa"/>
            <w:tcBorders>
              <w:top w:val="nil"/>
              <w:left w:val="nil"/>
              <w:bottom w:val="nil"/>
              <w:right w:val="nil"/>
            </w:tcBorders>
            <w:shd w:val="clear" w:color="D9D9D9" w:fill="D9D9D9"/>
            <w:noWrap/>
            <w:vAlign w:val="bottom"/>
            <w:hideMark/>
          </w:tcPr>
          <w:p w14:paraId="01C2EC14" w14:textId="77777777" w:rsidR="00D06DF5" w:rsidRPr="00D06DF5" w:rsidRDefault="00D06DF5" w:rsidP="00AF13F0">
            <w:pPr>
              <w:rPr>
                <w:rFonts w:ascii="Calibri" w:eastAsia="Times New Roman" w:hAnsi="Calibri" w:cs="Times New Roman"/>
                <w:color w:val="000000"/>
              </w:rPr>
            </w:pPr>
            <w:r w:rsidRPr="00D06DF5">
              <w:rPr>
                <w:rFonts w:ascii="Calibri" w:eastAsia="Times New Roman" w:hAnsi="Calibri" w:cs="Times New Roman"/>
                <w:color w:val="000000"/>
              </w:rPr>
              <w:t>Reed Elsevier</w:t>
            </w:r>
          </w:p>
        </w:tc>
        <w:tc>
          <w:tcPr>
            <w:tcW w:w="1034" w:type="dxa"/>
            <w:tcBorders>
              <w:top w:val="nil"/>
              <w:left w:val="nil"/>
              <w:bottom w:val="nil"/>
              <w:right w:val="nil"/>
            </w:tcBorders>
            <w:shd w:val="clear" w:color="D9D9D9" w:fill="D9D9D9"/>
            <w:noWrap/>
            <w:vAlign w:val="bottom"/>
            <w:hideMark/>
          </w:tcPr>
          <w:p w14:paraId="2DE75C9C"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1FD89FFF"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547EC384"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1E1F7C8A"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r>
      <w:tr w:rsidR="00D06DF5" w:rsidRPr="00D06DF5" w14:paraId="4378E5FC" w14:textId="77777777" w:rsidTr="00D06DF5">
        <w:trPr>
          <w:trHeight w:val="302"/>
        </w:trPr>
        <w:tc>
          <w:tcPr>
            <w:tcW w:w="3103" w:type="dxa"/>
            <w:tcBorders>
              <w:top w:val="nil"/>
              <w:left w:val="nil"/>
              <w:bottom w:val="nil"/>
              <w:right w:val="nil"/>
            </w:tcBorders>
            <w:shd w:val="clear" w:color="auto" w:fill="auto"/>
            <w:noWrap/>
            <w:vAlign w:val="bottom"/>
            <w:hideMark/>
          </w:tcPr>
          <w:p w14:paraId="58EDF1CB" w14:textId="77777777" w:rsidR="00D06DF5" w:rsidRPr="00D06DF5" w:rsidRDefault="00D06DF5" w:rsidP="00AF13F0">
            <w:pPr>
              <w:rPr>
                <w:rFonts w:ascii="Calibri" w:eastAsia="Times New Roman" w:hAnsi="Calibri" w:cs="Times New Roman"/>
                <w:color w:val="000000"/>
              </w:rPr>
            </w:pPr>
          </w:p>
        </w:tc>
        <w:tc>
          <w:tcPr>
            <w:tcW w:w="1960" w:type="dxa"/>
            <w:tcBorders>
              <w:top w:val="nil"/>
              <w:left w:val="nil"/>
              <w:bottom w:val="nil"/>
              <w:right w:val="nil"/>
            </w:tcBorders>
            <w:shd w:val="clear" w:color="auto" w:fill="auto"/>
            <w:noWrap/>
            <w:vAlign w:val="bottom"/>
            <w:hideMark/>
          </w:tcPr>
          <w:p w14:paraId="3B61D9B4" w14:textId="77777777" w:rsidR="00D06DF5" w:rsidRPr="00D06DF5" w:rsidRDefault="00D06DF5" w:rsidP="00AF13F0">
            <w:pPr>
              <w:rPr>
                <w:rFonts w:ascii="Calibri" w:eastAsia="Times New Roman" w:hAnsi="Calibri" w:cs="Times New Roman"/>
                <w:color w:val="000000"/>
              </w:rPr>
            </w:pPr>
            <w:r w:rsidRPr="00D06DF5">
              <w:rPr>
                <w:rFonts w:ascii="Calibri" w:eastAsia="Times New Roman" w:hAnsi="Calibri" w:cs="Times New Roman"/>
                <w:color w:val="000000"/>
              </w:rPr>
              <w:t>Shell</w:t>
            </w:r>
          </w:p>
        </w:tc>
        <w:tc>
          <w:tcPr>
            <w:tcW w:w="1034" w:type="dxa"/>
            <w:tcBorders>
              <w:top w:val="nil"/>
              <w:left w:val="nil"/>
              <w:bottom w:val="nil"/>
              <w:right w:val="nil"/>
            </w:tcBorders>
            <w:shd w:val="clear" w:color="auto" w:fill="auto"/>
            <w:noWrap/>
            <w:vAlign w:val="bottom"/>
            <w:hideMark/>
          </w:tcPr>
          <w:p w14:paraId="33E9A9E1"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2626EE43"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3E8F4BCB"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1A5B8137"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r>
      <w:tr w:rsidR="00D06DF5" w:rsidRPr="00D06DF5" w14:paraId="334951DC" w14:textId="77777777" w:rsidTr="00D06DF5">
        <w:trPr>
          <w:trHeight w:val="302"/>
        </w:trPr>
        <w:tc>
          <w:tcPr>
            <w:tcW w:w="3103" w:type="dxa"/>
            <w:tcBorders>
              <w:top w:val="nil"/>
              <w:left w:val="nil"/>
              <w:bottom w:val="nil"/>
              <w:right w:val="nil"/>
            </w:tcBorders>
            <w:shd w:val="clear" w:color="D9D9D9" w:fill="D9D9D9"/>
            <w:noWrap/>
            <w:vAlign w:val="bottom"/>
            <w:hideMark/>
          </w:tcPr>
          <w:p w14:paraId="101BC792" w14:textId="77777777" w:rsidR="00D06DF5" w:rsidRPr="00D06DF5" w:rsidRDefault="00D06DF5" w:rsidP="00AF13F0">
            <w:pPr>
              <w:rPr>
                <w:rFonts w:ascii="Calibri" w:eastAsia="Times New Roman" w:hAnsi="Calibri" w:cs="Times New Roman"/>
                <w:color w:val="000000"/>
              </w:rPr>
            </w:pPr>
          </w:p>
        </w:tc>
        <w:tc>
          <w:tcPr>
            <w:tcW w:w="1960" w:type="dxa"/>
            <w:tcBorders>
              <w:top w:val="nil"/>
              <w:left w:val="nil"/>
              <w:bottom w:val="nil"/>
              <w:right w:val="nil"/>
            </w:tcBorders>
            <w:shd w:val="clear" w:color="D9D9D9" w:fill="D9D9D9"/>
            <w:noWrap/>
            <w:vAlign w:val="bottom"/>
            <w:hideMark/>
          </w:tcPr>
          <w:p w14:paraId="14C3E969" w14:textId="77777777" w:rsidR="00D06DF5" w:rsidRPr="00D06DF5" w:rsidRDefault="00D06DF5" w:rsidP="00AF13F0">
            <w:pPr>
              <w:rPr>
                <w:rFonts w:ascii="Calibri" w:eastAsia="Times New Roman" w:hAnsi="Calibri" w:cs="Times New Roman"/>
                <w:color w:val="000000"/>
              </w:rPr>
            </w:pPr>
            <w:r w:rsidRPr="00D06DF5">
              <w:rPr>
                <w:rFonts w:ascii="Calibri" w:eastAsia="Times New Roman" w:hAnsi="Calibri" w:cs="Times New Roman"/>
                <w:color w:val="000000"/>
              </w:rPr>
              <w:t>Unibail-Rodamco</w:t>
            </w:r>
          </w:p>
        </w:tc>
        <w:tc>
          <w:tcPr>
            <w:tcW w:w="1034" w:type="dxa"/>
            <w:tcBorders>
              <w:top w:val="nil"/>
              <w:left w:val="nil"/>
              <w:bottom w:val="nil"/>
              <w:right w:val="nil"/>
            </w:tcBorders>
            <w:shd w:val="clear" w:color="D9D9D9" w:fill="D9D9D9"/>
            <w:noWrap/>
            <w:vAlign w:val="bottom"/>
            <w:hideMark/>
          </w:tcPr>
          <w:p w14:paraId="3ADE0B8E"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736E1914"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61C513F1"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609AF22B"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r>
      <w:tr w:rsidR="00D06DF5" w:rsidRPr="00D06DF5" w14:paraId="6B18743D" w14:textId="77777777" w:rsidTr="00D06DF5">
        <w:trPr>
          <w:trHeight w:val="302"/>
        </w:trPr>
        <w:tc>
          <w:tcPr>
            <w:tcW w:w="3103" w:type="dxa"/>
            <w:tcBorders>
              <w:top w:val="nil"/>
              <w:left w:val="nil"/>
              <w:bottom w:val="nil"/>
              <w:right w:val="nil"/>
            </w:tcBorders>
            <w:shd w:val="clear" w:color="auto" w:fill="auto"/>
            <w:noWrap/>
            <w:vAlign w:val="bottom"/>
            <w:hideMark/>
          </w:tcPr>
          <w:p w14:paraId="1ED63087" w14:textId="77777777" w:rsidR="00D06DF5" w:rsidRPr="00D06DF5" w:rsidRDefault="00D06DF5" w:rsidP="00AF13F0">
            <w:pPr>
              <w:rPr>
                <w:rFonts w:ascii="Calibri" w:eastAsia="Times New Roman" w:hAnsi="Calibri" w:cs="Times New Roman"/>
                <w:b/>
                <w:bCs/>
                <w:color w:val="000000"/>
              </w:rPr>
            </w:pPr>
          </w:p>
        </w:tc>
        <w:tc>
          <w:tcPr>
            <w:tcW w:w="1960" w:type="dxa"/>
            <w:tcBorders>
              <w:top w:val="nil"/>
              <w:left w:val="nil"/>
              <w:bottom w:val="nil"/>
              <w:right w:val="nil"/>
            </w:tcBorders>
            <w:shd w:val="clear" w:color="auto" w:fill="auto"/>
            <w:noWrap/>
            <w:vAlign w:val="bottom"/>
            <w:hideMark/>
          </w:tcPr>
          <w:p w14:paraId="1A106916" w14:textId="77777777" w:rsidR="00D06DF5" w:rsidRPr="00D06DF5" w:rsidRDefault="00D06DF5" w:rsidP="00AF13F0">
            <w:pPr>
              <w:rPr>
                <w:rFonts w:ascii="Calibri" w:eastAsia="Times New Roman" w:hAnsi="Calibri" w:cs="Times New Roman"/>
                <w:color w:val="000000"/>
              </w:rPr>
            </w:pPr>
            <w:r w:rsidRPr="00D06DF5">
              <w:rPr>
                <w:rFonts w:ascii="Calibri" w:eastAsia="Times New Roman" w:hAnsi="Calibri" w:cs="Times New Roman"/>
                <w:color w:val="000000"/>
              </w:rPr>
              <w:t>Unilever</w:t>
            </w:r>
          </w:p>
        </w:tc>
        <w:tc>
          <w:tcPr>
            <w:tcW w:w="1034" w:type="dxa"/>
            <w:tcBorders>
              <w:top w:val="nil"/>
              <w:left w:val="nil"/>
              <w:bottom w:val="nil"/>
              <w:right w:val="nil"/>
            </w:tcBorders>
            <w:shd w:val="clear" w:color="auto" w:fill="auto"/>
            <w:noWrap/>
            <w:vAlign w:val="bottom"/>
            <w:hideMark/>
          </w:tcPr>
          <w:p w14:paraId="029C33C2"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3D7A46E2"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16FE28CB"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auto" w:fill="auto"/>
            <w:noWrap/>
            <w:vAlign w:val="bottom"/>
            <w:hideMark/>
          </w:tcPr>
          <w:p w14:paraId="2F6FB250"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r>
      <w:tr w:rsidR="00D06DF5" w:rsidRPr="00D06DF5" w14:paraId="4E8D8E4C" w14:textId="77777777" w:rsidTr="00D06DF5">
        <w:trPr>
          <w:trHeight w:val="302"/>
        </w:trPr>
        <w:tc>
          <w:tcPr>
            <w:tcW w:w="3103" w:type="dxa"/>
            <w:tcBorders>
              <w:top w:val="nil"/>
              <w:left w:val="nil"/>
              <w:bottom w:val="nil"/>
              <w:right w:val="nil"/>
            </w:tcBorders>
            <w:shd w:val="clear" w:color="D9D9D9" w:fill="D9D9D9"/>
            <w:noWrap/>
            <w:vAlign w:val="bottom"/>
            <w:hideMark/>
          </w:tcPr>
          <w:p w14:paraId="24302573" w14:textId="77777777" w:rsidR="00D06DF5" w:rsidRPr="00D06DF5" w:rsidRDefault="00D06DF5" w:rsidP="00AF13F0">
            <w:pPr>
              <w:rPr>
                <w:rFonts w:ascii="Calibri" w:eastAsia="Times New Roman" w:hAnsi="Calibri" w:cs="Times New Roman"/>
                <w:b/>
                <w:bCs/>
                <w:color w:val="000000"/>
              </w:rPr>
            </w:pPr>
          </w:p>
        </w:tc>
        <w:tc>
          <w:tcPr>
            <w:tcW w:w="1960" w:type="dxa"/>
            <w:tcBorders>
              <w:top w:val="nil"/>
              <w:left w:val="nil"/>
              <w:bottom w:val="nil"/>
              <w:right w:val="nil"/>
            </w:tcBorders>
            <w:shd w:val="clear" w:color="D9D9D9" w:fill="D9D9D9"/>
            <w:noWrap/>
            <w:vAlign w:val="bottom"/>
            <w:hideMark/>
          </w:tcPr>
          <w:p w14:paraId="661965CC" w14:textId="77777777" w:rsidR="00D06DF5" w:rsidRPr="00D06DF5" w:rsidRDefault="00D06DF5" w:rsidP="00AF13F0">
            <w:pPr>
              <w:rPr>
                <w:rFonts w:ascii="Calibri" w:eastAsia="Times New Roman" w:hAnsi="Calibri" w:cs="Times New Roman"/>
                <w:color w:val="000000"/>
              </w:rPr>
            </w:pPr>
            <w:r w:rsidRPr="00D06DF5">
              <w:rPr>
                <w:rFonts w:ascii="Calibri" w:eastAsia="Times New Roman" w:hAnsi="Calibri" w:cs="Times New Roman"/>
                <w:color w:val="000000"/>
              </w:rPr>
              <w:t>Wolters Kluwer</w:t>
            </w:r>
          </w:p>
        </w:tc>
        <w:tc>
          <w:tcPr>
            <w:tcW w:w="1034" w:type="dxa"/>
            <w:tcBorders>
              <w:top w:val="nil"/>
              <w:left w:val="nil"/>
              <w:bottom w:val="nil"/>
              <w:right w:val="nil"/>
            </w:tcBorders>
            <w:shd w:val="clear" w:color="D9D9D9" w:fill="D9D9D9"/>
            <w:noWrap/>
            <w:vAlign w:val="bottom"/>
            <w:hideMark/>
          </w:tcPr>
          <w:p w14:paraId="776325B6"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31AAB8D2"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7D8113F2"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nil"/>
              <w:right w:val="nil"/>
            </w:tcBorders>
            <w:shd w:val="clear" w:color="D9D9D9" w:fill="D9D9D9"/>
            <w:noWrap/>
            <w:vAlign w:val="bottom"/>
            <w:hideMark/>
          </w:tcPr>
          <w:p w14:paraId="5BE72BF0"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r>
      <w:tr w:rsidR="00D06DF5" w:rsidRPr="00D06DF5" w14:paraId="08596BEB" w14:textId="77777777" w:rsidTr="00D06DF5">
        <w:trPr>
          <w:trHeight w:val="302"/>
        </w:trPr>
        <w:tc>
          <w:tcPr>
            <w:tcW w:w="3103" w:type="dxa"/>
            <w:tcBorders>
              <w:top w:val="nil"/>
              <w:left w:val="nil"/>
              <w:bottom w:val="single" w:sz="4" w:space="0" w:color="000000"/>
              <w:right w:val="nil"/>
            </w:tcBorders>
            <w:shd w:val="clear" w:color="auto" w:fill="auto"/>
            <w:noWrap/>
            <w:vAlign w:val="bottom"/>
            <w:hideMark/>
          </w:tcPr>
          <w:p w14:paraId="2798D9F8" w14:textId="77777777" w:rsidR="00D06DF5" w:rsidRPr="00D06DF5" w:rsidRDefault="00D06DF5" w:rsidP="00AF13F0">
            <w:pPr>
              <w:rPr>
                <w:rFonts w:ascii="Calibri" w:eastAsia="Times New Roman" w:hAnsi="Calibri" w:cs="Times New Roman"/>
                <w:b/>
                <w:bCs/>
                <w:color w:val="000000"/>
              </w:rPr>
            </w:pPr>
          </w:p>
        </w:tc>
        <w:tc>
          <w:tcPr>
            <w:tcW w:w="1960" w:type="dxa"/>
            <w:tcBorders>
              <w:top w:val="nil"/>
              <w:left w:val="nil"/>
              <w:bottom w:val="single" w:sz="4" w:space="0" w:color="000000"/>
              <w:right w:val="nil"/>
            </w:tcBorders>
            <w:shd w:val="clear" w:color="auto" w:fill="auto"/>
            <w:noWrap/>
            <w:vAlign w:val="bottom"/>
            <w:hideMark/>
          </w:tcPr>
          <w:p w14:paraId="2DEEC933" w14:textId="77777777" w:rsidR="00D06DF5" w:rsidRPr="00D06DF5" w:rsidRDefault="00D06DF5" w:rsidP="00AF13F0">
            <w:pPr>
              <w:rPr>
                <w:rFonts w:ascii="Calibri" w:eastAsia="Times New Roman" w:hAnsi="Calibri" w:cs="Times New Roman"/>
                <w:color w:val="000000"/>
              </w:rPr>
            </w:pPr>
            <w:r w:rsidRPr="00D06DF5">
              <w:rPr>
                <w:rFonts w:ascii="Calibri" w:eastAsia="Times New Roman" w:hAnsi="Calibri" w:cs="Times New Roman"/>
                <w:color w:val="000000"/>
              </w:rPr>
              <w:t>TNT express</w:t>
            </w:r>
          </w:p>
        </w:tc>
        <w:tc>
          <w:tcPr>
            <w:tcW w:w="1034" w:type="dxa"/>
            <w:tcBorders>
              <w:top w:val="nil"/>
              <w:left w:val="nil"/>
              <w:bottom w:val="single" w:sz="4" w:space="0" w:color="000000"/>
              <w:right w:val="nil"/>
            </w:tcBorders>
            <w:shd w:val="clear" w:color="auto" w:fill="auto"/>
            <w:noWrap/>
            <w:vAlign w:val="bottom"/>
            <w:hideMark/>
          </w:tcPr>
          <w:p w14:paraId="3CA975A8"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single" w:sz="4" w:space="0" w:color="000000"/>
              <w:right w:val="nil"/>
            </w:tcBorders>
            <w:shd w:val="clear" w:color="auto" w:fill="auto"/>
            <w:noWrap/>
            <w:vAlign w:val="bottom"/>
            <w:hideMark/>
          </w:tcPr>
          <w:p w14:paraId="4C13767D"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single" w:sz="4" w:space="0" w:color="000000"/>
              <w:right w:val="nil"/>
            </w:tcBorders>
            <w:shd w:val="clear" w:color="auto" w:fill="auto"/>
            <w:noWrap/>
            <w:vAlign w:val="bottom"/>
            <w:hideMark/>
          </w:tcPr>
          <w:p w14:paraId="21B565B0"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c>
          <w:tcPr>
            <w:tcW w:w="1034" w:type="dxa"/>
            <w:tcBorders>
              <w:top w:val="nil"/>
              <w:left w:val="nil"/>
              <w:bottom w:val="single" w:sz="4" w:space="0" w:color="000000"/>
              <w:right w:val="nil"/>
            </w:tcBorders>
            <w:shd w:val="clear" w:color="auto" w:fill="auto"/>
            <w:noWrap/>
            <w:vAlign w:val="bottom"/>
            <w:hideMark/>
          </w:tcPr>
          <w:p w14:paraId="470AE754" w14:textId="77777777" w:rsidR="00D06DF5" w:rsidRPr="00D06DF5" w:rsidRDefault="00D06DF5" w:rsidP="00AF13F0">
            <w:pPr>
              <w:rPr>
                <w:rFonts w:ascii="Calibri" w:eastAsia="Times New Roman" w:hAnsi="Calibri" w:cs="Times New Roman"/>
                <w:b/>
                <w:bCs/>
                <w:color w:val="000000"/>
              </w:rPr>
            </w:pPr>
            <w:r w:rsidRPr="00D06DF5">
              <w:rPr>
                <w:rFonts w:ascii="Calibri" w:eastAsia="Times New Roman" w:hAnsi="Calibri" w:cs="Times New Roman"/>
                <w:b/>
                <w:bCs/>
                <w:color w:val="000000"/>
              </w:rPr>
              <w:t>-</w:t>
            </w:r>
          </w:p>
        </w:tc>
      </w:tr>
    </w:tbl>
    <w:p w14:paraId="1F09D729" w14:textId="77777777" w:rsidR="00253740" w:rsidRDefault="00253740" w:rsidP="00AF13F0">
      <w:pPr>
        <w:spacing w:line="360" w:lineRule="auto"/>
        <w:rPr>
          <w:b/>
        </w:rPr>
      </w:pPr>
    </w:p>
    <w:p w14:paraId="6C113450" w14:textId="013D03DA" w:rsidR="0007178B" w:rsidRDefault="0007178B" w:rsidP="00AF13F0">
      <w:pPr>
        <w:spacing w:line="360" w:lineRule="auto"/>
        <w:rPr>
          <w:b/>
        </w:rPr>
      </w:pPr>
      <w:r>
        <w:rPr>
          <w:b/>
        </w:rPr>
        <w:t>Tabel 15</w:t>
      </w:r>
    </w:p>
    <w:tbl>
      <w:tblPr>
        <w:tblW w:w="8659" w:type="dxa"/>
        <w:tblInd w:w="93" w:type="dxa"/>
        <w:tblLayout w:type="fixed"/>
        <w:tblLook w:val="04A0" w:firstRow="1" w:lastRow="0" w:firstColumn="1" w:lastColumn="0" w:noHBand="0" w:noVBand="1"/>
      </w:tblPr>
      <w:tblGrid>
        <w:gridCol w:w="1690"/>
        <w:gridCol w:w="1757"/>
        <w:gridCol w:w="931"/>
        <w:gridCol w:w="1046"/>
        <w:gridCol w:w="1046"/>
        <w:gridCol w:w="931"/>
        <w:gridCol w:w="1258"/>
      </w:tblGrid>
      <w:tr w:rsidR="0007178B" w:rsidRPr="0007178B" w14:paraId="13FF0565" w14:textId="77777777" w:rsidTr="00D150EF">
        <w:trPr>
          <w:trHeight w:val="300"/>
        </w:trPr>
        <w:tc>
          <w:tcPr>
            <w:tcW w:w="1690" w:type="dxa"/>
            <w:tcBorders>
              <w:top w:val="single" w:sz="4" w:space="0" w:color="000000"/>
              <w:left w:val="nil"/>
              <w:bottom w:val="single" w:sz="4" w:space="0" w:color="000000"/>
              <w:right w:val="nil"/>
            </w:tcBorders>
            <w:shd w:val="clear" w:color="auto" w:fill="auto"/>
            <w:noWrap/>
            <w:vAlign w:val="bottom"/>
            <w:hideMark/>
          </w:tcPr>
          <w:p w14:paraId="40953A0D" w14:textId="5074F46B" w:rsidR="0007178B" w:rsidRPr="0007178B" w:rsidRDefault="0007178B"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Alternatieve </w:t>
            </w:r>
            <w:r w:rsidRPr="0007178B">
              <w:rPr>
                <w:rFonts w:ascii="Calibri" w:eastAsia="Times New Roman" w:hAnsi="Calibri" w:cs="Times New Roman"/>
                <w:b/>
                <w:bCs/>
                <w:color w:val="000000"/>
              </w:rPr>
              <w:t>indicator</w:t>
            </w:r>
          </w:p>
        </w:tc>
        <w:tc>
          <w:tcPr>
            <w:tcW w:w="1757" w:type="dxa"/>
            <w:tcBorders>
              <w:top w:val="single" w:sz="4" w:space="0" w:color="000000"/>
              <w:left w:val="nil"/>
              <w:bottom w:val="single" w:sz="4" w:space="0" w:color="000000"/>
              <w:right w:val="nil"/>
            </w:tcBorders>
            <w:shd w:val="clear" w:color="auto" w:fill="auto"/>
            <w:noWrap/>
            <w:vAlign w:val="bottom"/>
            <w:hideMark/>
          </w:tcPr>
          <w:p w14:paraId="37E0DF16" w14:textId="77777777" w:rsidR="0007178B" w:rsidRPr="0007178B" w:rsidRDefault="0007178B" w:rsidP="00AF13F0">
            <w:pPr>
              <w:rPr>
                <w:rFonts w:ascii="Calibri" w:eastAsia="Times New Roman" w:hAnsi="Calibri" w:cs="Times New Roman"/>
                <w:b/>
                <w:bCs/>
                <w:color w:val="000000"/>
              </w:rPr>
            </w:pPr>
            <w:r w:rsidRPr="0007178B">
              <w:rPr>
                <w:rFonts w:ascii="Calibri" w:eastAsia="Times New Roman" w:hAnsi="Calibri" w:cs="Times New Roman"/>
                <w:b/>
                <w:bCs/>
                <w:color w:val="000000"/>
              </w:rPr>
              <w:t>Bedrijf</w:t>
            </w:r>
          </w:p>
        </w:tc>
        <w:tc>
          <w:tcPr>
            <w:tcW w:w="931" w:type="dxa"/>
            <w:tcBorders>
              <w:top w:val="single" w:sz="4" w:space="0" w:color="000000"/>
              <w:left w:val="nil"/>
              <w:bottom w:val="single" w:sz="4" w:space="0" w:color="000000"/>
              <w:right w:val="nil"/>
            </w:tcBorders>
            <w:shd w:val="clear" w:color="auto" w:fill="auto"/>
            <w:noWrap/>
            <w:vAlign w:val="bottom"/>
            <w:hideMark/>
          </w:tcPr>
          <w:p w14:paraId="48DB2B14" w14:textId="77777777" w:rsidR="0007178B" w:rsidRPr="0007178B" w:rsidRDefault="0007178B" w:rsidP="00AF13F0">
            <w:pPr>
              <w:rPr>
                <w:rFonts w:ascii="Calibri" w:eastAsia="Times New Roman" w:hAnsi="Calibri" w:cs="Times New Roman"/>
                <w:b/>
                <w:bCs/>
                <w:color w:val="000000"/>
              </w:rPr>
            </w:pPr>
            <w:r w:rsidRPr="0007178B">
              <w:rPr>
                <w:rFonts w:ascii="Calibri" w:eastAsia="Times New Roman" w:hAnsi="Calibri" w:cs="Times New Roman"/>
                <w:b/>
                <w:bCs/>
                <w:color w:val="000000"/>
              </w:rPr>
              <w:t>2010</w:t>
            </w:r>
          </w:p>
        </w:tc>
        <w:tc>
          <w:tcPr>
            <w:tcW w:w="1046" w:type="dxa"/>
            <w:tcBorders>
              <w:top w:val="single" w:sz="4" w:space="0" w:color="000000"/>
              <w:left w:val="nil"/>
              <w:bottom w:val="single" w:sz="4" w:space="0" w:color="000000"/>
              <w:right w:val="nil"/>
            </w:tcBorders>
            <w:shd w:val="clear" w:color="auto" w:fill="auto"/>
            <w:noWrap/>
            <w:vAlign w:val="bottom"/>
            <w:hideMark/>
          </w:tcPr>
          <w:p w14:paraId="1B10812C" w14:textId="5ACD74F8" w:rsidR="0007178B" w:rsidRPr="0007178B" w:rsidRDefault="00D150EF" w:rsidP="00AF13F0">
            <w:pPr>
              <w:rPr>
                <w:rFonts w:ascii="Calibri" w:eastAsia="Times New Roman" w:hAnsi="Calibri" w:cs="Times New Roman"/>
                <w:b/>
                <w:bCs/>
                <w:color w:val="000000"/>
              </w:rPr>
            </w:pPr>
            <w:r>
              <w:rPr>
                <w:rFonts w:ascii="Calibri" w:eastAsia="Times New Roman" w:hAnsi="Calibri" w:cs="Times New Roman"/>
                <w:b/>
                <w:bCs/>
                <w:color w:val="000000"/>
              </w:rPr>
              <w:t>2011</w:t>
            </w:r>
          </w:p>
        </w:tc>
        <w:tc>
          <w:tcPr>
            <w:tcW w:w="1046" w:type="dxa"/>
            <w:tcBorders>
              <w:top w:val="single" w:sz="4" w:space="0" w:color="000000"/>
              <w:left w:val="nil"/>
              <w:bottom w:val="single" w:sz="4" w:space="0" w:color="000000"/>
              <w:right w:val="nil"/>
            </w:tcBorders>
            <w:shd w:val="clear" w:color="auto" w:fill="auto"/>
            <w:noWrap/>
            <w:vAlign w:val="bottom"/>
            <w:hideMark/>
          </w:tcPr>
          <w:p w14:paraId="633845D5" w14:textId="05D23C59" w:rsidR="00D150EF" w:rsidRPr="0007178B" w:rsidRDefault="00D150EF" w:rsidP="00AF13F0">
            <w:pPr>
              <w:rPr>
                <w:rFonts w:ascii="Calibri" w:eastAsia="Times New Roman" w:hAnsi="Calibri" w:cs="Times New Roman"/>
                <w:b/>
                <w:bCs/>
                <w:color w:val="000000"/>
              </w:rPr>
            </w:pPr>
            <w:r>
              <w:rPr>
                <w:rFonts w:ascii="Calibri" w:eastAsia="Times New Roman" w:hAnsi="Calibri" w:cs="Times New Roman"/>
                <w:b/>
                <w:bCs/>
                <w:color w:val="000000"/>
              </w:rPr>
              <w:t>2012</w:t>
            </w:r>
          </w:p>
        </w:tc>
        <w:tc>
          <w:tcPr>
            <w:tcW w:w="931" w:type="dxa"/>
            <w:tcBorders>
              <w:top w:val="single" w:sz="4" w:space="0" w:color="000000"/>
              <w:left w:val="nil"/>
              <w:bottom w:val="single" w:sz="4" w:space="0" w:color="000000"/>
              <w:right w:val="nil"/>
            </w:tcBorders>
            <w:shd w:val="clear" w:color="auto" w:fill="auto"/>
            <w:noWrap/>
            <w:vAlign w:val="bottom"/>
            <w:hideMark/>
          </w:tcPr>
          <w:p w14:paraId="00DBD5D9" w14:textId="77777777" w:rsidR="0007178B" w:rsidRPr="0007178B" w:rsidRDefault="0007178B" w:rsidP="00AF13F0">
            <w:pPr>
              <w:rPr>
                <w:rFonts w:ascii="Calibri" w:eastAsia="Times New Roman" w:hAnsi="Calibri" w:cs="Times New Roman"/>
                <w:b/>
                <w:bCs/>
                <w:color w:val="000000"/>
              </w:rPr>
            </w:pPr>
            <w:r w:rsidRPr="0007178B">
              <w:rPr>
                <w:rFonts w:ascii="Calibri" w:eastAsia="Times New Roman" w:hAnsi="Calibri" w:cs="Times New Roman"/>
                <w:b/>
                <w:bCs/>
                <w:color w:val="000000"/>
              </w:rPr>
              <w:t>2013</w:t>
            </w:r>
          </w:p>
        </w:tc>
        <w:tc>
          <w:tcPr>
            <w:tcW w:w="1258" w:type="dxa"/>
            <w:tcBorders>
              <w:top w:val="single" w:sz="4" w:space="0" w:color="000000"/>
              <w:left w:val="nil"/>
              <w:bottom w:val="single" w:sz="4" w:space="0" w:color="000000"/>
              <w:right w:val="nil"/>
            </w:tcBorders>
            <w:shd w:val="clear" w:color="auto" w:fill="auto"/>
            <w:noWrap/>
            <w:vAlign w:val="bottom"/>
            <w:hideMark/>
          </w:tcPr>
          <w:p w14:paraId="0CA794AA" w14:textId="77777777" w:rsidR="0007178B" w:rsidRPr="0007178B" w:rsidRDefault="0007178B" w:rsidP="00AF13F0">
            <w:pPr>
              <w:rPr>
                <w:rFonts w:ascii="Calibri" w:eastAsia="Times New Roman" w:hAnsi="Calibri" w:cs="Times New Roman"/>
                <w:b/>
                <w:bCs/>
                <w:color w:val="000000"/>
              </w:rPr>
            </w:pPr>
            <w:r w:rsidRPr="0007178B">
              <w:rPr>
                <w:rFonts w:ascii="Calibri" w:eastAsia="Times New Roman" w:hAnsi="Calibri" w:cs="Times New Roman"/>
                <w:b/>
                <w:bCs/>
                <w:color w:val="000000"/>
              </w:rPr>
              <w:t>2014</w:t>
            </w:r>
          </w:p>
        </w:tc>
      </w:tr>
      <w:tr w:rsidR="0007178B" w:rsidRPr="0007178B" w14:paraId="7617A104" w14:textId="77777777" w:rsidTr="00D150EF">
        <w:trPr>
          <w:trHeight w:val="300"/>
        </w:trPr>
        <w:tc>
          <w:tcPr>
            <w:tcW w:w="1690" w:type="dxa"/>
            <w:tcBorders>
              <w:top w:val="nil"/>
              <w:left w:val="nil"/>
              <w:bottom w:val="nil"/>
              <w:right w:val="nil"/>
            </w:tcBorders>
            <w:shd w:val="clear" w:color="D9D9D9" w:fill="D9D9D9"/>
            <w:noWrap/>
            <w:vAlign w:val="bottom"/>
            <w:hideMark/>
          </w:tcPr>
          <w:p w14:paraId="397EA52F" w14:textId="0C50762C"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Dividend per aandeel</w:t>
            </w:r>
          </w:p>
        </w:tc>
        <w:tc>
          <w:tcPr>
            <w:tcW w:w="1757" w:type="dxa"/>
            <w:tcBorders>
              <w:top w:val="nil"/>
              <w:left w:val="nil"/>
              <w:bottom w:val="nil"/>
              <w:right w:val="nil"/>
            </w:tcBorders>
            <w:shd w:val="clear" w:color="D9D9D9" w:fill="D9D9D9"/>
            <w:noWrap/>
            <w:vAlign w:val="bottom"/>
            <w:hideMark/>
          </w:tcPr>
          <w:p w14:paraId="4A93C1B8"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Aalberts</w:t>
            </w:r>
          </w:p>
        </w:tc>
        <w:tc>
          <w:tcPr>
            <w:tcW w:w="931" w:type="dxa"/>
            <w:tcBorders>
              <w:top w:val="nil"/>
              <w:left w:val="nil"/>
              <w:bottom w:val="nil"/>
              <w:right w:val="nil"/>
            </w:tcBorders>
            <w:shd w:val="clear" w:color="D9D9D9" w:fill="D9D9D9"/>
            <w:noWrap/>
            <w:vAlign w:val="bottom"/>
            <w:hideMark/>
          </w:tcPr>
          <w:p w14:paraId="217B967F"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D9D9D9" w:fill="D9D9D9"/>
            <w:noWrap/>
            <w:vAlign w:val="bottom"/>
            <w:hideMark/>
          </w:tcPr>
          <w:p w14:paraId="1D495A22"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D9D9D9" w:fill="D9D9D9"/>
            <w:noWrap/>
            <w:vAlign w:val="bottom"/>
            <w:hideMark/>
          </w:tcPr>
          <w:p w14:paraId="22139595"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931" w:type="dxa"/>
            <w:tcBorders>
              <w:top w:val="nil"/>
              <w:left w:val="nil"/>
              <w:bottom w:val="nil"/>
              <w:right w:val="nil"/>
            </w:tcBorders>
            <w:shd w:val="clear" w:color="D9D9D9" w:fill="D9D9D9"/>
            <w:noWrap/>
            <w:vAlign w:val="bottom"/>
            <w:hideMark/>
          </w:tcPr>
          <w:p w14:paraId="645E36B0"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258" w:type="dxa"/>
            <w:tcBorders>
              <w:top w:val="nil"/>
              <w:left w:val="nil"/>
              <w:bottom w:val="nil"/>
              <w:right w:val="nil"/>
            </w:tcBorders>
            <w:shd w:val="clear" w:color="D9D9D9" w:fill="D9D9D9"/>
            <w:noWrap/>
            <w:vAlign w:val="bottom"/>
            <w:hideMark/>
          </w:tcPr>
          <w:p w14:paraId="0D64FBAC"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r>
      <w:tr w:rsidR="0007178B" w:rsidRPr="0007178B" w14:paraId="1A8A7091" w14:textId="77777777" w:rsidTr="00D150EF">
        <w:trPr>
          <w:trHeight w:val="300"/>
        </w:trPr>
        <w:tc>
          <w:tcPr>
            <w:tcW w:w="1690" w:type="dxa"/>
            <w:tcBorders>
              <w:top w:val="nil"/>
              <w:left w:val="nil"/>
              <w:bottom w:val="nil"/>
              <w:right w:val="nil"/>
            </w:tcBorders>
            <w:shd w:val="clear" w:color="auto" w:fill="auto"/>
            <w:noWrap/>
            <w:vAlign w:val="bottom"/>
            <w:hideMark/>
          </w:tcPr>
          <w:p w14:paraId="038904C0" w14:textId="77777777" w:rsidR="0007178B" w:rsidRPr="0007178B" w:rsidRDefault="0007178B" w:rsidP="00AF13F0">
            <w:pPr>
              <w:rPr>
                <w:rFonts w:ascii="Calibri" w:eastAsia="Times New Roman" w:hAnsi="Calibri" w:cs="Times New Roman"/>
                <w:color w:val="000000"/>
              </w:rPr>
            </w:pPr>
          </w:p>
        </w:tc>
        <w:tc>
          <w:tcPr>
            <w:tcW w:w="1757" w:type="dxa"/>
            <w:tcBorders>
              <w:top w:val="nil"/>
              <w:left w:val="nil"/>
              <w:bottom w:val="nil"/>
              <w:right w:val="nil"/>
            </w:tcBorders>
            <w:shd w:val="clear" w:color="auto" w:fill="auto"/>
            <w:noWrap/>
            <w:vAlign w:val="bottom"/>
            <w:hideMark/>
          </w:tcPr>
          <w:p w14:paraId="3A87FB9D"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Ahold</w:t>
            </w:r>
          </w:p>
        </w:tc>
        <w:tc>
          <w:tcPr>
            <w:tcW w:w="931" w:type="dxa"/>
            <w:tcBorders>
              <w:top w:val="nil"/>
              <w:left w:val="nil"/>
              <w:bottom w:val="nil"/>
              <w:right w:val="nil"/>
            </w:tcBorders>
            <w:shd w:val="clear" w:color="auto" w:fill="auto"/>
            <w:noWrap/>
            <w:vAlign w:val="bottom"/>
            <w:hideMark/>
          </w:tcPr>
          <w:p w14:paraId="0DCC82EA"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auto" w:fill="auto"/>
            <w:noWrap/>
            <w:vAlign w:val="bottom"/>
            <w:hideMark/>
          </w:tcPr>
          <w:p w14:paraId="79C70C6B"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auto" w:fill="auto"/>
            <w:noWrap/>
            <w:vAlign w:val="bottom"/>
            <w:hideMark/>
          </w:tcPr>
          <w:p w14:paraId="643454AA"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931" w:type="dxa"/>
            <w:tcBorders>
              <w:top w:val="nil"/>
              <w:left w:val="nil"/>
              <w:bottom w:val="nil"/>
              <w:right w:val="nil"/>
            </w:tcBorders>
            <w:shd w:val="clear" w:color="auto" w:fill="auto"/>
            <w:noWrap/>
            <w:vAlign w:val="bottom"/>
            <w:hideMark/>
          </w:tcPr>
          <w:p w14:paraId="46A0D7E5"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258" w:type="dxa"/>
            <w:tcBorders>
              <w:top w:val="nil"/>
              <w:left w:val="nil"/>
              <w:bottom w:val="nil"/>
              <w:right w:val="nil"/>
            </w:tcBorders>
            <w:shd w:val="clear" w:color="auto" w:fill="auto"/>
            <w:noWrap/>
            <w:vAlign w:val="bottom"/>
            <w:hideMark/>
          </w:tcPr>
          <w:p w14:paraId="238759BD"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r>
      <w:tr w:rsidR="0007178B" w:rsidRPr="0007178B" w14:paraId="7FE757C3" w14:textId="77777777" w:rsidTr="00D150EF">
        <w:trPr>
          <w:trHeight w:val="300"/>
        </w:trPr>
        <w:tc>
          <w:tcPr>
            <w:tcW w:w="1690" w:type="dxa"/>
            <w:tcBorders>
              <w:top w:val="nil"/>
              <w:left w:val="nil"/>
              <w:bottom w:val="nil"/>
              <w:right w:val="nil"/>
            </w:tcBorders>
            <w:shd w:val="clear" w:color="D9D9D9" w:fill="D9D9D9"/>
            <w:noWrap/>
            <w:vAlign w:val="bottom"/>
            <w:hideMark/>
          </w:tcPr>
          <w:p w14:paraId="4C0D3A66" w14:textId="77777777" w:rsidR="0007178B" w:rsidRPr="0007178B" w:rsidRDefault="0007178B" w:rsidP="00AF13F0">
            <w:pPr>
              <w:rPr>
                <w:rFonts w:ascii="Calibri" w:eastAsia="Times New Roman" w:hAnsi="Calibri" w:cs="Times New Roman"/>
                <w:color w:val="000000"/>
              </w:rPr>
            </w:pPr>
          </w:p>
        </w:tc>
        <w:tc>
          <w:tcPr>
            <w:tcW w:w="1757" w:type="dxa"/>
            <w:tcBorders>
              <w:top w:val="nil"/>
              <w:left w:val="nil"/>
              <w:bottom w:val="nil"/>
              <w:right w:val="nil"/>
            </w:tcBorders>
            <w:shd w:val="clear" w:color="D9D9D9" w:fill="D9D9D9"/>
            <w:noWrap/>
            <w:vAlign w:val="bottom"/>
            <w:hideMark/>
          </w:tcPr>
          <w:p w14:paraId="32863F16"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Akzo Nobel</w:t>
            </w:r>
          </w:p>
        </w:tc>
        <w:tc>
          <w:tcPr>
            <w:tcW w:w="931" w:type="dxa"/>
            <w:tcBorders>
              <w:top w:val="nil"/>
              <w:left w:val="nil"/>
              <w:bottom w:val="nil"/>
              <w:right w:val="nil"/>
            </w:tcBorders>
            <w:shd w:val="clear" w:color="D9D9D9" w:fill="D9D9D9"/>
            <w:noWrap/>
            <w:vAlign w:val="bottom"/>
            <w:hideMark/>
          </w:tcPr>
          <w:p w14:paraId="632EF546"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D9D9D9" w:fill="D9D9D9"/>
            <w:noWrap/>
            <w:vAlign w:val="bottom"/>
            <w:hideMark/>
          </w:tcPr>
          <w:p w14:paraId="1B8466CF"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D9D9D9" w:fill="D9D9D9"/>
            <w:noWrap/>
            <w:vAlign w:val="bottom"/>
            <w:hideMark/>
          </w:tcPr>
          <w:p w14:paraId="4168C7A6"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931" w:type="dxa"/>
            <w:tcBorders>
              <w:top w:val="nil"/>
              <w:left w:val="nil"/>
              <w:bottom w:val="nil"/>
              <w:right w:val="nil"/>
            </w:tcBorders>
            <w:shd w:val="clear" w:color="D9D9D9" w:fill="D9D9D9"/>
            <w:noWrap/>
            <w:vAlign w:val="bottom"/>
            <w:hideMark/>
          </w:tcPr>
          <w:p w14:paraId="6BC00AD6"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258" w:type="dxa"/>
            <w:tcBorders>
              <w:top w:val="nil"/>
              <w:left w:val="nil"/>
              <w:bottom w:val="nil"/>
              <w:right w:val="nil"/>
            </w:tcBorders>
            <w:shd w:val="clear" w:color="D9D9D9" w:fill="D9D9D9"/>
            <w:noWrap/>
            <w:vAlign w:val="bottom"/>
            <w:hideMark/>
          </w:tcPr>
          <w:p w14:paraId="416CA449"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r>
      <w:tr w:rsidR="0007178B" w:rsidRPr="0007178B" w14:paraId="1E613E63" w14:textId="77777777" w:rsidTr="00D150EF">
        <w:trPr>
          <w:trHeight w:val="300"/>
        </w:trPr>
        <w:tc>
          <w:tcPr>
            <w:tcW w:w="1690" w:type="dxa"/>
            <w:tcBorders>
              <w:top w:val="nil"/>
              <w:left w:val="nil"/>
              <w:bottom w:val="nil"/>
              <w:right w:val="nil"/>
            </w:tcBorders>
            <w:shd w:val="clear" w:color="auto" w:fill="auto"/>
            <w:noWrap/>
            <w:vAlign w:val="bottom"/>
            <w:hideMark/>
          </w:tcPr>
          <w:p w14:paraId="691ECC79" w14:textId="77777777" w:rsidR="0007178B" w:rsidRPr="0007178B" w:rsidRDefault="0007178B" w:rsidP="00AF13F0">
            <w:pPr>
              <w:rPr>
                <w:rFonts w:ascii="Calibri" w:eastAsia="Times New Roman" w:hAnsi="Calibri" w:cs="Times New Roman"/>
                <w:color w:val="000000"/>
              </w:rPr>
            </w:pPr>
          </w:p>
        </w:tc>
        <w:tc>
          <w:tcPr>
            <w:tcW w:w="1757" w:type="dxa"/>
            <w:tcBorders>
              <w:top w:val="nil"/>
              <w:left w:val="nil"/>
              <w:bottom w:val="nil"/>
              <w:right w:val="nil"/>
            </w:tcBorders>
            <w:shd w:val="clear" w:color="auto" w:fill="auto"/>
            <w:noWrap/>
            <w:vAlign w:val="bottom"/>
            <w:hideMark/>
          </w:tcPr>
          <w:p w14:paraId="5D9728E1"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Delta Lloyd</w:t>
            </w:r>
          </w:p>
        </w:tc>
        <w:tc>
          <w:tcPr>
            <w:tcW w:w="931" w:type="dxa"/>
            <w:tcBorders>
              <w:top w:val="nil"/>
              <w:left w:val="nil"/>
              <w:bottom w:val="nil"/>
              <w:right w:val="nil"/>
            </w:tcBorders>
            <w:shd w:val="clear" w:color="auto" w:fill="auto"/>
            <w:noWrap/>
            <w:vAlign w:val="bottom"/>
            <w:hideMark/>
          </w:tcPr>
          <w:p w14:paraId="0B08214C"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auto" w:fill="auto"/>
            <w:noWrap/>
            <w:vAlign w:val="bottom"/>
            <w:hideMark/>
          </w:tcPr>
          <w:p w14:paraId="51F2271E"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auto" w:fill="auto"/>
            <w:noWrap/>
            <w:vAlign w:val="bottom"/>
            <w:hideMark/>
          </w:tcPr>
          <w:p w14:paraId="51D380D1"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931" w:type="dxa"/>
            <w:tcBorders>
              <w:top w:val="nil"/>
              <w:left w:val="nil"/>
              <w:bottom w:val="nil"/>
              <w:right w:val="nil"/>
            </w:tcBorders>
            <w:shd w:val="clear" w:color="auto" w:fill="auto"/>
            <w:noWrap/>
            <w:vAlign w:val="bottom"/>
            <w:hideMark/>
          </w:tcPr>
          <w:p w14:paraId="3A01A060"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258" w:type="dxa"/>
            <w:tcBorders>
              <w:top w:val="nil"/>
              <w:left w:val="nil"/>
              <w:bottom w:val="nil"/>
              <w:right w:val="nil"/>
            </w:tcBorders>
            <w:shd w:val="clear" w:color="auto" w:fill="auto"/>
            <w:noWrap/>
            <w:vAlign w:val="bottom"/>
            <w:hideMark/>
          </w:tcPr>
          <w:p w14:paraId="6B726388"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r>
      <w:tr w:rsidR="0007178B" w:rsidRPr="0007178B" w14:paraId="60F17596" w14:textId="77777777" w:rsidTr="00D150EF">
        <w:trPr>
          <w:trHeight w:val="300"/>
        </w:trPr>
        <w:tc>
          <w:tcPr>
            <w:tcW w:w="1690" w:type="dxa"/>
            <w:tcBorders>
              <w:top w:val="nil"/>
              <w:left w:val="nil"/>
              <w:bottom w:val="nil"/>
              <w:right w:val="nil"/>
            </w:tcBorders>
            <w:shd w:val="clear" w:color="D9D9D9" w:fill="D9D9D9"/>
            <w:noWrap/>
            <w:vAlign w:val="bottom"/>
            <w:hideMark/>
          </w:tcPr>
          <w:p w14:paraId="13A317B0" w14:textId="77777777" w:rsidR="0007178B" w:rsidRPr="0007178B" w:rsidRDefault="0007178B" w:rsidP="00AF13F0">
            <w:pPr>
              <w:rPr>
                <w:rFonts w:ascii="Calibri" w:eastAsia="Times New Roman" w:hAnsi="Calibri" w:cs="Times New Roman"/>
                <w:color w:val="000000"/>
              </w:rPr>
            </w:pPr>
          </w:p>
        </w:tc>
        <w:tc>
          <w:tcPr>
            <w:tcW w:w="1757" w:type="dxa"/>
            <w:tcBorders>
              <w:top w:val="nil"/>
              <w:left w:val="nil"/>
              <w:bottom w:val="nil"/>
              <w:right w:val="nil"/>
            </w:tcBorders>
            <w:shd w:val="clear" w:color="D9D9D9" w:fill="D9D9D9"/>
            <w:noWrap/>
            <w:vAlign w:val="bottom"/>
            <w:hideMark/>
          </w:tcPr>
          <w:p w14:paraId="72D0657E"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Gemalto</w:t>
            </w:r>
          </w:p>
        </w:tc>
        <w:tc>
          <w:tcPr>
            <w:tcW w:w="931" w:type="dxa"/>
            <w:tcBorders>
              <w:top w:val="nil"/>
              <w:left w:val="nil"/>
              <w:bottom w:val="nil"/>
              <w:right w:val="nil"/>
            </w:tcBorders>
            <w:shd w:val="clear" w:color="D9D9D9" w:fill="D9D9D9"/>
            <w:noWrap/>
            <w:vAlign w:val="bottom"/>
            <w:hideMark/>
          </w:tcPr>
          <w:p w14:paraId="3FD29992"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D9D9D9" w:fill="D9D9D9"/>
            <w:noWrap/>
            <w:vAlign w:val="bottom"/>
            <w:hideMark/>
          </w:tcPr>
          <w:p w14:paraId="0D5A4731"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D9D9D9" w:fill="D9D9D9"/>
            <w:noWrap/>
            <w:vAlign w:val="bottom"/>
            <w:hideMark/>
          </w:tcPr>
          <w:p w14:paraId="5B69CB69"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931" w:type="dxa"/>
            <w:tcBorders>
              <w:top w:val="nil"/>
              <w:left w:val="nil"/>
              <w:bottom w:val="nil"/>
              <w:right w:val="nil"/>
            </w:tcBorders>
            <w:shd w:val="clear" w:color="D9D9D9" w:fill="D9D9D9"/>
            <w:noWrap/>
            <w:vAlign w:val="bottom"/>
            <w:hideMark/>
          </w:tcPr>
          <w:p w14:paraId="04AD6639"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258" w:type="dxa"/>
            <w:tcBorders>
              <w:top w:val="nil"/>
              <w:left w:val="nil"/>
              <w:bottom w:val="nil"/>
              <w:right w:val="nil"/>
            </w:tcBorders>
            <w:shd w:val="clear" w:color="D9D9D9" w:fill="D9D9D9"/>
            <w:noWrap/>
            <w:vAlign w:val="bottom"/>
            <w:hideMark/>
          </w:tcPr>
          <w:p w14:paraId="0B373B7A"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r>
      <w:tr w:rsidR="0007178B" w:rsidRPr="0007178B" w14:paraId="22E15FC6" w14:textId="77777777" w:rsidTr="00D150EF">
        <w:trPr>
          <w:trHeight w:val="300"/>
        </w:trPr>
        <w:tc>
          <w:tcPr>
            <w:tcW w:w="1690" w:type="dxa"/>
            <w:tcBorders>
              <w:top w:val="nil"/>
              <w:left w:val="nil"/>
              <w:bottom w:val="nil"/>
              <w:right w:val="nil"/>
            </w:tcBorders>
            <w:shd w:val="clear" w:color="auto" w:fill="auto"/>
            <w:noWrap/>
            <w:vAlign w:val="bottom"/>
            <w:hideMark/>
          </w:tcPr>
          <w:p w14:paraId="2A38D329" w14:textId="77777777" w:rsidR="0007178B" w:rsidRPr="0007178B" w:rsidRDefault="0007178B" w:rsidP="00AF13F0">
            <w:pPr>
              <w:rPr>
                <w:rFonts w:ascii="Calibri" w:eastAsia="Times New Roman" w:hAnsi="Calibri" w:cs="Times New Roman"/>
                <w:color w:val="000000"/>
              </w:rPr>
            </w:pPr>
          </w:p>
        </w:tc>
        <w:tc>
          <w:tcPr>
            <w:tcW w:w="1757" w:type="dxa"/>
            <w:tcBorders>
              <w:top w:val="nil"/>
              <w:left w:val="nil"/>
              <w:bottom w:val="nil"/>
              <w:right w:val="nil"/>
            </w:tcBorders>
            <w:shd w:val="clear" w:color="auto" w:fill="auto"/>
            <w:noWrap/>
            <w:vAlign w:val="bottom"/>
            <w:hideMark/>
          </w:tcPr>
          <w:p w14:paraId="6109934D"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Heineken</w:t>
            </w:r>
          </w:p>
        </w:tc>
        <w:tc>
          <w:tcPr>
            <w:tcW w:w="931" w:type="dxa"/>
            <w:tcBorders>
              <w:top w:val="nil"/>
              <w:left w:val="nil"/>
              <w:bottom w:val="nil"/>
              <w:right w:val="nil"/>
            </w:tcBorders>
            <w:shd w:val="clear" w:color="auto" w:fill="auto"/>
            <w:noWrap/>
            <w:vAlign w:val="bottom"/>
            <w:hideMark/>
          </w:tcPr>
          <w:p w14:paraId="4764CEC8"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auto" w:fill="auto"/>
            <w:noWrap/>
            <w:vAlign w:val="bottom"/>
            <w:hideMark/>
          </w:tcPr>
          <w:p w14:paraId="015DB862"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auto" w:fill="auto"/>
            <w:noWrap/>
            <w:vAlign w:val="bottom"/>
            <w:hideMark/>
          </w:tcPr>
          <w:p w14:paraId="03774665"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931" w:type="dxa"/>
            <w:tcBorders>
              <w:top w:val="nil"/>
              <w:left w:val="nil"/>
              <w:bottom w:val="nil"/>
              <w:right w:val="nil"/>
            </w:tcBorders>
            <w:shd w:val="clear" w:color="auto" w:fill="auto"/>
            <w:noWrap/>
            <w:vAlign w:val="bottom"/>
            <w:hideMark/>
          </w:tcPr>
          <w:p w14:paraId="11D44C6A"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258" w:type="dxa"/>
            <w:tcBorders>
              <w:top w:val="nil"/>
              <w:left w:val="nil"/>
              <w:bottom w:val="nil"/>
              <w:right w:val="nil"/>
            </w:tcBorders>
            <w:shd w:val="clear" w:color="auto" w:fill="auto"/>
            <w:noWrap/>
            <w:vAlign w:val="bottom"/>
            <w:hideMark/>
          </w:tcPr>
          <w:p w14:paraId="18843491"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r>
      <w:tr w:rsidR="0007178B" w:rsidRPr="0007178B" w14:paraId="6E58ACBE" w14:textId="77777777" w:rsidTr="00D150EF">
        <w:trPr>
          <w:trHeight w:val="300"/>
        </w:trPr>
        <w:tc>
          <w:tcPr>
            <w:tcW w:w="1690" w:type="dxa"/>
            <w:tcBorders>
              <w:top w:val="nil"/>
              <w:left w:val="nil"/>
              <w:bottom w:val="nil"/>
              <w:right w:val="nil"/>
            </w:tcBorders>
            <w:shd w:val="clear" w:color="D9D9D9" w:fill="D9D9D9"/>
            <w:noWrap/>
            <w:vAlign w:val="bottom"/>
            <w:hideMark/>
          </w:tcPr>
          <w:p w14:paraId="3B23E456" w14:textId="77777777" w:rsidR="0007178B" w:rsidRPr="0007178B" w:rsidRDefault="0007178B" w:rsidP="00AF13F0">
            <w:pPr>
              <w:rPr>
                <w:rFonts w:ascii="Calibri" w:eastAsia="Times New Roman" w:hAnsi="Calibri" w:cs="Times New Roman"/>
                <w:color w:val="000000"/>
              </w:rPr>
            </w:pPr>
          </w:p>
        </w:tc>
        <w:tc>
          <w:tcPr>
            <w:tcW w:w="1757" w:type="dxa"/>
            <w:tcBorders>
              <w:top w:val="nil"/>
              <w:left w:val="nil"/>
              <w:bottom w:val="nil"/>
              <w:right w:val="nil"/>
            </w:tcBorders>
            <w:shd w:val="clear" w:color="D9D9D9" w:fill="D9D9D9"/>
            <w:noWrap/>
            <w:vAlign w:val="bottom"/>
            <w:hideMark/>
          </w:tcPr>
          <w:p w14:paraId="6AFB8624"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KPN</w:t>
            </w:r>
          </w:p>
        </w:tc>
        <w:tc>
          <w:tcPr>
            <w:tcW w:w="931" w:type="dxa"/>
            <w:tcBorders>
              <w:top w:val="nil"/>
              <w:left w:val="nil"/>
              <w:bottom w:val="nil"/>
              <w:right w:val="nil"/>
            </w:tcBorders>
            <w:shd w:val="clear" w:color="D9D9D9" w:fill="D9D9D9"/>
            <w:noWrap/>
            <w:vAlign w:val="bottom"/>
            <w:hideMark/>
          </w:tcPr>
          <w:p w14:paraId="4E55F72F"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D9D9D9" w:fill="D9D9D9"/>
            <w:noWrap/>
            <w:vAlign w:val="bottom"/>
            <w:hideMark/>
          </w:tcPr>
          <w:p w14:paraId="52F89353"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D9D9D9" w:fill="D9D9D9"/>
            <w:noWrap/>
            <w:vAlign w:val="bottom"/>
            <w:hideMark/>
          </w:tcPr>
          <w:p w14:paraId="2538BB69"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931" w:type="dxa"/>
            <w:tcBorders>
              <w:top w:val="nil"/>
              <w:left w:val="nil"/>
              <w:bottom w:val="nil"/>
              <w:right w:val="nil"/>
            </w:tcBorders>
            <w:shd w:val="clear" w:color="D9D9D9" w:fill="D9D9D9"/>
            <w:noWrap/>
            <w:vAlign w:val="bottom"/>
            <w:hideMark/>
          </w:tcPr>
          <w:p w14:paraId="0C7A5FF9"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258" w:type="dxa"/>
            <w:tcBorders>
              <w:top w:val="nil"/>
              <w:left w:val="nil"/>
              <w:bottom w:val="nil"/>
              <w:right w:val="nil"/>
            </w:tcBorders>
            <w:shd w:val="clear" w:color="D9D9D9" w:fill="D9D9D9"/>
            <w:noWrap/>
            <w:vAlign w:val="bottom"/>
            <w:hideMark/>
          </w:tcPr>
          <w:p w14:paraId="4DC0891B"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r>
      <w:tr w:rsidR="0007178B" w:rsidRPr="0007178B" w14:paraId="31D2C99F" w14:textId="77777777" w:rsidTr="00D150EF">
        <w:trPr>
          <w:trHeight w:val="300"/>
        </w:trPr>
        <w:tc>
          <w:tcPr>
            <w:tcW w:w="1690" w:type="dxa"/>
            <w:tcBorders>
              <w:top w:val="nil"/>
              <w:left w:val="nil"/>
              <w:bottom w:val="nil"/>
              <w:right w:val="nil"/>
            </w:tcBorders>
            <w:shd w:val="clear" w:color="auto" w:fill="auto"/>
            <w:noWrap/>
            <w:vAlign w:val="bottom"/>
            <w:hideMark/>
          </w:tcPr>
          <w:p w14:paraId="5AE7F05B" w14:textId="77777777" w:rsidR="0007178B" w:rsidRPr="0007178B" w:rsidRDefault="0007178B" w:rsidP="00AF13F0">
            <w:pPr>
              <w:rPr>
                <w:rFonts w:ascii="Calibri" w:eastAsia="Times New Roman" w:hAnsi="Calibri" w:cs="Times New Roman"/>
                <w:color w:val="000000"/>
              </w:rPr>
            </w:pPr>
          </w:p>
        </w:tc>
        <w:tc>
          <w:tcPr>
            <w:tcW w:w="1757" w:type="dxa"/>
            <w:tcBorders>
              <w:top w:val="nil"/>
              <w:left w:val="nil"/>
              <w:bottom w:val="nil"/>
              <w:right w:val="nil"/>
            </w:tcBorders>
            <w:shd w:val="clear" w:color="auto" w:fill="auto"/>
            <w:noWrap/>
            <w:vAlign w:val="bottom"/>
            <w:hideMark/>
          </w:tcPr>
          <w:p w14:paraId="0EFCAC4D"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Philips</w:t>
            </w:r>
          </w:p>
        </w:tc>
        <w:tc>
          <w:tcPr>
            <w:tcW w:w="931" w:type="dxa"/>
            <w:tcBorders>
              <w:top w:val="nil"/>
              <w:left w:val="nil"/>
              <w:bottom w:val="nil"/>
              <w:right w:val="nil"/>
            </w:tcBorders>
            <w:shd w:val="clear" w:color="auto" w:fill="auto"/>
            <w:noWrap/>
            <w:vAlign w:val="bottom"/>
            <w:hideMark/>
          </w:tcPr>
          <w:p w14:paraId="0E6AC644"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auto" w:fill="auto"/>
            <w:noWrap/>
            <w:vAlign w:val="bottom"/>
            <w:hideMark/>
          </w:tcPr>
          <w:p w14:paraId="3144CC56"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auto" w:fill="auto"/>
            <w:noWrap/>
            <w:vAlign w:val="bottom"/>
            <w:hideMark/>
          </w:tcPr>
          <w:p w14:paraId="375FCA79"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931" w:type="dxa"/>
            <w:tcBorders>
              <w:top w:val="nil"/>
              <w:left w:val="nil"/>
              <w:bottom w:val="nil"/>
              <w:right w:val="nil"/>
            </w:tcBorders>
            <w:shd w:val="clear" w:color="auto" w:fill="auto"/>
            <w:noWrap/>
            <w:vAlign w:val="bottom"/>
            <w:hideMark/>
          </w:tcPr>
          <w:p w14:paraId="70E74584"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258" w:type="dxa"/>
            <w:tcBorders>
              <w:top w:val="nil"/>
              <w:left w:val="nil"/>
              <w:bottom w:val="nil"/>
              <w:right w:val="nil"/>
            </w:tcBorders>
            <w:shd w:val="clear" w:color="auto" w:fill="auto"/>
            <w:noWrap/>
            <w:vAlign w:val="bottom"/>
            <w:hideMark/>
          </w:tcPr>
          <w:p w14:paraId="7362D6AE"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r>
      <w:tr w:rsidR="0007178B" w:rsidRPr="0007178B" w14:paraId="3E4ABFDA" w14:textId="77777777" w:rsidTr="00D150EF">
        <w:trPr>
          <w:trHeight w:val="300"/>
        </w:trPr>
        <w:tc>
          <w:tcPr>
            <w:tcW w:w="1690" w:type="dxa"/>
            <w:tcBorders>
              <w:top w:val="nil"/>
              <w:left w:val="nil"/>
              <w:bottom w:val="nil"/>
              <w:right w:val="nil"/>
            </w:tcBorders>
            <w:shd w:val="clear" w:color="D9D9D9" w:fill="D9D9D9"/>
            <w:noWrap/>
            <w:vAlign w:val="bottom"/>
            <w:hideMark/>
          </w:tcPr>
          <w:p w14:paraId="7E8DAEB3" w14:textId="77777777" w:rsidR="0007178B" w:rsidRPr="0007178B" w:rsidRDefault="0007178B" w:rsidP="00AF13F0">
            <w:pPr>
              <w:rPr>
                <w:rFonts w:ascii="Calibri" w:eastAsia="Times New Roman" w:hAnsi="Calibri" w:cs="Times New Roman"/>
                <w:color w:val="000000"/>
              </w:rPr>
            </w:pPr>
          </w:p>
        </w:tc>
        <w:tc>
          <w:tcPr>
            <w:tcW w:w="1757" w:type="dxa"/>
            <w:tcBorders>
              <w:top w:val="nil"/>
              <w:left w:val="nil"/>
              <w:bottom w:val="nil"/>
              <w:right w:val="nil"/>
            </w:tcBorders>
            <w:shd w:val="clear" w:color="D9D9D9" w:fill="D9D9D9"/>
            <w:noWrap/>
            <w:vAlign w:val="bottom"/>
            <w:hideMark/>
          </w:tcPr>
          <w:p w14:paraId="1C741658"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Reed Elsevier</w:t>
            </w:r>
          </w:p>
        </w:tc>
        <w:tc>
          <w:tcPr>
            <w:tcW w:w="931" w:type="dxa"/>
            <w:tcBorders>
              <w:top w:val="nil"/>
              <w:left w:val="nil"/>
              <w:bottom w:val="nil"/>
              <w:right w:val="nil"/>
            </w:tcBorders>
            <w:shd w:val="clear" w:color="D9D9D9" w:fill="D9D9D9"/>
            <w:noWrap/>
            <w:vAlign w:val="bottom"/>
            <w:hideMark/>
          </w:tcPr>
          <w:p w14:paraId="2C89F7A0"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D9D9D9" w:fill="D9D9D9"/>
            <w:noWrap/>
            <w:vAlign w:val="bottom"/>
            <w:hideMark/>
          </w:tcPr>
          <w:p w14:paraId="43ED7DCE"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D9D9D9" w:fill="D9D9D9"/>
            <w:noWrap/>
            <w:vAlign w:val="bottom"/>
            <w:hideMark/>
          </w:tcPr>
          <w:p w14:paraId="09002906"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931" w:type="dxa"/>
            <w:tcBorders>
              <w:top w:val="nil"/>
              <w:left w:val="nil"/>
              <w:bottom w:val="nil"/>
              <w:right w:val="nil"/>
            </w:tcBorders>
            <w:shd w:val="clear" w:color="D9D9D9" w:fill="D9D9D9"/>
            <w:noWrap/>
            <w:vAlign w:val="bottom"/>
            <w:hideMark/>
          </w:tcPr>
          <w:p w14:paraId="66326ED8"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258" w:type="dxa"/>
            <w:tcBorders>
              <w:top w:val="nil"/>
              <w:left w:val="nil"/>
              <w:bottom w:val="nil"/>
              <w:right w:val="nil"/>
            </w:tcBorders>
            <w:shd w:val="clear" w:color="D9D9D9" w:fill="D9D9D9"/>
            <w:noWrap/>
            <w:vAlign w:val="bottom"/>
            <w:hideMark/>
          </w:tcPr>
          <w:p w14:paraId="37D33FFE"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r>
      <w:tr w:rsidR="0007178B" w:rsidRPr="0007178B" w14:paraId="32005973" w14:textId="77777777" w:rsidTr="00D150EF">
        <w:trPr>
          <w:trHeight w:val="300"/>
        </w:trPr>
        <w:tc>
          <w:tcPr>
            <w:tcW w:w="1690" w:type="dxa"/>
            <w:tcBorders>
              <w:top w:val="nil"/>
              <w:left w:val="nil"/>
              <w:bottom w:val="nil"/>
              <w:right w:val="nil"/>
            </w:tcBorders>
            <w:shd w:val="clear" w:color="auto" w:fill="auto"/>
            <w:noWrap/>
            <w:vAlign w:val="bottom"/>
            <w:hideMark/>
          </w:tcPr>
          <w:p w14:paraId="54AEDA19" w14:textId="77777777" w:rsidR="0007178B" w:rsidRPr="0007178B" w:rsidRDefault="0007178B" w:rsidP="00AF13F0">
            <w:pPr>
              <w:rPr>
                <w:rFonts w:ascii="Calibri" w:eastAsia="Times New Roman" w:hAnsi="Calibri" w:cs="Times New Roman"/>
                <w:color w:val="000000"/>
              </w:rPr>
            </w:pPr>
          </w:p>
        </w:tc>
        <w:tc>
          <w:tcPr>
            <w:tcW w:w="1757" w:type="dxa"/>
            <w:tcBorders>
              <w:top w:val="nil"/>
              <w:left w:val="nil"/>
              <w:bottom w:val="nil"/>
              <w:right w:val="nil"/>
            </w:tcBorders>
            <w:shd w:val="clear" w:color="auto" w:fill="auto"/>
            <w:noWrap/>
            <w:vAlign w:val="bottom"/>
            <w:hideMark/>
          </w:tcPr>
          <w:p w14:paraId="52F1CAFF"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Unibail-Rodamco</w:t>
            </w:r>
          </w:p>
        </w:tc>
        <w:tc>
          <w:tcPr>
            <w:tcW w:w="931" w:type="dxa"/>
            <w:tcBorders>
              <w:top w:val="nil"/>
              <w:left w:val="nil"/>
              <w:bottom w:val="nil"/>
              <w:right w:val="nil"/>
            </w:tcBorders>
            <w:shd w:val="clear" w:color="auto" w:fill="auto"/>
            <w:noWrap/>
            <w:vAlign w:val="bottom"/>
            <w:hideMark/>
          </w:tcPr>
          <w:p w14:paraId="21057147"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auto" w:fill="auto"/>
            <w:noWrap/>
            <w:vAlign w:val="bottom"/>
            <w:hideMark/>
          </w:tcPr>
          <w:p w14:paraId="68D7860F"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auto" w:fill="auto"/>
            <w:noWrap/>
            <w:vAlign w:val="bottom"/>
            <w:hideMark/>
          </w:tcPr>
          <w:p w14:paraId="2F3EE26A"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931" w:type="dxa"/>
            <w:tcBorders>
              <w:top w:val="nil"/>
              <w:left w:val="nil"/>
              <w:bottom w:val="nil"/>
              <w:right w:val="nil"/>
            </w:tcBorders>
            <w:shd w:val="clear" w:color="auto" w:fill="auto"/>
            <w:noWrap/>
            <w:vAlign w:val="bottom"/>
            <w:hideMark/>
          </w:tcPr>
          <w:p w14:paraId="1A80C4BE"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258" w:type="dxa"/>
            <w:tcBorders>
              <w:top w:val="nil"/>
              <w:left w:val="nil"/>
              <w:bottom w:val="nil"/>
              <w:right w:val="nil"/>
            </w:tcBorders>
            <w:shd w:val="clear" w:color="auto" w:fill="auto"/>
            <w:noWrap/>
            <w:vAlign w:val="bottom"/>
            <w:hideMark/>
          </w:tcPr>
          <w:p w14:paraId="59086465"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r>
      <w:tr w:rsidR="0007178B" w:rsidRPr="0007178B" w14:paraId="6EA6FBE5" w14:textId="77777777" w:rsidTr="00D150EF">
        <w:trPr>
          <w:trHeight w:val="300"/>
        </w:trPr>
        <w:tc>
          <w:tcPr>
            <w:tcW w:w="1690" w:type="dxa"/>
            <w:tcBorders>
              <w:top w:val="nil"/>
              <w:left w:val="nil"/>
              <w:bottom w:val="nil"/>
              <w:right w:val="nil"/>
            </w:tcBorders>
            <w:shd w:val="clear" w:color="D9D9D9" w:fill="D9D9D9"/>
            <w:noWrap/>
            <w:vAlign w:val="bottom"/>
            <w:hideMark/>
          </w:tcPr>
          <w:p w14:paraId="527453B0" w14:textId="77777777" w:rsidR="0007178B" w:rsidRPr="0007178B" w:rsidRDefault="0007178B" w:rsidP="00AF13F0">
            <w:pPr>
              <w:rPr>
                <w:rFonts w:ascii="Calibri" w:eastAsia="Times New Roman" w:hAnsi="Calibri" w:cs="Times New Roman"/>
                <w:color w:val="000000"/>
              </w:rPr>
            </w:pPr>
          </w:p>
        </w:tc>
        <w:tc>
          <w:tcPr>
            <w:tcW w:w="1757" w:type="dxa"/>
            <w:tcBorders>
              <w:top w:val="nil"/>
              <w:left w:val="nil"/>
              <w:bottom w:val="nil"/>
              <w:right w:val="nil"/>
            </w:tcBorders>
            <w:shd w:val="clear" w:color="D9D9D9" w:fill="D9D9D9"/>
            <w:noWrap/>
            <w:vAlign w:val="bottom"/>
            <w:hideMark/>
          </w:tcPr>
          <w:p w14:paraId="53BB68A5"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Wolters Kluwer</w:t>
            </w:r>
          </w:p>
        </w:tc>
        <w:tc>
          <w:tcPr>
            <w:tcW w:w="931" w:type="dxa"/>
            <w:tcBorders>
              <w:top w:val="nil"/>
              <w:left w:val="nil"/>
              <w:bottom w:val="nil"/>
              <w:right w:val="nil"/>
            </w:tcBorders>
            <w:shd w:val="clear" w:color="D9D9D9" w:fill="D9D9D9"/>
            <w:noWrap/>
            <w:vAlign w:val="bottom"/>
            <w:hideMark/>
          </w:tcPr>
          <w:p w14:paraId="57AA5662"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D9D9D9" w:fill="D9D9D9"/>
            <w:noWrap/>
            <w:vAlign w:val="bottom"/>
            <w:hideMark/>
          </w:tcPr>
          <w:p w14:paraId="3CC0E2A4"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D9D9D9" w:fill="D9D9D9"/>
            <w:noWrap/>
            <w:vAlign w:val="bottom"/>
            <w:hideMark/>
          </w:tcPr>
          <w:p w14:paraId="4EC37CC7"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931" w:type="dxa"/>
            <w:tcBorders>
              <w:top w:val="nil"/>
              <w:left w:val="nil"/>
              <w:bottom w:val="nil"/>
              <w:right w:val="nil"/>
            </w:tcBorders>
            <w:shd w:val="clear" w:color="D9D9D9" w:fill="D9D9D9"/>
            <w:noWrap/>
            <w:vAlign w:val="bottom"/>
            <w:hideMark/>
          </w:tcPr>
          <w:p w14:paraId="3C96B7E8"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258" w:type="dxa"/>
            <w:tcBorders>
              <w:top w:val="nil"/>
              <w:left w:val="nil"/>
              <w:bottom w:val="nil"/>
              <w:right w:val="nil"/>
            </w:tcBorders>
            <w:shd w:val="clear" w:color="D9D9D9" w:fill="D9D9D9"/>
            <w:noWrap/>
            <w:vAlign w:val="bottom"/>
            <w:hideMark/>
          </w:tcPr>
          <w:p w14:paraId="7D1A2268"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r>
      <w:tr w:rsidR="0007178B" w:rsidRPr="0007178B" w14:paraId="159524B5" w14:textId="77777777" w:rsidTr="00D150EF">
        <w:trPr>
          <w:trHeight w:val="300"/>
        </w:trPr>
        <w:tc>
          <w:tcPr>
            <w:tcW w:w="1690" w:type="dxa"/>
            <w:tcBorders>
              <w:top w:val="nil"/>
              <w:left w:val="nil"/>
              <w:bottom w:val="nil"/>
              <w:right w:val="nil"/>
            </w:tcBorders>
            <w:shd w:val="clear" w:color="auto" w:fill="auto"/>
            <w:noWrap/>
            <w:vAlign w:val="bottom"/>
            <w:hideMark/>
          </w:tcPr>
          <w:p w14:paraId="171A73CF" w14:textId="77777777" w:rsidR="0007178B" w:rsidRPr="0007178B" w:rsidRDefault="0007178B" w:rsidP="00AF13F0">
            <w:pPr>
              <w:rPr>
                <w:rFonts w:ascii="Calibri" w:eastAsia="Times New Roman" w:hAnsi="Calibri" w:cs="Times New Roman"/>
                <w:color w:val="000000"/>
              </w:rPr>
            </w:pPr>
          </w:p>
        </w:tc>
        <w:tc>
          <w:tcPr>
            <w:tcW w:w="1757" w:type="dxa"/>
            <w:tcBorders>
              <w:top w:val="nil"/>
              <w:left w:val="nil"/>
              <w:bottom w:val="nil"/>
              <w:right w:val="nil"/>
            </w:tcBorders>
            <w:shd w:val="clear" w:color="auto" w:fill="auto"/>
            <w:noWrap/>
            <w:vAlign w:val="bottom"/>
            <w:hideMark/>
          </w:tcPr>
          <w:p w14:paraId="6CD98A2A"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Aegon</w:t>
            </w:r>
          </w:p>
        </w:tc>
        <w:tc>
          <w:tcPr>
            <w:tcW w:w="931" w:type="dxa"/>
            <w:tcBorders>
              <w:top w:val="nil"/>
              <w:left w:val="nil"/>
              <w:bottom w:val="nil"/>
              <w:right w:val="nil"/>
            </w:tcBorders>
            <w:shd w:val="clear" w:color="auto" w:fill="auto"/>
            <w:noWrap/>
            <w:vAlign w:val="bottom"/>
            <w:hideMark/>
          </w:tcPr>
          <w:p w14:paraId="70964F69"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auto" w:fill="auto"/>
            <w:noWrap/>
            <w:vAlign w:val="bottom"/>
            <w:hideMark/>
          </w:tcPr>
          <w:p w14:paraId="51716D8C"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auto" w:fill="auto"/>
            <w:noWrap/>
            <w:vAlign w:val="bottom"/>
            <w:hideMark/>
          </w:tcPr>
          <w:p w14:paraId="07847E30"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931" w:type="dxa"/>
            <w:tcBorders>
              <w:top w:val="nil"/>
              <w:left w:val="nil"/>
              <w:bottom w:val="nil"/>
              <w:right w:val="nil"/>
            </w:tcBorders>
            <w:shd w:val="clear" w:color="auto" w:fill="auto"/>
            <w:noWrap/>
            <w:vAlign w:val="bottom"/>
            <w:hideMark/>
          </w:tcPr>
          <w:p w14:paraId="00E9A140"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258" w:type="dxa"/>
            <w:tcBorders>
              <w:top w:val="nil"/>
              <w:left w:val="nil"/>
              <w:bottom w:val="nil"/>
              <w:right w:val="nil"/>
            </w:tcBorders>
            <w:shd w:val="clear" w:color="auto" w:fill="auto"/>
            <w:noWrap/>
            <w:vAlign w:val="bottom"/>
            <w:hideMark/>
          </w:tcPr>
          <w:p w14:paraId="1DDBD55D"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r>
      <w:tr w:rsidR="0007178B" w:rsidRPr="0007178B" w14:paraId="4EFD4467" w14:textId="77777777" w:rsidTr="00D150EF">
        <w:trPr>
          <w:trHeight w:val="300"/>
        </w:trPr>
        <w:tc>
          <w:tcPr>
            <w:tcW w:w="1690" w:type="dxa"/>
            <w:tcBorders>
              <w:top w:val="nil"/>
              <w:left w:val="nil"/>
              <w:bottom w:val="nil"/>
              <w:right w:val="nil"/>
            </w:tcBorders>
            <w:shd w:val="clear" w:color="D9D9D9" w:fill="D9D9D9"/>
            <w:noWrap/>
            <w:vAlign w:val="bottom"/>
            <w:hideMark/>
          </w:tcPr>
          <w:p w14:paraId="15AE0385" w14:textId="77777777" w:rsidR="0007178B" w:rsidRPr="0007178B" w:rsidRDefault="0007178B" w:rsidP="00AF13F0">
            <w:pPr>
              <w:rPr>
                <w:rFonts w:ascii="Calibri" w:eastAsia="Times New Roman" w:hAnsi="Calibri" w:cs="Times New Roman"/>
                <w:color w:val="000000"/>
              </w:rPr>
            </w:pPr>
          </w:p>
        </w:tc>
        <w:tc>
          <w:tcPr>
            <w:tcW w:w="1757" w:type="dxa"/>
            <w:tcBorders>
              <w:top w:val="nil"/>
              <w:left w:val="nil"/>
              <w:bottom w:val="nil"/>
              <w:right w:val="nil"/>
            </w:tcBorders>
            <w:shd w:val="clear" w:color="D9D9D9" w:fill="D9D9D9"/>
            <w:noWrap/>
            <w:vAlign w:val="bottom"/>
            <w:hideMark/>
          </w:tcPr>
          <w:p w14:paraId="4FC9B349"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Boskalis</w:t>
            </w:r>
          </w:p>
        </w:tc>
        <w:tc>
          <w:tcPr>
            <w:tcW w:w="931" w:type="dxa"/>
            <w:tcBorders>
              <w:top w:val="nil"/>
              <w:left w:val="nil"/>
              <w:bottom w:val="nil"/>
              <w:right w:val="nil"/>
            </w:tcBorders>
            <w:shd w:val="clear" w:color="D9D9D9" w:fill="D9D9D9"/>
            <w:noWrap/>
            <w:vAlign w:val="bottom"/>
            <w:hideMark/>
          </w:tcPr>
          <w:p w14:paraId="07EFCEED"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D9D9D9" w:fill="D9D9D9"/>
            <w:noWrap/>
            <w:vAlign w:val="bottom"/>
            <w:hideMark/>
          </w:tcPr>
          <w:p w14:paraId="15E21C56"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nil"/>
              <w:right w:val="nil"/>
            </w:tcBorders>
            <w:shd w:val="clear" w:color="D9D9D9" w:fill="D9D9D9"/>
            <w:noWrap/>
            <w:vAlign w:val="bottom"/>
            <w:hideMark/>
          </w:tcPr>
          <w:p w14:paraId="1E65D899"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931" w:type="dxa"/>
            <w:tcBorders>
              <w:top w:val="nil"/>
              <w:left w:val="nil"/>
              <w:bottom w:val="nil"/>
              <w:right w:val="nil"/>
            </w:tcBorders>
            <w:shd w:val="clear" w:color="D9D9D9" w:fill="D9D9D9"/>
            <w:noWrap/>
            <w:vAlign w:val="bottom"/>
            <w:hideMark/>
          </w:tcPr>
          <w:p w14:paraId="443338C1"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258" w:type="dxa"/>
            <w:tcBorders>
              <w:top w:val="nil"/>
              <w:left w:val="nil"/>
              <w:bottom w:val="nil"/>
              <w:right w:val="nil"/>
            </w:tcBorders>
            <w:shd w:val="clear" w:color="D9D9D9" w:fill="D9D9D9"/>
            <w:noWrap/>
            <w:vAlign w:val="bottom"/>
            <w:hideMark/>
          </w:tcPr>
          <w:p w14:paraId="7C150F6A"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r>
      <w:tr w:rsidR="0007178B" w:rsidRPr="0007178B" w14:paraId="3621E096" w14:textId="77777777" w:rsidTr="00D150EF">
        <w:trPr>
          <w:trHeight w:val="300"/>
        </w:trPr>
        <w:tc>
          <w:tcPr>
            <w:tcW w:w="1690" w:type="dxa"/>
            <w:tcBorders>
              <w:top w:val="nil"/>
              <w:left w:val="nil"/>
              <w:bottom w:val="single" w:sz="4" w:space="0" w:color="000000"/>
              <w:right w:val="nil"/>
            </w:tcBorders>
            <w:shd w:val="clear" w:color="auto" w:fill="auto"/>
            <w:noWrap/>
            <w:vAlign w:val="bottom"/>
            <w:hideMark/>
          </w:tcPr>
          <w:p w14:paraId="6535F6A9" w14:textId="77777777" w:rsidR="0007178B" w:rsidRPr="0007178B" w:rsidRDefault="0007178B" w:rsidP="00AF13F0">
            <w:pPr>
              <w:rPr>
                <w:rFonts w:ascii="Calibri" w:eastAsia="Times New Roman" w:hAnsi="Calibri" w:cs="Times New Roman"/>
                <w:color w:val="000000"/>
              </w:rPr>
            </w:pPr>
          </w:p>
        </w:tc>
        <w:tc>
          <w:tcPr>
            <w:tcW w:w="1757" w:type="dxa"/>
            <w:tcBorders>
              <w:top w:val="nil"/>
              <w:left w:val="nil"/>
              <w:bottom w:val="single" w:sz="4" w:space="0" w:color="000000"/>
              <w:right w:val="nil"/>
            </w:tcBorders>
            <w:shd w:val="clear" w:color="auto" w:fill="auto"/>
            <w:noWrap/>
            <w:vAlign w:val="bottom"/>
            <w:hideMark/>
          </w:tcPr>
          <w:p w14:paraId="6244AA07"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TNT</w:t>
            </w:r>
          </w:p>
        </w:tc>
        <w:tc>
          <w:tcPr>
            <w:tcW w:w="931" w:type="dxa"/>
            <w:tcBorders>
              <w:top w:val="nil"/>
              <w:left w:val="nil"/>
              <w:bottom w:val="single" w:sz="4" w:space="0" w:color="000000"/>
              <w:right w:val="nil"/>
            </w:tcBorders>
            <w:shd w:val="clear" w:color="auto" w:fill="auto"/>
            <w:noWrap/>
            <w:vAlign w:val="bottom"/>
            <w:hideMark/>
          </w:tcPr>
          <w:p w14:paraId="7F3BB950"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single" w:sz="4" w:space="0" w:color="000000"/>
              <w:right w:val="nil"/>
            </w:tcBorders>
            <w:shd w:val="clear" w:color="auto" w:fill="auto"/>
            <w:noWrap/>
            <w:vAlign w:val="bottom"/>
            <w:hideMark/>
          </w:tcPr>
          <w:p w14:paraId="31412C0C"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046" w:type="dxa"/>
            <w:tcBorders>
              <w:top w:val="nil"/>
              <w:left w:val="nil"/>
              <w:bottom w:val="single" w:sz="4" w:space="0" w:color="000000"/>
              <w:right w:val="nil"/>
            </w:tcBorders>
            <w:shd w:val="clear" w:color="auto" w:fill="auto"/>
            <w:noWrap/>
            <w:vAlign w:val="bottom"/>
            <w:hideMark/>
          </w:tcPr>
          <w:p w14:paraId="2C43971C"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931" w:type="dxa"/>
            <w:tcBorders>
              <w:top w:val="nil"/>
              <w:left w:val="nil"/>
              <w:bottom w:val="single" w:sz="4" w:space="0" w:color="000000"/>
              <w:right w:val="nil"/>
            </w:tcBorders>
            <w:shd w:val="clear" w:color="auto" w:fill="auto"/>
            <w:noWrap/>
            <w:vAlign w:val="bottom"/>
            <w:hideMark/>
          </w:tcPr>
          <w:p w14:paraId="3808E357"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c>
          <w:tcPr>
            <w:tcW w:w="1258" w:type="dxa"/>
            <w:tcBorders>
              <w:top w:val="nil"/>
              <w:left w:val="nil"/>
              <w:bottom w:val="single" w:sz="4" w:space="0" w:color="000000"/>
              <w:right w:val="nil"/>
            </w:tcBorders>
            <w:shd w:val="clear" w:color="auto" w:fill="auto"/>
            <w:noWrap/>
            <w:vAlign w:val="bottom"/>
            <w:hideMark/>
          </w:tcPr>
          <w:p w14:paraId="48065619" w14:textId="77777777" w:rsidR="0007178B" w:rsidRPr="0007178B" w:rsidRDefault="0007178B" w:rsidP="00AF13F0">
            <w:pPr>
              <w:rPr>
                <w:rFonts w:ascii="Calibri" w:eastAsia="Times New Roman" w:hAnsi="Calibri" w:cs="Times New Roman"/>
                <w:color w:val="000000"/>
              </w:rPr>
            </w:pPr>
            <w:r w:rsidRPr="0007178B">
              <w:rPr>
                <w:rFonts w:ascii="Calibri" w:eastAsia="Times New Roman" w:hAnsi="Calibri" w:cs="Times New Roman"/>
                <w:color w:val="000000"/>
              </w:rPr>
              <w:t>-</w:t>
            </w:r>
          </w:p>
        </w:tc>
      </w:tr>
    </w:tbl>
    <w:p w14:paraId="6B10DEB7" w14:textId="77777777" w:rsidR="0007178B" w:rsidRDefault="0007178B" w:rsidP="00AF13F0">
      <w:pPr>
        <w:spacing w:line="360" w:lineRule="auto"/>
        <w:rPr>
          <w:b/>
        </w:rPr>
      </w:pPr>
    </w:p>
    <w:p w14:paraId="3495DE2E" w14:textId="77777777" w:rsidR="00AF13F0" w:rsidRDefault="00AF13F0" w:rsidP="00AF13F0">
      <w:pPr>
        <w:spacing w:line="360" w:lineRule="auto"/>
        <w:rPr>
          <w:b/>
        </w:rPr>
      </w:pPr>
    </w:p>
    <w:p w14:paraId="758968A0" w14:textId="75D0E5CA" w:rsidR="00A93807" w:rsidRDefault="00A93807" w:rsidP="00AF13F0">
      <w:pPr>
        <w:spacing w:line="360" w:lineRule="auto"/>
        <w:rPr>
          <w:b/>
        </w:rPr>
      </w:pPr>
      <w:r>
        <w:rPr>
          <w:b/>
        </w:rPr>
        <w:t>Tabel 16</w:t>
      </w:r>
    </w:p>
    <w:tbl>
      <w:tblPr>
        <w:tblW w:w="6736" w:type="dxa"/>
        <w:tblInd w:w="108" w:type="dxa"/>
        <w:tblLayout w:type="fixed"/>
        <w:tblLook w:val="04A0" w:firstRow="1" w:lastRow="0" w:firstColumn="1" w:lastColumn="0" w:noHBand="0" w:noVBand="1"/>
      </w:tblPr>
      <w:tblGrid>
        <w:gridCol w:w="1701"/>
        <w:gridCol w:w="935"/>
        <w:gridCol w:w="873"/>
        <w:gridCol w:w="959"/>
        <w:gridCol w:w="851"/>
        <w:gridCol w:w="1417"/>
      </w:tblGrid>
      <w:tr w:rsidR="00A93807" w:rsidRPr="00A93807" w14:paraId="2878B24A" w14:textId="77777777" w:rsidTr="00A93807">
        <w:trPr>
          <w:trHeight w:val="300"/>
        </w:trPr>
        <w:tc>
          <w:tcPr>
            <w:tcW w:w="1701" w:type="dxa"/>
            <w:tcBorders>
              <w:top w:val="single" w:sz="4" w:space="0" w:color="000000"/>
              <w:left w:val="nil"/>
              <w:bottom w:val="single" w:sz="4" w:space="0" w:color="000000"/>
              <w:right w:val="nil"/>
            </w:tcBorders>
            <w:shd w:val="clear" w:color="auto" w:fill="auto"/>
            <w:noWrap/>
            <w:vAlign w:val="bottom"/>
            <w:hideMark/>
          </w:tcPr>
          <w:p w14:paraId="45D02FEA" w14:textId="77777777" w:rsidR="00A93807" w:rsidRPr="00A93807" w:rsidRDefault="00A93807" w:rsidP="00AF13F0">
            <w:pPr>
              <w:rPr>
                <w:rFonts w:ascii="Calibri" w:eastAsia="Times New Roman" w:hAnsi="Calibri" w:cs="Times New Roman"/>
                <w:b/>
                <w:bCs/>
                <w:color w:val="000000"/>
              </w:rPr>
            </w:pPr>
            <w:r w:rsidRPr="00A93807">
              <w:rPr>
                <w:rFonts w:ascii="Calibri" w:eastAsia="Times New Roman" w:hAnsi="Calibri" w:cs="Times New Roman"/>
                <w:b/>
                <w:bCs/>
                <w:color w:val="000000"/>
              </w:rPr>
              <w:t>Onderneming</w:t>
            </w:r>
          </w:p>
        </w:tc>
        <w:tc>
          <w:tcPr>
            <w:tcW w:w="935" w:type="dxa"/>
            <w:tcBorders>
              <w:top w:val="single" w:sz="4" w:space="0" w:color="000000"/>
              <w:left w:val="nil"/>
              <w:bottom w:val="single" w:sz="4" w:space="0" w:color="000000"/>
              <w:right w:val="nil"/>
            </w:tcBorders>
            <w:shd w:val="clear" w:color="auto" w:fill="auto"/>
            <w:noWrap/>
            <w:vAlign w:val="bottom"/>
            <w:hideMark/>
          </w:tcPr>
          <w:p w14:paraId="5ECB0F27" w14:textId="77777777" w:rsidR="00A93807" w:rsidRPr="00A93807" w:rsidRDefault="00A93807" w:rsidP="00AF13F0">
            <w:pPr>
              <w:rPr>
                <w:rFonts w:ascii="Calibri" w:eastAsia="Times New Roman" w:hAnsi="Calibri" w:cs="Times New Roman"/>
                <w:b/>
                <w:bCs/>
                <w:color w:val="000000"/>
              </w:rPr>
            </w:pPr>
            <w:r w:rsidRPr="00A93807">
              <w:rPr>
                <w:rFonts w:ascii="Calibri" w:eastAsia="Times New Roman" w:hAnsi="Calibri" w:cs="Times New Roman"/>
                <w:b/>
                <w:bCs/>
                <w:color w:val="000000"/>
              </w:rPr>
              <w:t>2010</w:t>
            </w:r>
          </w:p>
        </w:tc>
        <w:tc>
          <w:tcPr>
            <w:tcW w:w="873" w:type="dxa"/>
            <w:tcBorders>
              <w:top w:val="single" w:sz="4" w:space="0" w:color="000000"/>
              <w:left w:val="nil"/>
              <w:bottom w:val="single" w:sz="4" w:space="0" w:color="000000"/>
              <w:right w:val="nil"/>
            </w:tcBorders>
            <w:shd w:val="clear" w:color="auto" w:fill="auto"/>
            <w:noWrap/>
            <w:vAlign w:val="bottom"/>
            <w:hideMark/>
          </w:tcPr>
          <w:p w14:paraId="2F1141A2" w14:textId="77777777" w:rsidR="00A93807" w:rsidRPr="00A93807" w:rsidRDefault="00A93807" w:rsidP="00AF13F0">
            <w:pPr>
              <w:rPr>
                <w:rFonts w:ascii="Calibri" w:eastAsia="Times New Roman" w:hAnsi="Calibri" w:cs="Times New Roman"/>
                <w:b/>
                <w:bCs/>
                <w:color w:val="000000"/>
              </w:rPr>
            </w:pPr>
            <w:r w:rsidRPr="00A93807">
              <w:rPr>
                <w:rFonts w:ascii="Calibri" w:eastAsia="Times New Roman" w:hAnsi="Calibri" w:cs="Times New Roman"/>
                <w:b/>
                <w:bCs/>
                <w:color w:val="000000"/>
              </w:rPr>
              <w:t>2011</w:t>
            </w:r>
          </w:p>
        </w:tc>
        <w:tc>
          <w:tcPr>
            <w:tcW w:w="959" w:type="dxa"/>
            <w:tcBorders>
              <w:top w:val="single" w:sz="4" w:space="0" w:color="000000"/>
              <w:left w:val="nil"/>
              <w:bottom w:val="single" w:sz="4" w:space="0" w:color="000000"/>
              <w:right w:val="nil"/>
            </w:tcBorders>
            <w:shd w:val="clear" w:color="auto" w:fill="auto"/>
            <w:noWrap/>
            <w:vAlign w:val="bottom"/>
            <w:hideMark/>
          </w:tcPr>
          <w:p w14:paraId="440F9DFF" w14:textId="77777777" w:rsidR="00A93807" w:rsidRPr="00A93807" w:rsidRDefault="00A93807" w:rsidP="00AF13F0">
            <w:pPr>
              <w:rPr>
                <w:rFonts w:ascii="Calibri" w:eastAsia="Times New Roman" w:hAnsi="Calibri" w:cs="Times New Roman"/>
                <w:b/>
                <w:bCs/>
                <w:color w:val="000000"/>
              </w:rPr>
            </w:pPr>
            <w:r w:rsidRPr="00A93807">
              <w:rPr>
                <w:rFonts w:ascii="Calibri" w:eastAsia="Times New Roman" w:hAnsi="Calibri" w:cs="Times New Roman"/>
                <w:b/>
                <w:bCs/>
                <w:color w:val="000000"/>
              </w:rPr>
              <w:t>2012</w:t>
            </w:r>
          </w:p>
        </w:tc>
        <w:tc>
          <w:tcPr>
            <w:tcW w:w="851" w:type="dxa"/>
            <w:tcBorders>
              <w:top w:val="single" w:sz="4" w:space="0" w:color="000000"/>
              <w:left w:val="nil"/>
              <w:bottom w:val="single" w:sz="4" w:space="0" w:color="000000"/>
              <w:right w:val="nil"/>
            </w:tcBorders>
            <w:shd w:val="clear" w:color="auto" w:fill="auto"/>
            <w:noWrap/>
            <w:vAlign w:val="bottom"/>
            <w:hideMark/>
          </w:tcPr>
          <w:p w14:paraId="262D17AE" w14:textId="77777777" w:rsidR="00A93807" w:rsidRPr="00A93807" w:rsidRDefault="00A93807" w:rsidP="00AF13F0">
            <w:pPr>
              <w:rPr>
                <w:rFonts w:ascii="Calibri" w:eastAsia="Times New Roman" w:hAnsi="Calibri" w:cs="Times New Roman"/>
                <w:b/>
                <w:bCs/>
                <w:color w:val="000000"/>
              </w:rPr>
            </w:pPr>
            <w:r w:rsidRPr="00A93807">
              <w:rPr>
                <w:rFonts w:ascii="Calibri" w:eastAsia="Times New Roman" w:hAnsi="Calibri" w:cs="Times New Roman"/>
                <w:b/>
                <w:bCs/>
                <w:color w:val="000000"/>
              </w:rPr>
              <w:t>2013</w:t>
            </w:r>
          </w:p>
        </w:tc>
        <w:tc>
          <w:tcPr>
            <w:tcW w:w="1417" w:type="dxa"/>
            <w:tcBorders>
              <w:top w:val="single" w:sz="4" w:space="0" w:color="000000"/>
              <w:left w:val="nil"/>
              <w:bottom w:val="single" w:sz="4" w:space="0" w:color="000000"/>
              <w:right w:val="nil"/>
            </w:tcBorders>
            <w:shd w:val="clear" w:color="auto" w:fill="auto"/>
            <w:noWrap/>
            <w:vAlign w:val="bottom"/>
            <w:hideMark/>
          </w:tcPr>
          <w:p w14:paraId="2AF23219" w14:textId="77777777" w:rsidR="00A93807" w:rsidRPr="00A93807" w:rsidRDefault="00A93807" w:rsidP="00AF13F0">
            <w:pPr>
              <w:rPr>
                <w:rFonts w:ascii="Calibri" w:eastAsia="Times New Roman" w:hAnsi="Calibri" w:cs="Times New Roman"/>
                <w:b/>
                <w:bCs/>
                <w:color w:val="000000"/>
              </w:rPr>
            </w:pPr>
            <w:r w:rsidRPr="00A93807">
              <w:rPr>
                <w:rFonts w:ascii="Calibri" w:eastAsia="Times New Roman" w:hAnsi="Calibri" w:cs="Times New Roman"/>
                <w:b/>
                <w:bCs/>
                <w:color w:val="000000"/>
              </w:rPr>
              <w:t>Percentage 2014</w:t>
            </w:r>
          </w:p>
        </w:tc>
      </w:tr>
      <w:tr w:rsidR="00A93807" w:rsidRPr="00A93807" w14:paraId="1A6709D7" w14:textId="77777777" w:rsidTr="00A93807">
        <w:trPr>
          <w:trHeight w:val="300"/>
        </w:trPr>
        <w:tc>
          <w:tcPr>
            <w:tcW w:w="1701" w:type="dxa"/>
            <w:tcBorders>
              <w:top w:val="nil"/>
              <w:left w:val="nil"/>
              <w:bottom w:val="nil"/>
              <w:right w:val="nil"/>
            </w:tcBorders>
            <w:shd w:val="clear" w:color="D9D9D9" w:fill="D9D9D9"/>
            <w:noWrap/>
            <w:vAlign w:val="bottom"/>
            <w:hideMark/>
          </w:tcPr>
          <w:p w14:paraId="395C861E"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Aalberts</w:t>
            </w:r>
          </w:p>
        </w:tc>
        <w:tc>
          <w:tcPr>
            <w:tcW w:w="935" w:type="dxa"/>
            <w:tcBorders>
              <w:top w:val="nil"/>
              <w:left w:val="nil"/>
              <w:bottom w:val="nil"/>
              <w:right w:val="nil"/>
            </w:tcBorders>
            <w:shd w:val="clear" w:color="D9D9D9" w:fill="D9D9D9"/>
            <w:noWrap/>
            <w:vAlign w:val="bottom"/>
            <w:hideMark/>
          </w:tcPr>
          <w:p w14:paraId="2D920072"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12,0%</w:t>
            </w:r>
          </w:p>
        </w:tc>
        <w:tc>
          <w:tcPr>
            <w:tcW w:w="873" w:type="dxa"/>
            <w:tcBorders>
              <w:top w:val="nil"/>
              <w:left w:val="nil"/>
              <w:bottom w:val="nil"/>
              <w:right w:val="nil"/>
            </w:tcBorders>
            <w:shd w:val="clear" w:color="D9D9D9" w:fill="D9D9D9"/>
            <w:noWrap/>
            <w:vAlign w:val="bottom"/>
            <w:hideMark/>
          </w:tcPr>
          <w:p w14:paraId="5527DD32"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8,6%</w:t>
            </w:r>
          </w:p>
        </w:tc>
        <w:tc>
          <w:tcPr>
            <w:tcW w:w="959" w:type="dxa"/>
            <w:tcBorders>
              <w:top w:val="nil"/>
              <w:left w:val="nil"/>
              <w:bottom w:val="nil"/>
              <w:right w:val="nil"/>
            </w:tcBorders>
            <w:shd w:val="clear" w:color="D9D9D9" w:fill="D9D9D9"/>
            <w:noWrap/>
            <w:vAlign w:val="bottom"/>
            <w:hideMark/>
          </w:tcPr>
          <w:p w14:paraId="755DA173"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12,0%</w:t>
            </w:r>
          </w:p>
        </w:tc>
        <w:tc>
          <w:tcPr>
            <w:tcW w:w="851" w:type="dxa"/>
            <w:tcBorders>
              <w:top w:val="nil"/>
              <w:left w:val="nil"/>
              <w:bottom w:val="nil"/>
              <w:right w:val="nil"/>
            </w:tcBorders>
            <w:shd w:val="clear" w:color="D9D9D9" w:fill="D9D9D9"/>
            <w:noWrap/>
            <w:vAlign w:val="bottom"/>
            <w:hideMark/>
          </w:tcPr>
          <w:p w14:paraId="2407B443" w14:textId="25B4ED4A" w:rsidR="00A93807" w:rsidRPr="00A93807" w:rsidRDefault="009322D0" w:rsidP="00AF13F0">
            <w:pPr>
              <w:rPr>
                <w:rFonts w:ascii="Calibri" w:eastAsia="Times New Roman" w:hAnsi="Calibri" w:cs="Times New Roman"/>
                <w:color w:val="000000"/>
              </w:rPr>
            </w:pPr>
            <w:r w:rsidRPr="00A93807">
              <w:rPr>
                <w:rFonts w:ascii="Calibri" w:eastAsia="Times New Roman" w:hAnsi="Calibri" w:cs="Times New Roman"/>
                <w:color w:val="000000"/>
              </w:rPr>
              <w:t>X</w:t>
            </w:r>
          </w:p>
        </w:tc>
        <w:tc>
          <w:tcPr>
            <w:tcW w:w="1417" w:type="dxa"/>
            <w:tcBorders>
              <w:top w:val="nil"/>
              <w:left w:val="nil"/>
              <w:bottom w:val="nil"/>
              <w:right w:val="nil"/>
            </w:tcBorders>
            <w:shd w:val="clear" w:color="D9D9D9" w:fill="D9D9D9"/>
            <w:noWrap/>
            <w:vAlign w:val="bottom"/>
            <w:hideMark/>
          </w:tcPr>
          <w:p w14:paraId="569B2F00"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3,0%</w:t>
            </w:r>
          </w:p>
        </w:tc>
      </w:tr>
      <w:tr w:rsidR="00A93807" w:rsidRPr="00A93807" w14:paraId="1AAA5D49" w14:textId="77777777" w:rsidTr="00A93807">
        <w:trPr>
          <w:trHeight w:val="300"/>
        </w:trPr>
        <w:tc>
          <w:tcPr>
            <w:tcW w:w="1701" w:type="dxa"/>
            <w:tcBorders>
              <w:top w:val="nil"/>
              <w:left w:val="nil"/>
              <w:bottom w:val="nil"/>
              <w:right w:val="nil"/>
            </w:tcBorders>
            <w:shd w:val="clear" w:color="auto" w:fill="auto"/>
            <w:noWrap/>
            <w:vAlign w:val="bottom"/>
            <w:hideMark/>
          </w:tcPr>
          <w:p w14:paraId="7DF133BA"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Akzo Nobel</w:t>
            </w:r>
          </w:p>
        </w:tc>
        <w:tc>
          <w:tcPr>
            <w:tcW w:w="935" w:type="dxa"/>
            <w:tcBorders>
              <w:top w:val="nil"/>
              <w:left w:val="nil"/>
              <w:bottom w:val="nil"/>
              <w:right w:val="nil"/>
            </w:tcBorders>
            <w:shd w:val="clear" w:color="auto" w:fill="auto"/>
            <w:noWrap/>
            <w:vAlign w:val="bottom"/>
            <w:hideMark/>
          </w:tcPr>
          <w:p w14:paraId="295A505F"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w:t>
            </w:r>
          </w:p>
        </w:tc>
        <w:tc>
          <w:tcPr>
            <w:tcW w:w="873" w:type="dxa"/>
            <w:tcBorders>
              <w:top w:val="nil"/>
              <w:left w:val="nil"/>
              <w:bottom w:val="nil"/>
              <w:right w:val="nil"/>
            </w:tcBorders>
            <w:shd w:val="clear" w:color="auto" w:fill="auto"/>
            <w:noWrap/>
            <w:vAlign w:val="bottom"/>
            <w:hideMark/>
          </w:tcPr>
          <w:p w14:paraId="08CA1246"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w:t>
            </w:r>
          </w:p>
        </w:tc>
        <w:tc>
          <w:tcPr>
            <w:tcW w:w="959" w:type="dxa"/>
            <w:tcBorders>
              <w:top w:val="nil"/>
              <w:left w:val="nil"/>
              <w:bottom w:val="nil"/>
              <w:right w:val="nil"/>
            </w:tcBorders>
            <w:shd w:val="clear" w:color="auto" w:fill="auto"/>
            <w:noWrap/>
            <w:vAlign w:val="bottom"/>
            <w:hideMark/>
          </w:tcPr>
          <w:p w14:paraId="4B2BBF07"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w:t>
            </w:r>
          </w:p>
        </w:tc>
        <w:tc>
          <w:tcPr>
            <w:tcW w:w="851" w:type="dxa"/>
            <w:tcBorders>
              <w:top w:val="nil"/>
              <w:left w:val="nil"/>
              <w:bottom w:val="nil"/>
              <w:right w:val="nil"/>
            </w:tcBorders>
            <w:shd w:val="clear" w:color="auto" w:fill="auto"/>
            <w:noWrap/>
            <w:vAlign w:val="bottom"/>
            <w:hideMark/>
          </w:tcPr>
          <w:p w14:paraId="684C40D7"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w:t>
            </w:r>
          </w:p>
        </w:tc>
        <w:tc>
          <w:tcPr>
            <w:tcW w:w="1417" w:type="dxa"/>
            <w:tcBorders>
              <w:top w:val="nil"/>
              <w:left w:val="nil"/>
              <w:bottom w:val="nil"/>
              <w:right w:val="nil"/>
            </w:tcBorders>
            <w:shd w:val="clear" w:color="auto" w:fill="auto"/>
            <w:noWrap/>
            <w:vAlign w:val="bottom"/>
            <w:hideMark/>
          </w:tcPr>
          <w:p w14:paraId="50605504"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1,0%</w:t>
            </w:r>
          </w:p>
        </w:tc>
      </w:tr>
      <w:tr w:rsidR="00A93807" w:rsidRPr="00A93807" w14:paraId="600BB538" w14:textId="77777777" w:rsidTr="00A93807">
        <w:trPr>
          <w:trHeight w:val="300"/>
        </w:trPr>
        <w:tc>
          <w:tcPr>
            <w:tcW w:w="1701" w:type="dxa"/>
            <w:tcBorders>
              <w:top w:val="nil"/>
              <w:left w:val="nil"/>
              <w:bottom w:val="nil"/>
              <w:right w:val="nil"/>
            </w:tcBorders>
            <w:shd w:val="clear" w:color="D9D9D9" w:fill="D9D9D9"/>
            <w:noWrap/>
            <w:vAlign w:val="bottom"/>
            <w:hideMark/>
          </w:tcPr>
          <w:p w14:paraId="14C98367"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DSM</w:t>
            </w:r>
          </w:p>
        </w:tc>
        <w:tc>
          <w:tcPr>
            <w:tcW w:w="935" w:type="dxa"/>
            <w:tcBorders>
              <w:top w:val="nil"/>
              <w:left w:val="nil"/>
              <w:bottom w:val="nil"/>
              <w:right w:val="nil"/>
            </w:tcBorders>
            <w:shd w:val="clear" w:color="D9D9D9" w:fill="D9D9D9"/>
            <w:noWrap/>
            <w:vAlign w:val="bottom"/>
            <w:hideMark/>
          </w:tcPr>
          <w:p w14:paraId="11C2BDA5"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19*%</w:t>
            </w:r>
          </w:p>
        </w:tc>
        <w:tc>
          <w:tcPr>
            <w:tcW w:w="873" w:type="dxa"/>
            <w:tcBorders>
              <w:top w:val="nil"/>
              <w:left w:val="nil"/>
              <w:bottom w:val="nil"/>
              <w:right w:val="nil"/>
            </w:tcBorders>
            <w:shd w:val="clear" w:color="D9D9D9" w:fill="D9D9D9"/>
            <w:noWrap/>
            <w:vAlign w:val="bottom"/>
            <w:hideMark/>
          </w:tcPr>
          <w:p w14:paraId="76F21165"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12*%</w:t>
            </w:r>
          </w:p>
        </w:tc>
        <w:tc>
          <w:tcPr>
            <w:tcW w:w="959" w:type="dxa"/>
            <w:tcBorders>
              <w:top w:val="nil"/>
              <w:left w:val="nil"/>
              <w:bottom w:val="nil"/>
              <w:right w:val="nil"/>
            </w:tcBorders>
            <w:shd w:val="clear" w:color="D9D9D9" w:fill="D9D9D9"/>
            <w:noWrap/>
            <w:vAlign w:val="bottom"/>
            <w:hideMark/>
          </w:tcPr>
          <w:p w14:paraId="3F924135"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x</w:t>
            </w:r>
          </w:p>
        </w:tc>
        <w:tc>
          <w:tcPr>
            <w:tcW w:w="851" w:type="dxa"/>
            <w:tcBorders>
              <w:top w:val="nil"/>
              <w:left w:val="nil"/>
              <w:bottom w:val="nil"/>
              <w:right w:val="nil"/>
            </w:tcBorders>
            <w:shd w:val="clear" w:color="D9D9D9" w:fill="D9D9D9"/>
            <w:noWrap/>
            <w:vAlign w:val="bottom"/>
            <w:hideMark/>
          </w:tcPr>
          <w:p w14:paraId="68DC6F49" w14:textId="7DDE79C7" w:rsidR="00A93807" w:rsidRPr="00A93807" w:rsidRDefault="009322D0" w:rsidP="00AF13F0">
            <w:pPr>
              <w:rPr>
                <w:rFonts w:ascii="Calibri" w:eastAsia="Times New Roman" w:hAnsi="Calibri" w:cs="Times New Roman"/>
                <w:color w:val="000000"/>
              </w:rPr>
            </w:pPr>
            <w:r w:rsidRPr="00A93807">
              <w:rPr>
                <w:rFonts w:ascii="Calibri" w:eastAsia="Times New Roman" w:hAnsi="Calibri" w:cs="Times New Roman"/>
                <w:color w:val="000000"/>
              </w:rPr>
              <w:t>X</w:t>
            </w:r>
          </w:p>
        </w:tc>
        <w:tc>
          <w:tcPr>
            <w:tcW w:w="1417" w:type="dxa"/>
            <w:tcBorders>
              <w:top w:val="nil"/>
              <w:left w:val="nil"/>
              <w:bottom w:val="nil"/>
              <w:right w:val="nil"/>
            </w:tcBorders>
            <w:shd w:val="clear" w:color="D9D9D9" w:fill="D9D9D9"/>
            <w:noWrap/>
            <w:vAlign w:val="bottom"/>
            <w:hideMark/>
          </w:tcPr>
          <w:p w14:paraId="6BA625F9"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3,0%</w:t>
            </w:r>
          </w:p>
        </w:tc>
      </w:tr>
      <w:tr w:rsidR="00A93807" w:rsidRPr="00A93807" w14:paraId="1014D631" w14:textId="77777777" w:rsidTr="00A93807">
        <w:trPr>
          <w:trHeight w:val="300"/>
        </w:trPr>
        <w:tc>
          <w:tcPr>
            <w:tcW w:w="1701" w:type="dxa"/>
            <w:tcBorders>
              <w:top w:val="nil"/>
              <w:left w:val="nil"/>
              <w:bottom w:val="nil"/>
              <w:right w:val="nil"/>
            </w:tcBorders>
            <w:shd w:val="clear" w:color="auto" w:fill="auto"/>
            <w:noWrap/>
            <w:vAlign w:val="bottom"/>
            <w:hideMark/>
          </w:tcPr>
          <w:p w14:paraId="3C34179C"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Heineken</w:t>
            </w:r>
          </w:p>
        </w:tc>
        <w:tc>
          <w:tcPr>
            <w:tcW w:w="935" w:type="dxa"/>
            <w:tcBorders>
              <w:top w:val="nil"/>
              <w:left w:val="nil"/>
              <w:bottom w:val="nil"/>
              <w:right w:val="nil"/>
            </w:tcBorders>
            <w:shd w:val="clear" w:color="auto" w:fill="auto"/>
            <w:noWrap/>
            <w:vAlign w:val="bottom"/>
            <w:hideMark/>
          </w:tcPr>
          <w:p w14:paraId="357A9596"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-2,2%</w:t>
            </w:r>
          </w:p>
        </w:tc>
        <w:tc>
          <w:tcPr>
            <w:tcW w:w="873" w:type="dxa"/>
            <w:tcBorders>
              <w:top w:val="nil"/>
              <w:left w:val="nil"/>
              <w:bottom w:val="nil"/>
              <w:right w:val="nil"/>
            </w:tcBorders>
            <w:shd w:val="clear" w:color="auto" w:fill="auto"/>
            <w:noWrap/>
            <w:vAlign w:val="bottom"/>
            <w:hideMark/>
          </w:tcPr>
          <w:p w14:paraId="3AC97422"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X</w:t>
            </w:r>
          </w:p>
        </w:tc>
        <w:tc>
          <w:tcPr>
            <w:tcW w:w="959" w:type="dxa"/>
            <w:tcBorders>
              <w:top w:val="nil"/>
              <w:left w:val="nil"/>
              <w:bottom w:val="nil"/>
              <w:right w:val="nil"/>
            </w:tcBorders>
            <w:shd w:val="clear" w:color="auto" w:fill="auto"/>
            <w:noWrap/>
            <w:vAlign w:val="bottom"/>
            <w:hideMark/>
          </w:tcPr>
          <w:p w14:paraId="5D79119E"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3,9%</w:t>
            </w:r>
          </w:p>
        </w:tc>
        <w:tc>
          <w:tcPr>
            <w:tcW w:w="851" w:type="dxa"/>
            <w:tcBorders>
              <w:top w:val="nil"/>
              <w:left w:val="nil"/>
              <w:bottom w:val="nil"/>
              <w:right w:val="nil"/>
            </w:tcBorders>
            <w:shd w:val="clear" w:color="auto" w:fill="auto"/>
            <w:noWrap/>
            <w:vAlign w:val="bottom"/>
            <w:hideMark/>
          </w:tcPr>
          <w:p w14:paraId="08A5CF5D"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-0,9%</w:t>
            </w:r>
          </w:p>
        </w:tc>
        <w:tc>
          <w:tcPr>
            <w:tcW w:w="1417" w:type="dxa"/>
            <w:tcBorders>
              <w:top w:val="nil"/>
              <w:left w:val="nil"/>
              <w:bottom w:val="nil"/>
              <w:right w:val="nil"/>
            </w:tcBorders>
            <w:shd w:val="clear" w:color="auto" w:fill="auto"/>
            <w:noWrap/>
            <w:vAlign w:val="bottom"/>
            <w:hideMark/>
          </w:tcPr>
          <w:p w14:paraId="5C10EB04"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3,3%</w:t>
            </w:r>
          </w:p>
        </w:tc>
      </w:tr>
      <w:tr w:rsidR="00A93807" w:rsidRPr="00A93807" w14:paraId="6E82FC52" w14:textId="77777777" w:rsidTr="00A93807">
        <w:trPr>
          <w:trHeight w:val="300"/>
        </w:trPr>
        <w:tc>
          <w:tcPr>
            <w:tcW w:w="1701" w:type="dxa"/>
            <w:tcBorders>
              <w:top w:val="nil"/>
              <w:left w:val="nil"/>
              <w:bottom w:val="nil"/>
              <w:right w:val="nil"/>
            </w:tcBorders>
            <w:shd w:val="clear" w:color="D9D9D9" w:fill="D9D9D9"/>
            <w:noWrap/>
            <w:vAlign w:val="bottom"/>
            <w:hideMark/>
          </w:tcPr>
          <w:p w14:paraId="0A69D232"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Randstad</w:t>
            </w:r>
          </w:p>
        </w:tc>
        <w:tc>
          <w:tcPr>
            <w:tcW w:w="935" w:type="dxa"/>
            <w:tcBorders>
              <w:top w:val="nil"/>
              <w:left w:val="nil"/>
              <w:bottom w:val="nil"/>
              <w:right w:val="nil"/>
            </w:tcBorders>
            <w:shd w:val="clear" w:color="D9D9D9" w:fill="D9D9D9"/>
            <w:noWrap/>
            <w:vAlign w:val="bottom"/>
            <w:hideMark/>
          </w:tcPr>
          <w:p w14:paraId="18B18B14"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11,8%</w:t>
            </w:r>
          </w:p>
        </w:tc>
        <w:tc>
          <w:tcPr>
            <w:tcW w:w="873" w:type="dxa"/>
            <w:tcBorders>
              <w:top w:val="nil"/>
              <w:left w:val="nil"/>
              <w:bottom w:val="nil"/>
              <w:right w:val="nil"/>
            </w:tcBorders>
            <w:shd w:val="clear" w:color="D9D9D9" w:fill="D9D9D9"/>
            <w:noWrap/>
            <w:vAlign w:val="bottom"/>
            <w:hideMark/>
          </w:tcPr>
          <w:p w14:paraId="6E31399B"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9,0%</w:t>
            </w:r>
          </w:p>
        </w:tc>
        <w:tc>
          <w:tcPr>
            <w:tcW w:w="959" w:type="dxa"/>
            <w:tcBorders>
              <w:top w:val="nil"/>
              <w:left w:val="nil"/>
              <w:bottom w:val="nil"/>
              <w:right w:val="nil"/>
            </w:tcBorders>
            <w:shd w:val="clear" w:color="D9D9D9" w:fill="D9D9D9"/>
            <w:noWrap/>
            <w:vAlign w:val="bottom"/>
            <w:hideMark/>
          </w:tcPr>
          <w:p w14:paraId="717BEA1D"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-2,5%</w:t>
            </w:r>
          </w:p>
        </w:tc>
        <w:tc>
          <w:tcPr>
            <w:tcW w:w="851" w:type="dxa"/>
            <w:tcBorders>
              <w:top w:val="nil"/>
              <w:left w:val="nil"/>
              <w:bottom w:val="nil"/>
              <w:right w:val="nil"/>
            </w:tcBorders>
            <w:shd w:val="clear" w:color="D9D9D9" w:fill="D9D9D9"/>
            <w:noWrap/>
            <w:vAlign w:val="bottom"/>
            <w:hideMark/>
          </w:tcPr>
          <w:p w14:paraId="39D14FA6"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-1,5%</w:t>
            </w:r>
          </w:p>
        </w:tc>
        <w:tc>
          <w:tcPr>
            <w:tcW w:w="1417" w:type="dxa"/>
            <w:tcBorders>
              <w:top w:val="nil"/>
              <w:left w:val="nil"/>
              <w:bottom w:val="nil"/>
              <w:right w:val="nil"/>
            </w:tcBorders>
            <w:shd w:val="clear" w:color="D9D9D9" w:fill="D9D9D9"/>
            <w:noWrap/>
            <w:vAlign w:val="bottom"/>
            <w:hideMark/>
          </w:tcPr>
          <w:p w14:paraId="2DE9698C"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3,9%</w:t>
            </w:r>
          </w:p>
        </w:tc>
      </w:tr>
      <w:tr w:rsidR="00A93807" w:rsidRPr="00A93807" w14:paraId="540E3758" w14:textId="77777777" w:rsidTr="00A93807">
        <w:trPr>
          <w:trHeight w:val="300"/>
        </w:trPr>
        <w:tc>
          <w:tcPr>
            <w:tcW w:w="1701" w:type="dxa"/>
            <w:tcBorders>
              <w:top w:val="nil"/>
              <w:left w:val="nil"/>
              <w:bottom w:val="nil"/>
              <w:right w:val="nil"/>
            </w:tcBorders>
            <w:shd w:val="clear" w:color="auto" w:fill="auto"/>
            <w:noWrap/>
            <w:vAlign w:val="bottom"/>
            <w:hideMark/>
          </w:tcPr>
          <w:p w14:paraId="3216B52D"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Wolters Kluwer</w:t>
            </w:r>
          </w:p>
        </w:tc>
        <w:tc>
          <w:tcPr>
            <w:tcW w:w="935" w:type="dxa"/>
            <w:tcBorders>
              <w:top w:val="nil"/>
              <w:left w:val="nil"/>
              <w:bottom w:val="nil"/>
              <w:right w:val="nil"/>
            </w:tcBorders>
            <w:shd w:val="clear" w:color="auto" w:fill="auto"/>
            <w:noWrap/>
            <w:vAlign w:val="bottom"/>
            <w:hideMark/>
          </w:tcPr>
          <w:p w14:paraId="2C313BAB"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0,3%</w:t>
            </w:r>
          </w:p>
        </w:tc>
        <w:tc>
          <w:tcPr>
            <w:tcW w:w="873" w:type="dxa"/>
            <w:tcBorders>
              <w:top w:val="nil"/>
              <w:left w:val="nil"/>
              <w:bottom w:val="nil"/>
              <w:right w:val="nil"/>
            </w:tcBorders>
            <w:shd w:val="clear" w:color="auto" w:fill="auto"/>
            <w:noWrap/>
            <w:vAlign w:val="bottom"/>
            <w:hideMark/>
          </w:tcPr>
          <w:p w14:paraId="77CACB10"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0,7%</w:t>
            </w:r>
          </w:p>
        </w:tc>
        <w:tc>
          <w:tcPr>
            <w:tcW w:w="959" w:type="dxa"/>
            <w:tcBorders>
              <w:top w:val="nil"/>
              <w:left w:val="nil"/>
              <w:bottom w:val="nil"/>
              <w:right w:val="nil"/>
            </w:tcBorders>
            <w:shd w:val="clear" w:color="auto" w:fill="auto"/>
            <w:noWrap/>
            <w:vAlign w:val="bottom"/>
            <w:hideMark/>
          </w:tcPr>
          <w:p w14:paraId="39DD0AA4"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0,7%</w:t>
            </w:r>
          </w:p>
        </w:tc>
        <w:tc>
          <w:tcPr>
            <w:tcW w:w="851" w:type="dxa"/>
            <w:tcBorders>
              <w:top w:val="nil"/>
              <w:left w:val="nil"/>
              <w:bottom w:val="nil"/>
              <w:right w:val="nil"/>
            </w:tcBorders>
            <w:shd w:val="clear" w:color="auto" w:fill="auto"/>
            <w:noWrap/>
            <w:vAlign w:val="bottom"/>
            <w:hideMark/>
          </w:tcPr>
          <w:p w14:paraId="6FEE09B8"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0,7%</w:t>
            </w:r>
          </w:p>
        </w:tc>
        <w:tc>
          <w:tcPr>
            <w:tcW w:w="1417" w:type="dxa"/>
            <w:tcBorders>
              <w:top w:val="nil"/>
              <w:left w:val="nil"/>
              <w:bottom w:val="nil"/>
              <w:right w:val="nil"/>
            </w:tcBorders>
            <w:shd w:val="clear" w:color="auto" w:fill="auto"/>
            <w:noWrap/>
            <w:vAlign w:val="bottom"/>
            <w:hideMark/>
          </w:tcPr>
          <w:p w14:paraId="19F7D760"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1,9%</w:t>
            </w:r>
          </w:p>
        </w:tc>
      </w:tr>
      <w:tr w:rsidR="00A93807" w:rsidRPr="00A93807" w14:paraId="1A817388" w14:textId="77777777" w:rsidTr="00A93807">
        <w:trPr>
          <w:trHeight w:val="300"/>
        </w:trPr>
        <w:tc>
          <w:tcPr>
            <w:tcW w:w="1701" w:type="dxa"/>
            <w:tcBorders>
              <w:top w:val="nil"/>
              <w:left w:val="nil"/>
              <w:bottom w:val="nil"/>
              <w:right w:val="nil"/>
            </w:tcBorders>
            <w:shd w:val="clear" w:color="D9D9D9" w:fill="D9D9D9"/>
            <w:noWrap/>
            <w:vAlign w:val="bottom"/>
            <w:hideMark/>
          </w:tcPr>
          <w:p w14:paraId="406E1105"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Unilever</w:t>
            </w:r>
          </w:p>
        </w:tc>
        <w:tc>
          <w:tcPr>
            <w:tcW w:w="935" w:type="dxa"/>
            <w:tcBorders>
              <w:top w:val="nil"/>
              <w:left w:val="nil"/>
              <w:bottom w:val="nil"/>
              <w:right w:val="nil"/>
            </w:tcBorders>
            <w:shd w:val="clear" w:color="D9D9D9" w:fill="D9D9D9"/>
            <w:noWrap/>
            <w:vAlign w:val="bottom"/>
            <w:hideMark/>
          </w:tcPr>
          <w:p w14:paraId="598FD5CA"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4,1%</w:t>
            </w:r>
          </w:p>
        </w:tc>
        <w:tc>
          <w:tcPr>
            <w:tcW w:w="873" w:type="dxa"/>
            <w:tcBorders>
              <w:top w:val="nil"/>
              <w:left w:val="nil"/>
              <w:bottom w:val="nil"/>
              <w:right w:val="nil"/>
            </w:tcBorders>
            <w:shd w:val="clear" w:color="D9D9D9" w:fill="D9D9D9"/>
            <w:noWrap/>
            <w:vAlign w:val="bottom"/>
            <w:hideMark/>
          </w:tcPr>
          <w:p w14:paraId="7E099293"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6,5%</w:t>
            </w:r>
          </w:p>
        </w:tc>
        <w:tc>
          <w:tcPr>
            <w:tcW w:w="959" w:type="dxa"/>
            <w:tcBorders>
              <w:top w:val="nil"/>
              <w:left w:val="nil"/>
              <w:bottom w:val="nil"/>
              <w:right w:val="nil"/>
            </w:tcBorders>
            <w:shd w:val="clear" w:color="D9D9D9" w:fill="D9D9D9"/>
            <w:noWrap/>
            <w:vAlign w:val="bottom"/>
            <w:hideMark/>
          </w:tcPr>
          <w:p w14:paraId="50491CB2"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6,9%</w:t>
            </w:r>
          </w:p>
        </w:tc>
        <w:tc>
          <w:tcPr>
            <w:tcW w:w="851" w:type="dxa"/>
            <w:tcBorders>
              <w:top w:val="nil"/>
              <w:left w:val="nil"/>
              <w:bottom w:val="nil"/>
              <w:right w:val="nil"/>
            </w:tcBorders>
            <w:shd w:val="clear" w:color="D9D9D9" w:fill="D9D9D9"/>
            <w:noWrap/>
            <w:vAlign w:val="bottom"/>
            <w:hideMark/>
          </w:tcPr>
          <w:p w14:paraId="1FDEA5EB"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w:t>
            </w:r>
          </w:p>
        </w:tc>
        <w:tc>
          <w:tcPr>
            <w:tcW w:w="1417" w:type="dxa"/>
            <w:tcBorders>
              <w:top w:val="nil"/>
              <w:left w:val="nil"/>
              <w:bottom w:val="nil"/>
              <w:right w:val="nil"/>
            </w:tcBorders>
            <w:shd w:val="clear" w:color="D9D9D9" w:fill="D9D9D9"/>
            <w:noWrap/>
            <w:vAlign w:val="bottom"/>
            <w:hideMark/>
          </w:tcPr>
          <w:p w14:paraId="3B8FE643"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w:t>
            </w:r>
          </w:p>
        </w:tc>
      </w:tr>
      <w:tr w:rsidR="00A93807" w:rsidRPr="00A93807" w14:paraId="181570D2" w14:textId="77777777" w:rsidTr="00A93807">
        <w:trPr>
          <w:trHeight w:val="300"/>
        </w:trPr>
        <w:tc>
          <w:tcPr>
            <w:tcW w:w="1701" w:type="dxa"/>
            <w:tcBorders>
              <w:top w:val="nil"/>
              <w:left w:val="nil"/>
              <w:bottom w:val="single" w:sz="4" w:space="0" w:color="000000"/>
              <w:right w:val="nil"/>
            </w:tcBorders>
            <w:shd w:val="clear" w:color="auto" w:fill="auto"/>
            <w:noWrap/>
            <w:vAlign w:val="bottom"/>
            <w:hideMark/>
          </w:tcPr>
          <w:p w14:paraId="7339DE0D"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Reed Elsevier</w:t>
            </w:r>
          </w:p>
        </w:tc>
        <w:tc>
          <w:tcPr>
            <w:tcW w:w="935" w:type="dxa"/>
            <w:tcBorders>
              <w:top w:val="nil"/>
              <w:left w:val="nil"/>
              <w:bottom w:val="single" w:sz="4" w:space="0" w:color="000000"/>
              <w:right w:val="nil"/>
            </w:tcBorders>
            <w:shd w:val="clear" w:color="auto" w:fill="auto"/>
            <w:noWrap/>
            <w:vAlign w:val="bottom"/>
            <w:hideMark/>
          </w:tcPr>
          <w:p w14:paraId="0E089B07"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2,0%</w:t>
            </w:r>
          </w:p>
        </w:tc>
        <w:tc>
          <w:tcPr>
            <w:tcW w:w="873" w:type="dxa"/>
            <w:tcBorders>
              <w:top w:val="nil"/>
              <w:left w:val="nil"/>
              <w:bottom w:val="single" w:sz="4" w:space="0" w:color="000000"/>
              <w:right w:val="nil"/>
            </w:tcBorders>
            <w:shd w:val="clear" w:color="auto" w:fill="auto"/>
            <w:noWrap/>
            <w:vAlign w:val="bottom"/>
            <w:hideMark/>
          </w:tcPr>
          <w:p w14:paraId="7B300A38"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w:t>
            </w:r>
          </w:p>
        </w:tc>
        <w:tc>
          <w:tcPr>
            <w:tcW w:w="959" w:type="dxa"/>
            <w:tcBorders>
              <w:top w:val="nil"/>
              <w:left w:val="nil"/>
              <w:bottom w:val="single" w:sz="4" w:space="0" w:color="000000"/>
              <w:right w:val="nil"/>
            </w:tcBorders>
            <w:shd w:val="clear" w:color="auto" w:fill="auto"/>
            <w:noWrap/>
            <w:vAlign w:val="bottom"/>
            <w:hideMark/>
          </w:tcPr>
          <w:p w14:paraId="7D050CC3"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w:t>
            </w:r>
          </w:p>
        </w:tc>
        <w:tc>
          <w:tcPr>
            <w:tcW w:w="851" w:type="dxa"/>
            <w:tcBorders>
              <w:top w:val="nil"/>
              <w:left w:val="nil"/>
              <w:bottom w:val="single" w:sz="4" w:space="0" w:color="000000"/>
              <w:right w:val="nil"/>
            </w:tcBorders>
            <w:shd w:val="clear" w:color="auto" w:fill="auto"/>
            <w:noWrap/>
            <w:vAlign w:val="bottom"/>
            <w:hideMark/>
          </w:tcPr>
          <w:p w14:paraId="45C78FF2"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w:t>
            </w:r>
          </w:p>
        </w:tc>
        <w:tc>
          <w:tcPr>
            <w:tcW w:w="1417" w:type="dxa"/>
            <w:tcBorders>
              <w:top w:val="nil"/>
              <w:left w:val="nil"/>
              <w:bottom w:val="single" w:sz="4" w:space="0" w:color="000000"/>
              <w:right w:val="nil"/>
            </w:tcBorders>
            <w:shd w:val="clear" w:color="auto" w:fill="auto"/>
            <w:noWrap/>
            <w:vAlign w:val="bottom"/>
            <w:hideMark/>
          </w:tcPr>
          <w:p w14:paraId="13EA218A" w14:textId="77777777" w:rsidR="00A93807" w:rsidRPr="00A93807" w:rsidRDefault="00A93807" w:rsidP="00AF13F0">
            <w:pPr>
              <w:rPr>
                <w:rFonts w:ascii="Calibri" w:eastAsia="Times New Roman" w:hAnsi="Calibri" w:cs="Times New Roman"/>
                <w:color w:val="000000"/>
              </w:rPr>
            </w:pPr>
            <w:r w:rsidRPr="00A93807">
              <w:rPr>
                <w:rFonts w:ascii="Calibri" w:eastAsia="Times New Roman" w:hAnsi="Calibri" w:cs="Times New Roman"/>
                <w:color w:val="000000"/>
              </w:rPr>
              <w:t>-</w:t>
            </w:r>
          </w:p>
        </w:tc>
      </w:tr>
    </w:tbl>
    <w:p w14:paraId="4483228A" w14:textId="77777777" w:rsidR="00A93807" w:rsidRDefault="00A93807" w:rsidP="00AF13F0">
      <w:pPr>
        <w:spacing w:line="360" w:lineRule="auto"/>
        <w:rPr>
          <w:b/>
        </w:rPr>
      </w:pPr>
    </w:p>
    <w:p w14:paraId="79E27781" w14:textId="71EB38EA" w:rsidR="002D4891" w:rsidRDefault="002D4891" w:rsidP="00AF13F0">
      <w:pPr>
        <w:spacing w:line="360" w:lineRule="auto"/>
        <w:rPr>
          <w:b/>
        </w:rPr>
      </w:pPr>
      <w:r>
        <w:rPr>
          <w:b/>
        </w:rPr>
        <w:t>Tabel 17</w:t>
      </w:r>
    </w:p>
    <w:tbl>
      <w:tblPr>
        <w:tblW w:w="8647" w:type="dxa"/>
        <w:tblInd w:w="108" w:type="dxa"/>
        <w:tblLayout w:type="fixed"/>
        <w:tblLook w:val="04A0" w:firstRow="1" w:lastRow="0" w:firstColumn="1" w:lastColumn="0" w:noHBand="0" w:noVBand="1"/>
      </w:tblPr>
      <w:tblGrid>
        <w:gridCol w:w="1589"/>
        <w:gridCol w:w="1388"/>
        <w:gridCol w:w="1418"/>
        <w:gridCol w:w="1417"/>
        <w:gridCol w:w="1418"/>
        <w:gridCol w:w="1417"/>
      </w:tblGrid>
      <w:tr w:rsidR="002D4891" w:rsidRPr="002D4891" w14:paraId="644D94F6" w14:textId="77777777" w:rsidTr="002D4891">
        <w:trPr>
          <w:trHeight w:val="300"/>
        </w:trPr>
        <w:tc>
          <w:tcPr>
            <w:tcW w:w="1589" w:type="dxa"/>
            <w:tcBorders>
              <w:top w:val="single" w:sz="4" w:space="0" w:color="000000"/>
              <w:left w:val="nil"/>
              <w:bottom w:val="single" w:sz="4" w:space="0" w:color="000000"/>
              <w:right w:val="nil"/>
            </w:tcBorders>
            <w:shd w:val="clear" w:color="auto" w:fill="auto"/>
            <w:noWrap/>
            <w:vAlign w:val="bottom"/>
            <w:hideMark/>
          </w:tcPr>
          <w:p w14:paraId="1762CBE6" w14:textId="77777777" w:rsidR="002D4891" w:rsidRPr="002D4891" w:rsidRDefault="002D4891" w:rsidP="00AF13F0">
            <w:pPr>
              <w:rPr>
                <w:rFonts w:ascii="Calibri" w:eastAsia="Times New Roman" w:hAnsi="Calibri" w:cs="Times New Roman"/>
                <w:b/>
                <w:bCs/>
                <w:color w:val="000000"/>
              </w:rPr>
            </w:pPr>
            <w:r w:rsidRPr="002D4891">
              <w:rPr>
                <w:rFonts w:ascii="Calibri" w:eastAsia="Times New Roman" w:hAnsi="Calibri" w:cs="Times New Roman"/>
                <w:b/>
                <w:bCs/>
                <w:color w:val="000000"/>
              </w:rPr>
              <w:t>Onderneming</w:t>
            </w:r>
          </w:p>
        </w:tc>
        <w:tc>
          <w:tcPr>
            <w:tcW w:w="1388" w:type="dxa"/>
            <w:tcBorders>
              <w:top w:val="single" w:sz="4" w:space="0" w:color="000000"/>
              <w:left w:val="nil"/>
              <w:bottom w:val="single" w:sz="4" w:space="0" w:color="000000"/>
              <w:right w:val="nil"/>
            </w:tcBorders>
            <w:shd w:val="clear" w:color="auto" w:fill="auto"/>
            <w:noWrap/>
            <w:vAlign w:val="bottom"/>
            <w:hideMark/>
          </w:tcPr>
          <w:p w14:paraId="4434FE69" w14:textId="59B1E032" w:rsidR="002D4891" w:rsidRPr="002D4891" w:rsidRDefault="002D4891"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         </w:t>
            </w:r>
            <w:r w:rsidRPr="002D4891">
              <w:rPr>
                <w:rFonts w:ascii="Calibri" w:eastAsia="Times New Roman" w:hAnsi="Calibri" w:cs="Times New Roman"/>
                <w:b/>
                <w:bCs/>
                <w:color w:val="000000"/>
              </w:rPr>
              <w:t>2010</w:t>
            </w:r>
          </w:p>
        </w:tc>
        <w:tc>
          <w:tcPr>
            <w:tcW w:w="1418" w:type="dxa"/>
            <w:tcBorders>
              <w:top w:val="single" w:sz="4" w:space="0" w:color="000000"/>
              <w:left w:val="nil"/>
              <w:bottom w:val="single" w:sz="4" w:space="0" w:color="000000"/>
              <w:right w:val="nil"/>
            </w:tcBorders>
            <w:shd w:val="clear" w:color="auto" w:fill="auto"/>
            <w:noWrap/>
            <w:vAlign w:val="bottom"/>
            <w:hideMark/>
          </w:tcPr>
          <w:p w14:paraId="4010E367" w14:textId="17F2C1BF" w:rsidR="002D4891" w:rsidRPr="002D4891" w:rsidRDefault="002D4891"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       </w:t>
            </w:r>
            <w:r w:rsidRPr="002D4891">
              <w:rPr>
                <w:rFonts w:ascii="Calibri" w:eastAsia="Times New Roman" w:hAnsi="Calibri" w:cs="Times New Roman"/>
                <w:b/>
                <w:bCs/>
                <w:color w:val="000000"/>
              </w:rPr>
              <w:t>2011</w:t>
            </w:r>
          </w:p>
        </w:tc>
        <w:tc>
          <w:tcPr>
            <w:tcW w:w="1417" w:type="dxa"/>
            <w:tcBorders>
              <w:top w:val="single" w:sz="4" w:space="0" w:color="000000"/>
              <w:left w:val="nil"/>
              <w:bottom w:val="single" w:sz="4" w:space="0" w:color="000000"/>
              <w:right w:val="nil"/>
            </w:tcBorders>
            <w:shd w:val="clear" w:color="auto" w:fill="auto"/>
            <w:noWrap/>
            <w:vAlign w:val="bottom"/>
            <w:hideMark/>
          </w:tcPr>
          <w:p w14:paraId="62F0B76A" w14:textId="56FF7F39" w:rsidR="002D4891" w:rsidRPr="002D4891" w:rsidRDefault="002D4891"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       </w:t>
            </w:r>
            <w:r w:rsidRPr="002D4891">
              <w:rPr>
                <w:rFonts w:ascii="Calibri" w:eastAsia="Times New Roman" w:hAnsi="Calibri" w:cs="Times New Roman"/>
                <w:b/>
                <w:bCs/>
                <w:color w:val="000000"/>
              </w:rPr>
              <w:t>2012</w:t>
            </w:r>
          </w:p>
        </w:tc>
        <w:tc>
          <w:tcPr>
            <w:tcW w:w="1418" w:type="dxa"/>
            <w:tcBorders>
              <w:top w:val="single" w:sz="4" w:space="0" w:color="000000"/>
              <w:left w:val="nil"/>
              <w:bottom w:val="single" w:sz="4" w:space="0" w:color="000000"/>
              <w:right w:val="nil"/>
            </w:tcBorders>
            <w:shd w:val="clear" w:color="auto" w:fill="auto"/>
            <w:noWrap/>
            <w:vAlign w:val="bottom"/>
            <w:hideMark/>
          </w:tcPr>
          <w:p w14:paraId="47B944E9" w14:textId="22C08873" w:rsidR="002D4891" w:rsidRPr="002D4891" w:rsidRDefault="002D4891" w:rsidP="00AF13F0">
            <w:pPr>
              <w:rPr>
                <w:rFonts w:ascii="Calibri" w:eastAsia="Times New Roman" w:hAnsi="Calibri" w:cs="Times New Roman"/>
                <w:b/>
                <w:bCs/>
                <w:color w:val="000000"/>
              </w:rPr>
            </w:pPr>
            <w:r>
              <w:rPr>
                <w:rFonts w:ascii="Calibri" w:eastAsia="Times New Roman" w:hAnsi="Calibri" w:cs="Times New Roman"/>
                <w:b/>
                <w:bCs/>
                <w:color w:val="000000"/>
              </w:rPr>
              <w:t xml:space="preserve">       </w:t>
            </w:r>
            <w:r w:rsidRPr="002D4891">
              <w:rPr>
                <w:rFonts w:ascii="Calibri" w:eastAsia="Times New Roman" w:hAnsi="Calibri" w:cs="Times New Roman"/>
                <w:b/>
                <w:bCs/>
                <w:color w:val="000000"/>
              </w:rPr>
              <w:t>2013</w:t>
            </w:r>
          </w:p>
        </w:tc>
        <w:tc>
          <w:tcPr>
            <w:tcW w:w="1417" w:type="dxa"/>
            <w:tcBorders>
              <w:top w:val="single" w:sz="4" w:space="0" w:color="000000"/>
              <w:left w:val="nil"/>
              <w:bottom w:val="single" w:sz="4" w:space="0" w:color="000000"/>
              <w:right w:val="nil"/>
            </w:tcBorders>
            <w:shd w:val="clear" w:color="auto" w:fill="auto"/>
            <w:noWrap/>
            <w:vAlign w:val="bottom"/>
            <w:hideMark/>
          </w:tcPr>
          <w:p w14:paraId="29956B99" w14:textId="77777777" w:rsidR="002D4891" w:rsidRPr="002D4891" w:rsidRDefault="002D4891" w:rsidP="00AF13F0">
            <w:pPr>
              <w:rPr>
                <w:rFonts w:ascii="Calibri" w:eastAsia="Times New Roman" w:hAnsi="Calibri" w:cs="Times New Roman"/>
                <w:b/>
                <w:bCs/>
                <w:color w:val="000000"/>
              </w:rPr>
            </w:pPr>
            <w:r w:rsidRPr="002D4891">
              <w:rPr>
                <w:rFonts w:ascii="Calibri" w:eastAsia="Times New Roman" w:hAnsi="Calibri" w:cs="Times New Roman"/>
                <w:b/>
                <w:bCs/>
                <w:color w:val="000000"/>
              </w:rPr>
              <w:t>Netto schuld 2014</w:t>
            </w:r>
          </w:p>
        </w:tc>
      </w:tr>
      <w:tr w:rsidR="002D4891" w:rsidRPr="002D4891" w14:paraId="3B65C52F" w14:textId="77777777" w:rsidTr="002D4891">
        <w:trPr>
          <w:trHeight w:val="300"/>
        </w:trPr>
        <w:tc>
          <w:tcPr>
            <w:tcW w:w="1589" w:type="dxa"/>
            <w:tcBorders>
              <w:top w:val="nil"/>
              <w:left w:val="nil"/>
              <w:bottom w:val="nil"/>
              <w:right w:val="nil"/>
            </w:tcBorders>
            <w:shd w:val="clear" w:color="D9D9D9" w:fill="D9D9D9"/>
            <w:noWrap/>
            <w:vAlign w:val="bottom"/>
            <w:hideMark/>
          </w:tcPr>
          <w:p w14:paraId="0F588D0B"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Akzo-Nobel</w:t>
            </w:r>
          </w:p>
        </w:tc>
        <w:tc>
          <w:tcPr>
            <w:tcW w:w="1388" w:type="dxa"/>
            <w:tcBorders>
              <w:top w:val="nil"/>
              <w:left w:val="nil"/>
              <w:bottom w:val="nil"/>
              <w:right w:val="nil"/>
            </w:tcBorders>
            <w:shd w:val="clear" w:color="D9D9D9" w:fill="D9D9D9"/>
            <w:noWrap/>
            <w:vAlign w:val="bottom"/>
            <w:hideMark/>
          </w:tcPr>
          <w:p w14:paraId="53279325"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€ 936,0 </w:t>
            </w:r>
          </w:p>
        </w:tc>
        <w:tc>
          <w:tcPr>
            <w:tcW w:w="1418" w:type="dxa"/>
            <w:tcBorders>
              <w:top w:val="nil"/>
              <w:left w:val="nil"/>
              <w:bottom w:val="nil"/>
              <w:right w:val="nil"/>
            </w:tcBorders>
            <w:shd w:val="clear" w:color="D9D9D9" w:fill="D9D9D9"/>
            <w:noWrap/>
            <w:vAlign w:val="bottom"/>
            <w:hideMark/>
          </w:tcPr>
          <w:p w14:paraId="3044DC77"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€ 1.895,0 </w:t>
            </w:r>
          </w:p>
        </w:tc>
        <w:tc>
          <w:tcPr>
            <w:tcW w:w="1417" w:type="dxa"/>
            <w:tcBorders>
              <w:top w:val="nil"/>
              <w:left w:val="nil"/>
              <w:bottom w:val="nil"/>
              <w:right w:val="nil"/>
            </w:tcBorders>
            <w:shd w:val="clear" w:color="D9D9D9" w:fill="D9D9D9"/>
            <w:noWrap/>
            <w:vAlign w:val="bottom"/>
            <w:hideMark/>
          </w:tcPr>
          <w:p w14:paraId="5CCA9BE4"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€ 2.298,0 </w:t>
            </w:r>
          </w:p>
        </w:tc>
        <w:tc>
          <w:tcPr>
            <w:tcW w:w="1418" w:type="dxa"/>
            <w:tcBorders>
              <w:top w:val="nil"/>
              <w:left w:val="nil"/>
              <w:bottom w:val="nil"/>
              <w:right w:val="nil"/>
            </w:tcBorders>
            <w:shd w:val="clear" w:color="D9D9D9" w:fill="D9D9D9"/>
            <w:noWrap/>
            <w:vAlign w:val="bottom"/>
            <w:hideMark/>
          </w:tcPr>
          <w:p w14:paraId="63CB71C9"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€ 1.529,0 </w:t>
            </w:r>
          </w:p>
        </w:tc>
        <w:tc>
          <w:tcPr>
            <w:tcW w:w="1417" w:type="dxa"/>
            <w:tcBorders>
              <w:top w:val="nil"/>
              <w:left w:val="nil"/>
              <w:bottom w:val="nil"/>
              <w:right w:val="nil"/>
            </w:tcBorders>
            <w:shd w:val="clear" w:color="D9D9D9" w:fill="D9D9D9"/>
            <w:noWrap/>
            <w:vAlign w:val="bottom"/>
            <w:hideMark/>
          </w:tcPr>
          <w:p w14:paraId="0ED924CF"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€ 1.606,0 </w:t>
            </w:r>
          </w:p>
        </w:tc>
      </w:tr>
      <w:tr w:rsidR="002D4891" w:rsidRPr="002D4891" w14:paraId="5CD3CE49" w14:textId="77777777" w:rsidTr="002D4891">
        <w:trPr>
          <w:trHeight w:val="300"/>
        </w:trPr>
        <w:tc>
          <w:tcPr>
            <w:tcW w:w="1589" w:type="dxa"/>
            <w:tcBorders>
              <w:top w:val="nil"/>
              <w:left w:val="nil"/>
              <w:bottom w:val="nil"/>
              <w:right w:val="nil"/>
            </w:tcBorders>
            <w:shd w:val="clear" w:color="auto" w:fill="auto"/>
            <w:noWrap/>
            <w:vAlign w:val="bottom"/>
            <w:hideMark/>
          </w:tcPr>
          <w:p w14:paraId="4A4A6774"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Air France - KLM</w:t>
            </w:r>
          </w:p>
        </w:tc>
        <w:tc>
          <w:tcPr>
            <w:tcW w:w="1388" w:type="dxa"/>
            <w:tcBorders>
              <w:top w:val="nil"/>
              <w:left w:val="nil"/>
              <w:bottom w:val="nil"/>
              <w:right w:val="nil"/>
            </w:tcBorders>
            <w:shd w:val="clear" w:color="auto" w:fill="auto"/>
            <w:noWrap/>
            <w:vAlign w:val="bottom"/>
            <w:hideMark/>
          </w:tcPr>
          <w:p w14:paraId="236F9CA4"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€ 5.900,0 </w:t>
            </w:r>
          </w:p>
        </w:tc>
        <w:tc>
          <w:tcPr>
            <w:tcW w:w="1418" w:type="dxa"/>
            <w:tcBorders>
              <w:top w:val="nil"/>
              <w:left w:val="nil"/>
              <w:bottom w:val="nil"/>
              <w:right w:val="nil"/>
            </w:tcBorders>
            <w:shd w:val="clear" w:color="auto" w:fill="auto"/>
            <w:noWrap/>
            <w:vAlign w:val="bottom"/>
            <w:hideMark/>
          </w:tcPr>
          <w:p w14:paraId="0BD90EB5"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Onbekend </w:t>
            </w:r>
          </w:p>
        </w:tc>
        <w:tc>
          <w:tcPr>
            <w:tcW w:w="1417" w:type="dxa"/>
            <w:tcBorders>
              <w:top w:val="nil"/>
              <w:left w:val="nil"/>
              <w:bottom w:val="nil"/>
              <w:right w:val="nil"/>
            </w:tcBorders>
            <w:shd w:val="clear" w:color="auto" w:fill="auto"/>
            <w:noWrap/>
            <w:vAlign w:val="bottom"/>
            <w:hideMark/>
          </w:tcPr>
          <w:p w14:paraId="2115E20A"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€ 5.970,0 </w:t>
            </w:r>
          </w:p>
        </w:tc>
        <w:tc>
          <w:tcPr>
            <w:tcW w:w="1418" w:type="dxa"/>
            <w:tcBorders>
              <w:top w:val="nil"/>
              <w:left w:val="nil"/>
              <w:bottom w:val="nil"/>
              <w:right w:val="nil"/>
            </w:tcBorders>
            <w:shd w:val="clear" w:color="auto" w:fill="auto"/>
            <w:noWrap/>
            <w:vAlign w:val="bottom"/>
            <w:hideMark/>
          </w:tcPr>
          <w:p w14:paraId="5F8D5A85"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€ 5.350,0 </w:t>
            </w:r>
          </w:p>
        </w:tc>
        <w:tc>
          <w:tcPr>
            <w:tcW w:w="1417" w:type="dxa"/>
            <w:tcBorders>
              <w:top w:val="nil"/>
              <w:left w:val="nil"/>
              <w:bottom w:val="nil"/>
              <w:right w:val="nil"/>
            </w:tcBorders>
            <w:shd w:val="clear" w:color="auto" w:fill="auto"/>
            <w:noWrap/>
            <w:vAlign w:val="bottom"/>
            <w:hideMark/>
          </w:tcPr>
          <w:p w14:paraId="4CD685B2"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€ 5.410,0 </w:t>
            </w:r>
          </w:p>
        </w:tc>
      </w:tr>
      <w:tr w:rsidR="002D4891" w:rsidRPr="002D4891" w14:paraId="3315E4A6" w14:textId="77777777" w:rsidTr="002D4891">
        <w:trPr>
          <w:trHeight w:val="300"/>
        </w:trPr>
        <w:tc>
          <w:tcPr>
            <w:tcW w:w="1589" w:type="dxa"/>
            <w:tcBorders>
              <w:top w:val="nil"/>
              <w:left w:val="nil"/>
              <w:bottom w:val="nil"/>
              <w:right w:val="nil"/>
            </w:tcBorders>
            <w:shd w:val="clear" w:color="D9D9D9" w:fill="D9D9D9"/>
            <w:noWrap/>
            <w:vAlign w:val="bottom"/>
            <w:hideMark/>
          </w:tcPr>
          <w:p w14:paraId="449DB171"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Aalberts</w:t>
            </w:r>
          </w:p>
        </w:tc>
        <w:tc>
          <w:tcPr>
            <w:tcW w:w="1388" w:type="dxa"/>
            <w:tcBorders>
              <w:top w:val="nil"/>
              <w:left w:val="nil"/>
              <w:bottom w:val="nil"/>
              <w:right w:val="nil"/>
            </w:tcBorders>
            <w:shd w:val="clear" w:color="D9D9D9" w:fill="D9D9D9"/>
            <w:noWrap/>
            <w:vAlign w:val="bottom"/>
            <w:hideMark/>
          </w:tcPr>
          <w:p w14:paraId="70AD1D9B"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€ 593,3 </w:t>
            </w:r>
          </w:p>
        </w:tc>
        <w:tc>
          <w:tcPr>
            <w:tcW w:w="1418" w:type="dxa"/>
            <w:tcBorders>
              <w:top w:val="nil"/>
              <w:left w:val="nil"/>
              <w:bottom w:val="nil"/>
              <w:right w:val="nil"/>
            </w:tcBorders>
            <w:shd w:val="clear" w:color="D9D9D9" w:fill="D9D9D9"/>
            <w:noWrap/>
            <w:vAlign w:val="bottom"/>
            <w:hideMark/>
          </w:tcPr>
          <w:p w14:paraId="3C55B02E"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€ 605,6 </w:t>
            </w:r>
          </w:p>
        </w:tc>
        <w:tc>
          <w:tcPr>
            <w:tcW w:w="1417" w:type="dxa"/>
            <w:tcBorders>
              <w:top w:val="nil"/>
              <w:left w:val="nil"/>
              <w:bottom w:val="nil"/>
              <w:right w:val="nil"/>
            </w:tcBorders>
            <w:shd w:val="clear" w:color="D9D9D9" w:fill="D9D9D9"/>
            <w:noWrap/>
            <w:vAlign w:val="bottom"/>
            <w:hideMark/>
          </w:tcPr>
          <w:p w14:paraId="3E54ABB4"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€ 541,6 </w:t>
            </w:r>
          </w:p>
        </w:tc>
        <w:tc>
          <w:tcPr>
            <w:tcW w:w="1418" w:type="dxa"/>
            <w:tcBorders>
              <w:top w:val="nil"/>
              <w:left w:val="nil"/>
              <w:bottom w:val="nil"/>
              <w:right w:val="nil"/>
            </w:tcBorders>
            <w:shd w:val="clear" w:color="D9D9D9" w:fill="D9D9D9"/>
            <w:noWrap/>
            <w:vAlign w:val="bottom"/>
            <w:hideMark/>
          </w:tcPr>
          <w:p w14:paraId="514BEDCF"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€ 480,0 </w:t>
            </w:r>
          </w:p>
        </w:tc>
        <w:tc>
          <w:tcPr>
            <w:tcW w:w="1417" w:type="dxa"/>
            <w:tcBorders>
              <w:top w:val="nil"/>
              <w:left w:val="nil"/>
              <w:bottom w:val="nil"/>
              <w:right w:val="nil"/>
            </w:tcBorders>
            <w:shd w:val="clear" w:color="D9D9D9" w:fill="D9D9D9"/>
            <w:noWrap/>
            <w:vAlign w:val="bottom"/>
            <w:hideMark/>
          </w:tcPr>
          <w:p w14:paraId="68EEFABC"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€ 690,0 </w:t>
            </w:r>
          </w:p>
        </w:tc>
      </w:tr>
      <w:tr w:rsidR="002D4891" w:rsidRPr="002D4891" w14:paraId="6F73D3A3" w14:textId="77777777" w:rsidTr="002D4891">
        <w:trPr>
          <w:trHeight w:val="300"/>
        </w:trPr>
        <w:tc>
          <w:tcPr>
            <w:tcW w:w="1589" w:type="dxa"/>
            <w:tcBorders>
              <w:top w:val="nil"/>
              <w:left w:val="nil"/>
              <w:bottom w:val="nil"/>
              <w:right w:val="nil"/>
            </w:tcBorders>
            <w:shd w:val="clear" w:color="auto" w:fill="auto"/>
            <w:noWrap/>
            <w:vAlign w:val="bottom"/>
            <w:hideMark/>
          </w:tcPr>
          <w:p w14:paraId="69F192C9"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Boskalis</w:t>
            </w:r>
          </w:p>
        </w:tc>
        <w:tc>
          <w:tcPr>
            <w:tcW w:w="1388" w:type="dxa"/>
            <w:tcBorders>
              <w:top w:val="nil"/>
              <w:left w:val="nil"/>
              <w:bottom w:val="nil"/>
              <w:right w:val="nil"/>
            </w:tcBorders>
            <w:shd w:val="clear" w:color="auto" w:fill="auto"/>
            <w:noWrap/>
            <w:vAlign w:val="bottom"/>
            <w:hideMark/>
          </w:tcPr>
          <w:p w14:paraId="73992B18"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€ 2.716,0 </w:t>
            </w:r>
          </w:p>
        </w:tc>
        <w:tc>
          <w:tcPr>
            <w:tcW w:w="1418" w:type="dxa"/>
            <w:tcBorders>
              <w:top w:val="nil"/>
              <w:left w:val="nil"/>
              <w:bottom w:val="nil"/>
              <w:right w:val="nil"/>
            </w:tcBorders>
            <w:shd w:val="clear" w:color="auto" w:fill="auto"/>
            <w:noWrap/>
            <w:vAlign w:val="bottom"/>
            <w:hideMark/>
          </w:tcPr>
          <w:p w14:paraId="56171E25"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€ 2.926,0 </w:t>
            </w:r>
          </w:p>
        </w:tc>
        <w:tc>
          <w:tcPr>
            <w:tcW w:w="1417" w:type="dxa"/>
            <w:tcBorders>
              <w:top w:val="nil"/>
              <w:left w:val="nil"/>
              <w:bottom w:val="nil"/>
              <w:right w:val="nil"/>
            </w:tcBorders>
            <w:shd w:val="clear" w:color="auto" w:fill="auto"/>
            <w:noWrap/>
            <w:vAlign w:val="bottom"/>
            <w:hideMark/>
          </w:tcPr>
          <w:p w14:paraId="4FEC56F8"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€ 2.973,0 </w:t>
            </w:r>
          </w:p>
        </w:tc>
        <w:tc>
          <w:tcPr>
            <w:tcW w:w="1418" w:type="dxa"/>
            <w:tcBorders>
              <w:top w:val="nil"/>
              <w:left w:val="nil"/>
              <w:bottom w:val="nil"/>
              <w:right w:val="nil"/>
            </w:tcBorders>
            <w:shd w:val="clear" w:color="auto" w:fill="auto"/>
            <w:noWrap/>
            <w:vAlign w:val="bottom"/>
            <w:hideMark/>
          </w:tcPr>
          <w:p w14:paraId="38D146A7"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€ 2.798,0 </w:t>
            </w:r>
          </w:p>
        </w:tc>
        <w:tc>
          <w:tcPr>
            <w:tcW w:w="1417" w:type="dxa"/>
            <w:tcBorders>
              <w:top w:val="nil"/>
              <w:left w:val="nil"/>
              <w:bottom w:val="nil"/>
              <w:right w:val="nil"/>
            </w:tcBorders>
            <w:shd w:val="clear" w:color="auto" w:fill="auto"/>
            <w:noWrap/>
            <w:vAlign w:val="bottom"/>
            <w:hideMark/>
          </w:tcPr>
          <w:p w14:paraId="4F905759"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€ 2.753,0 </w:t>
            </w:r>
          </w:p>
        </w:tc>
      </w:tr>
      <w:tr w:rsidR="002D4891" w:rsidRPr="002D4891" w14:paraId="3B530D87" w14:textId="77777777" w:rsidTr="002D4891">
        <w:trPr>
          <w:trHeight w:val="300"/>
        </w:trPr>
        <w:tc>
          <w:tcPr>
            <w:tcW w:w="1589" w:type="dxa"/>
            <w:tcBorders>
              <w:top w:val="nil"/>
              <w:left w:val="nil"/>
              <w:bottom w:val="nil"/>
              <w:right w:val="nil"/>
            </w:tcBorders>
            <w:shd w:val="clear" w:color="D9D9D9" w:fill="D9D9D9"/>
            <w:noWrap/>
            <w:vAlign w:val="bottom"/>
            <w:hideMark/>
          </w:tcPr>
          <w:p w14:paraId="498AFA0B"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ING</w:t>
            </w:r>
          </w:p>
        </w:tc>
        <w:tc>
          <w:tcPr>
            <w:tcW w:w="1388" w:type="dxa"/>
            <w:tcBorders>
              <w:top w:val="nil"/>
              <w:left w:val="nil"/>
              <w:bottom w:val="nil"/>
              <w:right w:val="nil"/>
            </w:tcBorders>
            <w:shd w:val="clear" w:color="D9D9D9" w:fill="D9D9D9"/>
            <w:noWrap/>
            <w:vAlign w:val="bottom"/>
            <w:hideMark/>
          </w:tcPr>
          <w:p w14:paraId="73A74C23"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€ 8.462,0 </w:t>
            </w:r>
          </w:p>
        </w:tc>
        <w:tc>
          <w:tcPr>
            <w:tcW w:w="1418" w:type="dxa"/>
            <w:tcBorders>
              <w:top w:val="nil"/>
              <w:left w:val="nil"/>
              <w:bottom w:val="nil"/>
              <w:right w:val="nil"/>
            </w:tcBorders>
            <w:shd w:val="clear" w:color="D9D9D9" w:fill="D9D9D9"/>
            <w:noWrap/>
            <w:vAlign w:val="bottom"/>
            <w:hideMark/>
          </w:tcPr>
          <w:p w14:paraId="7420DA3D"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€ 7.919,0 </w:t>
            </w:r>
          </w:p>
        </w:tc>
        <w:tc>
          <w:tcPr>
            <w:tcW w:w="1417" w:type="dxa"/>
            <w:tcBorders>
              <w:top w:val="nil"/>
              <w:left w:val="nil"/>
              <w:bottom w:val="nil"/>
              <w:right w:val="nil"/>
            </w:tcBorders>
            <w:shd w:val="clear" w:color="D9D9D9" w:fill="D9D9D9"/>
            <w:noWrap/>
            <w:vAlign w:val="bottom"/>
            <w:hideMark/>
          </w:tcPr>
          <w:p w14:paraId="2B615C5C"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€ 7.100,0 </w:t>
            </w:r>
          </w:p>
        </w:tc>
        <w:tc>
          <w:tcPr>
            <w:tcW w:w="1418" w:type="dxa"/>
            <w:tcBorders>
              <w:top w:val="nil"/>
              <w:left w:val="nil"/>
              <w:bottom w:val="nil"/>
              <w:right w:val="nil"/>
            </w:tcBorders>
            <w:shd w:val="clear" w:color="D9D9D9" w:fill="D9D9D9"/>
            <w:noWrap/>
            <w:vAlign w:val="bottom"/>
            <w:hideMark/>
          </w:tcPr>
          <w:p w14:paraId="5120F52F"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€ 4.910,0 </w:t>
            </w:r>
          </w:p>
        </w:tc>
        <w:tc>
          <w:tcPr>
            <w:tcW w:w="1417" w:type="dxa"/>
            <w:tcBorders>
              <w:top w:val="nil"/>
              <w:left w:val="nil"/>
              <w:bottom w:val="nil"/>
              <w:right w:val="nil"/>
            </w:tcBorders>
            <w:shd w:val="clear" w:color="D9D9D9" w:fill="D9D9D9"/>
            <w:noWrap/>
            <w:vAlign w:val="bottom"/>
            <w:hideMark/>
          </w:tcPr>
          <w:p w14:paraId="786AFC04"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€ 1.492,0 </w:t>
            </w:r>
          </w:p>
        </w:tc>
      </w:tr>
      <w:tr w:rsidR="002D4891" w:rsidRPr="002D4891" w14:paraId="31106B0C" w14:textId="77777777" w:rsidTr="002D4891">
        <w:trPr>
          <w:trHeight w:val="300"/>
        </w:trPr>
        <w:tc>
          <w:tcPr>
            <w:tcW w:w="1589" w:type="dxa"/>
            <w:tcBorders>
              <w:top w:val="nil"/>
              <w:left w:val="nil"/>
              <w:bottom w:val="nil"/>
              <w:right w:val="nil"/>
            </w:tcBorders>
            <w:shd w:val="clear" w:color="auto" w:fill="auto"/>
            <w:noWrap/>
            <w:vAlign w:val="bottom"/>
            <w:hideMark/>
          </w:tcPr>
          <w:p w14:paraId="7C3AD96B"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Philips</w:t>
            </w:r>
          </w:p>
        </w:tc>
        <w:tc>
          <w:tcPr>
            <w:tcW w:w="1388" w:type="dxa"/>
            <w:tcBorders>
              <w:top w:val="nil"/>
              <w:left w:val="nil"/>
              <w:bottom w:val="nil"/>
              <w:right w:val="nil"/>
            </w:tcBorders>
            <w:shd w:val="clear" w:color="auto" w:fill="auto"/>
            <w:noWrap/>
            <w:vAlign w:val="bottom"/>
            <w:hideMark/>
          </w:tcPr>
          <w:p w14:paraId="78B3D4DB"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€ 1.175,0 </w:t>
            </w:r>
          </w:p>
        </w:tc>
        <w:tc>
          <w:tcPr>
            <w:tcW w:w="1418" w:type="dxa"/>
            <w:tcBorders>
              <w:top w:val="nil"/>
              <w:left w:val="nil"/>
              <w:bottom w:val="nil"/>
              <w:right w:val="nil"/>
            </w:tcBorders>
            <w:shd w:val="clear" w:color="auto" w:fill="auto"/>
            <w:noWrap/>
            <w:vAlign w:val="bottom"/>
            <w:hideMark/>
          </w:tcPr>
          <w:p w14:paraId="25F9C07C"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€ 713,0 </w:t>
            </w:r>
          </w:p>
        </w:tc>
        <w:tc>
          <w:tcPr>
            <w:tcW w:w="1417" w:type="dxa"/>
            <w:tcBorders>
              <w:top w:val="nil"/>
              <w:left w:val="nil"/>
              <w:bottom w:val="nil"/>
              <w:right w:val="nil"/>
            </w:tcBorders>
            <w:shd w:val="clear" w:color="auto" w:fill="auto"/>
            <w:noWrap/>
            <w:vAlign w:val="bottom"/>
            <w:hideMark/>
          </w:tcPr>
          <w:p w14:paraId="795A1050"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€ 700,0 </w:t>
            </w:r>
          </w:p>
        </w:tc>
        <w:tc>
          <w:tcPr>
            <w:tcW w:w="1418" w:type="dxa"/>
            <w:tcBorders>
              <w:top w:val="nil"/>
              <w:left w:val="nil"/>
              <w:bottom w:val="nil"/>
              <w:right w:val="nil"/>
            </w:tcBorders>
            <w:shd w:val="clear" w:color="auto" w:fill="auto"/>
            <w:noWrap/>
            <w:vAlign w:val="bottom"/>
            <w:hideMark/>
          </w:tcPr>
          <w:p w14:paraId="0F30C0E8"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€ 1.436,0 </w:t>
            </w:r>
          </w:p>
        </w:tc>
        <w:tc>
          <w:tcPr>
            <w:tcW w:w="1417" w:type="dxa"/>
            <w:tcBorders>
              <w:top w:val="nil"/>
              <w:left w:val="nil"/>
              <w:bottom w:val="nil"/>
              <w:right w:val="nil"/>
            </w:tcBorders>
            <w:shd w:val="clear" w:color="auto" w:fill="auto"/>
            <w:noWrap/>
            <w:vAlign w:val="bottom"/>
            <w:hideMark/>
          </w:tcPr>
          <w:p w14:paraId="5C6530DD"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€ 2.231,0 </w:t>
            </w:r>
          </w:p>
        </w:tc>
      </w:tr>
      <w:tr w:rsidR="002D4891" w:rsidRPr="002D4891" w14:paraId="6C5AC3D0" w14:textId="77777777" w:rsidTr="002D4891">
        <w:trPr>
          <w:trHeight w:val="300"/>
        </w:trPr>
        <w:tc>
          <w:tcPr>
            <w:tcW w:w="1589" w:type="dxa"/>
            <w:tcBorders>
              <w:top w:val="nil"/>
              <w:left w:val="nil"/>
              <w:bottom w:val="nil"/>
              <w:right w:val="nil"/>
            </w:tcBorders>
            <w:shd w:val="clear" w:color="D9D9D9" w:fill="D9D9D9"/>
            <w:noWrap/>
            <w:vAlign w:val="bottom"/>
            <w:hideMark/>
          </w:tcPr>
          <w:p w14:paraId="5DE78040"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Ahold</w:t>
            </w:r>
          </w:p>
        </w:tc>
        <w:tc>
          <w:tcPr>
            <w:tcW w:w="1388" w:type="dxa"/>
            <w:tcBorders>
              <w:top w:val="nil"/>
              <w:left w:val="nil"/>
              <w:bottom w:val="nil"/>
              <w:right w:val="nil"/>
            </w:tcBorders>
            <w:shd w:val="clear" w:color="D9D9D9" w:fill="D9D9D9"/>
            <w:noWrap/>
            <w:vAlign w:val="bottom"/>
            <w:hideMark/>
          </w:tcPr>
          <w:p w14:paraId="15300FBD"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€ 737,0 </w:t>
            </w:r>
          </w:p>
        </w:tc>
        <w:tc>
          <w:tcPr>
            <w:tcW w:w="1418" w:type="dxa"/>
            <w:tcBorders>
              <w:top w:val="nil"/>
              <w:left w:val="nil"/>
              <w:bottom w:val="nil"/>
              <w:right w:val="nil"/>
            </w:tcBorders>
            <w:shd w:val="clear" w:color="D9D9D9" w:fill="D9D9D9"/>
            <w:noWrap/>
            <w:vAlign w:val="bottom"/>
            <w:hideMark/>
          </w:tcPr>
          <w:p w14:paraId="6FD87C21"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€ 1.088,0 </w:t>
            </w:r>
          </w:p>
        </w:tc>
        <w:tc>
          <w:tcPr>
            <w:tcW w:w="1417" w:type="dxa"/>
            <w:tcBorders>
              <w:top w:val="nil"/>
              <w:left w:val="nil"/>
              <w:bottom w:val="nil"/>
              <w:right w:val="nil"/>
            </w:tcBorders>
            <w:shd w:val="clear" w:color="D9D9D9" w:fill="D9D9D9"/>
            <w:noWrap/>
            <w:vAlign w:val="bottom"/>
            <w:hideMark/>
          </w:tcPr>
          <w:p w14:paraId="5F1F0036"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€ 1.360,0 </w:t>
            </w:r>
          </w:p>
        </w:tc>
        <w:tc>
          <w:tcPr>
            <w:tcW w:w="1418" w:type="dxa"/>
            <w:tcBorders>
              <w:top w:val="nil"/>
              <w:left w:val="nil"/>
              <w:bottom w:val="nil"/>
              <w:right w:val="nil"/>
            </w:tcBorders>
            <w:shd w:val="clear" w:color="D9D9D9" w:fill="D9D9D9"/>
            <w:noWrap/>
            <w:vAlign w:val="bottom"/>
            <w:hideMark/>
          </w:tcPr>
          <w:p w14:paraId="43580C21"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€ 942,0-</w:t>
            </w:r>
          </w:p>
        </w:tc>
        <w:tc>
          <w:tcPr>
            <w:tcW w:w="1417" w:type="dxa"/>
            <w:tcBorders>
              <w:top w:val="nil"/>
              <w:left w:val="nil"/>
              <w:bottom w:val="nil"/>
              <w:right w:val="nil"/>
            </w:tcBorders>
            <w:shd w:val="clear" w:color="D9D9D9" w:fill="D9D9D9"/>
            <w:noWrap/>
            <w:vAlign w:val="bottom"/>
            <w:hideMark/>
          </w:tcPr>
          <w:p w14:paraId="23D63923"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€ 1.311,0 </w:t>
            </w:r>
          </w:p>
        </w:tc>
      </w:tr>
      <w:tr w:rsidR="002D4891" w:rsidRPr="002D4891" w14:paraId="307CE36C" w14:textId="77777777" w:rsidTr="002D4891">
        <w:trPr>
          <w:trHeight w:val="300"/>
        </w:trPr>
        <w:tc>
          <w:tcPr>
            <w:tcW w:w="1589" w:type="dxa"/>
            <w:tcBorders>
              <w:top w:val="nil"/>
              <w:left w:val="nil"/>
              <w:bottom w:val="nil"/>
              <w:right w:val="nil"/>
            </w:tcBorders>
            <w:shd w:val="clear" w:color="auto" w:fill="auto"/>
            <w:noWrap/>
            <w:vAlign w:val="bottom"/>
            <w:hideMark/>
          </w:tcPr>
          <w:p w14:paraId="7116E311"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Heineken</w:t>
            </w:r>
          </w:p>
        </w:tc>
        <w:tc>
          <w:tcPr>
            <w:tcW w:w="1388" w:type="dxa"/>
            <w:tcBorders>
              <w:top w:val="nil"/>
              <w:left w:val="nil"/>
              <w:bottom w:val="nil"/>
              <w:right w:val="nil"/>
            </w:tcBorders>
            <w:shd w:val="clear" w:color="auto" w:fill="auto"/>
            <w:noWrap/>
            <w:vAlign w:val="bottom"/>
            <w:hideMark/>
          </w:tcPr>
          <w:p w14:paraId="16120195"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€ 8.099,0 </w:t>
            </w:r>
          </w:p>
        </w:tc>
        <w:tc>
          <w:tcPr>
            <w:tcW w:w="1418" w:type="dxa"/>
            <w:tcBorders>
              <w:top w:val="nil"/>
              <w:left w:val="nil"/>
              <w:bottom w:val="nil"/>
              <w:right w:val="nil"/>
            </w:tcBorders>
            <w:shd w:val="clear" w:color="auto" w:fill="auto"/>
            <w:noWrap/>
            <w:vAlign w:val="bottom"/>
            <w:hideMark/>
          </w:tcPr>
          <w:p w14:paraId="4BD37517"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€ 8.355,0 </w:t>
            </w:r>
          </w:p>
        </w:tc>
        <w:tc>
          <w:tcPr>
            <w:tcW w:w="1417" w:type="dxa"/>
            <w:tcBorders>
              <w:top w:val="nil"/>
              <w:left w:val="nil"/>
              <w:bottom w:val="nil"/>
              <w:right w:val="nil"/>
            </w:tcBorders>
            <w:shd w:val="clear" w:color="auto" w:fill="auto"/>
            <w:noWrap/>
            <w:vAlign w:val="bottom"/>
            <w:hideMark/>
          </w:tcPr>
          <w:p w14:paraId="0A3FC388"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€ 12.311,0 </w:t>
            </w:r>
          </w:p>
        </w:tc>
        <w:tc>
          <w:tcPr>
            <w:tcW w:w="1418" w:type="dxa"/>
            <w:tcBorders>
              <w:top w:val="nil"/>
              <w:left w:val="nil"/>
              <w:bottom w:val="nil"/>
              <w:right w:val="nil"/>
            </w:tcBorders>
            <w:shd w:val="clear" w:color="auto" w:fill="auto"/>
            <w:noWrap/>
            <w:vAlign w:val="bottom"/>
            <w:hideMark/>
          </w:tcPr>
          <w:p w14:paraId="4B3CF985"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€ 10.868,0 </w:t>
            </w:r>
          </w:p>
        </w:tc>
        <w:tc>
          <w:tcPr>
            <w:tcW w:w="1417" w:type="dxa"/>
            <w:tcBorders>
              <w:top w:val="nil"/>
              <w:left w:val="nil"/>
              <w:bottom w:val="nil"/>
              <w:right w:val="nil"/>
            </w:tcBorders>
            <w:shd w:val="clear" w:color="auto" w:fill="auto"/>
            <w:noWrap/>
            <w:vAlign w:val="bottom"/>
            <w:hideMark/>
          </w:tcPr>
          <w:p w14:paraId="7D3D373C"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€ 11.076,0 </w:t>
            </w:r>
          </w:p>
        </w:tc>
      </w:tr>
      <w:tr w:rsidR="002D4891" w:rsidRPr="002D4891" w14:paraId="6E79D0B4" w14:textId="77777777" w:rsidTr="002D4891">
        <w:trPr>
          <w:trHeight w:val="300"/>
        </w:trPr>
        <w:tc>
          <w:tcPr>
            <w:tcW w:w="1589" w:type="dxa"/>
            <w:tcBorders>
              <w:top w:val="nil"/>
              <w:left w:val="nil"/>
              <w:bottom w:val="nil"/>
              <w:right w:val="nil"/>
            </w:tcBorders>
            <w:shd w:val="clear" w:color="D9D9D9" w:fill="D9D9D9"/>
            <w:noWrap/>
            <w:vAlign w:val="bottom"/>
            <w:hideMark/>
          </w:tcPr>
          <w:p w14:paraId="422D6BFE"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OCI</w:t>
            </w:r>
          </w:p>
        </w:tc>
        <w:tc>
          <w:tcPr>
            <w:tcW w:w="1388" w:type="dxa"/>
            <w:tcBorders>
              <w:top w:val="nil"/>
              <w:left w:val="nil"/>
              <w:bottom w:val="nil"/>
              <w:right w:val="nil"/>
            </w:tcBorders>
            <w:shd w:val="clear" w:color="D9D9D9" w:fill="D9D9D9"/>
            <w:noWrap/>
            <w:vAlign w:val="bottom"/>
            <w:hideMark/>
          </w:tcPr>
          <w:p w14:paraId="6394CD3B"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Onbekend </w:t>
            </w:r>
          </w:p>
        </w:tc>
        <w:tc>
          <w:tcPr>
            <w:tcW w:w="1418" w:type="dxa"/>
            <w:tcBorders>
              <w:top w:val="nil"/>
              <w:left w:val="nil"/>
              <w:bottom w:val="nil"/>
              <w:right w:val="nil"/>
            </w:tcBorders>
            <w:shd w:val="clear" w:color="D9D9D9" w:fill="D9D9D9"/>
            <w:noWrap/>
            <w:vAlign w:val="bottom"/>
            <w:hideMark/>
          </w:tcPr>
          <w:p w14:paraId="5E924818"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Onbekend </w:t>
            </w:r>
          </w:p>
        </w:tc>
        <w:tc>
          <w:tcPr>
            <w:tcW w:w="1417" w:type="dxa"/>
            <w:tcBorders>
              <w:top w:val="nil"/>
              <w:left w:val="nil"/>
              <w:bottom w:val="nil"/>
              <w:right w:val="nil"/>
            </w:tcBorders>
            <w:shd w:val="clear" w:color="D9D9D9" w:fill="D9D9D9"/>
            <w:noWrap/>
            <w:vAlign w:val="bottom"/>
            <w:hideMark/>
          </w:tcPr>
          <w:p w14:paraId="2CE49DA2"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Onbekend </w:t>
            </w:r>
          </w:p>
        </w:tc>
        <w:tc>
          <w:tcPr>
            <w:tcW w:w="1418" w:type="dxa"/>
            <w:tcBorders>
              <w:top w:val="nil"/>
              <w:left w:val="nil"/>
              <w:bottom w:val="nil"/>
              <w:right w:val="nil"/>
            </w:tcBorders>
            <w:shd w:val="clear" w:color="D9D9D9" w:fill="D9D9D9"/>
            <w:noWrap/>
            <w:vAlign w:val="bottom"/>
            <w:hideMark/>
          </w:tcPr>
          <w:p w14:paraId="59800C51"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€ 3.800,0 </w:t>
            </w:r>
          </w:p>
        </w:tc>
        <w:tc>
          <w:tcPr>
            <w:tcW w:w="1417" w:type="dxa"/>
            <w:tcBorders>
              <w:top w:val="nil"/>
              <w:left w:val="nil"/>
              <w:bottom w:val="nil"/>
              <w:right w:val="nil"/>
            </w:tcBorders>
            <w:shd w:val="clear" w:color="D9D9D9" w:fill="D9D9D9"/>
            <w:noWrap/>
            <w:vAlign w:val="bottom"/>
            <w:hideMark/>
          </w:tcPr>
          <w:p w14:paraId="20656FAC"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€ 4.194,1 </w:t>
            </w:r>
          </w:p>
        </w:tc>
      </w:tr>
      <w:tr w:rsidR="002D4891" w:rsidRPr="002D4891" w14:paraId="0A3DADD2" w14:textId="77777777" w:rsidTr="002D4891">
        <w:trPr>
          <w:trHeight w:val="300"/>
        </w:trPr>
        <w:tc>
          <w:tcPr>
            <w:tcW w:w="1589" w:type="dxa"/>
            <w:tcBorders>
              <w:top w:val="nil"/>
              <w:left w:val="nil"/>
              <w:bottom w:val="nil"/>
              <w:right w:val="nil"/>
            </w:tcBorders>
            <w:shd w:val="clear" w:color="auto" w:fill="auto"/>
            <w:noWrap/>
            <w:vAlign w:val="bottom"/>
            <w:hideMark/>
          </w:tcPr>
          <w:p w14:paraId="52488492"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Randstad</w:t>
            </w:r>
          </w:p>
        </w:tc>
        <w:tc>
          <w:tcPr>
            <w:tcW w:w="1388" w:type="dxa"/>
            <w:tcBorders>
              <w:top w:val="nil"/>
              <w:left w:val="nil"/>
              <w:bottom w:val="nil"/>
              <w:right w:val="nil"/>
            </w:tcBorders>
            <w:shd w:val="clear" w:color="auto" w:fill="auto"/>
            <w:noWrap/>
            <w:vAlign w:val="bottom"/>
            <w:hideMark/>
          </w:tcPr>
          <w:p w14:paraId="4312C68E"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€ 899,3 </w:t>
            </w:r>
          </w:p>
        </w:tc>
        <w:tc>
          <w:tcPr>
            <w:tcW w:w="1418" w:type="dxa"/>
            <w:tcBorders>
              <w:top w:val="nil"/>
              <w:left w:val="nil"/>
              <w:bottom w:val="nil"/>
              <w:right w:val="nil"/>
            </w:tcBorders>
            <w:shd w:val="clear" w:color="auto" w:fill="auto"/>
            <w:noWrap/>
            <w:vAlign w:val="bottom"/>
            <w:hideMark/>
          </w:tcPr>
          <w:p w14:paraId="4258168B"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€ 1.302,6 </w:t>
            </w:r>
          </w:p>
        </w:tc>
        <w:tc>
          <w:tcPr>
            <w:tcW w:w="1417" w:type="dxa"/>
            <w:tcBorders>
              <w:top w:val="nil"/>
              <w:left w:val="nil"/>
              <w:bottom w:val="nil"/>
              <w:right w:val="nil"/>
            </w:tcBorders>
            <w:shd w:val="clear" w:color="auto" w:fill="auto"/>
            <w:noWrap/>
            <w:vAlign w:val="bottom"/>
            <w:hideMark/>
          </w:tcPr>
          <w:p w14:paraId="4865ADFC"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€ 1.095,7 </w:t>
            </w:r>
          </w:p>
        </w:tc>
        <w:tc>
          <w:tcPr>
            <w:tcW w:w="1418" w:type="dxa"/>
            <w:tcBorders>
              <w:top w:val="nil"/>
              <w:left w:val="nil"/>
              <w:bottom w:val="nil"/>
              <w:right w:val="nil"/>
            </w:tcBorders>
            <w:shd w:val="clear" w:color="auto" w:fill="auto"/>
            <w:noWrap/>
            <w:vAlign w:val="bottom"/>
            <w:hideMark/>
          </w:tcPr>
          <w:p w14:paraId="7FD06E11"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€ 761,0 </w:t>
            </w:r>
          </w:p>
        </w:tc>
        <w:tc>
          <w:tcPr>
            <w:tcW w:w="1417" w:type="dxa"/>
            <w:tcBorders>
              <w:top w:val="nil"/>
              <w:left w:val="nil"/>
              <w:bottom w:val="nil"/>
              <w:right w:val="nil"/>
            </w:tcBorders>
            <w:shd w:val="clear" w:color="auto" w:fill="auto"/>
            <w:noWrap/>
            <w:vAlign w:val="bottom"/>
            <w:hideMark/>
          </w:tcPr>
          <w:p w14:paraId="7A1B73FD"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€ 422,0 </w:t>
            </w:r>
          </w:p>
        </w:tc>
      </w:tr>
      <w:tr w:rsidR="002D4891" w:rsidRPr="002D4891" w14:paraId="6C5931D7" w14:textId="77777777" w:rsidTr="002D4891">
        <w:trPr>
          <w:trHeight w:val="300"/>
        </w:trPr>
        <w:tc>
          <w:tcPr>
            <w:tcW w:w="1589" w:type="dxa"/>
            <w:tcBorders>
              <w:top w:val="nil"/>
              <w:left w:val="nil"/>
              <w:bottom w:val="nil"/>
              <w:right w:val="nil"/>
            </w:tcBorders>
            <w:shd w:val="clear" w:color="D9D9D9" w:fill="D9D9D9"/>
            <w:noWrap/>
            <w:vAlign w:val="bottom"/>
            <w:hideMark/>
          </w:tcPr>
          <w:p w14:paraId="7B41FCF8"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Reed Elsevier</w:t>
            </w:r>
          </w:p>
        </w:tc>
        <w:tc>
          <w:tcPr>
            <w:tcW w:w="1388" w:type="dxa"/>
            <w:tcBorders>
              <w:top w:val="nil"/>
              <w:left w:val="nil"/>
              <w:bottom w:val="nil"/>
              <w:right w:val="nil"/>
            </w:tcBorders>
            <w:shd w:val="clear" w:color="D9D9D9" w:fill="D9D9D9"/>
            <w:noWrap/>
            <w:vAlign w:val="bottom"/>
            <w:hideMark/>
          </w:tcPr>
          <w:p w14:paraId="2D92B254" w14:textId="4E307084"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w:t>
            </w:r>
            <w:r w:rsidR="002A713F">
              <w:rPr>
                <w:rFonts w:ascii="Calibri" w:eastAsia="Times New Roman" w:hAnsi="Calibri" w:cs="Times New Roman"/>
                <w:color w:val="000000"/>
              </w:rPr>
              <w:t>$</w:t>
            </w:r>
            <w:r w:rsidRPr="002D4891">
              <w:rPr>
                <w:rFonts w:ascii="Calibri" w:eastAsia="Times New Roman" w:hAnsi="Calibri" w:cs="Times New Roman"/>
                <w:color w:val="000000"/>
              </w:rPr>
              <w:t xml:space="preserve"> 3.455,0 </w:t>
            </w:r>
          </w:p>
        </w:tc>
        <w:tc>
          <w:tcPr>
            <w:tcW w:w="1418" w:type="dxa"/>
            <w:tcBorders>
              <w:top w:val="nil"/>
              <w:left w:val="nil"/>
              <w:bottom w:val="nil"/>
              <w:right w:val="nil"/>
            </w:tcBorders>
            <w:shd w:val="clear" w:color="D9D9D9" w:fill="D9D9D9"/>
            <w:noWrap/>
            <w:vAlign w:val="bottom"/>
            <w:hideMark/>
          </w:tcPr>
          <w:p w14:paraId="6FCFFA48" w14:textId="229C17F1"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w:t>
            </w:r>
            <w:r w:rsidR="002A713F">
              <w:rPr>
                <w:rFonts w:ascii="Calibri" w:eastAsia="Times New Roman" w:hAnsi="Calibri" w:cs="Times New Roman"/>
                <w:color w:val="000000"/>
              </w:rPr>
              <w:t>$</w:t>
            </w:r>
            <w:r w:rsidRPr="002D4891">
              <w:rPr>
                <w:rFonts w:ascii="Calibri" w:eastAsia="Times New Roman" w:hAnsi="Calibri" w:cs="Times New Roman"/>
                <w:color w:val="000000"/>
              </w:rPr>
              <w:t xml:space="preserve"> 3.433,0 </w:t>
            </w:r>
          </w:p>
        </w:tc>
        <w:tc>
          <w:tcPr>
            <w:tcW w:w="1417" w:type="dxa"/>
            <w:tcBorders>
              <w:top w:val="nil"/>
              <w:left w:val="nil"/>
              <w:bottom w:val="nil"/>
              <w:right w:val="nil"/>
            </w:tcBorders>
            <w:shd w:val="clear" w:color="D9D9D9" w:fill="D9D9D9"/>
            <w:noWrap/>
            <w:vAlign w:val="bottom"/>
            <w:hideMark/>
          </w:tcPr>
          <w:p w14:paraId="18C19E16" w14:textId="043F0EF3"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w:t>
            </w:r>
            <w:r w:rsidR="002A713F">
              <w:rPr>
                <w:rFonts w:ascii="Calibri" w:eastAsia="Times New Roman" w:hAnsi="Calibri" w:cs="Times New Roman"/>
                <w:color w:val="000000"/>
              </w:rPr>
              <w:t>$</w:t>
            </w:r>
            <w:r w:rsidRPr="002D4891">
              <w:rPr>
                <w:rFonts w:ascii="Calibri" w:eastAsia="Times New Roman" w:hAnsi="Calibri" w:cs="Times New Roman"/>
                <w:color w:val="000000"/>
              </w:rPr>
              <w:t xml:space="preserve"> 3.127,0 </w:t>
            </w:r>
          </w:p>
        </w:tc>
        <w:tc>
          <w:tcPr>
            <w:tcW w:w="1418" w:type="dxa"/>
            <w:tcBorders>
              <w:top w:val="nil"/>
              <w:left w:val="nil"/>
              <w:bottom w:val="nil"/>
              <w:right w:val="nil"/>
            </w:tcBorders>
            <w:shd w:val="clear" w:color="D9D9D9" w:fill="D9D9D9"/>
            <w:noWrap/>
            <w:vAlign w:val="bottom"/>
            <w:hideMark/>
          </w:tcPr>
          <w:p w14:paraId="56DA6445"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€ 3.700,0 </w:t>
            </w:r>
          </w:p>
        </w:tc>
        <w:tc>
          <w:tcPr>
            <w:tcW w:w="1417" w:type="dxa"/>
            <w:tcBorders>
              <w:top w:val="nil"/>
              <w:left w:val="nil"/>
              <w:bottom w:val="nil"/>
              <w:right w:val="nil"/>
            </w:tcBorders>
            <w:shd w:val="clear" w:color="D9D9D9" w:fill="D9D9D9"/>
            <w:noWrap/>
            <w:vAlign w:val="bottom"/>
            <w:hideMark/>
          </w:tcPr>
          <w:p w14:paraId="13458056"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€ 3.550,0 </w:t>
            </w:r>
          </w:p>
        </w:tc>
      </w:tr>
      <w:tr w:rsidR="002D4891" w:rsidRPr="002D4891" w14:paraId="336C58AA" w14:textId="77777777" w:rsidTr="002D4891">
        <w:trPr>
          <w:trHeight w:val="300"/>
        </w:trPr>
        <w:tc>
          <w:tcPr>
            <w:tcW w:w="1589" w:type="dxa"/>
            <w:tcBorders>
              <w:top w:val="nil"/>
              <w:left w:val="nil"/>
              <w:bottom w:val="nil"/>
              <w:right w:val="nil"/>
            </w:tcBorders>
            <w:shd w:val="clear" w:color="auto" w:fill="auto"/>
            <w:noWrap/>
            <w:vAlign w:val="bottom"/>
            <w:hideMark/>
          </w:tcPr>
          <w:p w14:paraId="34D9F3B3"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Unilever</w:t>
            </w:r>
          </w:p>
        </w:tc>
        <w:tc>
          <w:tcPr>
            <w:tcW w:w="1388" w:type="dxa"/>
            <w:tcBorders>
              <w:top w:val="nil"/>
              <w:left w:val="nil"/>
              <w:bottom w:val="nil"/>
              <w:right w:val="nil"/>
            </w:tcBorders>
            <w:shd w:val="clear" w:color="auto" w:fill="auto"/>
            <w:noWrap/>
            <w:vAlign w:val="bottom"/>
            <w:hideMark/>
          </w:tcPr>
          <w:p w14:paraId="2866F7C4"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€ 6.668,0 </w:t>
            </w:r>
          </w:p>
        </w:tc>
        <w:tc>
          <w:tcPr>
            <w:tcW w:w="1418" w:type="dxa"/>
            <w:tcBorders>
              <w:top w:val="nil"/>
              <w:left w:val="nil"/>
              <w:bottom w:val="nil"/>
              <w:right w:val="nil"/>
            </w:tcBorders>
            <w:shd w:val="clear" w:color="auto" w:fill="auto"/>
            <w:noWrap/>
            <w:vAlign w:val="bottom"/>
            <w:hideMark/>
          </w:tcPr>
          <w:p w14:paraId="113BD699"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€ 8.781,0 </w:t>
            </w:r>
          </w:p>
        </w:tc>
        <w:tc>
          <w:tcPr>
            <w:tcW w:w="1417" w:type="dxa"/>
            <w:tcBorders>
              <w:top w:val="nil"/>
              <w:left w:val="nil"/>
              <w:bottom w:val="nil"/>
              <w:right w:val="nil"/>
            </w:tcBorders>
            <w:shd w:val="clear" w:color="auto" w:fill="auto"/>
            <w:noWrap/>
            <w:vAlign w:val="bottom"/>
            <w:hideMark/>
          </w:tcPr>
          <w:p w14:paraId="3FA46E7E"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€ 7.355,0 </w:t>
            </w:r>
          </w:p>
        </w:tc>
        <w:tc>
          <w:tcPr>
            <w:tcW w:w="1418" w:type="dxa"/>
            <w:tcBorders>
              <w:top w:val="nil"/>
              <w:left w:val="nil"/>
              <w:bottom w:val="nil"/>
              <w:right w:val="nil"/>
            </w:tcBorders>
            <w:shd w:val="clear" w:color="auto" w:fill="auto"/>
            <w:noWrap/>
            <w:vAlign w:val="bottom"/>
            <w:hideMark/>
          </w:tcPr>
          <w:p w14:paraId="222FB97B"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€ 8.456,0 </w:t>
            </w:r>
          </w:p>
        </w:tc>
        <w:tc>
          <w:tcPr>
            <w:tcW w:w="1417" w:type="dxa"/>
            <w:tcBorders>
              <w:top w:val="nil"/>
              <w:left w:val="nil"/>
              <w:bottom w:val="nil"/>
              <w:right w:val="nil"/>
            </w:tcBorders>
            <w:shd w:val="clear" w:color="auto" w:fill="auto"/>
            <w:noWrap/>
            <w:vAlign w:val="bottom"/>
            <w:hideMark/>
          </w:tcPr>
          <w:p w14:paraId="1BEB7821"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€ 9.900,0 </w:t>
            </w:r>
          </w:p>
        </w:tc>
      </w:tr>
      <w:tr w:rsidR="002D4891" w:rsidRPr="002D4891" w14:paraId="32832441" w14:textId="77777777" w:rsidTr="002D4891">
        <w:trPr>
          <w:trHeight w:val="300"/>
        </w:trPr>
        <w:tc>
          <w:tcPr>
            <w:tcW w:w="1589" w:type="dxa"/>
            <w:tcBorders>
              <w:top w:val="nil"/>
              <w:left w:val="nil"/>
              <w:bottom w:val="nil"/>
              <w:right w:val="nil"/>
            </w:tcBorders>
            <w:shd w:val="clear" w:color="D9D9D9" w:fill="D9D9D9"/>
            <w:noWrap/>
            <w:vAlign w:val="bottom"/>
            <w:hideMark/>
          </w:tcPr>
          <w:p w14:paraId="5E9240F5"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Vopak</w:t>
            </w:r>
          </w:p>
        </w:tc>
        <w:tc>
          <w:tcPr>
            <w:tcW w:w="1388" w:type="dxa"/>
            <w:tcBorders>
              <w:top w:val="nil"/>
              <w:left w:val="nil"/>
              <w:bottom w:val="nil"/>
              <w:right w:val="nil"/>
            </w:tcBorders>
            <w:shd w:val="clear" w:color="D9D9D9" w:fill="D9D9D9"/>
            <w:noWrap/>
            <w:vAlign w:val="bottom"/>
            <w:hideMark/>
          </w:tcPr>
          <w:p w14:paraId="2BD2D09F"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€ 1.476,4 </w:t>
            </w:r>
          </w:p>
        </w:tc>
        <w:tc>
          <w:tcPr>
            <w:tcW w:w="1418" w:type="dxa"/>
            <w:tcBorders>
              <w:top w:val="nil"/>
              <w:left w:val="nil"/>
              <w:bottom w:val="nil"/>
              <w:right w:val="nil"/>
            </w:tcBorders>
            <w:shd w:val="clear" w:color="D9D9D9" w:fill="D9D9D9"/>
            <w:noWrap/>
            <w:vAlign w:val="bottom"/>
            <w:hideMark/>
          </w:tcPr>
          <w:p w14:paraId="519A2087"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€ 1.643,7 </w:t>
            </w:r>
          </w:p>
        </w:tc>
        <w:tc>
          <w:tcPr>
            <w:tcW w:w="1417" w:type="dxa"/>
            <w:tcBorders>
              <w:top w:val="nil"/>
              <w:left w:val="nil"/>
              <w:bottom w:val="nil"/>
              <w:right w:val="nil"/>
            </w:tcBorders>
            <w:shd w:val="clear" w:color="D9D9D9" w:fill="D9D9D9"/>
            <w:noWrap/>
            <w:vAlign w:val="bottom"/>
            <w:hideMark/>
          </w:tcPr>
          <w:p w14:paraId="20DEC0CC"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€ 1.819,1 </w:t>
            </w:r>
          </w:p>
        </w:tc>
        <w:tc>
          <w:tcPr>
            <w:tcW w:w="1418" w:type="dxa"/>
            <w:tcBorders>
              <w:top w:val="nil"/>
              <w:left w:val="nil"/>
              <w:bottom w:val="nil"/>
              <w:right w:val="nil"/>
            </w:tcBorders>
            <w:shd w:val="clear" w:color="D9D9D9" w:fill="D9D9D9"/>
            <w:noWrap/>
            <w:vAlign w:val="bottom"/>
            <w:hideMark/>
          </w:tcPr>
          <w:p w14:paraId="1C971F37"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€ 1.954,5 </w:t>
            </w:r>
          </w:p>
        </w:tc>
        <w:tc>
          <w:tcPr>
            <w:tcW w:w="1417" w:type="dxa"/>
            <w:tcBorders>
              <w:top w:val="nil"/>
              <w:left w:val="nil"/>
              <w:bottom w:val="nil"/>
              <w:right w:val="nil"/>
            </w:tcBorders>
            <w:shd w:val="clear" w:color="D9D9D9" w:fill="D9D9D9"/>
            <w:noWrap/>
            <w:vAlign w:val="bottom"/>
            <w:hideMark/>
          </w:tcPr>
          <w:p w14:paraId="6C9530EF"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€ 2.266,0 </w:t>
            </w:r>
          </w:p>
        </w:tc>
      </w:tr>
      <w:tr w:rsidR="002D4891" w:rsidRPr="002D4891" w14:paraId="1318B867" w14:textId="77777777" w:rsidTr="002D4891">
        <w:trPr>
          <w:trHeight w:val="300"/>
        </w:trPr>
        <w:tc>
          <w:tcPr>
            <w:tcW w:w="1589" w:type="dxa"/>
            <w:tcBorders>
              <w:top w:val="nil"/>
              <w:left w:val="nil"/>
              <w:bottom w:val="nil"/>
              <w:right w:val="nil"/>
            </w:tcBorders>
            <w:shd w:val="clear" w:color="auto" w:fill="auto"/>
            <w:noWrap/>
            <w:vAlign w:val="bottom"/>
            <w:hideMark/>
          </w:tcPr>
          <w:p w14:paraId="6C12ACF3"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ArcelorMittal</w:t>
            </w:r>
          </w:p>
        </w:tc>
        <w:tc>
          <w:tcPr>
            <w:tcW w:w="1388" w:type="dxa"/>
            <w:tcBorders>
              <w:top w:val="nil"/>
              <w:left w:val="nil"/>
              <w:bottom w:val="nil"/>
              <w:right w:val="nil"/>
            </w:tcBorders>
            <w:shd w:val="clear" w:color="auto" w:fill="auto"/>
            <w:noWrap/>
            <w:vAlign w:val="bottom"/>
            <w:hideMark/>
          </w:tcPr>
          <w:p w14:paraId="2381D03A" w14:textId="75C83F22"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w:t>
            </w:r>
            <w:r>
              <w:rPr>
                <w:rFonts w:ascii="Calibri" w:eastAsia="Times New Roman" w:hAnsi="Calibri" w:cs="Times New Roman"/>
                <w:color w:val="000000"/>
              </w:rPr>
              <w:t>$</w:t>
            </w:r>
            <w:r w:rsidRPr="002D4891">
              <w:rPr>
                <w:rFonts w:ascii="Calibri" w:eastAsia="Times New Roman" w:hAnsi="Calibri" w:cs="Times New Roman"/>
                <w:color w:val="000000"/>
              </w:rPr>
              <w:t xml:space="preserve"> 19.700,0 </w:t>
            </w:r>
          </w:p>
        </w:tc>
        <w:tc>
          <w:tcPr>
            <w:tcW w:w="1418" w:type="dxa"/>
            <w:tcBorders>
              <w:top w:val="nil"/>
              <w:left w:val="nil"/>
              <w:bottom w:val="nil"/>
              <w:right w:val="nil"/>
            </w:tcBorders>
            <w:shd w:val="clear" w:color="auto" w:fill="auto"/>
            <w:noWrap/>
            <w:vAlign w:val="bottom"/>
            <w:hideMark/>
          </w:tcPr>
          <w:p w14:paraId="461E14EA" w14:textId="548BA64F"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w:t>
            </w:r>
            <w:r>
              <w:rPr>
                <w:rFonts w:ascii="Calibri" w:eastAsia="Times New Roman" w:hAnsi="Calibri" w:cs="Times New Roman"/>
                <w:color w:val="000000"/>
              </w:rPr>
              <w:t>$</w:t>
            </w:r>
            <w:r w:rsidRPr="002D4891">
              <w:rPr>
                <w:rFonts w:ascii="Calibri" w:eastAsia="Times New Roman" w:hAnsi="Calibri" w:cs="Times New Roman"/>
                <w:color w:val="000000"/>
              </w:rPr>
              <w:t xml:space="preserve"> 22.500,0 </w:t>
            </w:r>
          </w:p>
        </w:tc>
        <w:tc>
          <w:tcPr>
            <w:tcW w:w="1417" w:type="dxa"/>
            <w:tcBorders>
              <w:top w:val="nil"/>
              <w:left w:val="nil"/>
              <w:bottom w:val="nil"/>
              <w:right w:val="nil"/>
            </w:tcBorders>
            <w:shd w:val="clear" w:color="auto" w:fill="auto"/>
            <w:noWrap/>
            <w:vAlign w:val="bottom"/>
            <w:hideMark/>
          </w:tcPr>
          <w:p w14:paraId="0B1538AA" w14:textId="4ED03926"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w:t>
            </w:r>
            <w:r>
              <w:rPr>
                <w:rFonts w:ascii="Calibri" w:eastAsia="Times New Roman" w:hAnsi="Calibri" w:cs="Times New Roman"/>
                <w:color w:val="000000"/>
              </w:rPr>
              <w:t>$</w:t>
            </w:r>
            <w:r w:rsidRPr="002D4891">
              <w:rPr>
                <w:rFonts w:ascii="Calibri" w:eastAsia="Times New Roman" w:hAnsi="Calibri" w:cs="Times New Roman"/>
                <w:color w:val="000000"/>
              </w:rPr>
              <w:t xml:space="preserve"> 21.800,0 </w:t>
            </w:r>
          </w:p>
        </w:tc>
        <w:tc>
          <w:tcPr>
            <w:tcW w:w="1418" w:type="dxa"/>
            <w:tcBorders>
              <w:top w:val="nil"/>
              <w:left w:val="nil"/>
              <w:bottom w:val="nil"/>
              <w:right w:val="nil"/>
            </w:tcBorders>
            <w:shd w:val="clear" w:color="auto" w:fill="auto"/>
            <w:noWrap/>
            <w:vAlign w:val="bottom"/>
            <w:hideMark/>
          </w:tcPr>
          <w:p w14:paraId="482B9B90" w14:textId="4719439C"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w:t>
            </w:r>
            <w:r>
              <w:rPr>
                <w:rFonts w:ascii="Calibri" w:eastAsia="Times New Roman" w:hAnsi="Calibri" w:cs="Times New Roman"/>
                <w:color w:val="000000"/>
              </w:rPr>
              <w:t>$</w:t>
            </w:r>
            <w:r w:rsidRPr="002D4891">
              <w:rPr>
                <w:rFonts w:ascii="Calibri" w:eastAsia="Times New Roman" w:hAnsi="Calibri" w:cs="Times New Roman"/>
                <w:color w:val="000000"/>
              </w:rPr>
              <w:t xml:space="preserve"> 16.100,0 </w:t>
            </w:r>
          </w:p>
        </w:tc>
        <w:tc>
          <w:tcPr>
            <w:tcW w:w="1417" w:type="dxa"/>
            <w:tcBorders>
              <w:top w:val="nil"/>
              <w:left w:val="nil"/>
              <w:bottom w:val="nil"/>
              <w:right w:val="nil"/>
            </w:tcBorders>
            <w:shd w:val="clear" w:color="auto" w:fill="auto"/>
            <w:noWrap/>
            <w:vAlign w:val="bottom"/>
            <w:hideMark/>
          </w:tcPr>
          <w:p w14:paraId="4BFBB9EE" w14:textId="7387C8EA" w:rsidR="002D4891" w:rsidRPr="002D4891" w:rsidRDefault="002D4891" w:rsidP="00AF13F0">
            <w:pPr>
              <w:rPr>
                <w:rFonts w:ascii="Calibri" w:eastAsia="Times New Roman" w:hAnsi="Calibri" w:cs="Times New Roman"/>
                <w:color w:val="000000"/>
              </w:rPr>
            </w:pPr>
            <w:r>
              <w:rPr>
                <w:rFonts w:ascii="Calibri" w:eastAsia="Times New Roman" w:hAnsi="Calibri" w:cs="Times New Roman"/>
                <w:color w:val="000000"/>
              </w:rPr>
              <w:t xml:space="preserve"> $</w:t>
            </w:r>
            <w:r w:rsidRPr="002D4891">
              <w:rPr>
                <w:rFonts w:ascii="Calibri" w:eastAsia="Times New Roman" w:hAnsi="Calibri" w:cs="Times New Roman"/>
                <w:color w:val="000000"/>
              </w:rPr>
              <w:t xml:space="preserve"> 15.157,0 </w:t>
            </w:r>
          </w:p>
        </w:tc>
      </w:tr>
      <w:tr w:rsidR="002D4891" w:rsidRPr="002D4891" w14:paraId="02EA08A6" w14:textId="77777777" w:rsidTr="002D4891">
        <w:trPr>
          <w:trHeight w:val="300"/>
        </w:trPr>
        <w:tc>
          <w:tcPr>
            <w:tcW w:w="1589" w:type="dxa"/>
            <w:tcBorders>
              <w:top w:val="nil"/>
              <w:left w:val="nil"/>
              <w:bottom w:val="nil"/>
              <w:right w:val="nil"/>
            </w:tcBorders>
            <w:shd w:val="clear" w:color="D9D9D9" w:fill="D9D9D9"/>
            <w:noWrap/>
            <w:vAlign w:val="bottom"/>
            <w:hideMark/>
          </w:tcPr>
          <w:p w14:paraId="36671233"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DSM</w:t>
            </w:r>
          </w:p>
        </w:tc>
        <w:tc>
          <w:tcPr>
            <w:tcW w:w="1388" w:type="dxa"/>
            <w:tcBorders>
              <w:top w:val="nil"/>
              <w:left w:val="nil"/>
              <w:bottom w:val="nil"/>
              <w:right w:val="nil"/>
            </w:tcBorders>
            <w:shd w:val="clear" w:color="D9D9D9" w:fill="D9D9D9"/>
            <w:noWrap/>
            <w:vAlign w:val="bottom"/>
            <w:hideMark/>
          </w:tcPr>
          <w:p w14:paraId="2B31ECA5"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€ 108,0-</w:t>
            </w:r>
          </w:p>
        </w:tc>
        <w:tc>
          <w:tcPr>
            <w:tcW w:w="1418" w:type="dxa"/>
            <w:tcBorders>
              <w:top w:val="nil"/>
              <w:left w:val="nil"/>
              <w:bottom w:val="nil"/>
              <w:right w:val="nil"/>
            </w:tcBorders>
            <w:shd w:val="clear" w:color="D9D9D9" w:fill="D9D9D9"/>
            <w:noWrap/>
            <w:vAlign w:val="bottom"/>
            <w:hideMark/>
          </w:tcPr>
          <w:p w14:paraId="35503FAC"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€ 318,0 </w:t>
            </w:r>
          </w:p>
        </w:tc>
        <w:tc>
          <w:tcPr>
            <w:tcW w:w="1417" w:type="dxa"/>
            <w:tcBorders>
              <w:top w:val="nil"/>
              <w:left w:val="nil"/>
              <w:bottom w:val="nil"/>
              <w:right w:val="nil"/>
            </w:tcBorders>
            <w:shd w:val="clear" w:color="D9D9D9" w:fill="D9D9D9"/>
            <w:noWrap/>
            <w:vAlign w:val="bottom"/>
            <w:hideMark/>
          </w:tcPr>
          <w:p w14:paraId="62A77922"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€ 1.668,0 </w:t>
            </w:r>
          </w:p>
        </w:tc>
        <w:tc>
          <w:tcPr>
            <w:tcW w:w="1418" w:type="dxa"/>
            <w:tcBorders>
              <w:top w:val="nil"/>
              <w:left w:val="nil"/>
              <w:bottom w:val="nil"/>
              <w:right w:val="nil"/>
            </w:tcBorders>
            <w:shd w:val="clear" w:color="D9D9D9" w:fill="D9D9D9"/>
            <w:noWrap/>
            <w:vAlign w:val="bottom"/>
            <w:hideMark/>
          </w:tcPr>
          <w:p w14:paraId="4DDEEA69"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€ 2.420,0 </w:t>
            </w:r>
          </w:p>
        </w:tc>
        <w:tc>
          <w:tcPr>
            <w:tcW w:w="1417" w:type="dxa"/>
            <w:tcBorders>
              <w:top w:val="nil"/>
              <w:left w:val="nil"/>
              <w:bottom w:val="nil"/>
              <w:right w:val="nil"/>
            </w:tcBorders>
            <w:shd w:val="clear" w:color="D9D9D9" w:fill="D9D9D9"/>
            <w:noWrap/>
            <w:vAlign w:val="bottom"/>
            <w:hideMark/>
          </w:tcPr>
          <w:p w14:paraId="7BD3AEE9"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€ 2.420,0 </w:t>
            </w:r>
          </w:p>
        </w:tc>
      </w:tr>
      <w:tr w:rsidR="002D4891" w:rsidRPr="002D4891" w14:paraId="42E2EE53" w14:textId="77777777" w:rsidTr="002D4891">
        <w:trPr>
          <w:trHeight w:val="300"/>
        </w:trPr>
        <w:tc>
          <w:tcPr>
            <w:tcW w:w="1589" w:type="dxa"/>
            <w:tcBorders>
              <w:top w:val="nil"/>
              <w:left w:val="nil"/>
              <w:bottom w:val="nil"/>
              <w:right w:val="nil"/>
            </w:tcBorders>
            <w:shd w:val="clear" w:color="auto" w:fill="auto"/>
            <w:noWrap/>
            <w:vAlign w:val="bottom"/>
            <w:hideMark/>
          </w:tcPr>
          <w:p w14:paraId="675A8046"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KPN</w:t>
            </w:r>
          </w:p>
        </w:tc>
        <w:tc>
          <w:tcPr>
            <w:tcW w:w="1388" w:type="dxa"/>
            <w:tcBorders>
              <w:top w:val="nil"/>
              <w:left w:val="nil"/>
              <w:bottom w:val="nil"/>
              <w:right w:val="nil"/>
            </w:tcBorders>
            <w:shd w:val="clear" w:color="auto" w:fill="auto"/>
            <w:noWrap/>
            <w:vAlign w:val="bottom"/>
            <w:hideMark/>
          </w:tcPr>
          <w:p w14:paraId="15F7F193"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€ 11.800,0 </w:t>
            </w:r>
          </w:p>
        </w:tc>
        <w:tc>
          <w:tcPr>
            <w:tcW w:w="1418" w:type="dxa"/>
            <w:tcBorders>
              <w:top w:val="nil"/>
              <w:left w:val="nil"/>
              <w:bottom w:val="nil"/>
              <w:right w:val="nil"/>
            </w:tcBorders>
            <w:shd w:val="clear" w:color="auto" w:fill="auto"/>
            <w:noWrap/>
            <w:vAlign w:val="bottom"/>
            <w:hideMark/>
          </w:tcPr>
          <w:p w14:paraId="63FB4D59"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€ 11.728,0 </w:t>
            </w:r>
          </w:p>
        </w:tc>
        <w:tc>
          <w:tcPr>
            <w:tcW w:w="1417" w:type="dxa"/>
            <w:tcBorders>
              <w:top w:val="nil"/>
              <w:left w:val="nil"/>
              <w:bottom w:val="nil"/>
              <w:right w:val="nil"/>
            </w:tcBorders>
            <w:shd w:val="clear" w:color="auto" w:fill="auto"/>
            <w:noWrap/>
            <w:vAlign w:val="bottom"/>
            <w:hideMark/>
          </w:tcPr>
          <w:p w14:paraId="3AD32AF8"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€ 12.033,0 </w:t>
            </w:r>
          </w:p>
        </w:tc>
        <w:tc>
          <w:tcPr>
            <w:tcW w:w="1418" w:type="dxa"/>
            <w:tcBorders>
              <w:top w:val="nil"/>
              <w:left w:val="nil"/>
              <w:bottom w:val="nil"/>
              <w:right w:val="nil"/>
            </w:tcBorders>
            <w:shd w:val="clear" w:color="auto" w:fill="auto"/>
            <w:noWrap/>
            <w:vAlign w:val="bottom"/>
            <w:hideMark/>
          </w:tcPr>
          <w:p w14:paraId="52244B8D"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€ 9.783,0 </w:t>
            </w:r>
          </w:p>
        </w:tc>
        <w:tc>
          <w:tcPr>
            <w:tcW w:w="1417" w:type="dxa"/>
            <w:tcBorders>
              <w:top w:val="nil"/>
              <w:left w:val="nil"/>
              <w:bottom w:val="nil"/>
              <w:right w:val="nil"/>
            </w:tcBorders>
            <w:shd w:val="clear" w:color="auto" w:fill="auto"/>
            <w:noWrap/>
            <w:vAlign w:val="bottom"/>
            <w:hideMark/>
          </w:tcPr>
          <w:p w14:paraId="557349CC"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€ 7.331,0 </w:t>
            </w:r>
          </w:p>
        </w:tc>
      </w:tr>
      <w:tr w:rsidR="002D4891" w:rsidRPr="002D4891" w14:paraId="00446107" w14:textId="77777777" w:rsidTr="002D4891">
        <w:trPr>
          <w:trHeight w:val="300"/>
        </w:trPr>
        <w:tc>
          <w:tcPr>
            <w:tcW w:w="1589" w:type="dxa"/>
            <w:tcBorders>
              <w:top w:val="nil"/>
              <w:left w:val="nil"/>
              <w:bottom w:val="nil"/>
              <w:right w:val="nil"/>
            </w:tcBorders>
            <w:shd w:val="clear" w:color="D9D9D9" w:fill="D9D9D9"/>
            <w:noWrap/>
            <w:vAlign w:val="bottom"/>
            <w:hideMark/>
          </w:tcPr>
          <w:p w14:paraId="16DDD07A"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Shell</w:t>
            </w:r>
          </w:p>
        </w:tc>
        <w:tc>
          <w:tcPr>
            <w:tcW w:w="1388" w:type="dxa"/>
            <w:tcBorders>
              <w:top w:val="nil"/>
              <w:left w:val="nil"/>
              <w:bottom w:val="nil"/>
              <w:right w:val="nil"/>
            </w:tcBorders>
            <w:shd w:val="clear" w:color="D9D9D9" w:fill="D9D9D9"/>
            <w:noWrap/>
            <w:vAlign w:val="bottom"/>
            <w:hideMark/>
          </w:tcPr>
          <w:p w14:paraId="5693A87E"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€ 34.381,0 </w:t>
            </w:r>
          </w:p>
        </w:tc>
        <w:tc>
          <w:tcPr>
            <w:tcW w:w="1418" w:type="dxa"/>
            <w:tcBorders>
              <w:top w:val="nil"/>
              <w:left w:val="nil"/>
              <w:bottom w:val="nil"/>
              <w:right w:val="nil"/>
            </w:tcBorders>
            <w:shd w:val="clear" w:color="D9D9D9" w:fill="D9D9D9"/>
            <w:noWrap/>
            <w:vAlign w:val="bottom"/>
            <w:hideMark/>
          </w:tcPr>
          <w:p w14:paraId="79B3D13F"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€ 25.883,0 </w:t>
            </w:r>
          </w:p>
        </w:tc>
        <w:tc>
          <w:tcPr>
            <w:tcW w:w="1417" w:type="dxa"/>
            <w:tcBorders>
              <w:top w:val="nil"/>
              <w:left w:val="nil"/>
              <w:bottom w:val="nil"/>
              <w:right w:val="nil"/>
            </w:tcBorders>
            <w:shd w:val="clear" w:color="D9D9D9" w:fill="D9D9D9"/>
            <w:noWrap/>
            <w:vAlign w:val="bottom"/>
            <w:hideMark/>
          </w:tcPr>
          <w:p w14:paraId="026F582C"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€ 19.204,0 </w:t>
            </w:r>
          </w:p>
        </w:tc>
        <w:tc>
          <w:tcPr>
            <w:tcW w:w="1418" w:type="dxa"/>
            <w:tcBorders>
              <w:top w:val="nil"/>
              <w:left w:val="nil"/>
              <w:bottom w:val="nil"/>
              <w:right w:val="nil"/>
            </w:tcBorders>
            <w:shd w:val="clear" w:color="D9D9D9" w:fill="D9D9D9"/>
            <w:noWrap/>
            <w:vAlign w:val="bottom"/>
            <w:hideMark/>
          </w:tcPr>
          <w:p w14:paraId="0496543F"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€ 34.866,0 </w:t>
            </w:r>
          </w:p>
        </w:tc>
        <w:tc>
          <w:tcPr>
            <w:tcW w:w="1417" w:type="dxa"/>
            <w:tcBorders>
              <w:top w:val="nil"/>
              <w:left w:val="nil"/>
              <w:bottom w:val="nil"/>
              <w:right w:val="nil"/>
            </w:tcBorders>
            <w:shd w:val="clear" w:color="D9D9D9" w:fill="D9D9D9"/>
            <w:noWrap/>
            <w:vAlign w:val="bottom"/>
            <w:hideMark/>
          </w:tcPr>
          <w:p w14:paraId="162ABA93"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€ 23.933,0 </w:t>
            </w:r>
          </w:p>
        </w:tc>
      </w:tr>
      <w:tr w:rsidR="002D4891" w:rsidRPr="002D4891" w14:paraId="178E5CE6" w14:textId="77777777" w:rsidTr="002D4891">
        <w:trPr>
          <w:trHeight w:val="300"/>
        </w:trPr>
        <w:tc>
          <w:tcPr>
            <w:tcW w:w="1589" w:type="dxa"/>
            <w:tcBorders>
              <w:top w:val="nil"/>
              <w:left w:val="nil"/>
              <w:bottom w:val="single" w:sz="4" w:space="0" w:color="000000"/>
              <w:right w:val="nil"/>
            </w:tcBorders>
            <w:shd w:val="clear" w:color="auto" w:fill="auto"/>
            <w:noWrap/>
            <w:vAlign w:val="bottom"/>
            <w:hideMark/>
          </w:tcPr>
          <w:p w14:paraId="5A4B06A5"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Wolters Kluwer</w:t>
            </w:r>
          </w:p>
        </w:tc>
        <w:tc>
          <w:tcPr>
            <w:tcW w:w="1388" w:type="dxa"/>
            <w:tcBorders>
              <w:top w:val="nil"/>
              <w:left w:val="nil"/>
              <w:bottom w:val="single" w:sz="4" w:space="0" w:color="000000"/>
              <w:right w:val="nil"/>
            </w:tcBorders>
            <w:shd w:val="clear" w:color="auto" w:fill="auto"/>
            <w:noWrap/>
            <w:vAlign w:val="bottom"/>
            <w:hideMark/>
          </w:tcPr>
          <w:p w14:paraId="0B4AD9E0"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€ 2.035,0 </w:t>
            </w:r>
          </w:p>
        </w:tc>
        <w:tc>
          <w:tcPr>
            <w:tcW w:w="1418" w:type="dxa"/>
            <w:tcBorders>
              <w:top w:val="nil"/>
              <w:left w:val="nil"/>
              <w:bottom w:val="single" w:sz="4" w:space="0" w:color="000000"/>
              <w:right w:val="nil"/>
            </w:tcBorders>
            <w:shd w:val="clear" w:color="auto" w:fill="auto"/>
            <w:noWrap/>
            <w:vAlign w:val="bottom"/>
            <w:hideMark/>
          </w:tcPr>
          <w:p w14:paraId="51951C19"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€ 2.168,0 </w:t>
            </w:r>
          </w:p>
        </w:tc>
        <w:tc>
          <w:tcPr>
            <w:tcW w:w="1417" w:type="dxa"/>
            <w:tcBorders>
              <w:top w:val="nil"/>
              <w:left w:val="nil"/>
              <w:bottom w:val="single" w:sz="4" w:space="0" w:color="000000"/>
              <w:right w:val="nil"/>
            </w:tcBorders>
            <w:shd w:val="clear" w:color="auto" w:fill="auto"/>
            <w:noWrap/>
            <w:vAlign w:val="bottom"/>
            <w:hideMark/>
          </w:tcPr>
          <w:p w14:paraId="6063CDFC"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€ 2.086,0 </w:t>
            </w:r>
          </w:p>
        </w:tc>
        <w:tc>
          <w:tcPr>
            <w:tcW w:w="1418" w:type="dxa"/>
            <w:tcBorders>
              <w:top w:val="nil"/>
              <w:left w:val="nil"/>
              <w:bottom w:val="single" w:sz="4" w:space="0" w:color="000000"/>
              <w:right w:val="nil"/>
            </w:tcBorders>
            <w:shd w:val="clear" w:color="auto" w:fill="auto"/>
            <w:noWrap/>
            <w:vAlign w:val="bottom"/>
            <w:hideMark/>
          </w:tcPr>
          <w:p w14:paraId="6FE233C1"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€ 1.988,0 </w:t>
            </w:r>
          </w:p>
        </w:tc>
        <w:tc>
          <w:tcPr>
            <w:tcW w:w="1417" w:type="dxa"/>
            <w:tcBorders>
              <w:top w:val="nil"/>
              <w:left w:val="nil"/>
              <w:bottom w:val="single" w:sz="4" w:space="0" w:color="000000"/>
              <w:right w:val="nil"/>
            </w:tcBorders>
            <w:shd w:val="clear" w:color="auto" w:fill="auto"/>
            <w:noWrap/>
            <w:vAlign w:val="bottom"/>
            <w:hideMark/>
          </w:tcPr>
          <w:p w14:paraId="53E872F1" w14:textId="77777777" w:rsidR="002D4891" w:rsidRPr="002D4891" w:rsidRDefault="002D4891" w:rsidP="00AF13F0">
            <w:pPr>
              <w:rPr>
                <w:rFonts w:ascii="Calibri" w:eastAsia="Times New Roman" w:hAnsi="Calibri" w:cs="Times New Roman"/>
                <w:color w:val="000000"/>
              </w:rPr>
            </w:pPr>
            <w:r w:rsidRPr="002D4891">
              <w:rPr>
                <w:rFonts w:ascii="Calibri" w:eastAsia="Times New Roman" w:hAnsi="Calibri" w:cs="Times New Roman"/>
                <w:color w:val="000000"/>
              </w:rPr>
              <w:t xml:space="preserve"> € 1.897,0 </w:t>
            </w:r>
          </w:p>
        </w:tc>
      </w:tr>
    </w:tbl>
    <w:p w14:paraId="000F9C48" w14:textId="77777777" w:rsidR="002D4891" w:rsidRDefault="002D4891" w:rsidP="00AF13F0">
      <w:pPr>
        <w:spacing w:line="360" w:lineRule="auto"/>
        <w:rPr>
          <w:b/>
        </w:rPr>
      </w:pPr>
    </w:p>
    <w:p w14:paraId="1579A789" w14:textId="77777777" w:rsidR="006C6653" w:rsidRDefault="006C6653" w:rsidP="00AF13F0">
      <w:pPr>
        <w:spacing w:line="360" w:lineRule="auto"/>
        <w:rPr>
          <w:b/>
        </w:rPr>
      </w:pPr>
    </w:p>
    <w:p w14:paraId="74795B08" w14:textId="77777777" w:rsidR="00AF13F0" w:rsidRDefault="00AF13F0" w:rsidP="00AF13F0">
      <w:pPr>
        <w:spacing w:line="360" w:lineRule="auto"/>
        <w:rPr>
          <w:b/>
        </w:rPr>
      </w:pPr>
    </w:p>
    <w:p w14:paraId="6EA63751" w14:textId="77777777" w:rsidR="00AF13F0" w:rsidRDefault="00AF13F0" w:rsidP="00AF13F0">
      <w:pPr>
        <w:spacing w:line="360" w:lineRule="auto"/>
        <w:rPr>
          <w:b/>
        </w:rPr>
      </w:pPr>
    </w:p>
    <w:p w14:paraId="79A5108A" w14:textId="77777777" w:rsidR="00AF13F0" w:rsidRDefault="00AF13F0" w:rsidP="00AF13F0">
      <w:pPr>
        <w:spacing w:line="360" w:lineRule="auto"/>
        <w:rPr>
          <w:b/>
        </w:rPr>
      </w:pPr>
    </w:p>
    <w:p w14:paraId="4C78708C" w14:textId="77777777" w:rsidR="00AF13F0" w:rsidRDefault="00AF13F0" w:rsidP="00AF13F0">
      <w:pPr>
        <w:spacing w:line="360" w:lineRule="auto"/>
        <w:rPr>
          <w:b/>
        </w:rPr>
      </w:pPr>
    </w:p>
    <w:p w14:paraId="771CE4F8" w14:textId="62D5CF45" w:rsidR="006C6653" w:rsidRDefault="006C6653" w:rsidP="00AF13F0">
      <w:pPr>
        <w:spacing w:line="360" w:lineRule="auto"/>
        <w:rPr>
          <w:b/>
        </w:rPr>
      </w:pPr>
      <w:r>
        <w:rPr>
          <w:b/>
        </w:rPr>
        <w:t>Tabel 18</w:t>
      </w:r>
    </w:p>
    <w:tbl>
      <w:tblPr>
        <w:tblW w:w="8100" w:type="dxa"/>
        <w:tblInd w:w="93" w:type="dxa"/>
        <w:tblLook w:val="04A0" w:firstRow="1" w:lastRow="0" w:firstColumn="1" w:lastColumn="0" w:noHBand="0" w:noVBand="1"/>
      </w:tblPr>
      <w:tblGrid>
        <w:gridCol w:w="2780"/>
        <w:gridCol w:w="1360"/>
        <w:gridCol w:w="1360"/>
        <w:gridCol w:w="1300"/>
        <w:gridCol w:w="1300"/>
      </w:tblGrid>
      <w:tr w:rsidR="006C6653" w:rsidRPr="006C6653" w14:paraId="15BC1672" w14:textId="77777777" w:rsidTr="006C6653">
        <w:trPr>
          <w:trHeight w:val="300"/>
        </w:trPr>
        <w:tc>
          <w:tcPr>
            <w:tcW w:w="2780" w:type="dxa"/>
            <w:tcBorders>
              <w:top w:val="single" w:sz="4" w:space="0" w:color="000000"/>
              <w:left w:val="nil"/>
              <w:bottom w:val="single" w:sz="4" w:space="0" w:color="000000"/>
              <w:right w:val="nil"/>
            </w:tcBorders>
            <w:shd w:val="clear" w:color="auto" w:fill="auto"/>
            <w:noWrap/>
            <w:vAlign w:val="bottom"/>
            <w:hideMark/>
          </w:tcPr>
          <w:p w14:paraId="2EF4FA9A" w14:textId="77777777" w:rsidR="006C6653" w:rsidRPr="006C6653" w:rsidRDefault="006C6653" w:rsidP="00AF13F0">
            <w:pPr>
              <w:rPr>
                <w:rFonts w:ascii="Calibri" w:eastAsia="Times New Roman" w:hAnsi="Calibri" w:cs="Times New Roman"/>
                <w:b/>
                <w:bCs/>
                <w:color w:val="000000"/>
              </w:rPr>
            </w:pPr>
            <w:r w:rsidRPr="006C6653">
              <w:rPr>
                <w:rFonts w:ascii="Calibri" w:eastAsia="Times New Roman" w:hAnsi="Calibri" w:cs="Times New Roman"/>
                <w:b/>
                <w:bCs/>
                <w:color w:val="000000"/>
              </w:rPr>
              <w:t>Ondernemingen (2014)</w:t>
            </w:r>
          </w:p>
        </w:tc>
        <w:tc>
          <w:tcPr>
            <w:tcW w:w="1360" w:type="dxa"/>
            <w:tcBorders>
              <w:top w:val="single" w:sz="4" w:space="0" w:color="000000"/>
              <w:left w:val="nil"/>
              <w:bottom w:val="single" w:sz="4" w:space="0" w:color="000000"/>
              <w:right w:val="nil"/>
            </w:tcBorders>
            <w:shd w:val="clear" w:color="auto" w:fill="auto"/>
            <w:noWrap/>
            <w:vAlign w:val="bottom"/>
            <w:hideMark/>
          </w:tcPr>
          <w:p w14:paraId="073EC2EF" w14:textId="77777777" w:rsidR="006C6653" w:rsidRPr="006C6653" w:rsidRDefault="006C6653" w:rsidP="00AF13F0">
            <w:pPr>
              <w:rPr>
                <w:rFonts w:ascii="Calibri" w:eastAsia="Times New Roman" w:hAnsi="Calibri" w:cs="Times New Roman"/>
                <w:b/>
                <w:bCs/>
                <w:color w:val="000000"/>
              </w:rPr>
            </w:pPr>
            <w:r w:rsidRPr="006C6653">
              <w:rPr>
                <w:rFonts w:ascii="Calibri" w:eastAsia="Times New Roman" w:hAnsi="Calibri" w:cs="Times New Roman"/>
                <w:b/>
                <w:bCs/>
                <w:color w:val="000000"/>
              </w:rPr>
              <w:t>2010</w:t>
            </w:r>
          </w:p>
        </w:tc>
        <w:tc>
          <w:tcPr>
            <w:tcW w:w="1360" w:type="dxa"/>
            <w:tcBorders>
              <w:top w:val="single" w:sz="4" w:space="0" w:color="000000"/>
              <w:left w:val="nil"/>
              <w:bottom w:val="single" w:sz="4" w:space="0" w:color="000000"/>
              <w:right w:val="nil"/>
            </w:tcBorders>
            <w:shd w:val="clear" w:color="auto" w:fill="auto"/>
            <w:noWrap/>
            <w:vAlign w:val="bottom"/>
            <w:hideMark/>
          </w:tcPr>
          <w:p w14:paraId="0DC90E43" w14:textId="77777777" w:rsidR="006C6653" w:rsidRPr="006C6653" w:rsidRDefault="006C6653" w:rsidP="00AF13F0">
            <w:pPr>
              <w:rPr>
                <w:rFonts w:ascii="Calibri" w:eastAsia="Times New Roman" w:hAnsi="Calibri" w:cs="Times New Roman"/>
                <w:b/>
                <w:bCs/>
                <w:color w:val="000000"/>
              </w:rPr>
            </w:pPr>
            <w:r w:rsidRPr="006C6653">
              <w:rPr>
                <w:rFonts w:ascii="Calibri" w:eastAsia="Times New Roman" w:hAnsi="Calibri" w:cs="Times New Roman"/>
                <w:b/>
                <w:bCs/>
                <w:color w:val="000000"/>
              </w:rPr>
              <w:t>2011</w:t>
            </w:r>
          </w:p>
        </w:tc>
        <w:tc>
          <w:tcPr>
            <w:tcW w:w="1300" w:type="dxa"/>
            <w:tcBorders>
              <w:top w:val="single" w:sz="4" w:space="0" w:color="000000"/>
              <w:left w:val="nil"/>
              <w:bottom w:val="single" w:sz="4" w:space="0" w:color="000000"/>
              <w:right w:val="nil"/>
            </w:tcBorders>
            <w:shd w:val="clear" w:color="auto" w:fill="auto"/>
            <w:noWrap/>
            <w:vAlign w:val="bottom"/>
            <w:hideMark/>
          </w:tcPr>
          <w:p w14:paraId="7534E618" w14:textId="77777777" w:rsidR="006C6653" w:rsidRPr="006C6653" w:rsidRDefault="006C6653" w:rsidP="00AF13F0">
            <w:pPr>
              <w:rPr>
                <w:rFonts w:ascii="Calibri" w:eastAsia="Times New Roman" w:hAnsi="Calibri" w:cs="Times New Roman"/>
                <w:b/>
                <w:bCs/>
                <w:color w:val="000000"/>
              </w:rPr>
            </w:pPr>
            <w:r w:rsidRPr="006C6653">
              <w:rPr>
                <w:rFonts w:ascii="Calibri" w:eastAsia="Times New Roman" w:hAnsi="Calibri" w:cs="Times New Roman"/>
                <w:b/>
                <w:bCs/>
                <w:color w:val="000000"/>
              </w:rPr>
              <w:t>2012</w:t>
            </w:r>
          </w:p>
        </w:tc>
        <w:tc>
          <w:tcPr>
            <w:tcW w:w="1300" w:type="dxa"/>
            <w:tcBorders>
              <w:top w:val="single" w:sz="4" w:space="0" w:color="000000"/>
              <w:left w:val="nil"/>
              <w:bottom w:val="single" w:sz="4" w:space="0" w:color="000000"/>
              <w:right w:val="nil"/>
            </w:tcBorders>
            <w:shd w:val="clear" w:color="auto" w:fill="auto"/>
            <w:noWrap/>
            <w:vAlign w:val="bottom"/>
            <w:hideMark/>
          </w:tcPr>
          <w:p w14:paraId="096C2B0C" w14:textId="77777777" w:rsidR="006C6653" w:rsidRPr="006C6653" w:rsidRDefault="006C6653" w:rsidP="00AF13F0">
            <w:pPr>
              <w:rPr>
                <w:rFonts w:ascii="Calibri" w:eastAsia="Times New Roman" w:hAnsi="Calibri" w:cs="Times New Roman"/>
                <w:b/>
                <w:bCs/>
                <w:color w:val="000000"/>
              </w:rPr>
            </w:pPr>
            <w:r w:rsidRPr="006C6653">
              <w:rPr>
                <w:rFonts w:ascii="Calibri" w:eastAsia="Times New Roman" w:hAnsi="Calibri" w:cs="Times New Roman"/>
                <w:b/>
                <w:bCs/>
                <w:color w:val="000000"/>
              </w:rPr>
              <w:t>2013</w:t>
            </w:r>
          </w:p>
        </w:tc>
      </w:tr>
      <w:tr w:rsidR="006C6653" w:rsidRPr="006C6653" w14:paraId="5BA62A1F" w14:textId="77777777" w:rsidTr="006C6653">
        <w:trPr>
          <w:trHeight w:val="300"/>
        </w:trPr>
        <w:tc>
          <w:tcPr>
            <w:tcW w:w="2780" w:type="dxa"/>
            <w:tcBorders>
              <w:top w:val="nil"/>
              <w:left w:val="nil"/>
              <w:bottom w:val="nil"/>
              <w:right w:val="nil"/>
            </w:tcBorders>
            <w:shd w:val="clear" w:color="D9D9D9" w:fill="D9D9D9"/>
            <w:noWrap/>
            <w:vAlign w:val="bottom"/>
            <w:hideMark/>
          </w:tcPr>
          <w:p w14:paraId="6BB5D7E5"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Aegon</w:t>
            </w:r>
          </w:p>
        </w:tc>
        <w:tc>
          <w:tcPr>
            <w:tcW w:w="1360" w:type="dxa"/>
            <w:tcBorders>
              <w:top w:val="nil"/>
              <w:left w:val="nil"/>
              <w:bottom w:val="nil"/>
              <w:right w:val="nil"/>
            </w:tcBorders>
            <w:shd w:val="clear" w:color="D9D9D9" w:fill="D9D9D9"/>
            <w:noWrap/>
            <w:vAlign w:val="bottom"/>
            <w:hideMark/>
          </w:tcPr>
          <w:p w14:paraId="3A286D25"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60" w:type="dxa"/>
            <w:tcBorders>
              <w:top w:val="nil"/>
              <w:left w:val="nil"/>
              <w:bottom w:val="nil"/>
              <w:right w:val="nil"/>
            </w:tcBorders>
            <w:shd w:val="clear" w:color="D9D9D9" w:fill="D9D9D9"/>
            <w:noWrap/>
            <w:vAlign w:val="bottom"/>
            <w:hideMark/>
          </w:tcPr>
          <w:p w14:paraId="3BEFEF25"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00" w:type="dxa"/>
            <w:tcBorders>
              <w:top w:val="nil"/>
              <w:left w:val="nil"/>
              <w:bottom w:val="nil"/>
              <w:right w:val="nil"/>
            </w:tcBorders>
            <w:shd w:val="clear" w:color="D9D9D9" w:fill="D9D9D9"/>
            <w:noWrap/>
            <w:vAlign w:val="bottom"/>
            <w:hideMark/>
          </w:tcPr>
          <w:p w14:paraId="7EB63BF3"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00" w:type="dxa"/>
            <w:tcBorders>
              <w:top w:val="nil"/>
              <w:left w:val="nil"/>
              <w:bottom w:val="nil"/>
              <w:right w:val="nil"/>
            </w:tcBorders>
            <w:shd w:val="clear" w:color="D9D9D9" w:fill="D9D9D9"/>
            <w:noWrap/>
            <w:vAlign w:val="bottom"/>
            <w:hideMark/>
          </w:tcPr>
          <w:p w14:paraId="3026CD7E"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r>
      <w:tr w:rsidR="006C6653" w:rsidRPr="006C6653" w14:paraId="4C05A5F4" w14:textId="77777777" w:rsidTr="006C6653">
        <w:trPr>
          <w:trHeight w:val="300"/>
        </w:trPr>
        <w:tc>
          <w:tcPr>
            <w:tcW w:w="2780" w:type="dxa"/>
            <w:tcBorders>
              <w:top w:val="nil"/>
              <w:left w:val="nil"/>
              <w:bottom w:val="nil"/>
              <w:right w:val="nil"/>
            </w:tcBorders>
            <w:shd w:val="clear" w:color="auto" w:fill="auto"/>
            <w:noWrap/>
            <w:vAlign w:val="bottom"/>
            <w:hideMark/>
          </w:tcPr>
          <w:p w14:paraId="10AACED1"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Ahold</w:t>
            </w:r>
          </w:p>
        </w:tc>
        <w:tc>
          <w:tcPr>
            <w:tcW w:w="1360" w:type="dxa"/>
            <w:tcBorders>
              <w:top w:val="nil"/>
              <w:left w:val="nil"/>
              <w:bottom w:val="nil"/>
              <w:right w:val="nil"/>
            </w:tcBorders>
            <w:shd w:val="clear" w:color="auto" w:fill="auto"/>
            <w:noWrap/>
            <w:vAlign w:val="bottom"/>
            <w:hideMark/>
          </w:tcPr>
          <w:p w14:paraId="03CCDC74"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60" w:type="dxa"/>
            <w:tcBorders>
              <w:top w:val="nil"/>
              <w:left w:val="nil"/>
              <w:bottom w:val="nil"/>
              <w:right w:val="nil"/>
            </w:tcBorders>
            <w:shd w:val="clear" w:color="auto" w:fill="auto"/>
            <w:noWrap/>
            <w:vAlign w:val="bottom"/>
            <w:hideMark/>
          </w:tcPr>
          <w:p w14:paraId="65320E47"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00" w:type="dxa"/>
            <w:tcBorders>
              <w:top w:val="nil"/>
              <w:left w:val="nil"/>
              <w:bottom w:val="nil"/>
              <w:right w:val="nil"/>
            </w:tcBorders>
            <w:shd w:val="clear" w:color="auto" w:fill="auto"/>
            <w:noWrap/>
            <w:vAlign w:val="bottom"/>
            <w:hideMark/>
          </w:tcPr>
          <w:p w14:paraId="4C5AA637"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00" w:type="dxa"/>
            <w:tcBorders>
              <w:top w:val="nil"/>
              <w:left w:val="nil"/>
              <w:bottom w:val="nil"/>
              <w:right w:val="nil"/>
            </w:tcBorders>
            <w:shd w:val="clear" w:color="auto" w:fill="auto"/>
            <w:noWrap/>
            <w:vAlign w:val="bottom"/>
            <w:hideMark/>
          </w:tcPr>
          <w:p w14:paraId="4CA75F73"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r>
      <w:tr w:rsidR="006C6653" w:rsidRPr="006C6653" w14:paraId="6AE2EB2B" w14:textId="77777777" w:rsidTr="006C6653">
        <w:trPr>
          <w:trHeight w:val="300"/>
        </w:trPr>
        <w:tc>
          <w:tcPr>
            <w:tcW w:w="2780" w:type="dxa"/>
            <w:tcBorders>
              <w:top w:val="nil"/>
              <w:left w:val="nil"/>
              <w:bottom w:val="nil"/>
              <w:right w:val="nil"/>
            </w:tcBorders>
            <w:shd w:val="clear" w:color="D9D9D9" w:fill="D9D9D9"/>
            <w:noWrap/>
            <w:vAlign w:val="bottom"/>
            <w:hideMark/>
          </w:tcPr>
          <w:p w14:paraId="0FBC600E"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ING</w:t>
            </w:r>
          </w:p>
        </w:tc>
        <w:tc>
          <w:tcPr>
            <w:tcW w:w="1360" w:type="dxa"/>
            <w:tcBorders>
              <w:top w:val="nil"/>
              <w:left w:val="nil"/>
              <w:bottom w:val="nil"/>
              <w:right w:val="nil"/>
            </w:tcBorders>
            <w:shd w:val="clear" w:color="D9D9D9" w:fill="D9D9D9"/>
            <w:noWrap/>
            <w:vAlign w:val="bottom"/>
            <w:hideMark/>
          </w:tcPr>
          <w:p w14:paraId="48BDA777"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60" w:type="dxa"/>
            <w:tcBorders>
              <w:top w:val="nil"/>
              <w:left w:val="nil"/>
              <w:bottom w:val="nil"/>
              <w:right w:val="nil"/>
            </w:tcBorders>
            <w:shd w:val="clear" w:color="D9D9D9" w:fill="D9D9D9"/>
            <w:noWrap/>
            <w:vAlign w:val="bottom"/>
            <w:hideMark/>
          </w:tcPr>
          <w:p w14:paraId="2ECE6AC8"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00" w:type="dxa"/>
            <w:tcBorders>
              <w:top w:val="nil"/>
              <w:left w:val="nil"/>
              <w:bottom w:val="nil"/>
              <w:right w:val="nil"/>
            </w:tcBorders>
            <w:shd w:val="clear" w:color="D9D9D9" w:fill="D9D9D9"/>
            <w:noWrap/>
            <w:vAlign w:val="bottom"/>
            <w:hideMark/>
          </w:tcPr>
          <w:p w14:paraId="3FE3395F"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00" w:type="dxa"/>
            <w:tcBorders>
              <w:top w:val="nil"/>
              <w:left w:val="nil"/>
              <w:bottom w:val="nil"/>
              <w:right w:val="nil"/>
            </w:tcBorders>
            <w:shd w:val="clear" w:color="D9D9D9" w:fill="D9D9D9"/>
            <w:noWrap/>
            <w:vAlign w:val="bottom"/>
            <w:hideMark/>
          </w:tcPr>
          <w:p w14:paraId="0B1CCCA1"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r>
      <w:tr w:rsidR="006C6653" w:rsidRPr="006C6653" w14:paraId="4659CC38" w14:textId="77777777" w:rsidTr="006C6653">
        <w:trPr>
          <w:trHeight w:val="300"/>
        </w:trPr>
        <w:tc>
          <w:tcPr>
            <w:tcW w:w="2780" w:type="dxa"/>
            <w:tcBorders>
              <w:top w:val="nil"/>
              <w:left w:val="nil"/>
              <w:bottom w:val="nil"/>
              <w:right w:val="nil"/>
            </w:tcBorders>
            <w:shd w:val="clear" w:color="auto" w:fill="auto"/>
            <w:noWrap/>
            <w:vAlign w:val="bottom"/>
            <w:hideMark/>
          </w:tcPr>
          <w:p w14:paraId="1E64B0AE"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KPN</w:t>
            </w:r>
          </w:p>
        </w:tc>
        <w:tc>
          <w:tcPr>
            <w:tcW w:w="1360" w:type="dxa"/>
            <w:tcBorders>
              <w:top w:val="nil"/>
              <w:left w:val="nil"/>
              <w:bottom w:val="nil"/>
              <w:right w:val="nil"/>
            </w:tcBorders>
            <w:shd w:val="clear" w:color="auto" w:fill="auto"/>
            <w:noWrap/>
            <w:vAlign w:val="bottom"/>
            <w:hideMark/>
          </w:tcPr>
          <w:p w14:paraId="17DAD7F5"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60" w:type="dxa"/>
            <w:tcBorders>
              <w:top w:val="nil"/>
              <w:left w:val="nil"/>
              <w:bottom w:val="nil"/>
              <w:right w:val="nil"/>
            </w:tcBorders>
            <w:shd w:val="clear" w:color="auto" w:fill="auto"/>
            <w:noWrap/>
            <w:vAlign w:val="bottom"/>
            <w:hideMark/>
          </w:tcPr>
          <w:p w14:paraId="419B9630"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00" w:type="dxa"/>
            <w:tcBorders>
              <w:top w:val="nil"/>
              <w:left w:val="nil"/>
              <w:bottom w:val="nil"/>
              <w:right w:val="nil"/>
            </w:tcBorders>
            <w:shd w:val="clear" w:color="auto" w:fill="auto"/>
            <w:noWrap/>
            <w:vAlign w:val="bottom"/>
            <w:hideMark/>
          </w:tcPr>
          <w:p w14:paraId="08DD9485"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00" w:type="dxa"/>
            <w:tcBorders>
              <w:top w:val="nil"/>
              <w:left w:val="nil"/>
              <w:bottom w:val="nil"/>
              <w:right w:val="nil"/>
            </w:tcBorders>
            <w:shd w:val="clear" w:color="auto" w:fill="auto"/>
            <w:noWrap/>
            <w:vAlign w:val="bottom"/>
            <w:hideMark/>
          </w:tcPr>
          <w:p w14:paraId="37976711"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r>
      <w:tr w:rsidR="006C6653" w:rsidRPr="006C6653" w14:paraId="099BF7F5" w14:textId="77777777" w:rsidTr="006C6653">
        <w:trPr>
          <w:trHeight w:val="300"/>
        </w:trPr>
        <w:tc>
          <w:tcPr>
            <w:tcW w:w="2780" w:type="dxa"/>
            <w:tcBorders>
              <w:top w:val="nil"/>
              <w:left w:val="nil"/>
              <w:bottom w:val="nil"/>
              <w:right w:val="nil"/>
            </w:tcBorders>
            <w:shd w:val="clear" w:color="D9D9D9" w:fill="D9D9D9"/>
            <w:noWrap/>
            <w:vAlign w:val="bottom"/>
            <w:hideMark/>
          </w:tcPr>
          <w:p w14:paraId="7DFC6066"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OCI</w:t>
            </w:r>
          </w:p>
        </w:tc>
        <w:tc>
          <w:tcPr>
            <w:tcW w:w="1360" w:type="dxa"/>
            <w:tcBorders>
              <w:top w:val="nil"/>
              <w:left w:val="nil"/>
              <w:bottom w:val="nil"/>
              <w:right w:val="nil"/>
            </w:tcBorders>
            <w:shd w:val="clear" w:color="D9D9D9" w:fill="D9D9D9"/>
            <w:noWrap/>
            <w:vAlign w:val="bottom"/>
            <w:hideMark/>
          </w:tcPr>
          <w:p w14:paraId="560B2403"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Onbekend</w:t>
            </w:r>
          </w:p>
        </w:tc>
        <w:tc>
          <w:tcPr>
            <w:tcW w:w="1360" w:type="dxa"/>
            <w:tcBorders>
              <w:top w:val="nil"/>
              <w:left w:val="nil"/>
              <w:bottom w:val="nil"/>
              <w:right w:val="nil"/>
            </w:tcBorders>
            <w:shd w:val="clear" w:color="D9D9D9" w:fill="D9D9D9"/>
            <w:noWrap/>
            <w:vAlign w:val="bottom"/>
            <w:hideMark/>
          </w:tcPr>
          <w:p w14:paraId="047163C8"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Onbekend</w:t>
            </w:r>
          </w:p>
        </w:tc>
        <w:tc>
          <w:tcPr>
            <w:tcW w:w="1300" w:type="dxa"/>
            <w:tcBorders>
              <w:top w:val="nil"/>
              <w:left w:val="nil"/>
              <w:bottom w:val="nil"/>
              <w:right w:val="nil"/>
            </w:tcBorders>
            <w:shd w:val="clear" w:color="D9D9D9" w:fill="D9D9D9"/>
            <w:noWrap/>
            <w:vAlign w:val="bottom"/>
            <w:hideMark/>
          </w:tcPr>
          <w:p w14:paraId="0D0D9739"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00" w:type="dxa"/>
            <w:tcBorders>
              <w:top w:val="nil"/>
              <w:left w:val="nil"/>
              <w:bottom w:val="nil"/>
              <w:right w:val="nil"/>
            </w:tcBorders>
            <w:shd w:val="clear" w:color="D9D9D9" w:fill="D9D9D9"/>
            <w:noWrap/>
            <w:vAlign w:val="bottom"/>
            <w:hideMark/>
          </w:tcPr>
          <w:p w14:paraId="5D6F1596"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r>
      <w:tr w:rsidR="006C6653" w:rsidRPr="006C6653" w14:paraId="586269F4" w14:textId="77777777" w:rsidTr="006C6653">
        <w:trPr>
          <w:trHeight w:val="300"/>
        </w:trPr>
        <w:tc>
          <w:tcPr>
            <w:tcW w:w="2780" w:type="dxa"/>
            <w:tcBorders>
              <w:top w:val="nil"/>
              <w:left w:val="nil"/>
              <w:bottom w:val="nil"/>
              <w:right w:val="nil"/>
            </w:tcBorders>
            <w:shd w:val="clear" w:color="auto" w:fill="auto"/>
            <w:noWrap/>
            <w:vAlign w:val="bottom"/>
            <w:hideMark/>
          </w:tcPr>
          <w:p w14:paraId="3F842B06"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Randstad</w:t>
            </w:r>
          </w:p>
        </w:tc>
        <w:tc>
          <w:tcPr>
            <w:tcW w:w="1360" w:type="dxa"/>
            <w:tcBorders>
              <w:top w:val="nil"/>
              <w:left w:val="nil"/>
              <w:bottom w:val="nil"/>
              <w:right w:val="nil"/>
            </w:tcBorders>
            <w:shd w:val="clear" w:color="auto" w:fill="auto"/>
            <w:noWrap/>
            <w:vAlign w:val="bottom"/>
            <w:hideMark/>
          </w:tcPr>
          <w:p w14:paraId="4C7367C9"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60" w:type="dxa"/>
            <w:tcBorders>
              <w:top w:val="nil"/>
              <w:left w:val="nil"/>
              <w:bottom w:val="nil"/>
              <w:right w:val="nil"/>
            </w:tcBorders>
            <w:shd w:val="clear" w:color="auto" w:fill="auto"/>
            <w:noWrap/>
            <w:vAlign w:val="bottom"/>
            <w:hideMark/>
          </w:tcPr>
          <w:p w14:paraId="0261655C"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00" w:type="dxa"/>
            <w:tcBorders>
              <w:top w:val="nil"/>
              <w:left w:val="nil"/>
              <w:bottom w:val="nil"/>
              <w:right w:val="nil"/>
            </w:tcBorders>
            <w:shd w:val="clear" w:color="auto" w:fill="auto"/>
            <w:noWrap/>
            <w:vAlign w:val="bottom"/>
            <w:hideMark/>
          </w:tcPr>
          <w:p w14:paraId="6D7A3E01"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00" w:type="dxa"/>
            <w:tcBorders>
              <w:top w:val="nil"/>
              <w:left w:val="nil"/>
              <w:bottom w:val="nil"/>
              <w:right w:val="nil"/>
            </w:tcBorders>
            <w:shd w:val="clear" w:color="auto" w:fill="auto"/>
            <w:noWrap/>
            <w:vAlign w:val="bottom"/>
            <w:hideMark/>
          </w:tcPr>
          <w:p w14:paraId="05A9A66D"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r>
      <w:tr w:rsidR="006C6653" w:rsidRPr="006C6653" w14:paraId="3D792006" w14:textId="77777777" w:rsidTr="006C6653">
        <w:trPr>
          <w:trHeight w:val="300"/>
        </w:trPr>
        <w:tc>
          <w:tcPr>
            <w:tcW w:w="2780" w:type="dxa"/>
            <w:tcBorders>
              <w:top w:val="nil"/>
              <w:left w:val="nil"/>
              <w:bottom w:val="nil"/>
              <w:right w:val="nil"/>
            </w:tcBorders>
            <w:shd w:val="clear" w:color="D9D9D9" w:fill="D9D9D9"/>
            <w:noWrap/>
            <w:vAlign w:val="bottom"/>
            <w:hideMark/>
          </w:tcPr>
          <w:p w14:paraId="5287A4FC"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Reed Elsevier</w:t>
            </w:r>
          </w:p>
        </w:tc>
        <w:tc>
          <w:tcPr>
            <w:tcW w:w="1360" w:type="dxa"/>
            <w:tcBorders>
              <w:top w:val="nil"/>
              <w:left w:val="nil"/>
              <w:bottom w:val="nil"/>
              <w:right w:val="nil"/>
            </w:tcBorders>
            <w:shd w:val="clear" w:color="D9D9D9" w:fill="D9D9D9"/>
            <w:noWrap/>
            <w:vAlign w:val="bottom"/>
            <w:hideMark/>
          </w:tcPr>
          <w:p w14:paraId="38D12E3D"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60" w:type="dxa"/>
            <w:tcBorders>
              <w:top w:val="nil"/>
              <w:left w:val="nil"/>
              <w:bottom w:val="nil"/>
              <w:right w:val="nil"/>
            </w:tcBorders>
            <w:shd w:val="clear" w:color="D9D9D9" w:fill="D9D9D9"/>
            <w:noWrap/>
            <w:vAlign w:val="bottom"/>
            <w:hideMark/>
          </w:tcPr>
          <w:p w14:paraId="4BE7BA11"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00" w:type="dxa"/>
            <w:tcBorders>
              <w:top w:val="nil"/>
              <w:left w:val="nil"/>
              <w:bottom w:val="nil"/>
              <w:right w:val="nil"/>
            </w:tcBorders>
            <w:shd w:val="clear" w:color="D9D9D9" w:fill="D9D9D9"/>
            <w:noWrap/>
            <w:vAlign w:val="bottom"/>
            <w:hideMark/>
          </w:tcPr>
          <w:p w14:paraId="13DA0B33"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00" w:type="dxa"/>
            <w:tcBorders>
              <w:top w:val="nil"/>
              <w:left w:val="nil"/>
              <w:bottom w:val="nil"/>
              <w:right w:val="nil"/>
            </w:tcBorders>
            <w:shd w:val="clear" w:color="D9D9D9" w:fill="D9D9D9"/>
            <w:noWrap/>
            <w:vAlign w:val="bottom"/>
            <w:hideMark/>
          </w:tcPr>
          <w:p w14:paraId="2EEC6205"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r>
      <w:tr w:rsidR="006C6653" w:rsidRPr="006C6653" w14:paraId="68F93B62" w14:textId="77777777" w:rsidTr="006C6653">
        <w:trPr>
          <w:trHeight w:val="300"/>
        </w:trPr>
        <w:tc>
          <w:tcPr>
            <w:tcW w:w="2780" w:type="dxa"/>
            <w:tcBorders>
              <w:top w:val="nil"/>
              <w:left w:val="nil"/>
              <w:bottom w:val="nil"/>
              <w:right w:val="nil"/>
            </w:tcBorders>
            <w:shd w:val="clear" w:color="auto" w:fill="auto"/>
            <w:noWrap/>
            <w:vAlign w:val="bottom"/>
            <w:hideMark/>
          </w:tcPr>
          <w:p w14:paraId="6ACE6796"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Gemalto</w:t>
            </w:r>
          </w:p>
        </w:tc>
        <w:tc>
          <w:tcPr>
            <w:tcW w:w="1360" w:type="dxa"/>
            <w:tcBorders>
              <w:top w:val="nil"/>
              <w:left w:val="nil"/>
              <w:bottom w:val="nil"/>
              <w:right w:val="nil"/>
            </w:tcBorders>
            <w:shd w:val="clear" w:color="auto" w:fill="auto"/>
            <w:noWrap/>
            <w:vAlign w:val="bottom"/>
            <w:hideMark/>
          </w:tcPr>
          <w:p w14:paraId="0B68C46E"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60" w:type="dxa"/>
            <w:tcBorders>
              <w:top w:val="nil"/>
              <w:left w:val="nil"/>
              <w:bottom w:val="nil"/>
              <w:right w:val="nil"/>
            </w:tcBorders>
            <w:shd w:val="clear" w:color="auto" w:fill="auto"/>
            <w:noWrap/>
            <w:vAlign w:val="bottom"/>
            <w:hideMark/>
          </w:tcPr>
          <w:p w14:paraId="4D4468D5"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00" w:type="dxa"/>
            <w:tcBorders>
              <w:top w:val="nil"/>
              <w:left w:val="nil"/>
              <w:bottom w:val="nil"/>
              <w:right w:val="nil"/>
            </w:tcBorders>
            <w:shd w:val="clear" w:color="auto" w:fill="auto"/>
            <w:noWrap/>
            <w:vAlign w:val="bottom"/>
            <w:hideMark/>
          </w:tcPr>
          <w:p w14:paraId="5476880C"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00" w:type="dxa"/>
            <w:tcBorders>
              <w:top w:val="nil"/>
              <w:left w:val="nil"/>
              <w:bottom w:val="nil"/>
              <w:right w:val="nil"/>
            </w:tcBorders>
            <w:shd w:val="clear" w:color="auto" w:fill="auto"/>
            <w:noWrap/>
            <w:vAlign w:val="bottom"/>
            <w:hideMark/>
          </w:tcPr>
          <w:p w14:paraId="624E17F0"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r>
      <w:tr w:rsidR="006C6653" w:rsidRPr="006C6653" w14:paraId="64E6B0CE" w14:textId="77777777" w:rsidTr="006C6653">
        <w:trPr>
          <w:trHeight w:val="300"/>
        </w:trPr>
        <w:tc>
          <w:tcPr>
            <w:tcW w:w="2780" w:type="dxa"/>
            <w:tcBorders>
              <w:top w:val="nil"/>
              <w:left w:val="nil"/>
              <w:bottom w:val="nil"/>
              <w:right w:val="nil"/>
            </w:tcBorders>
            <w:shd w:val="clear" w:color="D9D9D9" w:fill="D9D9D9"/>
            <w:noWrap/>
            <w:vAlign w:val="bottom"/>
            <w:hideMark/>
          </w:tcPr>
          <w:p w14:paraId="3C681FB4"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TNT</w:t>
            </w:r>
          </w:p>
        </w:tc>
        <w:tc>
          <w:tcPr>
            <w:tcW w:w="1360" w:type="dxa"/>
            <w:tcBorders>
              <w:top w:val="nil"/>
              <w:left w:val="nil"/>
              <w:bottom w:val="nil"/>
              <w:right w:val="nil"/>
            </w:tcBorders>
            <w:shd w:val="clear" w:color="D9D9D9" w:fill="D9D9D9"/>
            <w:noWrap/>
            <w:vAlign w:val="bottom"/>
            <w:hideMark/>
          </w:tcPr>
          <w:p w14:paraId="019514F6"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60" w:type="dxa"/>
            <w:tcBorders>
              <w:top w:val="nil"/>
              <w:left w:val="nil"/>
              <w:bottom w:val="nil"/>
              <w:right w:val="nil"/>
            </w:tcBorders>
            <w:shd w:val="clear" w:color="D9D9D9" w:fill="D9D9D9"/>
            <w:noWrap/>
            <w:vAlign w:val="bottom"/>
            <w:hideMark/>
          </w:tcPr>
          <w:p w14:paraId="4F51C94E"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00" w:type="dxa"/>
            <w:tcBorders>
              <w:top w:val="nil"/>
              <w:left w:val="nil"/>
              <w:bottom w:val="nil"/>
              <w:right w:val="nil"/>
            </w:tcBorders>
            <w:shd w:val="clear" w:color="D9D9D9" w:fill="D9D9D9"/>
            <w:noWrap/>
            <w:vAlign w:val="bottom"/>
            <w:hideMark/>
          </w:tcPr>
          <w:p w14:paraId="0FA48810"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00" w:type="dxa"/>
            <w:tcBorders>
              <w:top w:val="nil"/>
              <w:left w:val="nil"/>
              <w:bottom w:val="nil"/>
              <w:right w:val="nil"/>
            </w:tcBorders>
            <w:shd w:val="clear" w:color="D9D9D9" w:fill="D9D9D9"/>
            <w:noWrap/>
            <w:vAlign w:val="bottom"/>
            <w:hideMark/>
          </w:tcPr>
          <w:p w14:paraId="36047AC5"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r>
      <w:tr w:rsidR="006C6653" w:rsidRPr="006C6653" w14:paraId="10F62371" w14:textId="77777777" w:rsidTr="006C6653">
        <w:trPr>
          <w:trHeight w:val="300"/>
        </w:trPr>
        <w:tc>
          <w:tcPr>
            <w:tcW w:w="2780" w:type="dxa"/>
            <w:tcBorders>
              <w:top w:val="nil"/>
              <w:left w:val="nil"/>
              <w:bottom w:val="single" w:sz="4" w:space="0" w:color="000000"/>
              <w:right w:val="nil"/>
            </w:tcBorders>
            <w:shd w:val="clear" w:color="auto" w:fill="auto"/>
            <w:noWrap/>
            <w:vAlign w:val="bottom"/>
            <w:hideMark/>
          </w:tcPr>
          <w:p w14:paraId="0119B57E"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Wolters-Kluwer</w:t>
            </w:r>
          </w:p>
        </w:tc>
        <w:tc>
          <w:tcPr>
            <w:tcW w:w="1360" w:type="dxa"/>
            <w:tcBorders>
              <w:top w:val="nil"/>
              <w:left w:val="nil"/>
              <w:bottom w:val="single" w:sz="4" w:space="0" w:color="000000"/>
              <w:right w:val="nil"/>
            </w:tcBorders>
            <w:shd w:val="clear" w:color="auto" w:fill="auto"/>
            <w:noWrap/>
            <w:vAlign w:val="bottom"/>
            <w:hideMark/>
          </w:tcPr>
          <w:p w14:paraId="52545067"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60" w:type="dxa"/>
            <w:tcBorders>
              <w:top w:val="nil"/>
              <w:left w:val="nil"/>
              <w:bottom w:val="single" w:sz="4" w:space="0" w:color="000000"/>
              <w:right w:val="nil"/>
            </w:tcBorders>
            <w:shd w:val="clear" w:color="auto" w:fill="auto"/>
            <w:noWrap/>
            <w:vAlign w:val="bottom"/>
            <w:hideMark/>
          </w:tcPr>
          <w:p w14:paraId="079D7104"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00" w:type="dxa"/>
            <w:tcBorders>
              <w:top w:val="nil"/>
              <w:left w:val="nil"/>
              <w:bottom w:val="single" w:sz="4" w:space="0" w:color="000000"/>
              <w:right w:val="nil"/>
            </w:tcBorders>
            <w:shd w:val="clear" w:color="auto" w:fill="auto"/>
            <w:noWrap/>
            <w:vAlign w:val="bottom"/>
            <w:hideMark/>
          </w:tcPr>
          <w:p w14:paraId="3E054D1E"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c>
          <w:tcPr>
            <w:tcW w:w="1300" w:type="dxa"/>
            <w:tcBorders>
              <w:top w:val="nil"/>
              <w:left w:val="nil"/>
              <w:bottom w:val="single" w:sz="4" w:space="0" w:color="000000"/>
              <w:right w:val="nil"/>
            </w:tcBorders>
            <w:shd w:val="clear" w:color="auto" w:fill="auto"/>
            <w:noWrap/>
            <w:vAlign w:val="bottom"/>
            <w:hideMark/>
          </w:tcPr>
          <w:p w14:paraId="6C6C473F" w14:textId="77777777" w:rsidR="006C6653" w:rsidRPr="006C6653" w:rsidRDefault="006C6653" w:rsidP="00AF13F0">
            <w:pPr>
              <w:rPr>
                <w:rFonts w:ascii="Calibri" w:eastAsia="Times New Roman" w:hAnsi="Calibri" w:cs="Times New Roman"/>
                <w:color w:val="000000"/>
              </w:rPr>
            </w:pPr>
            <w:r w:rsidRPr="006C6653">
              <w:rPr>
                <w:rFonts w:ascii="Calibri" w:eastAsia="Times New Roman" w:hAnsi="Calibri" w:cs="Times New Roman"/>
                <w:color w:val="000000"/>
              </w:rPr>
              <w:t>+</w:t>
            </w:r>
          </w:p>
        </w:tc>
      </w:tr>
    </w:tbl>
    <w:p w14:paraId="354CDBDB" w14:textId="77777777" w:rsidR="0086784F" w:rsidRDefault="0086784F" w:rsidP="00AF13F0">
      <w:pPr>
        <w:spacing w:line="360" w:lineRule="auto"/>
        <w:rPr>
          <w:b/>
        </w:rPr>
      </w:pPr>
    </w:p>
    <w:p w14:paraId="609B20EC" w14:textId="3A4AD8B3" w:rsidR="0086784F" w:rsidRDefault="0086784F" w:rsidP="00AF13F0">
      <w:pPr>
        <w:spacing w:line="360" w:lineRule="auto"/>
        <w:rPr>
          <w:b/>
        </w:rPr>
      </w:pPr>
      <w:r>
        <w:rPr>
          <w:b/>
        </w:rPr>
        <w:t>Tabel 19</w:t>
      </w:r>
    </w:p>
    <w:tbl>
      <w:tblPr>
        <w:tblW w:w="9796" w:type="dxa"/>
        <w:tblInd w:w="93" w:type="dxa"/>
        <w:tblLook w:val="04A0" w:firstRow="1" w:lastRow="0" w:firstColumn="1" w:lastColumn="0" w:noHBand="0" w:noVBand="1"/>
      </w:tblPr>
      <w:tblGrid>
        <w:gridCol w:w="1589"/>
        <w:gridCol w:w="8207"/>
      </w:tblGrid>
      <w:tr w:rsidR="0086784F" w:rsidRPr="0086784F" w14:paraId="2CFD746B" w14:textId="77777777" w:rsidTr="00EC0CDD">
        <w:trPr>
          <w:trHeight w:val="300"/>
        </w:trPr>
        <w:tc>
          <w:tcPr>
            <w:tcW w:w="1589" w:type="dxa"/>
            <w:tcBorders>
              <w:top w:val="single" w:sz="4" w:space="0" w:color="000000"/>
              <w:left w:val="nil"/>
              <w:bottom w:val="single" w:sz="4" w:space="0" w:color="000000"/>
              <w:right w:val="nil"/>
            </w:tcBorders>
            <w:shd w:val="clear" w:color="auto" w:fill="auto"/>
            <w:noWrap/>
            <w:vAlign w:val="bottom"/>
            <w:hideMark/>
          </w:tcPr>
          <w:p w14:paraId="0EF6AC60" w14:textId="77777777" w:rsidR="0086784F" w:rsidRPr="0086784F" w:rsidRDefault="0086784F" w:rsidP="00AF13F0">
            <w:pPr>
              <w:rPr>
                <w:rFonts w:ascii="Calibri" w:eastAsia="Times New Roman" w:hAnsi="Calibri" w:cs="Times New Roman"/>
                <w:b/>
                <w:bCs/>
                <w:color w:val="000000"/>
              </w:rPr>
            </w:pPr>
            <w:r w:rsidRPr="0086784F">
              <w:rPr>
                <w:rFonts w:ascii="Calibri" w:eastAsia="Times New Roman" w:hAnsi="Calibri" w:cs="Times New Roman"/>
                <w:b/>
                <w:bCs/>
                <w:color w:val="000000"/>
              </w:rPr>
              <w:t>Onderneming</w:t>
            </w:r>
          </w:p>
        </w:tc>
        <w:tc>
          <w:tcPr>
            <w:tcW w:w="8207" w:type="dxa"/>
            <w:tcBorders>
              <w:top w:val="single" w:sz="4" w:space="0" w:color="000000"/>
              <w:left w:val="nil"/>
              <w:bottom w:val="single" w:sz="4" w:space="0" w:color="000000"/>
              <w:right w:val="nil"/>
            </w:tcBorders>
            <w:shd w:val="clear" w:color="auto" w:fill="auto"/>
            <w:noWrap/>
            <w:vAlign w:val="bottom"/>
            <w:hideMark/>
          </w:tcPr>
          <w:p w14:paraId="283FA72F" w14:textId="77777777" w:rsidR="0086784F" w:rsidRPr="0086784F" w:rsidRDefault="0086784F" w:rsidP="00AF13F0">
            <w:pPr>
              <w:rPr>
                <w:rFonts w:ascii="Calibri" w:eastAsia="Times New Roman" w:hAnsi="Calibri" w:cs="Times New Roman"/>
                <w:b/>
                <w:bCs/>
                <w:color w:val="000000"/>
              </w:rPr>
            </w:pPr>
            <w:r w:rsidRPr="0086784F">
              <w:rPr>
                <w:rFonts w:ascii="Calibri" w:eastAsia="Times New Roman" w:hAnsi="Calibri" w:cs="Times New Roman"/>
                <w:b/>
                <w:bCs/>
                <w:color w:val="000000"/>
              </w:rPr>
              <w:t>Algemene motivatie en/of toelichting</w:t>
            </w:r>
          </w:p>
        </w:tc>
      </w:tr>
      <w:tr w:rsidR="0086784F" w:rsidRPr="0086784F" w14:paraId="2B06E0C2" w14:textId="77777777" w:rsidTr="00EC0CDD">
        <w:trPr>
          <w:trHeight w:val="300"/>
        </w:trPr>
        <w:tc>
          <w:tcPr>
            <w:tcW w:w="1589" w:type="dxa"/>
            <w:tcBorders>
              <w:top w:val="nil"/>
              <w:left w:val="nil"/>
              <w:bottom w:val="nil"/>
              <w:right w:val="nil"/>
            </w:tcBorders>
            <w:shd w:val="clear" w:color="D9D9D9" w:fill="D9D9D9"/>
            <w:noWrap/>
            <w:vAlign w:val="bottom"/>
            <w:hideMark/>
          </w:tcPr>
          <w:p w14:paraId="1267E525"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Ahold</w:t>
            </w:r>
          </w:p>
        </w:tc>
        <w:tc>
          <w:tcPr>
            <w:tcW w:w="8207" w:type="dxa"/>
            <w:tcBorders>
              <w:top w:val="nil"/>
              <w:left w:val="nil"/>
              <w:bottom w:val="nil"/>
              <w:right w:val="nil"/>
            </w:tcBorders>
            <w:shd w:val="clear" w:color="D9D9D9" w:fill="D9D9D9"/>
            <w:noWrap/>
            <w:vAlign w:val="bottom"/>
            <w:hideMark/>
          </w:tcPr>
          <w:p w14:paraId="36CE7FBA"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Beter begrijpen van operationele en financiële performance, geen vervanging maar toevoeging op GAAP indicatoren</w:t>
            </w:r>
          </w:p>
        </w:tc>
      </w:tr>
      <w:tr w:rsidR="0086784F" w:rsidRPr="0086784F" w14:paraId="5F56BD69" w14:textId="77777777" w:rsidTr="00EC0CDD">
        <w:trPr>
          <w:trHeight w:val="300"/>
        </w:trPr>
        <w:tc>
          <w:tcPr>
            <w:tcW w:w="1589" w:type="dxa"/>
            <w:tcBorders>
              <w:top w:val="nil"/>
              <w:left w:val="nil"/>
              <w:bottom w:val="nil"/>
              <w:right w:val="nil"/>
            </w:tcBorders>
            <w:shd w:val="clear" w:color="auto" w:fill="auto"/>
            <w:noWrap/>
            <w:vAlign w:val="bottom"/>
            <w:hideMark/>
          </w:tcPr>
          <w:p w14:paraId="41E93251"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Gemalto</w:t>
            </w:r>
          </w:p>
        </w:tc>
        <w:tc>
          <w:tcPr>
            <w:tcW w:w="8207" w:type="dxa"/>
            <w:tcBorders>
              <w:top w:val="nil"/>
              <w:left w:val="nil"/>
              <w:bottom w:val="nil"/>
              <w:right w:val="nil"/>
            </w:tcBorders>
            <w:shd w:val="clear" w:color="auto" w:fill="auto"/>
            <w:noWrap/>
            <w:vAlign w:val="bottom"/>
            <w:hideMark/>
          </w:tcPr>
          <w:p w14:paraId="2A3C1DFA"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Voor intern gebruik; evaluatie en het nemen van operationele beslissingen, voorspellen, vergoeding managers.</w:t>
            </w:r>
          </w:p>
        </w:tc>
      </w:tr>
      <w:tr w:rsidR="0086784F" w:rsidRPr="0086784F" w14:paraId="03D46776" w14:textId="77777777" w:rsidTr="00EC0CDD">
        <w:trPr>
          <w:trHeight w:val="300"/>
        </w:trPr>
        <w:tc>
          <w:tcPr>
            <w:tcW w:w="1589" w:type="dxa"/>
            <w:tcBorders>
              <w:top w:val="nil"/>
              <w:left w:val="nil"/>
              <w:bottom w:val="nil"/>
              <w:right w:val="nil"/>
            </w:tcBorders>
            <w:shd w:val="clear" w:color="D9D9D9" w:fill="D9D9D9"/>
            <w:noWrap/>
            <w:vAlign w:val="bottom"/>
            <w:hideMark/>
          </w:tcPr>
          <w:p w14:paraId="1DAD4AD3"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Heineken</w:t>
            </w:r>
          </w:p>
        </w:tc>
        <w:tc>
          <w:tcPr>
            <w:tcW w:w="8207" w:type="dxa"/>
            <w:tcBorders>
              <w:top w:val="nil"/>
              <w:left w:val="nil"/>
              <w:bottom w:val="nil"/>
              <w:right w:val="nil"/>
            </w:tcBorders>
            <w:shd w:val="clear" w:color="D9D9D9" w:fill="D9D9D9"/>
            <w:noWrap/>
            <w:vAlign w:val="bottom"/>
            <w:hideMark/>
          </w:tcPr>
          <w:p w14:paraId="1C1C46CA"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Uitleggen van de performance van Heineken.</w:t>
            </w:r>
          </w:p>
        </w:tc>
      </w:tr>
      <w:tr w:rsidR="0086784F" w:rsidRPr="0086784F" w14:paraId="0B659F86" w14:textId="77777777" w:rsidTr="00EC0CDD">
        <w:trPr>
          <w:trHeight w:val="300"/>
        </w:trPr>
        <w:tc>
          <w:tcPr>
            <w:tcW w:w="1589" w:type="dxa"/>
            <w:tcBorders>
              <w:top w:val="nil"/>
              <w:left w:val="nil"/>
              <w:bottom w:val="nil"/>
              <w:right w:val="nil"/>
            </w:tcBorders>
            <w:shd w:val="clear" w:color="auto" w:fill="auto"/>
            <w:noWrap/>
            <w:vAlign w:val="bottom"/>
            <w:hideMark/>
          </w:tcPr>
          <w:p w14:paraId="0691D690"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ING</w:t>
            </w:r>
          </w:p>
        </w:tc>
        <w:tc>
          <w:tcPr>
            <w:tcW w:w="8207" w:type="dxa"/>
            <w:tcBorders>
              <w:top w:val="nil"/>
              <w:left w:val="nil"/>
              <w:bottom w:val="nil"/>
              <w:right w:val="nil"/>
            </w:tcBorders>
            <w:shd w:val="clear" w:color="auto" w:fill="auto"/>
            <w:noWrap/>
            <w:vAlign w:val="bottom"/>
            <w:hideMark/>
          </w:tcPr>
          <w:p w14:paraId="23E10ABC"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Geen motivatie</w:t>
            </w:r>
          </w:p>
        </w:tc>
      </w:tr>
      <w:tr w:rsidR="0086784F" w:rsidRPr="0086784F" w14:paraId="3815D4F7" w14:textId="77777777" w:rsidTr="00EC0CDD">
        <w:trPr>
          <w:trHeight w:val="300"/>
        </w:trPr>
        <w:tc>
          <w:tcPr>
            <w:tcW w:w="1589" w:type="dxa"/>
            <w:tcBorders>
              <w:top w:val="nil"/>
              <w:left w:val="nil"/>
              <w:bottom w:val="nil"/>
              <w:right w:val="nil"/>
            </w:tcBorders>
            <w:shd w:val="clear" w:color="D9D9D9" w:fill="D9D9D9"/>
            <w:noWrap/>
            <w:vAlign w:val="bottom"/>
            <w:hideMark/>
          </w:tcPr>
          <w:p w14:paraId="54A58742"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Philips</w:t>
            </w:r>
          </w:p>
        </w:tc>
        <w:tc>
          <w:tcPr>
            <w:tcW w:w="8207" w:type="dxa"/>
            <w:tcBorders>
              <w:top w:val="nil"/>
              <w:left w:val="nil"/>
              <w:bottom w:val="nil"/>
              <w:right w:val="nil"/>
            </w:tcBorders>
            <w:shd w:val="clear" w:color="D9D9D9" w:fill="D9D9D9"/>
            <w:noWrap/>
            <w:vAlign w:val="bottom"/>
            <w:hideMark/>
          </w:tcPr>
          <w:p w14:paraId="6D42D5ED"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Vergroten begrijpelijkheid van sales performance.</w:t>
            </w:r>
          </w:p>
        </w:tc>
      </w:tr>
      <w:tr w:rsidR="0086784F" w:rsidRPr="0086784F" w14:paraId="437FFBCB" w14:textId="77777777" w:rsidTr="00EC0CDD">
        <w:trPr>
          <w:trHeight w:val="300"/>
        </w:trPr>
        <w:tc>
          <w:tcPr>
            <w:tcW w:w="1589" w:type="dxa"/>
            <w:tcBorders>
              <w:top w:val="nil"/>
              <w:left w:val="nil"/>
              <w:bottom w:val="nil"/>
              <w:right w:val="nil"/>
            </w:tcBorders>
            <w:shd w:val="clear" w:color="auto" w:fill="auto"/>
            <w:noWrap/>
            <w:vAlign w:val="bottom"/>
            <w:hideMark/>
          </w:tcPr>
          <w:p w14:paraId="3897E8EA"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Shell</w:t>
            </w:r>
          </w:p>
        </w:tc>
        <w:tc>
          <w:tcPr>
            <w:tcW w:w="8207" w:type="dxa"/>
            <w:tcBorders>
              <w:top w:val="nil"/>
              <w:left w:val="nil"/>
              <w:bottom w:val="nil"/>
              <w:right w:val="nil"/>
            </w:tcBorders>
            <w:shd w:val="clear" w:color="auto" w:fill="auto"/>
            <w:noWrap/>
            <w:vAlign w:val="bottom"/>
            <w:hideMark/>
          </w:tcPr>
          <w:p w14:paraId="36CF230A"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Geen motivatie</w:t>
            </w:r>
          </w:p>
        </w:tc>
      </w:tr>
      <w:tr w:rsidR="0086784F" w:rsidRPr="0086784F" w14:paraId="66009DFF" w14:textId="77777777" w:rsidTr="00EC0CDD">
        <w:trPr>
          <w:trHeight w:val="300"/>
        </w:trPr>
        <w:tc>
          <w:tcPr>
            <w:tcW w:w="1589" w:type="dxa"/>
            <w:tcBorders>
              <w:top w:val="nil"/>
              <w:left w:val="nil"/>
              <w:bottom w:val="nil"/>
              <w:right w:val="nil"/>
            </w:tcBorders>
            <w:shd w:val="clear" w:color="D9D9D9" w:fill="D9D9D9"/>
            <w:noWrap/>
            <w:vAlign w:val="bottom"/>
            <w:hideMark/>
          </w:tcPr>
          <w:p w14:paraId="1FEB6753"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TNT</w:t>
            </w:r>
          </w:p>
        </w:tc>
        <w:tc>
          <w:tcPr>
            <w:tcW w:w="8207" w:type="dxa"/>
            <w:tcBorders>
              <w:top w:val="nil"/>
              <w:left w:val="nil"/>
              <w:bottom w:val="nil"/>
              <w:right w:val="nil"/>
            </w:tcBorders>
            <w:shd w:val="clear" w:color="D9D9D9" w:fill="D9D9D9"/>
            <w:noWrap/>
            <w:vAlign w:val="bottom"/>
            <w:hideMark/>
          </w:tcPr>
          <w:p w14:paraId="24E7A70F"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Geen motivatie</w:t>
            </w:r>
          </w:p>
        </w:tc>
      </w:tr>
      <w:tr w:rsidR="0086784F" w:rsidRPr="0086784F" w14:paraId="1934C96F" w14:textId="77777777" w:rsidTr="00EC0CDD">
        <w:trPr>
          <w:trHeight w:val="300"/>
        </w:trPr>
        <w:tc>
          <w:tcPr>
            <w:tcW w:w="1589" w:type="dxa"/>
            <w:tcBorders>
              <w:top w:val="nil"/>
              <w:left w:val="nil"/>
              <w:bottom w:val="nil"/>
              <w:right w:val="nil"/>
            </w:tcBorders>
            <w:shd w:val="clear" w:color="auto" w:fill="auto"/>
            <w:noWrap/>
            <w:vAlign w:val="bottom"/>
            <w:hideMark/>
          </w:tcPr>
          <w:p w14:paraId="40BA3EA4"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Unilever</w:t>
            </w:r>
          </w:p>
        </w:tc>
        <w:tc>
          <w:tcPr>
            <w:tcW w:w="8207" w:type="dxa"/>
            <w:tcBorders>
              <w:top w:val="nil"/>
              <w:left w:val="nil"/>
              <w:bottom w:val="nil"/>
              <w:right w:val="nil"/>
            </w:tcBorders>
            <w:shd w:val="clear" w:color="auto" w:fill="auto"/>
            <w:noWrap/>
            <w:vAlign w:val="bottom"/>
            <w:hideMark/>
          </w:tcPr>
          <w:p w14:paraId="4401EED9"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Geen vervanging, moet apart gezien worden van GAAP indicatoren</w:t>
            </w:r>
          </w:p>
        </w:tc>
      </w:tr>
      <w:tr w:rsidR="0086784F" w:rsidRPr="0086784F" w14:paraId="0568C48C" w14:textId="77777777" w:rsidTr="00EC0CDD">
        <w:trPr>
          <w:trHeight w:val="300"/>
        </w:trPr>
        <w:tc>
          <w:tcPr>
            <w:tcW w:w="1589" w:type="dxa"/>
            <w:tcBorders>
              <w:top w:val="nil"/>
              <w:left w:val="nil"/>
              <w:bottom w:val="nil"/>
              <w:right w:val="nil"/>
            </w:tcBorders>
            <w:shd w:val="clear" w:color="D9D9D9" w:fill="D9D9D9"/>
            <w:noWrap/>
            <w:vAlign w:val="bottom"/>
            <w:hideMark/>
          </w:tcPr>
          <w:p w14:paraId="19206F8F"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Aegon</w:t>
            </w:r>
          </w:p>
        </w:tc>
        <w:tc>
          <w:tcPr>
            <w:tcW w:w="8207" w:type="dxa"/>
            <w:tcBorders>
              <w:top w:val="nil"/>
              <w:left w:val="nil"/>
              <w:bottom w:val="nil"/>
              <w:right w:val="nil"/>
            </w:tcBorders>
            <w:shd w:val="clear" w:color="D9D9D9" w:fill="D9D9D9"/>
            <w:noWrap/>
            <w:vAlign w:val="bottom"/>
            <w:hideMark/>
          </w:tcPr>
          <w:p w14:paraId="0C647853"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Geen standaard voor de indicatoren, vergelijkbare ondernemingen presenteren gelijksoortige non-IFRS indicatoren.</w:t>
            </w:r>
          </w:p>
        </w:tc>
      </w:tr>
      <w:tr w:rsidR="0086784F" w:rsidRPr="0086784F" w14:paraId="7DFAF5DF" w14:textId="77777777" w:rsidTr="00EC0CDD">
        <w:trPr>
          <w:trHeight w:val="300"/>
        </w:trPr>
        <w:tc>
          <w:tcPr>
            <w:tcW w:w="1589" w:type="dxa"/>
            <w:tcBorders>
              <w:top w:val="nil"/>
              <w:left w:val="nil"/>
              <w:bottom w:val="nil"/>
              <w:right w:val="nil"/>
            </w:tcBorders>
            <w:shd w:val="clear" w:color="auto" w:fill="auto"/>
            <w:noWrap/>
            <w:vAlign w:val="bottom"/>
            <w:hideMark/>
          </w:tcPr>
          <w:p w14:paraId="1F48F1C6"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Wolters Kluwer</w:t>
            </w:r>
          </w:p>
        </w:tc>
        <w:tc>
          <w:tcPr>
            <w:tcW w:w="8207" w:type="dxa"/>
            <w:tcBorders>
              <w:top w:val="nil"/>
              <w:left w:val="nil"/>
              <w:bottom w:val="nil"/>
              <w:right w:val="nil"/>
            </w:tcBorders>
            <w:shd w:val="clear" w:color="auto" w:fill="auto"/>
            <w:noWrap/>
            <w:vAlign w:val="bottom"/>
            <w:hideMark/>
          </w:tcPr>
          <w:p w14:paraId="4C6FF446"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Interne performance maatstaven voor onderliggend resultaat.</w:t>
            </w:r>
          </w:p>
        </w:tc>
      </w:tr>
      <w:tr w:rsidR="0086784F" w:rsidRPr="0086784F" w14:paraId="48D03D17" w14:textId="77777777" w:rsidTr="00EC0CDD">
        <w:trPr>
          <w:trHeight w:val="300"/>
        </w:trPr>
        <w:tc>
          <w:tcPr>
            <w:tcW w:w="1589" w:type="dxa"/>
            <w:tcBorders>
              <w:top w:val="nil"/>
              <w:left w:val="nil"/>
              <w:bottom w:val="nil"/>
              <w:right w:val="nil"/>
            </w:tcBorders>
            <w:shd w:val="clear" w:color="D9D9D9" w:fill="D9D9D9"/>
            <w:noWrap/>
            <w:vAlign w:val="bottom"/>
            <w:hideMark/>
          </w:tcPr>
          <w:p w14:paraId="1FB7610D"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Vopak</w:t>
            </w:r>
          </w:p>
        </w:tc>
        <w:tc>
          <w:tcPr>
            <w:tcW w:w="8207" w:type="dxa"/>
            <w:tcBorders>
              <w:top w:val="nil"/>
              <w:left w:val="nil"/>
              <w:bottom w:val="nil"/>
              <w:right w:val="nil"/>
            </w:tcBorders>
            <w:shd w:val="clear" w:color="D9D9D9" w:fill="D9D9D9"/>
            <w:noWrap/>
            <w:vAlign w:val="bottom"/>
            <w:hideMark/>
          </w:tcPr>
          <w:p w14:paraId="5912FF12"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Proportionele consolidatie op basis van economische zeggenschap.</w:t>
            </w:r>
          </w:p>
        </w:tc>
      </w:tr>
      <w:tr w:rsidR="0086784F" w:rsidRPr="0086784F" w14:paraId="5BC24599" w14:textId="77777777" w:rsidTr="00EC0CDD">
        <w:trPr>
          <w:trHeight w:val="300"/>
        </w:trPr>
        <w:tc>
          <w:tcPr>
            <w:tcW w:w="1589" w:type="dxa"/>
            <w:tcBorders>
              <w:top w:val="nil"/>
              <w:left w:val="nil"/>
              <w:bottom w:val="single" w:sz="4" w:space="0" w:color="000000"/>
              <w:right w:val="nil"/>
            </w:tcBorders>
            <w:shd w:val="clear" w:color="auto" w:fill="auto"/>
            <w:noWrap/>
            <w:vAlign w:val="bottom"/>
            <w:hideMark/>
          </w:tcPr>
          <w:p w14:paraId="77C4763E"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Delta Lloyd</w:t>
            </w:r>
          </w:p>
        </w:tc>
        <w:tc>
          <w:tcPr>
            <w:tcW w:w="8207" w:type="dxa"/>
            <w:tcBorders>
              <w:top w:val="nil"/>
              <w:left w:val="nil"/>
              <w:bottom w:val="single" w:sz="4" w:space="0" w:color="000000"/>
              <w:right w:val="nil"/>
            </w:tcBorders>
            <w:shd w:val="clear" w:color="auto" w:fill="auto"/>
            <w:noWrap/>
            <w:vAlign w:val="bottom"/>
            <w:hideMark/>
          </w:tcPr>
          <w:p w14:paraId="46F90F06" w14:textId="77777777" w:rsidR="0086784F" w:rsidRPr="0086784F" w:rsidRDefault="0086784F" w:rsidP="00AF13F0">
            <w:pPr>
              <w:rPr>
                <w:rFonts w:ascii="Calibri" w:eastAsia="Times New Roman" w:hAnsi="Calibri" w:cs="Times New Roman"/>
                <w:color w:val="000000"/>
              </w:rPr>
            </w:pPr>
            <w:r w:rsidRPr="0086784F">
              <w:rPr>
                <w:rFonts w:ascii="Calibri" w:eastAsia="Times New Roman" w:hAnsi="Calibri" w:cs="Times New Roman"/>
                <w:color w:val="000000"/>
              </w:rPr>
              <w:t>Resultaat minder beïnvloed door marktvolatiliteit, betere inzage in Delta Lloyds operationele performance trends.</w:t>
            </w:r>
          </w:p>
        </w:tc>
      </w:tr>
    </w:tbl>
    <w:p w14:paraId="64681222" w14:textId="5CFEC614" w:rsidR="0086784F" w:rsidRDefault="0086784F" w:rsidP="00AF13F0">
      <w:pPr>
        <w:spacing w:line="360" w:lineRule="auto"/>
        <w:rPr>
          <w:b/>
        </w:rPr>
      </w:pPr>
    </w:p>
    <w:p w14:paraId="68903D70" w14:textId="77777777" w:rsidR="007D3532" w:rsidRDefault="007D3532" w:rsidP="00AF13F0">
      <w:pPr>
        <w:pStyle w:val="Heading1"/>
      </w:pPr>
    </w:p>
    <w:p w14:paraId="79B21BF0" w14:textId="6D8CDC25" w:rsidR="00AF13F0" w:rsidRDefault="00AF13F0" w:rsidP="00AF13F0">
      <w:pPr>
        <w:pStyle w:val="Heading1"/>
        <w:tabs>
          <w:tab w:val="left" w:pos="2580"/>
        </w:tabs>
      </w:pPr>
      <w:bookmarkStart w:id="35" w:name="_Toc425524036"/>
    </w:p>
    <w:p w14:paraId="4FE67060" w14:textId="77777777" w:rsidR="00AF13F0" w:rsidRDefault="00AF13F0" w:rsidP="00AF13F0"/>
    <w:p w14:paraId="5671F34F" w14:textId="77777777" w:rsidR="00AF13F0" w:rsidRDefault="00AF13F0" w:rsidP="00AF13F0"/>
    <w:p w14:paraId="6C8FEEC5" w14:textId="77777777" w:rsidR="00AF13F0" w:rsidRDefault="00AF13F0" w:rsidP="00AF13F0"/>
    <w:p w14:paraId="68C7E9EF" w14:textId="77777777" w:rsidR="00AF13F0" w:rsidRDefault="00AF13F0" w:rsidP="00AF13F0"/>
    <w:p w14:paraId="58666517" w14:textId="77777777" w:rsidR="00AF13F0" w:rsidRDefault="00AF13F0" w:rsidP="00AF13F0"/>
    <w:p w14:paraId="6B411971" w14:textId="77777777" w:rsidR="00AF13F0" w:rsidRDefault="00AF13F0" w:rsidP="00AF13F0"/>
    <w:p w14:paraId="280CC3D6" w14:textId="7D2AE423" w:rsidR="007D3532" w:rsidRDefault="007D3532" w:rsidP="00AF13F0">
      <w:pPr>
        <w:pStyle w:val="Heading1"/>
      </w:pPr>
      <w:r>
        <w:t>Appendix</w:t>
      </w:r>
      <w:bookmarkEnd w:id="35"/>
    </w:p>
    <w:p w14:paraId="0CC1AD88" w14:textId="77777777" w:rsidR="007D3532" w:rsidRPr="007D3532" w:rsidRDefault="007D3532" w:rsidP="00AF13F0"/>
    <w:p w14:paraId="30B0EC24" w14:textId="0E72915D" w:rsidR="007D3532" w:rsidRDefault="007D3532" w:rsidP="00AF13F0">
      <w:pPr>
        <w:rPr>
          <w:b/>
        </w:rPr>
      </w:pPr>
      <w:r>
        <w:rPr>
          <w:b/>
        </w:rPr>
        <w:t>Lijst van gebruikte jaarrekeningen per onderneming.</w:t>
      </w:r>
    </w:p>
    <w:tbl>
      <w:tblPr>
        <w:tblW w:w="4440" w:type="dxa"/>
        <w:tblInd w:w="93" w:type="dxa"/>
        <w:tblLook w:val="04A0" w:firstRow="1" w:lastRow="0" w:firstColumn="1" w:lastColumn="0" w:noHBand="0" w:noVBand="1"/>
      </w:tblPr>
      <w:tblGrid>
        <w:gridCol w:w="1840"/>
        <w:gridCol w:w="2600"/>
      </w:tblGrid>
      <w:tr w:rsidR="007D3532" w:rsidRPr="007D3532" w14:paraId="1E952DA1" w14:textId="77777777" w:rsidTr="007D3532">
        <w:trPr>
          <w:trHeight w:val="320"/>
        </w:trPr>
        <w:tc>
          <w:tcPr>
            <w:tcW w:w="1840" w:type="dxa"/>
            <w:tcBorders>
              <w:top w:val="single" w:sz="4" w:space="0" w:color="000000"/>
              <w:left w:val="nil"/>
              <w:bottom w:val="single" w:sz="4" w:space="0" w:color="000000"/>
              <w:right w:val="nil"/>
            </w:tcBorders>
            <w:shd w:val="clear" w:color="auto" w:fill="auto"/>
            <w:noWrap/>
            <w:vAlign w:val="bottom"/>
            <w:hideMark/>
          </w:tcPr>
          <w:p w14:paraId="7CBDE0C9" w14:textId="77777777" w:rsidR="007D3532" w:rsidRPr="007D3532" w:rsidRDefault="007D3532" w:rsidP="00AF13F0">
            <w:pPr>
              <w:rPr>
                <w:rFonts w:ascii="Calibri" w:eastAsia="Times New Roman" w:hAnsi="Calibri" w:cs="Times New Roman"/>
                <w:b/>
                <w:bCs/>
                <w:color w:val="000000"/>
              </w:rPr>
            </w:pPr>
            <w:r w:rsidRPr="007D3532">
              <w:rPr>
                <w:rFonts w:ascii="Calibri" w:eastAsia="Times New Roman" w:hAnsi="Calibri" w:cs="Times New Roman"/>
                <w:b/>
                <w:bCs/>
                <w:color w:val="000000"/>
              </w:rPr>
              <w:t>Onderneming</w:t>
            </w:r>
          </w:p>
        </w:tc>
        <w:tc>
          <w:tcPr>
            <w:tcW w:w="2600" w:type="dxa"/>
            <w:tcBorders>
              <w:top w:val="single" w:sz="4" w:space="0" w:color="000000"/>
              <w:left w:val="nil"/>
              <w:bottom w:val="single" w:sz="4" w:space="0" w:color="000000"/>
              <w:right w:val="nil"/>
            </w:tcBorders>
            <w:shd w:val="clear" w:color="auto" w:fill="auto"/>
            <w:noWrap/>
            <w:vAlign w:val="bottom"/>
            <w:hideMark/>
          </w:tcPr>
          <w:p w14:paraId="1B65770F" w14:textId="77777777" w:rsidR="007D3532" w:rsidRPr="007D3532" w:rsidRDefault="007D3532" w:rsidP="00AF13F0">
            <w:pPr>
              <w:rPr>
                <w:rFonts w:ascii="Calibri" w:eastAsia="Times New Roman" w:hAnsi="Calibri" w:cs="Times New Roman"/>
                <w:b/>
                <w:bCs/>
                <w:color w:val="000000"/>
              </w:rPr>
            </w:pPr>
            <w:r w:rsidRPr="007D3532">
              <w:rPr>
                <w:rFonts w:ascii="Calibri" w:eastAsia="Times New Roman" w:hAnsi="Calibri" w:cs="Times New Roman"/>
                <w:b/>
                <w:bCs/>
                <w:color w:val="000000"/>
              </w:rPr>
              <w:t>Jaarrekeningen</w:t>
            </w:r>
          </w:p>
        </w:tc>
      </w:tr>
      <w:tr w:rsidR="007D3532" w:rsidRPr="007D3532" w14:paraId="641E086B" w14:textId="77777777" w:rsidTr="007D3532">
        <w:trPr>
          <w:trHeight w:val="320"/>
        </w:trPr>
        <w:tc>
          <w:tcPr>
            <w:tcW w:w="1840" w:type="dxa"/>
            <w:tcBorders>
              <w:top w:val="nil"/>
              <w:left w:val="nil"/>
              <w:bottom w:val="nil"/>
              <w:right w:val="nil"/>
            </w:tcBorders>
            <w:shd w:val="clear" w:color="D9D9D9" w:fill="D9D9D9"/>
            <w:noWrap/>
            <w:vAlign w:val="bottom"/>
            <w:hideMark/>
          </w:tcPr>
          <w:p w14:paraId="5C042F49"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Aalberts</w:t>
            </w:r>
          </w:p>
        </w:tc>
        <w:tc>
          <w:tcPr>
            <w:tcW w:w="2600" w:type="dxa"/>
            <w:tcBorders>
              <w:top w:val="nil"/>
              <w:left w:val="nil"/>
              <w:bottom w:val="nil"/>
              <w:right w:val="nil"/>
            </w:tcBorders>
            <w:shd w:val="clear" w:color="D9D9D9" w:fill="D9D9D9"/>
            <w:noWrap/>
            <w:vAlign w:val="bottom"/>
            <w:hideMark/>
          </w:tcPr>
          <w:p w14:paraId="2796ED65"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r w:rsidR="007D3532" w:rsidRPr="007D3532" w14:paraId="298313EC" w14:textId="77777777" w:rsidTr="007D3532">
        <w:trPr>
          <w:trHeight w:val="300"/>
        </w:trPr>
        <w:tc>
          <w:tcPr>
            <w:tcW w:w="1840" w:type="dxa"/>
            <w:tcBorders>
              <w:top w:val="nil"/>
              <w:left w:val="nil"/>
              <w:bottom w:val="nil"/>
              <w:right w:val="nil"/>
            </w:tcBorders>
            <w:shd w:val="clear" w:color="auto" w:fill="auto"/>
            <w:noWrap/>
            <w:vAlign w:val="bottom"/>
            <w:hideMark/>
          </w:tcPr>
          <w:p w14:paraId="6F35CAB5"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Aegon</w:t>
            </w:r>
          </w:p>
        </w:tc>
        <w:tc>
          <w:tcPr>
            <w:tcW w:w="2600" w:type="dxa"/>
            <w:tcBorders>
              <w:top w:val="nil"/>
              <w:left w:val="nil"/>
              <w:bottom w:val="nil"/>
              <w:right w:val="nil"/>
            </w:tcBorders>
            <w:shd w:val="clear" w:color="auto" w:fill="auto"/>
            <w:noWrap/>
            <w:vAlign w:val="bottom"/>
            <w:hideMark/>
          </w:tcPr>
          <w:p w14:paraId="7DAE79C9"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r w:rsidR="007D3532" w:rsidRPr="007D3532" w14:paraId="459951CB" w14:textId="77777777" w:rsidTr="007D3532">
        <w:trPr>
          <w:trHeight w:val="300"/>
        </w:trPr>
        <w:tc>
          <w:tcPr>
            <w:tcW w:w="1840" w:type="dxa"/>
            <w:tcBorders>
              <w:top w:val="nil"/>
              <w:left w:val="nil"/>
              <w:bottom w:val="nil"/>
              <w:right w:val="nil"/>
            </w:tcBorders>
            <w:shd w:val="clear" w:color="D9D9D9" w:fill="D9D9D9"/>
            <w:noWrap/>
            <w:vAlign w:val="bottom"/>
            <w:hideMark/>
          </w:tcPr>
          <w:p w14:paraId="24A020F9"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Ahold</w:t>
            </w:r>
          </w:p>
        </w:tc>
        <w:tc>
          <w:tcPr>
            <w:tcW w:w="2600" w:type="dxa"/>
            <w:tcBorders>
              <w:top w:val="nil"/>
              <w:left w:val="nil"/>
              <w:bottom w:val="nil"/>
              <w:right w:val="nil"/>
            </w:tcBorders>
            <w:shd w:val="clear" w:color="D9D9D9" w:fill="D9D9D9"/>
            <w:noWrap/>
            <w:vAlign w:val="bottom"/>
            <w:hideMark/>
          </w:tcPr>
          <w:p w14:paraId="2E1DBAF0"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r w:rsidR="007D3532" w:rsidRPr="007D3532" w14:paraId="03BE941B" w14:textId="77777777" w:rsidTr="007D3532">
        <w:trPr>
          <w:trHeight w:val="300"/>
        </w:trPr>
        <w:tc>
          <w:tcPr>
            <w:tcW w:w="1840" w:type="dxa"/>
            <w:tcBorders>
              <w:top w:val="nil"/>
              <w:left w:val="nil"/>
              <w:bottom w:val="nil"/>
              <w:right w:val="nil"/>
            </w:tcBorders>
            <w:shd w:val="clear" w:color="auto" w:fill="auto"/>
            <w:noWrap/>
            <w:vAlign w:val="bottom"/>
            <w:hideMark/>
          </w:tcPr>
          <w:p w14:paraId="25E3B2F6"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Air France - KLM</w:t>
            </w:r>
          </w:p>
        </w:tc>
        <w:tc>
          <w:tcPr>
            <w:tcW w:w="2600" w:type="dxa"/>
            <w:tcBorders>
              <w:top w:val="nil"/>
              <w:left w:val="nil"/>
              <w:bottom w:val="nil"/>
              <w:right w:val="nil"/>
            </w:tcBorders>
            <w:shd w:val="clear" w:color="auto" w:fill="auto"/>
            <w:noWrap/>
            <w:vAlign w:val="bottom"/>
            <w:hideMark/>
          </w:tcPr>
          <w:p w14:paraId="2B555585"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2012, 2013 &amp; 2014</w:t>
            </w:r>
          </w:p>
        </w:tc>
      </w:tr>
      <w:tr w:rsidR="007D3532" w:rsidRPr="007D3532" w14:paraId="0A41C068" w14:textId="77777777" w:rsidTr="007D3532">
        <w:trPr>
          <w:trHeight w:val="300"/>
        </w:trPr>
        <w:tc>
          <w:tcPr>
            <w:tcW w:w="1840" w:type="dxa"/>
            <w:tcBorders>
              <w:top w:val="nil"/>
              <w:left w:val="nil"/>
              <w:bottom w:val="nil"/>
              <w:right w:val="nil"/>
            </w:tcBorders>
            <w:shd w:val="clear" w:color="D9D9D9" w:fill="D9D9D9"/>
            <w:noWrap/>
            <w:vAlign w:val="bottom"/>
            <w:hideMark/>
          </w:tcPr>
          <w:p w14:paraId="4144798B"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Akzo Nobel</w:t>
            </w:r>
          </w:p>
        </w:tc>
        <w:tc>
          <w:tcPr>
            <w:tcW w:w="2600" w:type="dxa"/>
            <w:tcBorders>
              <w:top w:val="nil"/>
              <w:left w:val="nil"/>
              <w:bottom w:val="nil"/>
              <w:right w:val="nil"/>
            </w:tcBorders>
            <w:shd w:val="clear" w:color="D9D9D9" w:fill="D9D9D9"/>
            <w:noWrap/>
            <w:vAlign w:val="bottom"/>
            <w:hideMark/>
          </w:tcPr>
          <w:p w14:paraId="7AF7AA00"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r w:rsidR="007D3532" w:rsidRPr="007D3532" w14:paraId="09298BA5" w14:textId="77777777" w:rsidTr="007D3532">
        <w:trPr>
          <w:trHeight w:val="300"/>
        </w:trPr>
        <w:tc>
          <w:tcPr>
            <w:tcW w:w="1840" w:type="dxa"/>
            <w:tcBorders>
              <w:top w:val="nil"/>
              <w:left w:val="nil"/>
              <w:bottom w:val="nil"/>
              <w:right w:val="nil"/>
            </w:tcBorders>
            <w:shd w:val="clear" w:color="auto" w:fill="auto"/>
            <w:noWrap/>
            <w:vAlign w:val="bottom"/>
            <w:hideMark/>
          </w:tcPr>
          <w:p w14:paraId="177F19BE"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ArcelorMittal</w:t>
            </w:r>
          </w:p>
        </w:tc>
        <w:tc>
          <w:tcPr>
            <w:tcW w:w="2600" w:type="dxa"/>
            <w:tcBorders>
              <w:top w:val="nil"/>
              <w:left w:val="nil"/>
              <w:bottom w:val="nil"/>
              <w:right w:val="nil"/>
            </w:tcBorders>
            <w:shd w:val="clear" w:color="auto" w:fill="auto"/>
            <w:noWrap/>
            <w:vAlign w:val="bottom"/>
            <w:hideMark/>
          </w:tcPr>
          <w:p w14:paraId="020B5E33"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r w:rsidR="007D3532" w:rsidRPr="007D3532" w14:paraId="30F39AD9" w14:textId="77777777" w:rsidTr="007D3532">
        <w:trPr>
          <w:trHeight w:val="300"/>
        </w:trPr>
        <w:tc>
          <w:tcPr>
            <w:tcW w:w="1840" w:type="dxa"/>
            <w:tcBorders>
              <w:top w:val="nil"/>
              <w:left w:val="nil"/>
              <w:bottom w:val="nil"/>
              <w:right w:val="nil"/>
            </w:tcBorders>
            <w:shd w:val="clear" w:color="D9D9D9" w:fill="D9D9D9"/>
            <w:noWrap/>
            <w:vAlign w:val="bottom"/>
            <w:hideMark/>
          </w:tcPr>
          <w:p w14:paraId="19DEE681"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ASML</w:t>
            </w:r>
          </w:p>
        </w:tc>
        <w:tc>
          <w:tcPr>
            <w:tcW w:w="2600" w:type="dxa"/>
            <w:tcBorders>
              <w:top w:val="nil"/>
              <w:left w:val="nil"/>
              <w:bottom w:val="nil"/>
              <w:right w:val="nil"/>
            </w:tcBorders>
            <w:shd w:val="clear" w:color="D9D9D9" w:fill="D9D9D9"/>
            <w:noWrap/>
            <w:vAlign w:val="bottom"/>
            <w:hideMark/>
          </w:tcPr>
          <w:p w14:paraId="173D97C2"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r w:rsidR="007D3532" w:rsidRPr="007D3532" w14:paraId="6CFE77D6" w14:textId="77777777" w:rsidTr="007D3532">
        <w:trPr>
          <w:trHeight w:val="300"/>
        </w:trPr>
        <w:tc>
          <w:tcPr>
            <w:tcW w:w="1840" w:type="dxa"/>
            <w:tcBorders>
              <w:top w:val="nil"/>
              <w:left w:val="nil"/>
              <w:bottom w:val="nil"/>
              <w:right w:val="nil"/>
            </w:tcBorders>
            <w:shd w:val="clear" w:color="auto" w:fill="auto"/>
            <w:noWrap/>
            <w:vAlign w:val="bottom"/>
            <w:hideMark/>
          </w:tcPr>
          <w:p w14:paraId="0C883CDB"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Boskalis</w:t>
            </w:r>
          </w:p>
        </w:tc>
        <w:tc>
          <w:tcPr>
            <w:tcW w:w="2600" w:type="dxa"/>
            <w:tcBorders>
              <w:top w:val="nil"/>
              <w:left w:val="nil"/>
              <w:bottom w:val="nil"/>
              <w:right w:val="nil"/>
            </w:tcBorders>
            <w:shd w:val="clear" w:color="auto" w:fill="auto"/>
            <w:noWrap/>
            <w:vAlign w:val="bottom"/>
            <w:hideMark/>
          </w:tcPr>
          <w:p w14:paraId="61935A5C"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r w:rsidR="007D3532" w:rsidRPr="007D3532" w14:paraId="7D35C83E" w14:textId="77777777" w:rsidTr="007D3532">
        <w:trPr>
          <w:trHeight w:val="300"/>
        </w:trPr>
        <w:tc>
          <w:tcPr>
            <w:tcW w:w="1840" w:type="dxa"/>
            <w:tcBorders>
              <w:top w:val="nil"/>
              <w:left w:val="nil"/>
              <w:bottom w:val="nil"/>
              <w:right w:val="nil"/>
            </w:tcBorders>
            <w:shd w:val="clear" w:color="D9D9D9" w:fill="D9D9D9"/>
            <w:noWrap/>
            <w:vAlign w:val="bottom"/>
            <w:hideMark/>
          </w:tcPr>
          <w:p w14:paraId="7948515D"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Delta Lloyd</w:t>
            </w:r>
          </w:p>
        </w:tc>
        <w:tc>
          <w:tcPr>
            <w:tcW w:w="2600" w:type="dxa"/>
            <w:tcBorders>
              <w:top w:val="nil"/>
              <w:left w:val="nil"/>
              <w:bottom w:val="nil"/>
              <w:right w:val="nil"/>
            </w:tcBorders>
            <w:shd w:val="clear" w:color="D9D9D9" w:fill="D9D9D9"/>
            <w:noWrap/>
            <w:vAlign w:val="bottom"/>
            <w:hideMark/>
          </w:tcPr>
          <w:p w14:paraId="66664A1B"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r w:rsidR="007D3532" w:rsidRPr="007D3532" w14:paraId="3C6E1335" w14:textId="77777777" w:rsidTr="007D3532">
        <w:trPr>
          <w:trHeight w:val="300"/>
        </w:trPr>
        <w:tc>
          <w:tcPr>
            <w:tcW w:w="1840" w:type="dxa"/>
            <w:tcBorders>
              <w:top w:val="nil"/>
              <w:left w:val="nil"/>
              <w:bottom w:val="nil"/>
              <w:right w:val="nil"/>
            </w:tcBorders>
            <w:shd w:val="clear" w:color="auto" w:fill="auto"/>
            <w:noWrap/>
            <w:vAlign w:val="bottom"/>
            <w:hideMark/>
          </w:tcPr>
          <w:p w14:paraId="134FFBF2"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DSM</w:t>
            </w:r>
          </w:p>
        </w:tc>
        <w:tc>
          <w:tcPr>
            <w:tcW w:w="2600" w:type="dxa"/>
            <w:tcBorders>
              <w:top w:val="nil"/>
              <w:left w:val="nil"/>
              <w:bottom w:val="nil"/>
              <w:right w:val="nil"/>
            </w:tcBorders>
            <w:shd w:val="clear" w:color="auto" w:fill="auto"/>
            <w:noWrap/>
            <w:vAlign w:val="bottom"/>
            <w:hideMark/>
          </w:tcPr>
          <w:p w14:paraId="7E812B7B"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r w:rsidR="007D3532" w:rsidRPr="007D3532" w14:paraId="5BFCEB36" w14:textId="77777777" w:rsidTr="007D3532">
        <w:trPr>
          <w:trHeight w:val="300"/>
        </w:trPr>
        <w:tc>
          <w:tcPr>
            <w:tcW w:w="1840" w:type="dxa"/>
            <w:tcBorders>
              <w:top w:val="nil"/>
              <w:left w:val="nil"/>
              <w:bottom w:val="nil"/>
              <w:right w:val="nil"/>
            </w:tcBorders>
            <w:shd w:val="clear" w:color="D9D9D9" w:fill="D9D9D9"/>
            <w:noWrap/>
            <w:vAlign w:val="bottom"/>
            <w:hideMark/>
          </w:tcPr>
          <w:p w14:paraId="65E3A61A"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Gemalto</w:t>
            </w:r>
          </w:p>
        </w:tc>
        <w:tc>
          <w:tcPr>
            <w:tcW w:w="2600" w:type="dxa"/>
            <w:tcBorders>
              <w:top w:val="nil"/>
              <w:left w:val="nil"/>
              <w:bottom w:val="nil"/>
              <w:right w:val="nil"/>
            </w:tcBorders>
            <w:shd w:val="clear" w:color="D9D9D9" w:fill="D9D9D9"/>
            <w:noWrap/>
            <w:vAlign w:val="bottom"/>
            <w:hideMark/>
          </w:tcPr>
          <w:p w14:paraId="69682915"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r w:rsidR="007D3532" w:rsidRPr="007D3532" w14:paraId="4C57A431" w14:textId="77777777" w:rsidTr="007D3532">
        <w:trPr>
          <w:trHeight w:val="300"/>
        </w:trPr>
        <w:tc>
          <w:tcPr>
            <w:tcW w:w="1840" w:type="dxa"/>
            <w:tcBorders>
              <w:top w:val="nil"/>
              <w:left w:val="nil"/>
              <w:bottom w:val="nil"/>
              <w:right w:val="nil"/>
            </w:tcBorders>
            <w:shd w:val="clear" w:color="auto" w:fill="auto"/>
            <w:noWrap/>
            <w:vAlign w:val="bottom"/>
            <w:hideMark/>
          </w:tcPr>
          <w:p w14:paraId="10D855A1"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Heineken</w:t>
            </w:r>
          </w:p>
        </w:tc>
        <w:tc>
          <w:tcPr>
            <w:tcW w:w="2600" w:type="dxa"/>
            <w:tcBorders>
              <w:top w:val="nil"/>
              <w:left w:val="nil"/>
              <w:bottom w:val="nil"/>
              <w:right w:val="nil"/>
            </w:tcBorders>
            <w:shd w:val="clear" w:color="auto" w:fill="auto"/>
            <w:noWrap/>
            <w:vAlign w:val="bottom"/>
            <w:hideMark/>
          </w:tcPr>
          <w:p w14:paraId="5659C140"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r w:rsidR="007D3532" w:rsidRPr="007D3532" w14:paraId="38CA65DE" w14:textId="77777777" w:rsidTr="007D3532">
        <w:trPr>
          <w:trHeight w:val="300"/>
        </w:trPr>
        <w:tc>
          <w:tcPr>
            <w:tcW w:w="1840" w:type="dxa"/>
            <w:tcBorders>
              <w:top w:val="nil"/>
              <w:left w:val="nil"/>
              <w:bottom w:val="nil"/>
              <w:right w:val="nil"/>
            </w:tcBorders>
            <w:shd w:val="clear" w:color="D9D9D9" w:fill="D9D9D9"/>
            <w:noWrap/>
            <w:vAlign w:val="bottom"/>
            <w:hideMark/>
          </w:tcPr>
          <w:p w14:paraId="5942D3E0"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ING</w:t>
            </w:r>
          </w:p>
        </w:tc>
        <w:tc>
          <w:tcPr>
            <w:tcW w:w="2600" w:type="dxa"/>
            <w:tcBorders>
              <w:top w:val="nil"/>
              <w:left w:val="nil"/>
              <w:bottom w:val="nil"/>
              <w:right w:val="nil"/>
            </w:tcBorders>
            <w:shd w:val="clear" w:color="D9D9D9" w:fill="D9D9D9"/>
            <w:noWrap/>
            <w:vAlign w:val="bottom"/>
            <w:hideMark/>
          </w:tcPr>
          <w:p w14:paraId="73C71DAD"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r w:rsidR="007D3532" w:rsidRPr="007D3532" w14:paraId="2CF56FF3" w14:textId="77777777" w:rsidTr="007D3532">
        <w:trPr>
          <w:trHeight w:val="300"/>
        </w:trPr>
        <w:tc>
          <w:tcPr>
            <w:tcW w:w="1840" w:type="dxa"/>
            <w:tcBorders>
              <w:top w:val="nil"/>
              <w:left w:val="nil"/>
              <w:bottom w:val="nil"/>
              <w:right w:val="nil"/>
            </w:tcBorders>
            <w:shd w:val="clear" w:color="auto" w:fill="auto"/>
            <w:noWrap/>
            <w:vAlign w:val="bottom"/>
            <w:hideMark/>
          </w:tcPr>
          <w:p w14:paraId="47B2BE67"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KPN</w:t>
            </w:r>
          </w:p>
        </w:tc>
        <w:tc>
          <w:tcPr>
            <w:tcW w:w="2600" w:type="dxa"/>
            <w:tcBorders>
              <w:top w:val="nil"/>
              <w:left w:val="nil"/>
              <w:bottom w:val="nil"/>
              <w:right w:val="nil"/>
            </w:tcBorders>
            <w:shd w:val="clear" w:color="auto" w:fill="auto"/>
            <w:noWrap/>
            <w:vAlign w:val="bottom"/>
            <w:hideMark/>
          </w:tcPr>
          <w:p w14:paraId="2F3F5D92"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r w:rsidR="007D3532" w:rsidRPr="007D3532" w14:paraId="5728410F" w14:textId="77777777" w:rsidTr="007D3532">
        <w:trPr>
          <w:trHeight w:val="300"/>
        </w:trPr>
        <w:tc>
          <w:tcPr>
            <w:tcW w:w="1840" w:type="dxa"/>
            <w:tcBorders>
              <w:top w:val="nil"/>
              <w:left w:val="nil"/>
              <w:bottom w:val="nil"/>
              <w:right w:val="nil"/>
            </w:tcBorders>
            <w:shd w:val="clear" w:color="D9D9D9" w:fill="D9D9D9"/>
            <w:noWrap/>
            <w:vAlign w:val="bottom"/>
            <w:hideMark/>
          </w:tcPr>
          <w:p w14:paraId="5ED482CF"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OCI</w:t>
            </w:r>
          </w:p>
        </w:tc>
        <w:tc>
          <w:tcPr>
            <w:tcW w:w="2600" w:type="dxa"/>
            <w:tcBorders>
              <w:top w:val="nil"/>
              <w:left w:val="nil"/>
              <w:bottom w:val="nil"/>
              <w:right w:val="nil"/>
            </w:tcBorders>
            <w:shd w:val="clear" w:color="D9D9D9" w:fill="D9D9D9"/>
            <w:noWrap/>
            <w:vAlign w:val="bottom"/>
            <w:hideMark/>
          </w:tcPr>
          <w:p w14:paraId="19AB2E9F"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2013 &amp; 2014</w:t>
            </w:r>
          </w:p>
        </w:tc>
      </w:tr>
      <w:tr w:rsidR="007D3532" w:rsidRPr="007D3532" w14:paraId="77491021" w14:textId="77777777" w:rsidTr="007D3532">
        <w:trPr>
          <w:trHeight w:val="300"/>
        </w:trPr>
        <w:tc>
          <w:tcPr>
            <w:tcW w:w="1840" w:type="dxa"/>
            <w:tcBorders>
              <w:top w:val="nil"/>
              <w:left w:val="nil"/>
              <w:bottom w:val="nil"/>
              <w:right w:val="nil"/>
            </w:tcBorders>
            <w:shd w:val="clear" w:color="auto" w:fill="auto"/>
            <w:noWrap/>
            <w:vAlign w:val="bottom"/>
            <w:hideMark/>
          </w:tcPr>
          <w:p w14:paraId="3E54B83D"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Philips</w:t>
            </w:r>
          </w:p>
        </w:tc>
        <w:tc>
          <w:tcPr>
            <w:tcW w:w="2600" w:type="dxa"/>
            <w:tcBorders>
              <w:top w:val="nil"/>
              <w:left w:val="nil"/>
              <w:bottom w:val="nil"/>
              <w:right w:val="nil"/>
            </w:tcBorders>
            <w:shd w:val="clear" w:color="auto" w:fill="auto"/>
            <w:noWrap/>
            <w:vAlign w:val="bottom"/>
            <w:hideMark/>
          </w:tcPr>
          <w:p w14:paraId="532CC331"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r w:rsidR="007D3532" w:rsidRPr="007D3532" w14:paraId="525B9AD2" w14:textId="77777777" w:rsidTr="007D3532">
        <w:trPr>
          <w:trHeight w:val="300"/>
        </w:trPr>
        <w:tc>
          <w:tcPr>
            <w:tcW w:w="1840" w:type="dxa"/>
            <w:tcBorders>
              <w:top w:val="nil"/>
              <w:left w:val="nil"/>
              <w:bottom w:val="nil"/>
              <w:right w:val="nil"/>
            </w:tcBorders>
            <w:shd w:val="clear" w:color="D9D9D9" w:fill="D9D9D9"/>
            <w:noWrap/>
            <w:vAlign w:val="bottom"/>
            <w:hideMark/>
          </w:tcPr>
          <w:p w14:paraId="48FCC051"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Randstad</w:t>
            </w:r>
          </w:p>
        </w:tc>
        <w:tc>
          <w:tcPr>
            <w:tcW w:w="2600" w:type="dxa"/>
            <w:tcBorders>
              <w:top w:val="nil"/>
              <w:left w:val="nil"/>
              <w:bottom w:val="nil"/>
              <w:right w:val="nil"/>
            </w:tcBorders>
            <w:shd w:val="clear" w:color="D9D9D9" w:fill="D9D9D9"/>
            <w:noWrap/>
            <w:vAlign w:val="bottom"/>
            <w:hideMark/>
          </w:tcPr>
          <w:p w14:paraId="236AC6DC"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r w:rsidR="007D3532" w:rsidRPr="007D3532" w14:paraId="778ADE71" w14:textId="77777777" w:rsidTr="007D3532">
        <w:trPr>
          <w:trHeight w:val="300"/>
        </w:trPr>
        <w:tc>
          <w:tcPr>
            <w:tcW w:w="1840" w:type="dxa"/>
            <w:tcBorders>
              <w:top w:val="nil"/>
              <w:left w:val="nil"/>
              <w:bottom w:val="nil"/>
              <w:right w:val="nil"/>
            </w:tcBorders>
            <w:shd w:val="clear" w:color="auto" w:fill="auto"/>
            <w:noWrap/>
            <w:vAlign w:val="bottom"/>
            <w:hideMark/>
          </w:tcPr>
          <w:p w14:paraId="1F4F4D46"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Reed Elsevier</w:t>
            </w:r>
          </w:p>
        </w:tc>
        <w:tc>
          <w:tcPr>
            <w:tcW w:w="2600" w:type="dxa"/>
            <w:tcBorders>
              <w:top w:val="nil"/>
              <w:left w:val="nil"/>
              <w:bottom w:val="nil"/>
              <w:right w:val="nil"/>
            </w:tcBorders>
            <w:shd w:val="clear" w:color="auto" w:fill="auto"/>
            <w:noWrap/>
            <w:vAlign w:val="bottom"/>
            <w:hideMark/>
          </w:tcPr>
          <w:p w14:paraId="405427E2"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r w:rsidR="007D3532" w:rsidRPr="007D3532" w14:paraId="3FF5E5E2" w14:textId="77777777" w:rsidTr="007D3532">
        <w:trPr>
          <w:trHeight w:val="300"/>
        </w:trPr>
        <w:tc>
          <w:tcPr>
            <w:tcW w:w="1840" w:type="dxa"/>
            <w:tcBorders>
              <w:top w:val="nil"/>
              <w:left w:val="nil"/>
              <w:bottom w:val="nil"/>
              <w:right w:val="nil"/>
            </w:tcBorders>
            <w:shd w:val="clear" w:color="D9D9D9" w:fill="D9D9D9"/>
            <w:noWrap/>
            <w:vAlign w:val="bottom"/>
            <w:hideMark/>
          </w:tcPr>
          <w:p w14:paraId="258490FC"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Royal Dutch Shell</w:t>
            </w:r>
          </w:p>
        </w:tc>
        <w:tc>
          <w:tcPr>
            <w:tcW w:w="2600" w:type="dxa"/>
            <w:tcBorders>
              <w:top w:val="nil"/>
              <w:left w:val="nil"/>
              <w:bottom w:val="nil"/>
              <w:right w:val="nil"/>
            </w:tcBorders>
            <w:shd w:val="clear" w:color="D9D9D9" w:fill="D9D9D9"/>
            <w:noWrap/>
            <w:vAlign w:val="bottom"/>
            <w:hideMark/>
          </w:tcPr>
          <w:p w14:paraId="69BAD7CE"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r w:rsidR="007D3532" w:rsidRPr="007D3532" w14:paraId="5860A740" w14:textId="77777777" w:rsidTr="007D3532">
        <w:trPr>
          <w:trHeight w:val="300"/>
        </w:trPr>
        <w:tc>
          <w:tcPr>
            <w:tcW w:w="1840" w:type="dxa"/>
            <w:tcBorders>
              <w:top w:val="nil"/>
              <w:left w:val="nil"/>
              <w:bottom w:val="nil"/>
              <w:right w:val="nil"/>
            </w:tcBorders>
            <w:shd w:val="clear" w:color="auto" w:fill="auto"/>
            <w:noWrap/>
            <w:vAlign w:val="bottom"/>
            <w:hideMark/>
          </w:tcPr>
          <w:p w14:paraId="5780E618"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TNT Express</w:t>
            </w:r>
          </w:p>
        </w:tc>
        <w:tc>
          <w:tcPr>
            <w:tcW w:w="2600" w:type="dxa"/>
            <w:tcBorders>
              <w:top w:val="nil"/>
              <w:left w:val="nil"/>
              <w:bottom w:val="nil"/>
              <w:right w:val="nil"/>
            </w:tcBorders>
            <w:shd w:val="clear" w:color="auto" w:fill="auto"/>
            <w:noWrap/>
            <w:vAlign w:val="bottom"/>
            <w:hideMark/>
          </w:tcPr>
          <w:p w14:paraId="0707FC24"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r w:rsidR="007D3532" w:rsidRPr="007D3532" w14:paraId="5064A9AC" w14:textId="77777777" w:rsidTr="007D3532">
        <w:trPr>
          <w:trHeight w:val="300"/>
        </w:trPr>
        <w:tc>
          <w:tcPr>
            <w:tcW w:w="1840" w:type="dxa"/>
            <w:tcBorders>
              <w:top w:val="nil"/>
              <w:left w:val="nil"/>
              <w:bottom w:val="nil"/>
              <w:right w:val="nil"/>
            </w:tcBorders>
            <w:shd w:val="clear" w:color="D9D9D9" w:fill="D9D9D9"/>
            <w:noWrap/>
            <w:vAlign w:val="bottom"/>
            <w:hideMark/>
          </w:tcPr>
          <w:p w14:paraId="0EFD289B"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Unibail-Rodamco</w:t>
            </w:r>
          </w:p>
        </w:tc>
        <w:tc>
          <w:tcPr>
            <w:tcW w:w="2600" w:type="dxa"/>
            <w:tcBorders>
              <w:top w:val="nil"/>
              <w:left w:val="nil"/>
              <w:bottom w:val="nil"/>
              <w:right w:val="nil"/>
            </w:tcBorders>
            <w:shd w:val="clear" w:color="D9D9D9" w:fill="D9D9D9"/>
            <w:noWrap/>
            <w:vAlign w:val="bottom"/>
            <w:hideMark/>
          </w:tcPr>
          <w:p w14:paraId="210B7A6F"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r w:rsidR="007D3532" w:rsidRPr="007D3532" w14:paraId="47A77FAC" w14:textId="77777777" w:rsidTr="007D3532">
        <w:trPr>
          <w:trHeight w:val="300"/>
        </w:trPr>
        <w:tc>
          <w:tcPr>
            <w:tcW w:w="1840" w:type="dxa"/>
            <w:tcBorders>
              <w:top w:val="nil"/>
              <w:left w:val="nil"/>
              <w:bottom w:val="nil"/>
              <w:right w:val="nil"/>
            </w:tcBorders>
            <w:shd w:val="clear" w:color="auto" w:fill="auto"/>
            <w:noWrap/>
            <w:vAlign w:val="bottom"/>
            <w:hideMark/>
          </w:tcPr>
          <w:p w14:paraId="40CE11E9"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Unilever</w:t>
            </w:r>
          </w:p>
        </w:tc>
        <w:tc>
          <w:tcPr>
            <w:tcW w:w="2600" w:type="dxa"/>
            <w:tcBorders>
              <w:top w:val="nil"/>
              <w:left w:val="nil"/>
              <w:bottom w:val="nil"/>
              <w:right w:val="nil"/>
            </w:tcBorders>
            <w:shd w:val="clear" w:color="auto" w:fill="auto"/>
            <w:noWrap/>
            <w:vAlign w:val="bottom"/>
            <w:hideMark/>
          </w:tcPr>
          <w:p w14:paraId="3C91FD19"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r w:rsidR="007D3532" w:rsidRPr="007D3532" w14:paraId="5C85BF33" w14:textId="77777777" w:rsidTr="007D3532">
        <w:trPr>
          <w:trHeight w:val="300"/>
        </w:trPr>
        <w:tc>
          <w:tcPr>
            <w:tcW w:w="1840" w:type="dxa"/>
            <w:tcBorders>
              <w:top w:val="nil"/>
              <w:left w:val="nil"/>
              <w:bottom w:val="nil"/>
              <w:right w:val="nil"/>
            </w:tcBorders>
            <w:shd w:val="clear" w:color="D9D9D9" w:fill="D9D9D9"/>
            <w:noWrap/>
            <w:vAlign w:val="bottom"/>
            <w:hideMark/>
          </w:tcPr>
          <w:p w14:paraId="7FD9D048"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Vopak</w:t>
            </w:r>
          </w:p>
        </w:tc>
        <w:tc>
          <w:tcPr>
            <w:tcW w:w="2600" w:type="dxa"/>
            <w:tcBorders>
              <w:top w:val="nil"/>
              <w:left w:val="nil"/>
              <w:bottom w:val="nil"/>
              <w:right w:val="nil"/>
            </w:tcBorders>
            <w:shd w:val="clear" w:color="D9D9D9" w:fill="D9D9D9"/>
            <w:noWrap/>
            <w:vAlign w:val="bottom"/>
            <w:hideMark/>
          </w:tcPr>
          <w:p w14:paraId="62186273"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r w:rsidR="007D3532" w:rsidRPr="007D3532" w14:paraId="6B3843DC" w14:textId="77777777" w:rsidTr="007D3532">
        <w:trPr>
          <w:trHeight w:val="300"/>
        </w:trPr>
        <w:tc>
          <w:tcPr>
            <w:tcW w:w="1840" w:type="dxa"/>
            <w:tcBorders>
              <w:top w:val="nil"/>
              <w:left w:val="nil"/>
              <w:bottom w:val="single" w:sz="4" w:space="0" w:color="000000"/>
              <w:right w:val="nil"/>
            </w:tcBorders>
            <w:shd w:val="clear" w:color="auto" w:fill="auto"/>
            <w:noWrap/>
            <w:vAlign w:val="bottom"/>
            <w:hideMark/>
          </w:tcPr>
          <w:p w14:paraId="1204F72C"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Wolters Kluwer</w:t>
            </w:r>
          </w:p>
        </w:tc>
        <w:tc>
          <w:tcPr>
            <w:tcW w:w="2600" w:type="dxa"/>
            <w:tcBorders>
              <w:top w:val="nil"/>
              <w:left w:val="nil"/>
              <w:bottom w:val="single" w:sz="4" w:space="0" w:color="000000"/>
              <w:right w:val="nil"/>
            </w:tcBorders>
            <w:shd w:val="clear" w:color="auto" w:fill="auto"/>
            <w:noWrap/>
            <w:vAlign w:val="bottom"/>
            <w:hideMark/>
          </w:tcPr>
          <w:p w14:paraId="638B1F2F" w14:textId="77777777" w:rsidR="007D3532" w:rsidRPr="007D3532" w:rsidRDefault="007D3532" w:rsidP="00AF13F0">
            <w:pPr>
              <w:rPr>
                <w:rFonts w:ascii="Calibri" w:eastAsia="Times New Roman" w:hAnsi="Calibri" w:cs="Times New Roman"/>
                <w:color w:val="000000"/>
              </w:rPr>
            </w:pPr>
            <w:r w:rsidRPr="007D3532">
              <w:rPr>
                <w:rFonts w:ascii="Calibri" w:eastAsia="Times New Roman" w:hAnsi="Calibri" w:cs="Times New Roman"/>
                <w:color w:val="000000"/>
              </w:rPr>
              <w:t>2010 t/m 2014</w:t>
            </w:r>
          </w:p>
        </w:tc>
      </w:tr>
    </w:tbl>
    <w:p w14:paraId="0E5FDB73" w14:textId="79B0A841" w:rsidR="007D3532" w:rsidRPr="007D3532" w:rsidRDefault="007D3532" w:rsidP="00AF13F0">
      <w:pPr>
        <w:rPr>
          <w:b/>
        </w:rPr>
      </w:pPr>
    </w:p>
    <w:sectPr w:rsidR="007D3532" w:rsidRPr="007D3532" w:rsidSect="002173B0">
      <w:footerReference w:type="even" r:id="rId19"/>
      <w:footerReference w:type="default" r:id="rId20"/>
      <w:pgSz w:w="11900" w:h="16840"/>
      <w:pgMar w:top="1440" w:right="1797" w:bottom="1440" w:left="1797"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6C7DDB" w14:textId="77777777" w:rsidR="00081807" w:rsidRDefault="00081807" w:rsidP="003D71C3">
      <w:r>
        <w:separator/>
      </w:r>
    </w:p>
  </w:endnote>
  <w:endnote w:type="continuationSeparator" w:id="0">
    <w:p w14:paraId="6D7BF90D" w14:textId="77777777" w:rsidR="00081807" w:rsidRDefault="00081807" w:rsidP="003D71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panose1 w:val="00000000000000000000"/>
    <w:charset w:val="00"/>
    <w:family w:val="auto"/>
    <w:pitch w:val="variable"/>
    <w:sig w:usb0="E1000AEF" w:usb1="D000A1FF" w:usb2="00000038" w:usb3="00000000" w:csb0="000001BF" w:csb1="00000000"/>
  </w:font>
  <w:font w:name="Cambria Math">
    <w:panose1 w:val="02040503050406030204"/>
    <w:charset w:val="01"/>
    <w:family w:val="roman"/>
    <w:notTrueType/>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F794F3" w14:textId="77777777" w:rsidR="002173B0" w:rsidRDefault="002173B0" w:rsidP="00F237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21BB4E6" w14:textId="77777777" w:rsidR="002173B0" w:rsidRDefault="002173B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9EC261" w14:textId="77777777" w:rsidR="002173B0" w:rsidRDefault="002173B0" w:rsidP="00F237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D0AAF">
      <w:rPr>
        <w:rStyle w:val="PageNumber"/>
        <w:noProof/>
      </w:rPr>
      <w:t>2</w:t>
    </w:r>
    <w:r>
      <w:rPr>
        <w:rStyle w:val="PageNumber"/>
      </w:rPr>
      <w:fldChar w:fldCharType="end"/>
    </w:r>
  </w:p>
  <w:p w14:paraId="3403E99F" w14:textId="0A4E5EEC" w:rsidR="002173B0" w:rsidRDefault="002173B0">
    <w:pPr>
      <w:pStyle w:val="Footer"/>
      <w:jc w:val="center"/>
    </w:pPr>
  </w:p>
  <w:p w14:paraId="469F671D" w14:textId="77777777" w:rsidR="002173B0" w:rsidRDefault="002173B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7DF57A" w14:textId="77777777" w:rsidR="00081807" w:rsidRDefault="00081807" w:rsidP="003D71C3">
      <w:r>
        <w:separator/>
      </w:r>
    </w:p>
  </w:footnote>
  <w:footnote w:type="continuationSeparator" w:id="0">
    <w:p w14:paraId="175AB9EE" w14:textId="77777777" w:rsidR="00081807" w:rsidRDefault="00081807" w:rsidP="003D71C3">
      <w:r>
        <w:continuationSeparator/>
      </w:r>
    </w:p>
  </w:footnote>
  <w:footnote w:id="1">
    <w:p w14:paraId="5EBDA9E5" w14:textId="77777777" w:rsidR="002173B0" w:rsidRDefault="002173B0">
      <w:pPr>
        <w:pStyle w:val="FootnoteText"/>
      </w:pPr>
      <w:r w:rsidRPr="002173B0">
        <w:rPr>
          <w:rStyle w:val="FootnoteReference"/>
          <w:sz w:val="20"/>
        </w:rPr>
        <w:footnoteRef/>
      </w:r>
      <w:r w:rsidRPr="002173B0">
        <w:rPr>
          <w:sz w:val="20"/>
        </w:rPr>
        <w:t xml:space="preserve"> In het vervolg aangeduid als alternatieve indicatoren.</w:t>
      </w:r>
    </w:p>
  </w:footnote>
  <w:footnote w:id="2">
    <w:p w14:paraId="552F39EB" w14:textId="77777777" w:rsidR="002173B0" w:rsidRDefault="002173B0" w:rsidP="00BA66CD">
      <w:pPr>
        <w:pStyle w:val="FootnoteText"/>
      </w:pPr>
      <w:r>
        <w:rPr>
          <w:rStyle w:val="FootnoteReference"/>
        </w:rPr>
        <w:footnoteRef/>
      </w:r>
      <w:r>
        <w:t xml:space="preserve"> </w:t>
      </w:r>
      <w:r w:rsidRPr="00A45148">
        <w:rPr>
          <w:sz w:val="20"/>
          <w:szCs w:val="20"/>
        </w:rPr>
        <w:t>Primaire overzichten: De balans, de winst-en-verliesrekening en het kasstroomoverzicht.</w:t>
      </w:r>
    </w:p>
  </w:footnote>
  <w:footnote w:id="3">
    <w:p w14:paraId="0FCDD6D9" w14:textId="6F7F850D" w:rsidR="002173B0" w:rsidRPr="003E7951" w:rsidRDefault="002173B0" w:rsidP="00BA66CD">
      <w:pPr>
        <w:pStyle w:val="FootnoteText"/>
        <w:rPr>
          <w:sz w:val="20"/>
          <w:szCs w:val="20"/>
        </w:rPr>
      </w:pPr>
      <w:r w:rsidRPr="003E7951">
        <w:rPr>
          <w:rStyle w:val="FootnoteReference"/>
          <w:sz w:val="20"/>
          <w:szCs w:val="20"/>
        </w:rPr>
        <w:footnoteRef/>
      </w:r>
      <w:r w:rsidRPr="003E7951">
        <w:rPr>
          <w:sz w:val="20"/>
          <w:szCs w:val="20"/>
        </w:rPr>
        <w:t xml:space="preserve"> </w:t>
      </w:r>
      <w:r>
        <w:rPr>
          <w:sz w:val="20"/>
          <w:szCs w:val="20"/>
        </w:rPr>
        <w:t>Voor tabellen en bijlages zie de bijlage.</w:t>
      </w:r>
    </w:p>
  </w:footnote>
  <w:footnote w:id="4">
    <w:p w14:paraId="6840A419" w14:textId="11A68BEB" w:rsidR="002173B0" w:rsidRPr="00FB0E81" w:rsidRDefault="002173B0">
      <w:pPr>
        <w:pStyle w:val="FootnoteText"/>
        <w:rPr>
          <w:sz w:val="20"/>
          <w:szCs w:val="20"/>
        </w:rPr>
      </w:pPr>
      <w:r w:rsidRPr="00FB0E81">
        <w:rPr>
          <w:rStyle w:val="FootnoteReference"/>
          <w:sz w:val="20"/>
          <w:szCs w:val="20"/>
        </w:rPr>
        <w:footnoteRef/>
      </w:r>
      <w:r w:rsidRPr="00FB0E81">
        <w:rPr>
          <w:sz w:val="20"/>
          <w:szCs w:val="20"/>
        </w:rPr>
        <w:t xml:space="preserve"> Voor een overzichtelijk beeld van de organisatie zie tabel 3.</w:t>
      </w:r>
    </w:p>
  </w:footnote>
  <w:footnote w:id="5">
    <w:p w14:paraId="35843AAB" w14:textId="5E6C0E16" w:rsidR="002173B0" w:rsidRPr="001643E8" w:rsidRDefault="002173B0">
      <w:pPr>
        <w:pStyle w:val="FootnoteText"/>
        <w:rPr>
          <w:sz w:val="20"/>
        </w:rPr>
      </w:pPr>
      <w:r w:rsidRPr="001643E8">
        <w:rPr>
          <w:rStyle w:val="FootnoteReference"/>
          <w:sz w:val="20"/>
        </w:rPr>
        <w:footnoteRef/>
      </w:r>
      <w:r w:rsidRPr="001643E8">
        <w:rPr>
          <w:sz w:val="20"/>
        </w:rPr>
        <w:t xml:space="preserve"> Voor alle wijzigingen zie bijlage (tabel 4.1 &amp; 4.2)</w:t>
      </w:r>
    </w:p>
  </w:footnote>
  <w:footnote w:id="6">
    <w:p w14:paraId="48EB4895" w14:textId="48227A92" w:rsidR="002173B0" w:rsidRDefault="002173B0">
      <w:pPr>
        <w:pStyle w:val="FootnoteText"/>
      </w:pPr>
      <w:r>
        <w:rPr>
          <w:rStyle w:val="FootnoteReference"/>
        </w:rPr>
        <w:footnoteRef/>
      </w:r>
      <w:r>
        <w:t xml:space="preserve"> </w:t>
      </w:r>
      <w:r w:rsidRPr="001643E8">
        <w:rPr>
          <w:sz w:val="20"/>
          <w:szCs w:val="20"/>
        </w:rPr>
        <w:t>Materialiteit: ‘Het gaat om de vraag of het weglaten van informatie of het onjuist weergeven van informatie de economische beslissingen die gebruikers op basis van de jaarrekening nemen, zou kunnen beïnvloeden.’</w:t>
      </w:r>
      <w:r w:rsidRPr="001643E8">
        <w:t xml:space="preserve"> </w:t>
      </w:r>
      <w:r>
        <w:rPr>
          <w:sz w:val="20"/>
          <w:szCs w:val="20"/>
        </w:rPr>
        <w:fldChar w:fldCharType="begin"/>
      </w:r>
      <w:r>
        <w:rPr>
          <w:sz w:val="20"/>
          <w:szCs w:val="20"/>
        </w:rPr>
        <w:instrText xml:space="preserve"> ADDIN EN.CITE &lt;EndNote&gt;&lt;Cite&gt;&lt;Author&gt;Backhuijs&lt;/Author&gt;&lt;Year&gt;2004&lt;/Year&gt;&lt;RecNum&gt;9&lt;/RecNum&gt;&lt;DisplayText&gt;(Backhuijs et al., 2004)&lt;/DisplayText&gt;&lt;record&gt;&lt;rec-number&gt;9&lt;/rec-number&gt;&lt;foreign-keys&gt;&lt;key app="EN" db-id="warezr50rtv9pne9vrl5v2z50zvrfrt52spx" timestamp="1432822017"&gt;9&lt;/key&gt;&lt;/foreign-keys&gt;&lt;ref-type name="Book"&gt;6&lt;/ref-type&gt;&lt;contributors&gt;&lt;authors&gt;&lt;author&gt;Backhuijs, J.B.&lt;/author&gt;&lt;author&gt;Blommaert, J.B.B.R.G.B.J.M.J.&lt;/author&gt;&lt;author&gt;Bosman, R.G.&lt;/author&gt;&lt;author&gt;Camfferman, C.&lt;/author&gt;&lt;/authors&gt;&lt;/contributors&gt;&lt;titles&gt;&lt;title&gt;Het jaar 2003 verslagen: onderzoek jaarverslaggeving Nederlandse ondernemingen&lt;/title&gt;&lt;/titles&gt;&lt;dates&gt;&lt;year&gt;2004&lt;/year&gt;&lt;/dates&gt;&lt;publisher&gt;Kluwer&lt;/publisher&gt;&lt;isbn&gt;9789013019384&lt;/isbn&gt;&lt;urls&gt;&lt;related-urls&gt;&lt;url&gt;https://books.google.nl/books?id=xxdNSWEbQcYC&lt;/url&gt;&lt;/related-urls&gt;&lt;/urls&gt;&lt;/record&gt;&lt;/Cite&gt;&lt;/EndNote&gt;</w:instrText>
      </w:r>
      <w:r>
        <w:rPr>
          <w:sz w:val="20"/>
          <w:szCs w:val="20"/>
        </w:rPr>
        <w:fldChar w:fldCharType="separate"/>
      </w:r>
      <w:r>
        <w:rPr>
          <w:noProof/>
          <w:sz w:val="20"/>
          <w:szCs w:val="20"/>
        </w:rPr>
        <w:t>(Backhuijs et al., 2004)</w:t>
      </w:r>
      <w:r>
        <w:rPr>
          <w:sz w:val="20"/>
          <w:szCs w:val="20"/>
        </w:rPr>
        <w:fldChar w:fldCharType="end"/>
      </w:r>
    </w:p>
  </w:footnote>
  <w:footnote w:id="7">
    <w:p w14:paraId="6C261588" w14:textId="416239FD" w:rsidR="002173B0" w:rsidRPr="00EC0CDD" w:rsidRDefault="002173B0">
      <w:pPr>
        <w:pStyle w:val="FootnoteText"/>
        <w:rPr>
          <w:sz w:val="20"/>
        </w:rPr>
      </w:pPr>
      <w:r>
        <w:rPr>
          <w:rStyle w:val="FootnoteReference"/>
        </w:rPr>
        <w:footnoteRef/>
      </w:r>
      <w:r>
        <w:t xml:space="preserve"> </w:t>
      </w:r>
      <w:r>
        <w:rPr>
          <w:sz w:val="20"/>
        </w:rPr>
        <w:t>Voor het onderzoek zijn jaarrekeningen gebruikt van verschillende ondernemingen. Aangezien dit aantal te veel is om te vermelden in de bronvermelding staat een tabel in de appendix die beschrijft welke jaarrekeningen gebruikt zijn voor dit onderzoek.</w:t>
      </w:r>
    </w:p>
  </w:footnote>
  <w:footnote w:id="8">
    <w:p w14:paraId="59A8BE47" w14:textId="5AAA1BBB" w:rsidR="002173B0" w:rsidRDefault="002173B0">
      <w:pPr>
        <w:pStyle w:val="FootnoteText"/>
      </w:pPr>
      <w:r>
        <w:rPr>
          <w:rStyle w:val="FootnoteReference"/>
        </w:rPr>
        <w:footnoteRef/>
      </w:r>
      <w:r>
        <w:t xml:space="preserve"> </w:t>
      </w:r>
      <w:r w:rsidRPr="00051B11">
        <w:rPr>
          <w:sz w:val="22"/>
        </w:rPr>
        <w:t>Onderliggend resultaat is in dit geval een aangepast inkomen.</w:t>
      </w:r>
      <w:r>
        <w:rPr>
          <w:sz w:val="22"/>
        </w:rPr>
        <w:t xml:space="preserve"> Denk hierbij aan een indicator als aangepast EBIT.</w:t>
      </w:r>
    </w:p>
  </w:footnote>
  <w:footnote w:id="9">
    <w:p w14:paraId="1D88B683" w14:textId="449D905B" w:rsidR="002173B0" w:rsidRDefault="002173B0">
      <w:pPr>
        <w:pStyle w:val="FootnoteText"/>
      </w:pPr>
      <w:r>
        <w:rPr>
          <w:rStyle w:val="FootnoteReference"/>
        </w:rPr>
        <w:footnoteRef/>
      </w:r>
      <w:r>
        <w:t xml:space="preserve"> </w:t>
      </w:r>
      <w:r w:rsidRPr="00253740">
        <w:rPr>
          <w:sz w:val="22"/>
        </w:rPr>
        <w:t>Voor het onderliggend resultaat wordt tevens gekeken naar het ‘aangepaste resultaat’ waar eenzelfde uitleg bij wordt gegeven als bij de definitie van het onderliggende resultaat.</w:t>
      </w:r>
    </w:p>
  </w:footnote>
  <w:footnote w:id="10">
    <w:p w14:paraId="044DE030" w14:textId="590E9929" w:rsidR="002173B0" w:rsidRDefault="002173B0">
      <w:pPr>
        <w:pStyle w:val="FootnoteText"/>
      </w:pPr>
      <w:r>
        <w:rPr>
          <w:rStyle w:val="FootnoteReference"/>
        </w:rPr>
        <w:footnoteRef/>
      </w:r>
      <w:r>
        <w:t xml:space="preserve"> </w:t>
      </w:r>
      <w:r w:rsidRPr="002A713F">
        <w:rPr>
          <w:sz w:val="20"/>
          <w:szCs w:val="20"/>
        </w:rPr>
        <w:t>De term onbekend in de tabel geeft aan dat de jaarrekening van het desbetreffende jaar en onderneming niet gevonden is.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A017EE"/>
    <w:multiLevelType w:val="hybridMultilevel"/>
    <w:tmpl w:val="81F2C744"/>
    <w:lvl w:ilvl="0" w:tplc="FA08CBCA">
      <w:start w:val="1"/>
      <w:numFmt w:val="bullet"/>
      <w:lvlText w:val=""/>
      <w:lvlJc w:val="left"/>
      <w:pPr>
        <w:ind w:left="720" w:hanging="360"/>
      </w:pPr>
      <w:rPr>
        <w:rFonts w:ascii="Symbol" w:hAnsi="Symbol" w:hint="default"/>
      </w:rPr>
    </w:lvl>
    <w:lvl w:ilvl="1" w:tplc="9306E158">
      <w:start w:val="1"/>
      <w:numFmt w:val="bullet"/>
      <w:lvlText w:val="o"/>
      <w:lvlJc w:val="left"/>
      <w:pPr>
        <w:ind w:left="1440" w:hanging="360"/>
      </w:pPr>
      <w:rPr>
        <w:rFonts w:ascii="Courier New" w:hAnsi="Courier New" w:hint="default"/>
      </w:rPr>
    </w:lvl>
    <w:lvl w:ilvl="2" w:tplc="73003346">
      <w:start w:val="1"/>
      <w:numFmt w:val="bullet"/>
      <w:lvlText w:val=""/>
      <w:lvlJc w:val="left"/>
      <w:pPr>
        <w:ind w:left="2160" w:hanging="360"/>
      </w:pPr>
      <w:rPr>
        <w:rFonts w:ascii="Wingdings" w:hAnsi="Wingdings" w:hint="default"/>
      </w:rPr>
    </w:lvl>
    <w:lvl w:ilvl="3" w:tplc="73061FEC">
      <w:start w:val="1"/>
      <w:numFmt w:val="bullet"/>
      <w:lvlText w:val=""/>
      <w:lvlJc w:val="left"/>
      <w:pPr>
        <w:ind w:left="2880" w:hanging="360"/>
      </w:pPr>
      <w:rPr>
        <w:rFonts w:ascii="Symbol" w:hAnsi="Symbol" w:hint="default"/>
      </w:rPr>
    </w:lvl>
    <w:lvl w:ilvl="4" w:tplc="0CA8E3AE">
      <w:start w:val="1"/>
      <w:numFmt w:val="bullet"/>
      <w:lvlText w:val="o"/>
      <w:lvlJc w:val="left"/>
      <w:pPr>
        <w:ind w:left="3600" w:hanging="360"/>
      </w:pPr>
      <w:rPr>
        <w:rFonts w:ascii="Courier New" w:hAnsi="Courier New" w:hint="default"/>
      </w:rPr>
    </w:lvl>
    <w:lvl w:ilvl="5" w:tplc="22D0CA4E">
      <w:start w:val="1"/>
      <w:numFmt w:val="bullet"/>
      <w:lvlText w:val=""/>
      <w:lvlJc w:val="left"/>
      <w:pPr>
        <w:ind w:left="4320" w:hanging="360"/>
      </w:pPr>
      <w:rPr>
        <w:rFonts w:ascii="Wingdings" w:hAnsi="Wingdings" w:hint="default"/>
      </w:rPr>
    </w:lvl>
    <w:lvl w:ilvl="6" w:tplc="C01EBA72">
      <w:start w:val="1"/>
      <w:numFmt w:val="bullet"/>
      <w:lvlText w:val=""/>
      <w:lvlJc w:val="left"/>
      <w:pPr>
        <w:ind w:left="5040" w:hanging="360"/>
      </w:pPr>
      <w:rPr>
        <w:rFonts w:ascii="Symbol" w:hAnsi="Symbol" w:hint="default"/>
      </w:rPr>
    </w:lvl>
    <w:lvl w:ilvl="7" w:tplc="5C5A4FAE">
      <w:start w:val="1"/>
      <w:numFmt w:val="bullet"/>
      <w:lvlText w:val="o"/>
      <w:lvlJc w:val="left"/>
      <w:pPr>
        <w:ind w:left="5760" w:hanging="360"/>
      </w:pPr>
      <w:rPr>
        <w:rFonts w:ascii="Courier New" w:hAnsi="Courier New" w:hint="default"/>
      </w:rPr>
    </w:lvl>
    <w:lvl w:ilvl="8" w:tplc="3DD8EA84">
      <w:start w:val="1"/>
      <w:numFmt w:val="bullet"/>
      <w:lvlText w:val=""/>
      <w:lvlJc w:val="left"/>
      <w:pPr>
        <w:ind w:left="6480" w:hanging="360"/>
      </w:pPr>
      <w:rPr>
        <w:rFonts w:ascii="Wingdings" w:hAnsi="Wingdings" w:hint="default"/>
      </w:rPr>
    </w:lvl>
  </w:abstractNum>
  <w:abstractNum w:abstractNumId="1">
    <w:nsid w:val="154D63A4"/>
    <w:multiLevelType w:val="multilevel"/>
    <w:tmpl w:val="1C707C94"/>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nsid w:val="28022008"/>
    <w:multiLevelType w:val="multilevel"/>
    <w:tmpl w:val="1C707C94"/>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nsid w:val="2A8F5F14"/>
    <w:multiLevelType w:val="multilevel"/>
    <w:tmpl w:val="7F58B54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351A642E"/>
    <w:multiLevelType w:val="hybridMultilevel"/>
    <w:tmpl w:val="93B871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8EA3A4C"/>
    <w:multiLevelType w:val="multilevel"/>
    <w:tmpl w:val="8DB6ED2E"/>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nsid w:val="3B43358E"/>
    <w:multiLevelType w:val="hybridMultilevel"/>
    <w:tmpl w:val="B2724B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DF97F82"/>
    <w:multiLevelType w:val="multilevel"/>
    <w:tmpl w:val="551A42DA"/>
    <w:lvl w:ilvl="0">
      <w:start w:val="1"/>
      <w:numFmt w:val="decimal"/>
      <w:lvlText w:val="%1."/>
      <w:lvlJc w:val="left"/>
      <w:pPr>
        <w:ind w:left="720" w:hanging="360"/>
      </w:pPr>
      <w:rPr>
        <w:rFonts w:hint="default"/>
      </w:rPr>
    </w:lvl>
    <w:lvl w:ilvl="1">
      <w:start w:val="1"/>
      <w:numFmt w:val="decimal"/>
      <w:isLgl/>
      <w:lvlText w:val="%1.%2"/>
      <w:lvlJc w:val="left"/>
      <w:pPr>
        <w:ind w:left="760" w:hanging="4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nsid w:val="4E3C1707"/>
    <w:multiLevelType w:val="multilevel"/>
    <w:tmpl w:val="1FFC7036"/>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743D0BE0"/>
    <w:multiLevelType w:val="hybridMultilevel"/>
    <w:tmpl w:val="D3B211BA"/>
    <w:lvl w:ilvl="0" w:tplc="F67C9D44">
      <w:start w:val="2"/>
      <w:numFmt w:val="bullet"/>
      <w:lvlText w:val="-"/>
      <w:lvlJc w:val="left"/>
      <w:pPr>
        <w:ind w:left="720" w:hanging="360"/>
      </w:pPr>
      <w:rPr>
        <w:rFonts w:ascii="Calibri" w:eastAsiaTheme="minorEastAsia" w:hAnsi="Calibri"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3"/>
  </w:num>
  <w:num w:numId="4">
    <w:abstractNumId w:val="6"/>
  </w:num>
  <w:num w:numId="5">
    <w:abstractNumId w:val="9"/>
  </w:num>
  <w:num w:numId="6">
    <w:abstractNumId w:val="5"/>
  </w:num>
  <w:num w:numId="7">
    <w:abstractNumId w:val="2"/>
  </w:num>
  <w:num w:numId="8">
    <w:abstractNumId w:val="1"/>
  </w:num>
  <w:num w:numId="9">
    <w:abstractNumId w:val="8"/>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93242B"/>
    <w:rsid w:val="00005181"/>
    <w:rsid w:val="00010BA6"/>
    <w:rsid w:val="00015AFE"/>
    <w:rsid w:val="000168FB"/>
    <w:rsid w:val="000248D9"/>
    <w:rsid w:val="00026850"/>
    <w:rsid w:val="00031800"/>
    <w:rsid w:val="00031EF6"/>
    <w:rsid w:val="00034A9A"/>
    <w:rsid w:val="00050836"/>
    <w:rsid w:val="00051B11"/>
    <w:rsid w:val="0007178B"/>
    <w:rsid w:val="0007186A"/>
    <w:rsid w:val="0007DE6E"/>
    <w:rsid w:val="00081807"/>
    <w:rsid w:val="000861C8"/>
    <w:rsid w:val="0009214A"/>
    <w:rsid w:val="000A4231"/>
    <w:rsid w:val="000B476C"/>
    <w:rsid w:val="000B50EC"/>
    <w:rsid w:val="000B7367"/>
    <w:rsid w:val="000C6D37"/>
    <w:rsid w:val="000D0AAF"/>
    <w:rsid w:val="000D35C2"/>
    <w:rsid w:val="000E1166"/>
    <w:rsid w:val="000E283F"/>
    <w:rsid w:val="000E41DF"/>
    <w:rsid w:val="000E5B9A"/>
    <w:rsid w:val="000E5CD3"/>
    <w:rsid w:val="000E6931"/>
    <w:rsid w:val="000F3CE5"/>
    <w:rsid w:val="000F44E3"/>
    <w:rsid w:val="00104EC8"/>
    <w:rsid w:val="00123400"/>
    <w:rsid w:val="00123697"/>
    <w:rsid w:val="0013474A"/>
    <w:rsid w:val="00135607"/>
    <w:rsid w:val="001544BB"/>
    <w:rsid w:val="001643E8"/>
    <w:rsid w:val="00193D65"/>
    <w:rsid w:val="00196EE9"/>
    <w:rsid w:val="001A38C8"/>
    <w:rsid w:val="001B06AD"/>
    <w:rsid w:val="001C3C09"/>
    <w:rsid w:val="001C5BEB"/>
    <w:rsid w:val="001C6794"/>
    <w:rsid w:val="001D1AE7"/>
    <w:rsid w:val="001D5F06"/>
    <w:rsid w:val="002030AA"/>
    <w:rsid w:val="00204549"/>
    <w:rsid w:val="002173B0"/>
    <w:rsid w:val="00224E71"/>
    <w:rsid w:val="00227816"/>
    <w:rsid w:val="002362D4"/>
    <w:rsid w:val="002414F4"/>
    <w:rsid w:val="0024765D"/>
    <w:rsid w:val="00247751"/>
    <w:rsid w:val="00253740"/>
    <w:rsid w:val="00254354"/>
    <w:rsid w:val="00265E40"/>
    <w:rsid w:val="002717D0"/>
    <w:rsid w:val="002A713F"/>
    <w:rsid w:val="002B0944"/>
    <w:rsid w:val="002B3D5A"/>
    <w:rsid w:val="002C1E86"/>
    <w:rsid w:val="002C2474"/>
    <w:rsid w:val="002D47A8"/>
    <w:rsid w:val="002D4891"/>
    <w:rsid w:val="003055AA"/>
    <w:rsid w:val="003058B8"/>
    <w:rsid w:val="0031139D"/>
    <w:rsid w:val="003261E8"/>
    <w:rsid w:val="00333487"/>
    <w:rsid w:val="003531FC"/>
    <w:rsid w:val="00356060"/>
    <w:rsid w:val="003624A4"/>
    <w:rsid w:val="0036308D"/>
    <w:rsid w:val="0037141F"/>
    <w:rsid w:val="00373193"/>
    <w:rsid w:val="00377801"/>
    <w:rsid w:val="00377C7D"/>
    <w:rsid w:val="00380DD2"/>
    <w:rsid w:val="003819C9"/>
    <w:rsid w:val="00390D81"/>
    <w:rsid w:val="00391418"/>
    <w:rsid w:val="003916C8"/>
    <w:rsid w:val="00394847"/>
    <w:rsid w:val="003972CC"/>
    <w:rsid w:val="003A135F"/>
    <w:rsid w:val="003A2AAE"/>
    <w:rsid w:val="003A2B8E"/>
    <w:rsid w:val="003A2CD8"/>
    <w:rsid w:val="003A51A7"/>
    <w:rsid w:val="003C268F"/>
    <w:rsid w:val="003C3BD0"/>
    <w:rsid w:val="003D5377"/>
    <w:rsid w:val="003D705B"/>
    <w:rsid w:val="003D71C3"/>
    <w:rsid w:val="0040092D"/>
    <w:rsid w:val="004046C5"/>
    <w:rsid w:val="004123E7"/>
    <w:rsid w:val="004126AC"/>
    <w:rsid w:val="004179B5"/>
    <w:rsid w:val="00430E8B"/>
    <w:rsid w:val="0043500E"/>
    <w:rsid w:val="00452586"/>
    <w:rsid w:val="0045426A"/>
    <w:rsid w:val="00467B13"/>
    <w:rsid w:val="004833C3"/>
    <w:rsid w:val="00485D32"/>
    <w:rsid w:val="004933AF"/>
    <w:rsid w:val="00493BC0"/>
    <w:rsid w:val="004A40E7"/>
    <w:rsid w:val="004D0517"/>
    <w:rsid w:val="004E502F"/>
    <w:rsid w:val="005019B9"/>
    <w:rsid w:val="005033E1"/>
    <w:rsid w:val="00504F58"/>
    <w:rsid w:val="00525CB0"/>
    <w:rsid w:val="005364A7"/>
    <w:rsid w:val="0054089A"/>
    <w:rsid w:val="00544097"/>
    <w:rsid w:val="00550C78"/>
    <w:rsid w:val="00550EE1"/>
    <w:rsid w:val="005519ED"/>
    <w:rsid w:val="00561199"/>
    <w:rsid w:val="00561B6B"/>
    <w:rsid w:val="00573B20"/>
    <w:rsid w:val="005970CD"/>
    <w:rsid w:val="005B0C82"/>
    <w:rsid w:val="005B2605"/>
    <w:rsid w:val="005B461A"/>
    <w:rsid w:val="005B501F"/>
    <w:rsid w:val="005C0266"/>
    <w:rsid w:val="005C4E5B"/>
    <w:rsid w:val="005D5200"/>
    <w:rsid w:val="005F455C"/>
    <w:rsid w:val="005F6A36"/>
    <w:rsid w:val="00602007"/>
    <w:rsid w:val="006103F4"/>
    <w:rsid w:val="00620669"/>
    <w:rsid w:val="00624A0C"/>
    <w:rsid w:val="00647283"/>
    <w:rsid w:val="006569B4"/>
    <w:rsid w:val="00664270"/>
    <w:rsid w:val="006654C6"/>
    <w:rsid w:val="00683884"/>
    <w:rsid w:val="006A363C"/>
    <w:rsid w:val="006A3A01"/>
    <w:rsid w:val="006B5B56"/>
    <w:rsid w:val="006C556F"/>
    <w:rsid w:val="006C5AA9"/>
    <w:rsid w:val="006C6653"/>
    <w:rsid w:val="006E340D"/>
    <w:rsid w:val="0071482D"/>
    <w:rsid w:val="007238B8"/>
    <w:rsid w:val="007241B4"/>
    <w:rsid w:val="00727E20"/>
    <w:rsid w:val="00737D74"/>
    <w:rsid w:val="00751846"/>
    <w:rsid w:val="00756F27"/>
    <w:rsid w:val="00760551"/>
    <w:rsid w:val="007861E3"/>
    <w:rsid w:val="007A27C9"/>
    <w:rsid w:val="007A70D7"/>
    <w:rsid w:val="007B0A9F"/>
    <w:rsid w:val="007B28A3"/>
    <w:rsid w:val="007C028A"/>
    <w:rsid w:val="007D3532"/>
    <w:rsid w:val="007F2942"/>
    <w:rsid w:val="007F777B"/>
    <w:rsid w:val="00803F47"/>
    <w:rsid w:val="0081315A"/>
    <w:rsid w:val="00817D6C"/>
    <w:rsid w:val="008208AB"/>
    <w:rsid w:val="00830E18"/>
    <w:rsid w:val="00855FCC"/>
    <w:rsid w:val="008611E3"/>
    <w:rsid w:val="0086784F"/>
    <w:rsid w:val="00881473"/>
    <w:rsid w:val="0088364D"/>
    <w:rsid w:val="008863EC"/>
    <w:rsid w:val="00887521"/>
    <w:rsid w:val="0089174B"/>
    <w:rsid w:val="008A3B8D"/>
    <w:rsid w:val="008A3E77"/>
    <w:rsid w:val="008D3FD9"/>
    <w:rsid w:val="008D54A7"/>
    <w:rsid w:val="008F5353"/>
    <w:rsid w:val="00914551"/>
    <w:rsid w:val="009169FA"/>
    <w:rsid w:val="00925339"/>
    <w:rsid w:val="00926B5D"/>
    <w:rsid w:val="009322D0"/>
    <w:rsid w:val="0093242B"/>
    <w:rsid w:val="00933F12"/>
    <w:rsid w:val="0093525E"/>
    <w:rsid w:val="0093555D"/>
    <w:rsid w:val="0093584B"/>
    <w:rsid w:val="009554AE"/>
    <w:rsid w:val="00956EDE"/>
    <w:rsid w:val="009661AB"/>
    <w:rsid w:val="0097128A"/>
    <w:rsid w:val="00975784"/>
    <w:rsid w:val="00982843"/>
    <w:rsid w:val="00993BFF"/>
    <w:rsid w:val="009947A3"/>
    <w:rsid w:val="009B30DC"/>
    <w:rsid w:val="009C01B0"/>
    <w:rsid w:val="009C7334"/>
    <w:rsid w:val="009C7A8C"/>
    <w:rsid w:val="009D69C6"/>
    <w:rsid w:val="009F29FB"/>
    <w:rsid w:val="009F425C"/>
    <w:rsid w:val="009F672C"/>
    <w:rsid w:val="00A02D8B"/>
    <w:rsid w:val="00A240C8"/>
    <w:rsid w:val="00A28C51"/>
    <w:rsid w:val="00A32ECC"/>
    <w:rsid w:val="00A33655"/>
    <w:rsid w:val="00A35874"/>
    <w:rsid w:val="00A50629"/>
    <w:rsid w:val="00A80D7E"/>
    <w:rsid w:val="00A857B1"/>
    <w:rsid w:val="00A90F93"/>
    <w:rsid w:val="00A93807"/>
    <w:rsid w:val="00AB3211"/>
    <w:rsid w:val="00AC2DE1"/>
    <w:rsid w:val="00AD30DD"/>
    <w:rsid w:val="00AF0C50"/>
    <w:rsid w:val="00AF13F0"/>
    <w:rsid w:val="00AF7B71"/>
    <w:rsid w:val="00B00664"/>
    <w:rsid w:val="00B0218A"/>
    <w:rsid w:val="00B07440"/>
    <w:rsid w:val="00B10195"/>
    <w:rsid w:val="00B11540"/>
    <w:rsid w:val="00B1324C"/>
    <w:rsid w:val="00B14093"/>
    <w:rsid w:val="00B22D3D"/>
    <w:rsid w:val="00B56A79"/>
    <w:rsid w:val="00B603C9"/>
    <w:rsid w:val="00B60E51"/>
    <w:rsid w:val="00B65004"/>
    <w:rsid w:val="00B80317"/>
    <w:rsid w:val="00B8190D"/>
    <w:rsid w:val="00B85971"/>
    <w:rsid w:val="00B85992"/>
    <w:rsid w:val="00B94A5B"/>
    <w:rsid w:val="00BA0385"/>
    <w:rsid w:val="00BA66CD"/>
    <w:rsid w:val="00BA7A6B"/>
    <w:rsid w:val="00BA7D9D"/>
    <w:rsid w:val="00BC65AF"/>
    <w:rsid w:val="00BD5344"/>
    <w:rsid w:val="00BF0FC8"/>
    <w:rsid w:val="00C023D2"/>
    <w:rsid w:val="00C2248D"/>
    <w:rsid w:val="00C27791"/>
    <w:rsid w:val="00C426FC"/>
    <w:rsid w:val="00C526C4"/>
    <w:rsid w:val="00C848EB"/>
    <w:rsid w:val="00CA047F"/>
    <w:rsid w:val="00CC6847"/>
    <w:rsid w:val="00CC7137"/>
    <w:rsid w:val="00CD41C0"/>
    <w:rsid w:val="00CE02C9"/>
    <w:rsid w:val="00D06DF5"/>
    <w:rsid w:val="00D1276C"/>
    <w:rsid w:val="00D150EF"/>
    <w:rsid w:val="00D32BAE"/>
    <w:rsid w:val="00D5194D"/>
    <w:rsid w:val="00D55B84"/>
    <w:rsid w:val="00D641A2"/>
    <w:rsid w:val="00D7454F"/>
    <w:rsid w:val="00D9461B"/>
    <w:rsid w:val="00D96FC2"/>
    <w:rsid w:val="00DA1957"/>
    <w:rsid w:val="00DA2284"/>
    <w:rsid w:val="00DA2D1C"/>
    <w:rsid w:val="00DC46E5"/>
    <w:rsid w:val="00DC5042"/>
    <w:rsid w:val="00DD678B"/>
    <w:rsid w:val="00DF1644"/>
    <w:rsid w:val="00E01499"/>
    <w:rsid w:val="00E0559F"/>
    <w:rsid w:val="00E10939"/>
    <w:rsid w:val="00E21189"/>
    <w:rsid w:val="00E34433"/>
    <w:rsid w:val="00E42B97"/>
    <w:rsid w:val="00E742F4"/>
    <w:rsid w:val="00E76483"/>
    <w:rsid w:val="00E766E8"/>
    <w:rsid w:val="00E926BB"/>
    <w:rsid w:val="00EA171D"/>
    <w:rsid w:val="00EA5BC3"/>
    <w:rsid w:val="00EC0CDD"/>
    <w:rsid w:val="00ED05B0"/>
    <w:rsid w:val="00ED332B"/>
    <w:rsid w:val="00EE1CF2"/>
    <w:rsid w:val="00EE5961"/>
    <w:rsid w:val="00EF3D4A"/>
    <w:rsid w:val="00EF440E"/>
    <w:rsid w:val="00F12EA2"/>
    <w:rsid w:val="00F2374E"/>
    <w:rsid w:val="00F27438"/>
    <w:rsid w:val="00F5154C"/>
    <w:rsid w:val="00F536EF"/>
    <w:rsid w:val="00F65389"/>
    <w:rsid w:val="00F80002"/>
    <w:rsid w:val="00F80B27"/>
    <w:rsid w:val="00F81D16"/>
    <w:rsid w:val="00F9478D"/>
    <w:rsid w:val="00FA0F91"/>
    <w:rsid w:val="00FA29FC"/>
    <w:rsid w:val="00FB0E81"/>
    <w:rsid w:val="00FB3B01"/>
    <w:rsid w:val="00FD330E"/>
    <w:rsid w:val="00FD5CC8"/>
    <w:rsid w:val="00FF0F4A"/>
    <w:rsid w:val="03D3CDA4"/>
    <w:rsid w:val="047BCF7F"/>
    <w:rsid w:val="06E726BD"/>
    <w:rsid w:val="0B128A72"/>
    <w:rsid w:val="0B48E753"/>
    <w:rsid w:val="0BAC9645"/>
    <w:rsid w:val="0C5D85E2"/>
    <w:rsid w:val="0DA97954"/>
    <w:rsid w:val="0DEF8E20"/>
    <w:rsid w:val="0E4576EA"/>
    <w:rsid w:val="0E60F194"/>
    <w:rsid w:val="0EE83316"/>
    <w:rsid w:val="1107DF67"/>
    <w:rsid w:val="11329117"/>
    <w:rsid w:val="11B6515C"/>
    <w:rsid w:val="11CCE4EB"/>
    <w:rsid w:val="143407C9"/>
    <w:rsid w:val="161D9085"/>
    <w:rsid w:val="1722B58D"/>
    <w:rsid w:val="17C43736"/>
    <w:rsid w:val="1DB00171"/>
    <w:rsid w:val="1F0F8624"/>
    <w:rsid w:val="1F428386"/>
    <w:rsid w:val="23C8097D"/>
    <w:rsid w:val="24006E4C"/>
    <w:rsid w:val="240F737C"/>
    <w:rsid w:val="24460EC1"/>
    <w:rsid w:val="251E7E48"/>
    <w:rsid w:val="25637537"/>
    <w:rsid w:val="275BBF3F"/>
    <w:rsid w:val="27AD036F"/>
    <w:rsid w:val="2840AABB"/>
    <w:rsid w:val="2ACBA40D"/>
    <w:rsid w:val="2B1FFA3B"/>
    <w:rsid w:val="2B399C6F"/>
    <w:rsid w:val="2CD8612D"/>
    <w:rsid w:val="2D821FD3"/>
    <w:rsid w:val="2DBB26B2"/>
    <w:rsid w:val="31987E78"/>
    <w:rsid w:val="31C30D07"/>
    <w:rsid w:val="369C7E0A"/>
    <w:rsid w:val="36BC05D6"/>
    <w:rsid w:val="3985A2A3"/>
    <w:rsid w:val="3A6EF3ED"/>
    <w:rsid w:val="3AB2D217"/>
    <w:rsid w:val="4149387B"/>
    <w:rsid w:val="438B1374"/>
    <w:rsid w:val="43BE5F52"/>
    <w:rsid w:val="44648AAD"/>
    <w:rsid w:val="44C5C594"/>
    <w:rsid w:val="4513BB58"/>
    <w:rsid w:val="4517CD92"/>
    <w:rsid w:val="4582615D"/>
    <w:rsid w:val="48F84C86"/>
    <w:rsid w:val="4B4941DF"/>
    <w:rsid w:val="4C011750"/>
    <w:rsid w:val="4C23A329"/>
    <w:rsid w:val="4EB984D9"/>
    <w:rsid w:val="4F56CD0A"/>
    <w:rsid w:val="4F85050F"/>
    <w:rsid w:val="4F8F8150"/>
    <w:rsid w:val="53BB70EA"/>
    <w:rsid w:val="55079B4A"/>
    <w:rsid w:val="5A23A55C"/>
    <w:rsid w:val="5AD3D321"/>
    <w:rsid w:val="5AEA7565"/>
    <w:rsid w:val="5BA6B97D"/>
    <w:rsid w:val="5DB76199"/>
    <w:rsid w:val="5F177EBF"/>
    <w:rsid w:val="64BE71D3"/>
    <w:rsid w:val="65B8667C"/>
    <w:rsid w:val="65DE0EEB"/>
    <w:rsid w:val="660C4C70"/>
    <w:rsid w:val="6713D9F0"/>
    <w:rsid w:val="698CEAC8"/>
    <w:rsid w:val="699F10AB"/>
    <w:rsid w:val="6A2C04F4"/>
    <w:rsid w:val="6A8C7592"/>
    <w:rsid w:val="6AA0BAF1"/>
    <w:rsid w:val="6AB21786"/>
    <w:rsid w:val="6AD79E37"/>
    <w:rsid w:val="6C369705"/>
    <w:rsid w:val="6C8D4F30"/>
    <w:rsid w:val="6CBCA997"/>
    <w:rsid w:val="6DC94570"/>
    <w:rsid w:val="6FCCBBBA"/>
    <w:rsid w:val="70A3165D"/>
    <w:rsid w:val="7468DA58"/>
    <w:rsid w:val="74DFB4E9"/>
    <w:rsid w:val="7643A5E5"/>
    <w:rsid w:val="7AFF506C"/>
    <w:rsid w:val="7C87B04F"/>
    <w:rsid w:val="7FBD0FD7"/>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2BB3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24E7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24775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F2942"/>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3D71C3"/>
  </w:style>
  <w:style w:type="character" w:customStyle="1" w:styleId="FootnoteTextChar">
    <w:name w:val="Footnote Text Char"/>
    <w:basedOn w:val="DefaultParagraphFont"/>
    <w:link w:val="FootnoteText"/>
    <w:uiPriority w:val="99"/>
    <w:rsid w:val="003D71C3"/>
  </w:style>
  <w:style w:type="character" w:styleId="FootnoteReference">
    <w:name w:val="footnote reference"/>
    <w:basedOn w:val="DefaultParagraphFont"/>
    <w:uiPriority w:val="99"/>
    <w:unhideWhenUsed/>
    <w:rsid w:val="003D71C3"/>
    <w:rPr>
      <w:vertAlign w:val="superscript"/>
    </w:rPr>
  </w:style>
  <w:style w:type="paragraph" w:styleId="ListParagraph">
    <w:name w:val="List Paragraph"/>
    <w:basedOn w:val="Normal"/>
    <w:uiPriority w:val="34"/>
    <w:qFormat/>
    <w:rsid w:val="005519ED"/>
    <w:pPr>
      <w:ind w:left="720"/>
      <w:contextualSpacing/>
    </w:pPr>
  </w:style>
  <w:style w:type="paragraph" w:styleId="EndnoteText">
    <w:name w:val="endnote text"/>
    <w:basedOn w:val="Normal"/>
    <w:link w:val="EndnoteTextChar"/>
    <w:uiPriority w:val="99"/>
    <w:unhideWhenUsed/>
    <w:rsid w:val="009C7A8C"/>
  </w:style>
  <w:style w:type="character" w:customStyle="1" w:styleId="EndnoteTextChar">
    <w:name w:val="Endnote Text Char"/>
    <w:basedOn w:val="DefaultParagraphFont"/>
    <w:link w:val="EndnoteText"/>
    <w:uiPriority w:val="99"/>
    <w:rsid w:val="009C7A8C"/>
  </w:style>
  <w:style w:type="character" w:styleId="EndnoteReference">
    <w:name w:val="endnote reference"/>
    <w:basedOn w:val="DefaultParagraphFont"/>
    <w:uiPriority w:val="99"/>
    <w:unhideWhenUsed/>
    <w:rsid w:val="009C7A8C"/>
    <w:rPr>
      <w:vertAlign w:val="superscript"/>
    </w:rPr>
  </w:style>
  <w:style w:type="paragraph" w:styleId="BalloonText">
    <w:name w:val="Balloon Text"/>
    <w:basedOn w:val="Normal"/>
    <w:link w:val="BalloonTextChar"/>
    <w:uiPriority w:val="99"/>
    <w:semiHidden/>
    <w:unhideWhenUsed/>
    <w:rsid w:val="009C7A8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C7A8C"/>
    <w:rPr>
      <w:rFonts w:ascii="Lucida Grande" w:hAnsi="Lucida Grande" w:cs="Lucida Grande"/>
      <w:sz w:val="18"/>
      <w:szCs w:val="18"/>
    </w:rPr>
  </w:style>
  <w:style w:type="character" w:customStyle="1" w:styleId="Heading1Char">
    <w:name w:val="Heading 1 Char"/>
    <w:basedOn w:val="DefaultParagraphFont"/>
    <w:link w:val="Heading1"/>
    <w:uiPriority w:val="9"/>
    <w:rsid w:val="00224E71"/>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88364D"/>
    <w:pPr>
      <w:spacing w:line="276" w:lineRule="auto"/>
      <w:outlineLvl w:val="9"/>
    </w:pPr>
    <w:rPr>
      <w:color w:val="365F91" w:themeColor="accent1" w:themeShade="BF"/>
      <w:sz w:val="28"/>
      <w:szCs w:val="28"/>
      <w:lang w:val="en-US"/>
    </w:rPr>
  </w:style>
  <w:style w:type="paragraph" w:styleId="TOC1">
    <w:name w:val="toc 1"/>
    <w:basedOn w:val="Normal"/>
    <w:next w:val="Normal"/>
    <w:autoRedefine/>
    <w:uiPriority w:val="39"/>
    <w:unhideWhenUsed/>
    <w:rsid w:val="0088364D"/>
    <w:pPr>
      <w:spacing w:before="120"/>
    </w:pPr>
    <w:rPr>
      <w:b/>
    </w:rPr>
  </w:style>
  <w:style w:type="paragraph" w:styleId="TOC2">
    <w:name w:val="toc 2"/>
    <w:basedOn w:val="Normal"/>
    <w:next w:val="Normal"/>
    <w:autoRedefine/>
    <w:uiPriority w:val="39"/>
    <w:unhideWhenUsed/>
    <w:rsid w:val="0088364D"/>
    <w:pPr>
      <w:ind w:left="240"/>
    </w:pPr>
    <w:rPr>
      <w:b/>
      <w:sz w:val="22"/>
      <w:szCs w:val="22"/>
    </w:rPr>
  </w:style>
  <w:style w:type="paragraph" w:styleId="TOC3">
    <w:name w:val="toc 3"/>
    <w:basedOn w:val="Normal"/>
    <w:next w:val="Normal"/>
    <w:autoRedefine/>
    <w:uiPriority w:val="39"/>
    <w:unhideWhenUsed/>
    <w:rsid w:val="00452586"/>
    <w:pPr>
      <w:ind w:left="480"/>
    </w:pPr>
    <w:rPr>
      <w:sz w:val="22"/>
      <w:szCs w:val="22"/>
    </w:rPr>
  </w:style>
  <w:style w:type="paragraph" w:styleId="TOC4">
    <w:name w:val="toc 4"/>
    <w:basedOn w:val="Normal"/>
    <w:next w:val="Normal"/>
    <w:autoRedefine/>
    <w:uiPriority w:val="39"/>
    <w:semiHidden/>
    <w:unhideWhenUsed/>
    <w:rsid w:val="0088364D"/>
    <w:pPr>
      <w:ind w:left="720"/>
    </w:pPr>
    <w:rPr>
      <w:sz w:val="20"/>
      <w:szCs w:val="20"/>
    </w:rPr>
  </w:style>
  <w:style w:type="paragraph" w:styleId="TOC5">
    <w:name w:val="toc 5"/>
    <w:basedOn w:val="Normal"/>
    <w:next w:val="Normal"/>
    <w:autoRedefine/>
    <w:uiPriority w:val="39"/>
    <w:semiHidden/>
    <w:unhideWhenUsed/>
    <w:rsid w:val="0088364D"/>
    <w:pPr>
      <w:ind w:left="960"/>
    </w:pPr>
    <w:rPr>
      <w:sz w:val="20"/>
      <w:szCs w:val="20"/>
    </w:rPr>
  </w:style>
  <w:style w:type="paragraph" w:styleId="TOC6">
    <w:name w:val="toc 6"/>
    <w:basedOn w:val="Normal"/>
    <w:next w:val="Normal"/>
    <w:autoRedefine/>
    <w:uiPriority w:val="39"/>
    <w:semiHidden/>
    <w:unhideWhenUsed/>
    <w:rsid w:val="0088364D"/>
    <w:pPr>
      <w:ind w:left="1200"/>
    </w:pPr>
    <w:rPr>
      <w:sz w:val="20"/>
      <w:szCs w:val="20"/>
    </w:rPr>
  </w:style>
  <w:style w:type="paragraph" w:styleId="TOC7">
    <w:name w:val="toc 7"/>
    <w:basedOn w:val="Normal"/>
    <w:next w:val="Normal"/>
    <w:autoRedefine/>
    <w:uiPriority w:val="39"/>
    <w:semiHidden/>
    <w:unhideWhenUsed/>
    <w:rsid w:val="0088364D"/>
    <w:pPr>
      <w:ind w:left="1440"/>
    </w:pPr>
    <w:rPr>
      <w:sz w:val="20"/>
      <w:szCs w:val="20"/>
    </w:rPr>
  </w:style>
  <w:style w:type="paragraph" w:styleId="TOC8">
    <w:name w:val="toc 8"/>
    <w:basedOn w:val="Normal"/>
    <w:next w:val="Normal"/>
    <w:autoRedefine/>
    <w:uiPriority w:val="39"/>
    <w:semiHidden/>
    <w:unhideWhenUsed/>
    <w:rsid w:val="0088364D"/>
    <w:pPr>
      <w:ind w:left="1680"/>
    </w:pPr>
    <w:rPr>
      <w:sz w:val="20"/>
      <w:szCs w:val="20"/>
    </w:rPr>
  </w:style>
  <w:style w:type="paragraph" w:styleId="TOC9">
    <w:name w:val="toc 9"/>
    <w:basedOn w:val="Normal"/>
    <w:next w:val="Normal"/>
    <w:autoRedefine/>
    <w:uiPriority w:val="39"/>
    <w:semiHidden/>
    <w:unhideWhenUsed/>
    <w:rsid w:val="0088364D"/>
    <w:pPr>
      <w:ind w:left="1920"/>
    </w:pPr>
    <w:rPr>
      <w:sz w:val="20"/>
      <w:szCs w:val="20"/>
    </w:rPr>
  </w:style>
  <w:style w:type="table" w:styleId="TableGrid">
    <w:name w:val="Table Grid"/>
    <w:basedOn w:val="TableNormal"/>
    <w:uiPriority w:val="59"/>
    <w:rsid w:val="00FD5C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D9461B"/>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ibliography">
    <w:name w:val="Bibliography"/>
    <w:basedOn w:val="Normal"/>
    <w:next w:val="Normal"/>
    <w:uiPriority w:val="37"/>
    <w:unhideWhenUsed/>
    <w:rsid w:val="00D9461B"/>
  </w:style>
  <w:style w:type="character" w:styleId="Hyperlink">
    <w:name w:val="Hyperlink"/>
    <w:basedOn w:val="DefaultParagraphFont"/>
    <w:uiPriority w:val="99"/>
    <w:unhideWhenUsed/>
    <w:rsid w:val="00377801"/>
    <w:rPr>
      <w:color w:val="0000FF" w:themeColor="hyperlink"/>
      <w:u w:val="single"/>
    </w:rPr>
  </w:style>
  <w:style w:type="paragraph" w:customStyle="1" w:styleId="EndNoteBibliographyTitle">
    <w:name w:val="EndNote Bibliography Title"/>
    <w:basedOn w:val="Normal"/>
    <w:rsid w:val="005B501F"/>
    <w:pPr>
      <w:jc w:val="center"/>
    </w:pPr>
    <w:rPr>
      <w:rFonts w:ascii="Cambria" w:hAnsi="Cambria"/>
      <w:lang w:val="en-US"/>
    </w:rPr>
  </w:style>
  <w:style w:type="paragraph" w:customStyle="1" w:styleId="EndNoteBibliography">
    <w:name w:val="EndNote Bibliography"/>
    <w:basedOn w:val="Normal"/>
    <w:rsid w:val="005B501F"/>
    <w:rPr>
      <w:rFonts w:ascii="Cambria" w:hAnsi="Cambria"/>
      <w:lang w:val="en-US"/>
    </w:rPr>
  </w:style>
  <w:style w:type="paragraph" w:styleId="Header">
    <w:name w:val="header"/>
    <w:basedOn w:val="Normal"/>
    <w:link w:val="HeaderChar"/>
    <w:uiPriority w:val="99"/>
    <w:unhideWhenUsed/>
    <w:rsid w:val="00AF0C50"/>
    <w:pPr>
      <w:tabs>
        <w:tab w:val="center" w:pos="4153"/>
        <w:tab w:val="right" w:pos="8306"/>
      </w:tabs>
    </w:pPr>
  </w:style>
  <w:style w:type="character" w:customStyle="1" w:styleId="HeaderChar">
    <w:name w:val="Header Char"/>
    <w:basedOn w:val="DefaultParagraphFont"/>
    <w:link w:val="Header"/>
    <w:uiPriority w:val="99"/>
    <w:rsid w:val="00AF0C50"/>
  </w:style>
  <w:style w:type="paragraph" w:styleId="Footer">
    <w:name w:val="footer"/>
    <w:basedOn w:val="Normal"/>
    <w:link w:val="FooterChar"/>
    <w:uiPriority w:val="99"/>
    <w:unhideWhenUsed/>
    <w:rsid w:val="00AF0C50"/>
    <w:pPr>
      <w:tabs>
        <w:tab w:val="center" w:pos="4153"/>
        <w:tab w:val="right" w:pos="8306"/>
      </w:tabs>
    </w:pPr>
  </w:style>
  <w:style w:type="character" w:customStyle="1" w:styleId="FooterChar">
    <w:name w:val="Footer Char"/>
    <w:basedOn w:val="DefaultParagraphFont"/>
    <w:link w:val="Footer"/>
    <w:uiPriority w:val="99"/>
    <w:rsid w:val="00AF0C50"/>
  </w:style>
  <w:style w:type="character" w:styleId="PlaceholderText">
    <w:name w:val="Placeholder Text"/>
    <w:basedOn w:val="DefaultParagraphFont"/>
    <w:uiPriority w:val="99"/>
    <w:semiHidden/>
    <w:rsid w:val="001D5F06"/>
    <w:rPr>
      <w:color w:val="808080"/>
    </w:rPr>
  </w:style>
  <w:style w:type="character" w:styleId="CommentReference">
    <w:name w:val="annotation reference"/>
    <w:basedOn w:val="DefaultParagraphFont"/>
    <w:uiPriority w:val="99"/>
    <w:semiHidden/>
    <w:unhideWhenUsed/>
    <w:rsid w:val="00FA29FC"/>
    <w:rPr>
      <w:sz w:val="16"/>
      <w:szCs w:val="16"/>
    </w:rPr>
  </w:style>
  <w:style w:type="paragraph" w:styleId="CommentText">
    <w:name w:val="annotation text"/>
    <w:basedOn w:val="Normal"/>
    <w:link w:val="CommentTextChar"/>
    <w:uiPriority w:val="99"/>
    <w:semiHidden/>
    <w:unhideWhenUsed/>
    <w:rsid w:val="00FA29FC"/>
    <w:rPr>
      <w:sz w:val="20"/>
      <w:szCs w:val="20"/>
    </w:rPr>
  </w:style>
  <w:style w:type="character" w:customStyle="1" w:styleId="CommentTextChar">
    <w:name w:val="Comment Text Char"/>
    <w:basedOn w:val="DefaultParagraphFont"/>
    <w:link w:val="CommentText"/>
    <w:uiPriority w:val="99"/>
    <w:semiHidden/>
    <w:rsid w:val="00FA29FC"/>
    <w:rPr>
      <w:sz w:val="20"/>
      <w:szCs w:val="20"/>
    </w:rPr>
  </w:style>
  <w:style w:type="paragraph" w:styleId="CommentSubject">
    <w:name w:val="annotation subject"/>
    <w:basedOn w:val="CommentText"/>
    <w:next w:val="CommentText"/>
    <w:link w:val="CommentSubjectChar"/>
    <w:uiPriority w:val="99"/>
    <w:semiHidden/>
    <w:unhideWhenUsed/>
    <w:rsid w:val="00FA29FC"/>
    <w:rPr>
      <w:b/>
      <w:bCs/>
    </w:rPr>
  </w:style>
  <w:style w:type="character" w:customStyle="1" w:styleId="CommentSubjectChar">
    <w:name w:val="Comment Subject Char"/>
    <w:basedOn w:val="CommentTextChar"/>
    <w:link w:val="CommentSubject"/>
    <w:uiPriority w:val="99"/>
    <w:semiHidden/>
    <w:rsid w:val="00FA29FC"/>
    <w:rPr>
      <w:b/>
      <w:bCs/>
      <w:sz w:val="20"/>
      <w:szCs w:val="20"/>
    </w:rPr>
  </w:style>
  <w:style w:type="character" w:customStyle="1" w:styleId="Heading2Char">
    <w:name w:val="Heading 2 Char"/>
    <w:basedOn w:val="DefaultParagraphFont"/>
    <w:link w:val="Heading2"/>
    <w:uiPriority w:val="9"/>
    <w:rsid w:val="0024775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7F2942"/>
    <w:rPr>
      <w:rFonts w:asciiTheme="majorHAnsi" w:eastAsiaTheme="majorEastAsia" w:hAnsiTheme="majorHAnsi" w:cstheme="majorBidi"/>
      <w:b/>
      <w:bCs/>
      <w:color w:val="4F81BD" w:themeColor="accent1"/>
    </w:rPr>
  </w:style>
  <w:style w:type="paragraph" w:styleId="NoSpacing">
    <w:name w:val="No Spacing"/>
    <w:uiPriority w:val="1"/>
    <w:qFormat/>
    <w:rsid w:val="003972CC"/>
  </w:style>
  <w:style w:type="character" w:styleId="PageNumber">
    <w:name w:val="page number"/>
    <w:basedOn w:val="DefaultParagraphFont"/>
    <w:uiPriority w:val="99"/>
    <w:semiHidden/>
    <w:unhideWhenUsed/>
    <w:rsid w:val="00F2374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24E7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24775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F2942"/>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3D71C3"/>
  </w:style>
  <w:style w:type="character" w:customStyle="1" w:styleId="FootnoteTextChar">
    <w:name w:val="Footnote Text Char"/>
    <w:basedOn w:val="DefaultParagraphFont"/>
    <w:link w:val="FootnoteText"/>
    <w:uiPriority w:val="99"/>
    <w:rsid w:val="003D71C3"/>
  </w:style>
  <w:style w:type="character" w:styleId="FootnoteReference">
    <w:name w:val="footnote reference"/>
    <w:basedOn w:val="DefaultParagraphFont"/>
    <w:uiPriority w:val="99"/>
    <w:unhideWhenUsed/>
    <w:rsid w:val="003D71C3"/>
    <w:rPr>
      <w:vertAlign w:val="superscript"/>
    </w:rPr>
  </w:style>
  <w:style w:type="paragraph" w:styleId="ListParagraph">
    <w:name w:val="List Paragraph"/>
    <w:basedOn w:val="Normal"/>
    <w:uiPriority w:val="34"/>
    <w:qFormat/>
    <w:rsid w:val="005519ED"/>
    <w:pPr>
      <w:ind w:left="720"/>
      <w:contextualSpacing/>
    </w:pPr>
  </w:style>
  <w:style w:type="paragraph" w:styleId="EndnoteText">
    <w:name w:val="endnote text"/>
    <w:basedOn w:val="Normal"/>
    <w:link w:val="EndnoteTextChar"/>
    <w:uiPriority w:val="99"/>
    <w:unhideWhenUsed/>
    <w:rsid w:val="009C7A8C"/>
  </w:style>
  <w:style w:type="character" w:customStyle="1" w:styleId="EndnoteTextChar">
    <w:name w:val="Endnote Text Char"/>
    <w:basedOn w:val="DefaultParagraphFont"/>
    <w:link w:val="EndnoteText"/>
    <w:uiPriority w:val="99"/>
    <w:rsid w:val="009C7A8C"/>
  </w:style>
  <w:style w:type="character" w:styleId="EndnoteReference">
    <w:name w:val="endnote reference"/>
    <w:basedOn w:val="DefaultParagraphFont"/>
    <w:uiPriority w:val="99"/>
    <w:unhideWhenUsed/>
    <w:rsid w:val="009C7A8C"/>
    <w:rPr>
      <w:vertAlign w:val="superscript"/>
    </w:rPr>
  </w:style>
  <w:style w:type="paragraph" w:styleId="BalloonText">
    <w:name w:val="Balloon Text"/>
    <w:basedOn w:val="Normal"/>
    <w:link w:val="BalloonTextChar"/>
    <w:uiPriority w:val="99"/>
    <w:semiHidden/>
    <w:unhideWhenUsed/>
    <w:rsid w:val="009C7A8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C7A8C"/>
    <w:rPr>
      <w:rFonts w:ascii="Lucida Grande" w:hAnsi="Lucida Grande" w:cs="Lucida Grande"/>
      <w:sz w:val="18"/>
      <w:szCs w:val="18"/>
    </w:rPr>
  </w:style>
  <w:style w:type="character" w:customStyle="1" w:styleId="Heading1Char">
    <w:name w:val="Heading 1 Char"/>
    <w:basedOn w:val="DefaultParagraphFont"/>
    <w:link w:val="Heading1"/>
    <w:uiPriority w:val="9"/>
    <w:rsid w:val="00224E71"/>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88364D"/>
    <w:pPr>
      <w:spacing w:line="276" w:lineRule="auto"/>
      <w:outlineLvl w:val="9"/>
    </w:pPr>
    <w:rPr>
      <w:color w:val="365F91" w:themeColor="accent1" w:themeShade="BF"/>
      <w:sz w:val="28"/>
      <w:szCs w:val="28"/>
      <w:lang w:val="en-US"/>
    </w:rPr>
  </w:style>
  <w:style w:type="paragraph" w:styleId="TOC1">
    <w:name w:val="toc 1"/>
    <w:basedOn w:val="Normal"/>
    <w:next w:val="Normal"/>
    <w:autoRedefine/>
    <w:uiPriority w:val="39"/>
    <w:unhideWhenUsed/>
    <w:rsid w:val="0088364D"/>
    <w:pPr>
      <w:spacing w:before="120"/>
    </w:pPr>
    <w:rPr>
      <w:b/>
    </w:rPr>
  </w:style>
  <w:style w:type="paragraph" w:styleId="TOC2">
    <w:name w:val="toc 2"/>
    <w:basedOn w:val="Normal"/>
    <w:next w:val="Normal"/>
    <w:autoRedefine/>
    <w:uiPriority w:val="39"/>
    <w:unhideWhenUsed/>
    <w:rsid w:val="0088364D"/>
    <w:pPr>
      <w:ind w:left="240"/>
    </w:pPr>
    <w:rPr>
      <w:b/>
      <w:sz w:val="22"/>
      <w:szCs w:val="22"/>
    </w:rPr>
  </w:style>
  <w:style w:type="paragraph" w:styleId="TOC3">
    <w:name w:val="toc 3"/>
    <w:basedOn w:val="Normal"/>
    <w:next w:val="Normal"/>
    <w:autoRedefine/>
    <w:uiPriority w:val="39"/>
    <w:unhideWhenUsed/>
    <w:rsid w:val="00452586"/>
    <w:pPr>
      <w:ind w:left="480"/>
    </w:pPr>
    <w:rPr>
      <w:sz w:val="22"/>
      <w:szCs w:val="22"/>
    </w:rPr>
  </w:style>
  <w:style w:type="paragraph" w:styleId="TOC4">
    <w:name w:val="toc 4"/>
    <w:basedOn w:val="Normal"/>
    <w:next w:val="Normal"/>
    <w:autoRedefine/>
    <w:uiPriority w:val="39"/>
    <w:semiHidden/>
    <w:unhideWhenUsed/>
    <w:rsid w:val="0088364D"/>
    <w:pPr>
      <w:ind w:left="720"/>
    </w:pPr>
    <w:rPr>
      <w:sz w:val="20"/>
      <w:szCs w:val="20"/>
    </w:rPr>
  </w:style>
  <w:style w:type="paragraph" w:styleId="TOC5">
    <w:name w:val="toc 5"/>
    <w:basedOn w:val="Normal"/>
    <w:next w:val="Normal"/>
    <w:autoRedefine/>
    <w:uiPriority w:val="39"/>
    <w:semiHidden/>
    <w:unhideWhenUsed/>
    <w:rsid w:val="0088364D"/>
    <w:pPr>
      <w:ind w:left="960"/>
    </w:pPr>
    <w:rPr>
      <w:sz w:val="20"/>
      <w:szCs w:val="20"/>
    </w:rPr>
  </w:style>
  <w:style w:type="paragraph" w:styleId="TOC6">
    <w:name w:val="toc 6"/>
    <w:basedOn w:val="Normal"/>
    <w:next w:val="Normal"/>
    <w:autoRedefine/>
    <w:uiPriority w:val="39"/>
    <w:semiHidden/>
    <w:unhideWhenUsed/>
    <w:rsid w:val="0088364D"/>
    <w:pPr>
      <w:ind w:left="1200"/>
    </w:pPr>
    <w:rPr>
      <w:sz w:val="20"/>
      <w:szCs w:val="20"/>
    </w:rPr>
  </w:style>
  <w:style w:type="paragraph" w:styleId="TOC7">
    <w:name w:val="toc 7"/>
    <w:basedOn w:val="Normal"/>
    <w:next w:val="Normal"/>
    <w:autoRedefine/>
    <w:uiPriority w:val="39"/>
    <w:semiHidden/>
    <w:unhideWhenUsed/>
    <w:rsid w:val="0088364D"/>
    <w:pPr>
      <w:ind w:left="1440"/>
    </w:pPr>
    <w:rPr>
      <w:sz w:val="20"/>
      <w:szCs w:val="20"/>
    </w:rPr>
  </w:style>
  <w:style w:type="paragraph" w:styleId="TOC8">
    <w:name w:val="toc 8"/>
    <w:basedOn w:val="Normal"/>
    <w:next w:val="Normal"/>
    <w:autoRedefine/>
    <w:uiPriority w:val="39"/>
    <w:semiHidden/>
    <w:unhideWhenUsed/>
    <w:rsid w:val="0088364D"/>
    <w:pPr>
      <w:ind w:left="1680"/>
    </w:pPr>
    <w:rPr>
      <w:sz w:val="20"/>
      <w:szCs w:val="20"/>
    </w:rPr>
  </w:style>
  <w:style w:type="paragraph" w:styleId="TOC9">
    <w:name w:val="toc 9"/>
    <w:basedOn w:val="Normal"/>
    <w:next w:val="Normal"/>
    <w:autoRedefine/>
    <w:uiPriority w:val="39"/>
    <w:semiHidden/>
    <w:unhideWhenUsed/>
    <w:rsid w:val="0088364D"/>
    <w:pPr>
      <w:ind w:left="1920"/>
    </w:pPr>
    <w:rPr>
      <w:sz w:val="20"/>
      <w:szCs w:val="20"/>
    </w:rPr>
  </w:style>
  <w:style w:type="table" w:styleId="TableGrid">
    <w:name w:val="Table Grid"/>
    <w:basedOn w:val="TableNormal"/>
    <w:uiPriority w:val="59"/>
    <w:rsid w:val="00FD5C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D9461B"/>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ibliography">
    <w:name w:val="Bibliography"/>
    <w:basedOn w:val="Normal"/>
    <w:next w:val="Normal"/>
    <w:uiPriority w:val="37"/>
    <w:unhideWhenUsed/>
    <w:rsid w:val="00D9461B"/>
  </w:style>
  <w:style w:type="character" w:styleId="Hyperlink">
    <w:name w:val="Hyperlink"/>
    <w:basedOn w:val="DefaultParagraphFont"/>
    <w:uiPriority w:val="99"/>
    <w:unhideWhenUsed/>
    <w:rsid w:val="00377801"/>
    <w:rPr>
      <w:color w:val="0000FF" w:themeColor="hyperlink"/>
      <w:u w:val="single"/>
    </w:rPr>
  </w:style>
  <w:style w:type="paragraph" w:customStyle="1" w:styleId="EndNoteBibliographyTitle">
    <w:name w:val="EndNote Bibliography Title"/>
    <w:basedOn w:val="Normal"/>
    <w:rsid w:val="005B501F"/>
    <w:pPr>
      <w:jc w:val="center"/>
    </w:pPr>
    <w:rPr>
      <w:rFonts w:ascii="Cambria" w:hAnsi="Cambria"/>
      <w:lang w:val="en-US"/>
    </w:rPr>
  </w:style>
  <w:style w:type="paragraph" w:customStyle="1" w:styleId="EndNoteBibliography">
    <w:name w:val="EndNote Bibliography"/>
    <w:basedOn w:val="Normal"/>
    <w:rsid w:val="005B501F"/>
    <w:rPr>
      <w:rFonts w:ascii="Cambria" w:hAnsi="Cambria"/>
      <w:lang w:val="en-US"/>
    </w:rPr>
  </w:style>
  <w:style w:type="paragraph" w:styleId="Header">
    <w:name w:val="header"/>
    <w:basedOn w:val="Normal"/>
    <w:link w:val="HeaderChar"/>
    <w:uiPriority w:val="99"/>
    <w:unhideWhenUsed/>
    <w:rsid w:val="00AF0C50"/>
    <w:pPr>
      <w:tabs>
        <w:tab w:val="center" w:pos="4153"/>
        <w:tab w:val="right" w:pos="8306"/>
      </w:tabs>
    </w:pPr>
  </w:style>
  <w:style w:type="character" w:customStyle="1" w:styleId="HeaderChar">
    <w:name w:val="Header Char"/>
    <w:basedOn w:val="DefaultParagraphFont"/>
    <w:link w:val="Header"/>
    <w:uiPriority w:val="99"/>
    <w:rsid w:val="00AF0C50"/>
  </w:style>
  <w:style w:type="paragraph" w:styleId="Footer">
    <w:name w:val="footer"/>
    <w:basedOn w:val="Normal"/>
    <w:link w:val="FooterChar"/>
    <w:uiPriority w:val="99"/>
    <w:unhideWhenUsed/>
    <w:rsid w:val="00AF0C50"/>
    <w:pPr>
      <w:tabs>
        <w:tab w:val="center" w:pos="4153"/>
        <w:tab w:val="right" w:pos="8306"/>
      </w:tabs>
    </w:pPr>
  </w:style>
  <w:style w:type="character" w:customStyle="1" w:styleId="FooterChar">
    <w:name w:val="Footer Char"/>
    <w:basedOn w:val="DefaultParagraphFont"/>
    <w:link w:val="Footer"/>
    <w:uiPriority w:val="99"/>
    <w:rsid w:val="00AF0C50"/>
  </w:style>
  <w:style w:type="character" w:styleId="PlaceholderText">
    <w:name w:val="Placeholder Text"/>
    <w:basedOn w:val="DefaultParagraphFont"/>
    <w:uiPriority w:val="99"/>
    <w:semiHidden/>
    <w:rsid w:val="001D5F06"/>
    <w:rPr>
      <w:color w:val="808080"/>
    </w:rPr>
  </w:style>
  <w:style w:type="character" w:styleId="CommentReference">
    <w:name w:val="annotation reference"/>
    <w:basedOn w:val="DefaultParagraphFont"/>
    <w:uiPriority w:val="99"/>
    <w:semiHidden/>
    <w:unhideWhenUsed/>
    <w:rsid w:val="00FA29FC"/>
    <w:rPr>
      <w:sz w:val="16"/>
      <w:szCs w:val="16"/>
    </w:rPr>
  </w:style>
  <w:style w:type="paragraph" w:styleId="CommentText">
    <w:name w:val="annotation text"/>
    <w:basedOn w:val="Normal"/>
    <w:link w:val="CommentTextChar"/>
    <w:uiPriority w:val="99"/>
    <w:semiHidden/>
    <w:unhideWhenUsed/>
    <w:rsid w:val="00FA29FC"/>
    <w:rPr>
      <w:sz w:val="20"/>
      <w:szCs w:val="20"/>
    </w:rPr>
  </w:style>
  <w:style w:type="character" w:customStyle="1" w:styleId="CommentTextChar">
    <w:name w:val="Comment Text Char"/>
    <w:basedOn w:val="DefaultParagraphFont"/>
    <w:link w:val="CommentText"/>
    <w:uiPriority w:val="99"/>
    <w:semiHidden/>
    <w:rsid w:val="00FA29FC"/>
    <w:rPr>
      <w:sz w:val="20"/>
      <w:szCs w:val="20"/>
    </w:rPr>
  </w:style>
  <w:style w:type="paragraph" w:styleId="CommentSubject">
    <w:name w:val="annotation subject"/>
    <w:basedOn w:val="CommentText"/>
    <w:next w:val="CommentText"/>
    <w:link w:val="CommentSubjectChar"/>
    <w:uiPriority w:val="99"/>
    <w:semiHidden/>
    <w:unhideWhenUsed/>
    <w:rsid w:val="00FA29FC"/>
    <w:rPr>
      <w:b/>
      <w:bCs/>
    </w:rPr>
  </w:style>
  <w:style w:type="character" w:customStyle="1" w:styleId="CommentSubjectChar">
    <w:name w:val="Comment Subject Char"/>
    <w:basedOn w:val="CommentTextChar"/>
    <w:link w:val="CommentSubject"/>
    <w:uiPriority w:val="99"/>
    <w:semiHidden/>
    <w:rsid w:val="00FA29FC"/>
    <w:rPr>
      <w:b/>
      <w:bCs/>
      <w:sz w:val="20"/>
      <w:szCs w:val="20"/>
    </w:rPr>
  </w:style>
  <w:style w:type="character" w:customStyle="1" w:styleId="Heading2Char">
    <w:name w:val="Heading 2 Char"/>
    <w:basedOn w:val="DefaultParagraphFont"/>
    <w:link w:val="Heading2"/>
    <w:uiPriority w:val="9"/>
    <w:rsid w:val="0024775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7F2942"/>
    <w:rPr>
      <w:rFonts w:asciiTheme="majorHAnsi" w:eastAsiaTheme="majorEastAsia" w:hAnsiTheme="majorHAnsi" w:cstheme="majorBidi"/>
      <w:b/>
      <w:bCs/>
      <w:color w:val="4F81BD" w:themeColor="accent1"/>
    </w:rPr>
  </w:style>
  <w:style w:type="paragraph" w:styleId="NoSpacing">
    <w:name w:val="No Spacing"/>
    <w:uiPriority w:val="1"/>
    <w:qFormat/>
    <w:rsid w:val="003972CC"/>
  </w:style>
  <w:style w:type="character" w:styleId="PageNumber">
    <w:name w:val="page number"/>
    <w:basedOn w:val="DefaultParagraphFont"/>
    <w:uiPriority w:val="99"/>
    <w:semiHidden/>
    <w:unhideWhenUsed/>
    <w:rsid w:val="00F237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36428">
      <w:bodyDiv w:val="1"/>
      <w:marLeft w:val="0"/>
      <w:marRight w:val="0"/>
      <w:marTop w:val="0"/>
      <w:marBottom w:val="0"/>
      <w:divBdr>
        <w:top w:val="none" w:sz="0" w:space="0" w:color="auto"/>
        <w:left w:val="none" w:sz="0" w:space="0" w:color="auto"/>
        <w:bottom w:val="none" w:sz="0" w:space="0" w:color="auto"/>
        <w:right w:val="none" w:sz="0" w:space="0" w:color="auto"/>
      </w:divBdr>
    </w:div>
    <w:div w:id="52780285">
      <w:bodyDiv w:val="1"/>
      <w:marLeft w:val="0"/>
      <w:marRight w:val="0"/>
      <w:marTop w:val="0"/>
      <w:marBottom w:val="0"/>
      <w:divBdr>
        <w:top w:val="none" w:sz="0" w:space="0" w:color="auto"/>
        <w:left w:val="none" w:sz="0" w:space="0" w:color="auto"/>
        <w:bottom w:val="none" w:sz="0" w:space="0" w:color="auto"/>
        <w:right w:val="none" w:sz="0" w:space="0" w:color="auto"/>
      </w:divBdr>
    </w:div>
    <w:div w:id="59988068">
      <w:bodyDiv w:val="1"/>
      <w:marLeft w:val="0"/>
      <w:marRight w:val="0"/>
      <w:marTop w:val="0"/>
      <w:marBottom w:val="0"/>
      <w:divBdr>
        <w:top w:val="none" w:sz="0" w:space="0" w:color="auto"/>
        <w:left w:val="none" w:sz="0" w:space="0" w:color="auto"/>
        <w:bottom w:val="none" w:sz="0" w:space="0" w:color="auto"/>
        <w:right w:val="none" w:sz="0" w:space="0" w:color="auto"/>
      </w:divBdr>
    </w:div>
    <w:div w:id="170068630">
      <w:bodyDiv w:val="1"/>
      <w:marLeft w:val="0"/>
      <w:marRight w:val="0"/>
      <w:marTop w:val="0"/>
      <w:marBottom w:val="0"/>
      <w:divBdr>
        <w:top w:val="none" w:sz="0" w:space="0" w:color="auto"/>
        <w:left w:val="none" w:sz="0" w:space="0" w:color="auto"/>
        <w:bottom w:val="none" w:sz="0" w:space="0" w:color="auto"/>
        <w:right w:val="none" w:sz="0" w:space="0" w:color="auto"/>
      </w:divBdr>
    </w:div>
    <w:div w:id="236669027">
      <w:bodyDiv w:val="1"/>
      <w:marLeft w:val="0"/>
      <w:marRight w:val="0"/>
      <w:marTop w:val="0"/>
      <w:marBottom w:val="0"/>
      <w:divBdr>
        <w:top w:val="none" w:sz="0" w:space="0" w:color="auto"/>
        <w:left w:val="none" w:sz="0" w:space="0" w:color="auto"/>
        <w:bottom w:val="none" w:sz="0" w:space="0" w:color="auto"/>
        <w:right w:val="none" w:sz="0" w:space="0" w:color="auto"/>
      </w:divBdr>
    </w:div>
    <w:div w:id="293488767">
      <w:bodyDiv w:val="1"/>
      <w:marLeft w:val="0"/>
      <w:marRight w:val="0"/>
      <w:marTop w:val="0"/>
      <w:marBottom w:val="0"/>
      <w:divBdr>
        <w:top w:val="none" w:sz="0" w:space="0" w:color="auto"/>
        <w:left w:val="none" w:sz="0" w:space="0" w:color="auto"/>
        <w:bottom w:val="none" w:sz="0" w:space="0" w:color="auto"/>
        <w:right w:val="none" w:sz="0" w:space="0" w:color="auto"/>
      </w:divBdr>
    </w:div>
    <w:div w:id="298533977">
      <w:bodyDiv w:val="1"/>
      <w:marLeft w:val="0"/>
      <w:marRight w:val="0"/>
      <w:marTop w:val="0"/>
      <w:marBottom w:val="0"/>
      <w:divBdr>
        <w:top w:val="none" w:sz="0" w:space="0" w:color="auto"/>
        <w:left w:val="none" w:sz="0" w:space="0" w:color="auto"/>
        <w:bottom w:val="none" w:sz="0" w:space="0" w:color="auto"/>
        <w:right w:val="none" w:sz="0" w:space="0" w:color="auto"/>
      </w:divBdr>
    </w:div>
    <w:div w:id="332144751">
      <w:bodyDiv w:val="1"/>
      <w:marLeft w:val="0"/>
      <w:marRight w:val="0"/>
      <w:marTop w:val="0"/>
      <w:marBottom w:val="0"/>
      <w:divBdr>
        <w:top w:val="none" w:sz="0" w:space="0" w:color="auto"/>
        <w:left w:val="none" w:sz="0" w:space="0" w:color="auto"/>
        <w:bottom w:val="none" w:sz="0" w:space="0" w:color="auto"/>
        <w:right w:val="none" w:sz="0" w:space="0" w:color="auto"/>
      </w:divBdr>
    </w:div>
    <w:div w:id="338624994">
      <w:bodyDiv w:val="1"/>
      <w:marLeft w:val="0"/>
      <w:marRight w:val="0"/>
      <w:marTop w:val="0"/>
      <w:marBottom w:val="0"/>
      <w:divBdr>
        <w:top w:val="none" w:sz="0" w:space="0" w:color="auto"/>
        <w:left w:val="none" w:sz="0" w:space="0" w:color="auto"/>
        <w:bottom w:val="none" w:sz="0" w:space="0" w:color="auto"/>
        <w:right w:val="none" w:sz="0" w:space="0" w:color="auto"/>
      </w:divBdr>
    </w:div>
    <w:div w:id="356658204">
      <w:bodyDiv w:val="1"/>
      <w:marLeft w:val="0"/>
      <w:marRight w:val="0"/>
      <w:marTop w:val="0"/>
      <w:marBottom w:val="0"/>
      <w:divBdr>
        <w:top w:val="none" w:sz="0" w:space="0" w:color="auto"/>
        <w:left w:val="none" w:sz="0" w:space="0" w:color="auto"/>
        <w:bottom w:val="none" w:sz="0" w:space="0" w:color="auto"/>
        <w:right w:val="none" w:sz="0" w:space="0" w:color="auto"/>
      </w:divBdr>
    </w:div>
    <w:div w:id="432014228">
      <w:bodyDiv w:val="1"/>
      <w:marLeft w:val="0"/>
      <w:marRight w:val="0"/>
      <w:marTop w:val="0"/>
      <w:marBottom w:val="0"/>
      <w:divBdr>
        <w:top w:val="none" w:sz="0" w:space="0" w:color="auto"/>
        <w:left w:val="none" w:sz="0" w:space="0" w:color="auto"/>
        <w:bottom w:val="none" w:sz="0" w:space="0" w:color="auto"/>
        <w:right w:val="none" w:sz="0" w:space="0" w:color="auto"/>
      </w:divBdr>
    </w:div>
    <w:div w:id="518472255">
      <w:bodyDiv w:val="1"/>
      <w:marLeft w:val="0"/>
      <w:marRight w:val="0"/>
      <w:marTop w:val="0"/>
      <w:marBottom w:val="0"/>
      <w:divBdr>
        <w:top w:val="none" w:sz="0" w:space="0" w:color="auto"/>
        <w:left w:val="none" w:sz="0" w:space="0" w:color="auto"/>
        <w:bottom w:val="none" w:sz="0" w:space="0" w:color="auto"/>
        <w:right w:val="none" w:sz="0" w:space="0" w:color="auto"/>
      </w:divBdr>
    </w:div>
    <w:div w:id="649988151">
      <w:bodyDiv w:val="1"/>
      <w:marLeft w:val="0"/>
      <w:marRight w:val="0"/>
      <w:marTop w:val="0"/>
      <w:marBottom w:val="0"/>
      <w:divBdr>
        <w:top w:val="none" w:sz="0" w:space="0" w:color="auto"/>
        <w:left w:val="none" w:sz="0" w:space="0" w:color="auto"/>
        <w:bottom w:val="none" w:sz="0" w:space="0" w:color="auto"/>
        <w:right w:val="none" w:sz="0" w:space="0" w:color="auto"/>
      </w:divBdr>
    </w:div>
    <w:div w:id="672605823">
      <w:bodyDiv w:val="1"/>
      <w:marLeft w:val="0"/>
      <w:marRight w:val="0"/>
      <w:marTop w:val="0"/>
      <w:marBottom w:val="0"/>
      <w:divBdr>
        <w:top w:val="none" w:sz="0" w:space="0" w:color="auto"/>
        <w:left w:val="none" w:sz="0" w:space="0" w:color="auto"/>
        <w:bottom w:val="none" w:sz="0" w:space="0" w:color="auto"/>
        <w:right w:val="none" w:sz="0" w:space="0" w:color="auto"/>
      </w:divBdr>
    </w:div>
    <w:div w:id="674305935">
      <w:bodyDiv w:val="1"/>
      <w:marLeft w:val="0"/>
      <w:marRight w:val="0"/>
      <w:marTop w:val="0"/>
      <w:marBottom w:val="0"/>
      <w:divBdr>
        <w:top w:val="none" w:sz="0" w:space="0" w:color="auto"/>
        <w:left w:val="none" w:sz="0" w:space="0" w:color="auto"/>
        <w:bottom w:val="none" w:sz="0" w:space="0" w:color="auto"/>
        <w:right w:val="none" w:sz="0" w:space="0" w:color="auto"/>
      </w:divBdr>
    </w:div>
    <w:div w:id="798954809">
      <w:bodyDiv w:val="1"/>
      <w:marLeft w:val="0"/>
      <w:marRight w:val="0"/>
      <w:marTop w:val="0"/>
      <w:marBottom w:val="0"/>
      <w:divBdr>
        <w:top w:val="none" w:sz="0" w:space="0" w:color="auto"/>
        <w:left w:val="none" w:sz="0" w:space="0" w:color="auto"/>
        <w:bottom w:val="none" w:sz="0" w:space="0" w:color="auto"/>
        <w:right w:val="none" w:sz="0" w:space="0" w:color="auto"/>
      </w:divBdr>
    </w:div>
    <w:div w:id="884948766">
      <w:bodyDiv w:val="1"/>
      <w:marLeft w:val="0"/>
      <w:marRight w:val="0"/>
      <w:marTop w:val="0"/>
      <w:marBottom w:val="0"/>
      <w:divBdr>
        <w:top w:val="none" w:sz="0" w:space="0" w:color="auto"/>
        <w:left w:val="none" w:sz="0" w:space="0" w:color="auto"/>
        <w:bottom w:val="none" w:sz="0" w:space="0" w:color="auto"/>
        <w:right w:val="none" w:sz="0" w:space="0" w:color="auto"/>
      </w:divBdr>
    </w:div>
    <w:div w:id="956302459">
      <w:bodyDiv w:val="1"/>
      <w:marLeft w:val="0"/>
      <w:marRight w:val="0"/>
      <w:marTop w:val="0"/>
      <w:marBottom w:val="0"/>
      <w:divBdr>
        <w:top w:val="none" w:sz="0" w:space="0" w:color="auto"/>
        <w:left w:val="none" w:sz="0" w:space="0" w:color="auto"/>
        <w:bottom w:val="none" w:sz="0" w:space="0" w:color="auto"/>
        <w:right w:val="none" w:sz="0" w:space="0" w:color="auto"/>
      </w:divBdr>
    </w:div>
    <w:div w:id="967397014">
      <w:bodyDiv w:val="1"/>
      <w:marLeft w:val="0"/>
      <w:marRight w:val="0"/>
      <w:marTop w:val="0"/>
      <w:marBottom w:val="0"/>
      <w:divBdr>
        <w:top w:val="none" w:sz="0" w:space="0" w:color="auto"/>
        <w:left w:val="none" w:sz="0" w:space="0" w:color="auto"/>
        <w:bottom w:val="none" w:sz="0" w:space="0" w:color="auto"/>
        <w:right w:val="none" w:sz="0" w:space="0" w:color="auto"/>
      </w:divBdr>
    </w:div>
    <w:div w:id="1021276478">
      <w:bodyDiv w:val="1"/>
      <w:marLeft w:val="0"/>
      <w:marRight w:val="0"/>
      <w:marTop w:val="0"/>
      <w:marBottom w:val="0"/>
      <w:divBdr>
        <w:top w:val="none" w:sz="0" w:space="0" w:color="auto"/>
        <w:left w:val="none" w:sz="0" w:space="0" w:color="auto"/>
        <w:bottom w:val="none" w:sz="0" w:space="0" w:color="auto"/>
        <w:right w:val="none" w:sz="0" w:space="0" w:color="auto"/>
      </w:divBdr>
    </w:div>
    <w:div w:id="1114639572">
      <w:bodyDiv w:val="1"/>
      <w:marLeft w:val="0"/>
      <w:marRight w:val="0"/>
      <w:marTop w:val="0"/>
      <w:marBottom w:val="0"/>
      <w:divBdr>
        <w:top w:val="none" w:sz="0" w:space="0" w:color="auto"/>
        <w:left w:val="none" w:sz="0" w:space="0" w:color="auto"/>
        <w:bottom w:val="none" w:sz="0" w:space="0" w:color="auto"/>
        <w:right w:val="none" w:sz="0" w:space="0" w:color="auto"/>
      </w:divBdr>
    </w:div>
    <w:div w:id="1144349742">
      <w:bodyDiv w:val="1"/>
      <w:marLeft w:val="0"/>
      <w:marRight w:val="0"/>
      <w:marTop w:val="0"/>
      <w:marBottom w:val="0"/>
      <w:divBdr>
        <w:top w:val="none" w:sz="0" w:space="0" w:color="auto"/>
        <w:left w:val="none" w:sz="0" w:space="0" w:color="auto"/>
        <w:bottom w:val="none" w:sz="0" w:space="0" w:color="auto"/>
        <w:right w:val="none" w:sz="0" w:space="0" w:color="auto"/>
      </w:divBdr>
    </w:div>
    <w:div w:id="1178688843">
      <w:bodyDiv w:val="1"/>
      <w:marLeft w:val="0"/>
      <w:marRight w:val="0"/>
      <w:marTop w:val="0"/>
      <w:marBottom w:val="0"/>
      <w:divBdr>
        <w:top w:val="none" w:sz="0" w:space="0" w:color="auto"/>
        <w:left w:val="none" w:sz="0" w:space="0" w:color="auto"/>
        <w:bottom w:val="none" w:sz="0" w:space="0" w:color="auto"/>
        <w:right w:val="none" w:sz="0" w:space="0" w:color="auto"/>
      </w:divBdr>
    </w:div>
    <w:div w:id="1185630460">
      <w:bodyDiv w:val="1"/>
      <w:marLeft w:val="0"/>
      <w:marRight w:val="0"/>
      <w:marTop w:val="0"/>
      <w:marBottom w:val="0"/>
      <w:divBdr>
        <w:top w:val="none" w:sz="0" w:space="0" w:color="auto"/>
        <w:left w:val="none" w:sz="0" w:space="0" w:color="auto"/>
        <w:bottom w:val="none" w:sz="0" w:space="0" w:color="auto"/>
        <w:right w:val="none" w:sz="0" w:space="0" w:color="auto"/>
      </w:divBdr>
    </w:div>
    <w:div w:id="1189026047">
      <w:bodyDiv w:val="1"/>
      <w:marLeft w:val="0"/>
      <w:marRight w:val="0"/>
      <w:marTop w:val="0"/>
      <w:marBottom w:val="0"/>
      <w:divBdr>
        <w:top w:val="none" w:sz="0" w:space="0" w:color="auto"/>
        <w:left w:val="none" w:sz="0" w:space="0" w:color="auto"/>
        <w:bottom w:val="none" w:sz="0" w:space="0" w:color="auto"/>
        <w:right w:val="none" w:sz="0" w:space="0" w:color="auto"/>
      </w:divBdr>
    </w:div>
    <w:div w:id="1213275588">
      <w:bodyDiv w:val="1"/>
      <w:marLeft w:val="0"/>
      <w:marRight w:val="0"/>
      <w:marTop w:val="0"/>
      <w:marBottom w:val="0"/>
      <w:divBdr>
        <w:top w:val="none" w:sz="0" w:space="0" w:color="auto"/>
        <w:left w:val="none" w:sz="0" w:space="0" w:color="auto"/>
        <w:bottom w:val="none" w:sz="0" w:space="0" w:color="auto"/>
        <w:right w:val="none" w:sz="0" w:space="0" w:color="auto"/>
      </w:divBdr>
    </w:div>
    <w:div w:id="1284581789">
      <w:bodyDiv w:val="1"/>
      <w:marLeft w:val="0"/>
      <w:marRight w:val="0"/>
      <w:marTop w:val="0"/>
      <w:marBottom w:val="0"/>
      <w:divBdr>
        <w:top w:val="none" w:sz="0" w:space="0" w:color="auto"/>
        <w:left w:val="none" w:sz="0" w:space="0" w:color="auto"/>
        <w:bottom w:val="none" w:sz="0" w:space="0" w:color="auto"/>
        <w:right w:val="none" w:sz="0" w:space="0" w:color="auto"/>
      </w:divBdr>
    </w:div>
    <w:div w:id="1288850955">
      <w:bodyDiv w:val="1"/>
      <w:marLeft w:val="0"/>
      <w:marRight w:val="0"/>
      <w:marTop w:val="0"/>
      <w:marBottom w:val="0"/>
      <w:divBdr>
        <w:top w:val="none" w:sz="0" w:space="0" w:color="auto"/>
        <w:left w:val="none" w:sz="0" w:space="0" w:color="auto"/>
        <w:bottom w:val="none" w:sz="0" w:space="0" w:color="auto"/>
        <w:right w:val="none" w:sz="0" w:space="0" w:color="auto"/>
      </w:divBdr>
    </w:div>
    <w:div w:id="1410688010">
      <w:bodyDiv w:val="1"/>
      <w:marLeft w:val="0"/>
      <w:marRight w:val="0"/>
      <w:marTop w:val="0"/>
      <w:marBottom w:val="0"/>
      <w:divBdr>
        <w:top w:val="none" w:sz="0" w:space="0" w:color="auto"/>
        <w:left w:val="none" w:sz="0" w:space="0" w:color="auto"/>
        <w:bottom w:val="none" w:sz="0" w:space="0" w:color="auto"/>
        <w:right w:val="none" w:sz="0" w:space="0" w:color="auto"/>
      </w:divBdr>
    </w:div>
    <w:div w:id="1539510387">
      <w:bodyDiv w:val="1"/>
      <w:marLeft w:val="0"/>
      <w:marRight w:val="0"/>
      <w:marTop w:val="0"/>
      <w:marBottom w:val="0"/>
      <w:divBdr>
        <w:top w:val="none" w:sz="0" w:space="0" w:color="auto"/>
        <w:left w:val="none" w:sz="0" w:space="0" w:color="auto"/>
        <w:bottom w:val="none" w:sz="0" w:space="0" w:color="auto"/>
        <w:right w:val="none" w:sz="0" w:space="0" w:color="auto"/>
      </w:divBdr>
    </w:div>
    <w:div w:id="1542133345">
      <w:bodyDiv w:val="1"/>
      <w:marLeft w:val="0"/>
      <w:marRight w:val="0"/>
      <w:marTop w:val="0"/>
      <w:marBottom w:val="0"/>
      <w:divBdr>
        <w:top w:val="none" w:sz="0" w:space="0" w:color="auto"/>
        <w:left w:val="none" w:sz="0" w:space="0" w:color="auto"/>
        <w:bottom w:val="none" w:sz="0" w:space="0" w:color="auto"/>
        <w:right w:val="none" w:sz="0" w:space="0" w:color="auto"/>
      </w:divBdr>
    </w:div>
    <w:div w:id="1546715860">
      <w:bodyDiv w:val="1"/>
      <w:marLeft w:val="0"/>
      <w:marRight w:val="0"/>
      <w:marTop w:val="0"/>
      <w:marBottom w:val="0"/>
      <w:divBdr>
        <w:top w:val="none" w:sz="0" w:space="0" w:color="auto"/>
        <w:left w:val="none" w:sz="0" w:space="0" w:color="auto"/>
        <w:bottom w:val="none" w:sz="0" w:space="0" w:color="auto"/>
        <w:right w:val="none" w:sz="0" w:space="0" w:color="auto"/>
      </w:divBdr>
    </w:div>
    <w:div w:id="1582836484">
      <w:bodyDiv w:val="1"/>
      <w:marLeft w:val="0"/>
      <w:marRight w:val="0"/>
      <w:marTop w:val="0"/>
      <w:marBottom w:val="0"/>
      <w:divBdr>
        <w:top w:val="none" w:sz="0" w:space="0" w:color="auto"/>
        <w:left w:val="none" w:sz="0" w:space="0" w:color="auto"/>
        <w:bottom w:val="none" w:sz="0" w:space="0" w:color="auto"/>
        <w:right w:val="none" w:sz="0" w:space="0" w:color="auto"/>
      </w:divBdr>
    </w:div>
    <w:div w:id="1717731096">
      <w:bodyDiv w:val="1"/>
      <w:marLeft w:val="0"/>
      <w:marRight w:val="0"/>
      <w:marTop w:val="0"/>
      <w:marBottom w:val="0"/>
      <w:divBdr>
        <w:top w:val="none" w:sz="0" w:space="0" w:color="auto"/>
        <w:left w:val="none" w:sz="0" w:space="0" w:color="auto"/>
        <w:bottom w:val="none" w:sz="0" w:space="0" w:color="auto"/>
        <w:right w:val="none" w:sz="0" w:space="0" w:color="auto"/>
      </w:divBdr>
    </w:div>
    <w:div w:id="1738891030">
      <w:bodyDiv w:val="1"/>
      <w:marLeft w:val="0"/>
      <w:marRight w:val="0"/>
      <w:marTop w:val="0"/>
      <w:marBottom w:val="0"/>
      <w:divBdr>
        <w:top w:val="none" w:sz="0" w:space="0" w:color="auto"/>
        <w:left w:val="none" w:sz="0" w:space="0" w:color="auto"/>
        <w:bottom w:val="none" w:sz="0" w:space="0" w:color="auto"/>
        <w:right w:val="none" w:sz="0" w:space="0" w:color="auto"/>
      </w:divBdr>
    </w:div>
    <w:div w:id="1932394866">
      <w:bodyDiv w:val="1"/>
      <w:marLeft w:val="0"/>
      <w:marRight w:val="0"/>
      <w:marTop w:val="0"/>
      <w:marBottom w:val="0"/>
      <w:divBdr>
        <w:top w:val="none" w:sz="0" w:space="0" w:color="auto"/>
        <w:left w:val="none" w:sz="0" w:space="0" w:color="auto"/>
        <w:bottom w:val="none" w:sz="0" w:space="0" w:color="auto"/>
        <w:right w:val="none" w:sz="0" w:space="0" w:color="auto"/>
      </w:divBdr>
    </w:div>
    <w:div w:id="1984462765">
      <w:bodyDiv w:val="1"/>
      <w:marLeft w:val="0"/>
      <w:marRight w:val="0"/>
      <w:marTop w:val="0"/>
      <w:marBottom w:val="0"/>
      <w:divBdr>
        <w:top w:val="none" w:sz="0" w:space="0" w:color="auto"/>
        <w:left w:val="none" w:sz="0" w:space="0" w:color="auto"/>
        <w:bottom w:val="none" w:sz="0" w:space="0" w:color="auto"/>
        <w:right w:val="none" w:sz="0" w:space="0" w:color="auto"/>
      </w:divBdr>
    </w:div>
    <w:div w:id="2075466822">
      <w:bodyDiv w:val="1"/>
      <w:marLeft w:val="0"/>
      <w:marRight w:val="0"/>
      <w:marTop w:val="0"/>
      <w:marBottom w:val="0"/>
      <w:divBdr>
        <w:top w:val="none" w:sz="0" w:space="0" w:color="auto"/>
        <w:left w:val="none" w:sz="0" w:space="0" w:color="auto"/>
        <w:bottom w:val="none" w:sz="0" w:space="0" w:color="auto"/>
        <w:right w:val="none" w:sz="0" w:space="0" w:color="auto"/>
      </w:divBdr>
    </w:div>
    <w:div w:id="2092507536">
      <w:bodyDiv w:val="1"/>
      <w:marLeft w:val="0"/>
      <w:marRight w:val="0"/>
      <w:marTop w:val="0"/>
      <w:marBottom w:val="0"/>
      <w:divBdr>
        <w:top w:val="none" w:sz="0" w:space="0" w:color="auto"/>
        <w:left w:val="none" w:sz="0" w:space="0" w:color="auto"/>
        <w:bottom w:val="none" w:sz="0" w:space="0" w:color="auto"/>
        <w:right w:val="none" w:sz="0" w:space="0" w:color="auto"/>
      </w:divBdr>
    </w:div>
    <w:div w:id="2097897381">
      <w:bodyDiv w:val="1"/>
      <w:marLeft w:val="0"/>
      <w:marRight w:val="0"/>
      <w:marTop w:val="0"/>
      <w:marBottom w:val="0"/>
      <w:divBdr>
        <w:top w:val="none" w:sz="0" w:space="0" w:color="auto"/>
        <w:left w:val="none" w:sz="0" w:space="0" w:color="auto"/>
        <w:bottom w:val="none" w:sz="0" w:space="0" w:color="auto"/>
        <w:right w:val="none" w:sz="0" w:space="0" w:color="auto"/>
      </w:divBdr>
    </w:div>
    <w:div w:id="2132045898">
      <w:bodyDiv w:val="1"/>
      <w:marLeft w:val="0"/>
      <w:marRight w:val="0"/>
      <w:marTop w:val="0"/>
      <w:marBottom w:val="0"/>
      <w:divBdr>
        <w:top w:val="none" w:sz="0" w:space="0" w:color="auto"/>
        <w:left w:val="none" w:sz="0" w:space="0" w:color="auto"/>
        <w:bottom w:val="none" w:sz="0" w:space="0" w:color="auto"/>
        <w:right w:val="none" w:sz="0" w:space="0" w:color="auto"/>
      </w:divBdr>
    </w:div>
    <w:div w:id="21359075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rjnet.nl/" TargetMode="External"/><Relationship Id="rId18" Type="http://schemas.openxmlformats.org/officeDocument/2006/relationships/image" Target="media/image6.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ifrs.org/About-us/Pages/IFRS-Foundation-and-IASB.aspx" TargetMode="External"/><Relationship Id="rId17"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dx.doi.org/10.1016/j.jacceco.2013.03.002" TargetMode="External"/><Relationship Id="rId5" Type="http://schemas.openxmlformats.org/officeDocument/2006/relationships/settings" Target="settings.xml"/><Relationship Id="rId15" Type="http://schemas.openxmlformats.org/officeDocument/2006/relationships/image" Target="media/image3.emf"/><Relationship Id="rId10" Type="http://schemas.openxmlformats.org/officeDocument/2006/relationships/hyperlink" Target="http://www.afm.nl/nl-nl/over-afm"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2.em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Bro07</b:Tag>
    <b:SourceType>JournalArticle</b:SourceType>
    <b:Guid>{92E9488D-2677-664D-95FA-BF92A9F04F4C}</b:Guid>
    <b:Title>Rapportage over prestaties in de Europese Unie: Babylonische spraakverwarring?</b:Title>
    <b:Year>2007</b:Year>
    <b:Pages>260-268</b:Pages>
    <b:Author>
      <b:Author>
        <b:NameList>
          <b:Person>
            <b:Last>Brouwer</b:Last>
            <b:First>Arjan</b:First>
          </b:Person>
        </b:NameList>
      </b:Author>
    </b:Author>
    <b:JournalName>Maandblad voor Accountancy en Bedrijfseconomie</b:JournalName>
    <b:Month>Juni</b:Month>
    <b:RefOrder>2</b:RefOrder>
  </b:Source>
  <b:Source>
    <b:Tag>Bac11</b:Tag>
    <b:SourceType>JournalArticle</b:SourceType>
    <b:Guid>{B95EA110-E76C-E144-B45E-B4C69840C0A1}</b:Guid>
    <b:Author>
      <b:Author>
        <b:NameList>
          <b:Person>
            <b:Last>Backhuijs</b:Last>
            <b:First>Jan</b:First>
          </b:Person>
          <b:Person>
            <b:Last>Knoops</b:Last>
            <b:First>Chris</b:First>
          </b:Person>
        </b:NameList>
      </b:Author>
    </b:Author>
    <b:Title>Keuzes en alternatieven in de presentaties van de primaire overzichten onder IFRS</b:Title>
    <b:Year>2011</b:Year>
    <b:Pages>589-609</b:Pages>
    <b:JournalName>Maandblad voor Accountancy en Bedrijfseconomie</b:JournalName>
    <b:Month>December</b:Month>
    <b:RefOrder>3</b:RefOrder>
  </b:Source>
  <b:Source>
    <b:Tag>Mar05</b:Tag>
    <b:SourceType>JournalArticle</b:SourceType>
    <b:Guid>{A691CF96-074D-8844-8355-52BBE25A4F66}</b:Guid>
    <b:Author>
      <b:Author>
        <b:NameList>
          <b:Person>
            <b:Last>Marseille</b:Last>
            <b:First>Erika</b:First>
          </b:Person>
          <b:Person>
            <b:Last>Vergoossen</b:Last>
            <b:First>Ruud</b:First>
          </b:Person>
        </b:NameList>
      </b:Author>
    </b:Author>
    <b:Title>Het gebruik van alternatieve  financiële prestatie-indicatoren  in persberichten  </b:Title>
    <b:JournalName>Maandblad voor Accountancy en Bedrijfseonomie</b:JournalName>
    <b:Year>2005</b:Year>
    <b:Month>Mei</b:Month>
    <b:Pages>196-204</b:Pages>
    <b:RefOrder>4</b:RefOrder>
  </b:Source>
  <b:Source>
    <b:Tag>IAS15</b:Tag>
    <b:SourceType>InternetSite</b:SourceType>
    <b:Guid>{16A4647C-386C-3E47-A59A-52216F1D9ED7}</b:Guid>
    <b:Author>
      <b:Author>
        <b:NameList>
          <b:Person>
            <b:Last>IASB</b:Last>
          </b:Person>
        </b:NameList>
      </b:Author>
    </b:Author>
    <b:Title>About the IFRS Foundation and the IASB</b:Title>
    <b:InternetSiteTitle>Website of the IFRS foundation and the IASB</b:InternetSiteTitle>
    <b:URL>http://www.ifrs.org/About-us/Pages/IFRS-Foundation-and-IASB.aspx</b:URL>
    <b:YearAccessed>2015</b:YearAccessed>
    <b:MonthAccessed>April</b:MonthAccessed>
    <b:DayAccessed>13</b:DayAccessed>
    <b:Year>2015</b:Year>
    <b:RefOrder>6</b:RefOrder>
  </b:Source>
  <b:Source>
    <b:Tag>EY14</b:Tag>
    <b:SourceType>Book</b:SourceType>
    <b:Guid>{CB652EB3-0ADD-3746-9ACE-A5F8C5ED013B}</b:Guid>
    <b:Title>Handboek Jaarrekening 2014</b:Title>
    <b:Year>2014</b:Year>
    <b:Author>
      <b:Author>
        <b:Corporate>EY</b:Corporate>
      </b:Author>
    </b:Author>
    <b:Publisher>Kluwers</b:Publisher>
    <b:RefOrder>1</b:RefOrder>
  </b:Source>
  <b:Source>
    <b:Tag>Dim83</b:Tag>
    <b:SourceType>JournalArticle</b:SourceType>
    <b:Guid>{4C907B61-D192-B04B-8365-14671E1105C1}</b:Guid>
    <b:Title>The iron cage revisited: Institutional Isomorphism and Collective Rationality in organizational fields</b:Title>
    <b:Year>1983</b:Year>
    <b:Volume>48</b:Volume>
    <b:Pages>147-160</b:Pages>
    <b:Author>
      <b:Author>
        <b:NameList>
          <b:Person>
            <b:Last>Dimaggio</b:Last>
            <b:First>Paul</b:First>
            <b:Middle>J.</b:Middle>
          </b:Person>
          <b:Person>
            <b:Last>Powell</b:Last>
            <b:First>W</b:First>
          </b:Person>
        </b:NameList>
      </b:Author>
    </b:Author>
    <b:JournalName>American Sociological Review</b:JournalName>
    <b:Issue>2</b:Issue>
    <b:RefOrder>5</b:RefOrder>
  </b:Source>
</b:Sources>
</file>

<file path=customXml/itemProps1.xml><?xml version="1.0" encoding="utf-8"?>
<ds:datastoreItem xmlns:ds="http://schemas.openxmlformats.org/officeDocument/2006/customXml" ds:itemID="{EFD70CB0-978C-45CE-97BD-A4DD18A58C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19703</Words>
  <Characters>108372</Characters>
  <Application>Microsoft Office Word</Application>
  <DocSecurity>0</DocSecurity>
  <Lines>903</Lines>
  <Paragraphs>255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Sjoerd Kromdijk</dc:creator>
  <cp:lastModifiedBy>Roeland Aernoudts</cp:lastModifiedBy>
  <cp:revision>2</cp:revision>
  <dcterms:created xsi:type="dcterms:W3CDTF">2015-07-27T18:49:00Z</dcterms:created>
  <dcterms:modified xsi:type="dcterms:W3CDTF">2015-07-27T18:49:00Z</dcterms:modified>
</cp:coreProperties>
</file>